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007" w:rsidRPr="00DE6EE1" w:rsidRDefault="004E3E3B" w:rsidP="00A27007">
      <w:pPr>
        <w:pStyle w:val="Sangra3detindependiente"/>
        <w:spacing w:line="240" w:lineRule="auto"/>
        <w:ind w:left="0"/>
        <w:jc w:val="both"/>
        <w:rPr>
          <w:rFonts w:ascii="Arial" w:eastAsia="Times New Roman" w:hAnsi="Arial" w:cs="Arial"/>
          <w:b/>
          <w:sz w:val="22"/>
          <w:szCs w:val="22"/>
          <w:lang w:eastAsia="es-ES"/>
        </w:rPr>
      </w:pPr>
      <w:r>
        <w:rPr>
          <w:rFonts w:ascii="Arial" w:eastAsia="Times New Roman" w:hAnsi="Arial" w:cs="Arial"/>
          <w:b/>
          <w:sz w:val="22"/>
          <w:szCs w:val="22"/>
          <w:lang w:eastAsia="es-ES"/>
        </w:rPr>
        <w:t>ACCIÓ</w:t>
      </w:r>
      <w:r w:rsidR="00A27007" w:rsidRPr="00DE6EE1">
        <w:rPr>
          <w:rFonts w:ascii="Arial" w:eastAsia="Times New Roman" w:hAnsi="Arial" w:cs="Arial"/>
          <w:b/>
          <w:sz w:val="22"/>
          <w:szCs w:val="22"/>
          <w:lang w:eastAsia="es-ES"/>
        </w:rPr>
        <w:t>N DE TUTELA</w:t>
      </w:r>
      <w:r>
        <w:rPr>
          <w:rFonts w:ascii="Arial" w:eastAsia="Times New Roman" w:hAnsi="Arial" w:cs="Arial"/>
          <w:b/>
          <w:sz w:val="22"/>
          <w:szCs w:val="22"/>
          <w:lang w:eastAsia="es-ES"/>
        </w:rPr>
        <w:t xml:space="preserve"> </w:t>
      </w:r>
      <w:r w:rsidRPr="00DE6EE1">
        <w:rPr>
          <w:rFonts w:ascii="Arial" w:eastAsia="Times New Roman" w:hAnsi="Arial" w:cs="Arial"/>
          <w:b/>
          <w:sz w:val="22"/>
          <w:szCs w:val="22"/>
          <w:lang w:eastAsia="es-ES"/>
        </w:rPr>
        <w:t>–</w:t>
      </w:r>
      <w:r>
        <w:rPr>
          <w:rFonts w:ascii="Arial" w:eastAsia="Times New Roman" w:hAnsi="Arial" w:cs="Arial"/>
          <w:b/>
          <w:sz w:val="22"/>
          <w:szCs w:val="22"/>
          <w:lang w:eastAsia="es-ES"/>
        </w:rPr>
        <w:t xml:space="preserve"> </w:t>
      </w:r>
      <w:r w:rsidR="00A27007" w:rsidRPr="00DE6EE1">
        <w:rPr>
          <w:rFonts w:ascii="Arial" w:eastAsia="Times New Roman" w:hAnsi="Arial" w:cs="Arial"/>
          <w:b/>
          <w:sz w:val="22"/>
          <w:szCs w:val="22"/>
          <w:lang w:eastAsia="es-ES"/>
        </w:rPr>
        <w:t>L</w:t>
      </w:r>
      <w:r>
        <w:rPr>
          <w:rFonts w:ascii="Arial" w:eastAsia="Times New Roman" w:hAnsi="Arial" w:cs="Arial"/>
          <w:b/>
          <w:sz w:val="22"/>
          <w:szCs w:val="22"/>
          <w:lang w:eastAsia="es-ES"/>
        </w:rPr>
        <w:t xml:space="preserve">audo arbitral </w:t>
      </w:r>
      <w:r w:rsidR="00A27007" w:rsidRPr="00DE6EE1">
        <w:rPr>
          <w:rFonts w:ascii="Arial" w:eastAsia="Times New Roman" w:hAnsi="Arial" w:cs="Arial"/>
          <w:b/>
          <w:sz w:val="22"/>
          <w:szCs w:val="22"/>
          <w:lang w:eastAsia="es-ES"/>
        </w:rPr>
        <w:t>– Desequilibrio económico y financiero – Síntesis</w:t>
      </w:r>
    </w:p>
    <w:p w:rsidR="00A27007" w:rsidRPr="00DE6EE1" w:rsidRDefault="00A27007" w:rsidP="00A27007">
      <w:pPr>
        <w:pStyle w:val="Sangra3detindependiente"/>
        <w:spacing w:line="240" w:lineRule="auto"/>
        <w:ind w:left="0"/>
        <w:jc w:val="both"/>
        <w:rPr>
          <w:rFonts w:ascii="Arial" w:eastAsia="Times New Roman" w:hAnsi="Arial" w:cs="Arial"/>
          <w:b/>
          <w:sz w:val="22"/>
          <w:szCs w:val="22"/>
          <w:lang w:eastAsia="es-ES"/>
        </w:rPr>
      </w:pPr>
      <w:r w:rsidRPr="00DE6EE1">
        <w:rPr>
          <w:rFonts w:ascii="Arial" w:eastAsia="Times New Roman" w:hAnsi="Arial" w:cs="Arial"/>
          <w:sz w:val="22"/>
          <w:szCs w:val="22"/>
          <w:lang w:eastAsia="es-ES"/>
        </w:rPr>
        <w:t>Celebró con la Comisión Nacional de Televisión (en adelante CNTV), el contrato de concesión número 167 del 19 de julio de 1998 por un término de 10 años, cuyo objeto era “…la operación y explotación de una (1) Estación Local con Ánimo de lucro en Santa Fe de Bogotá, D.C., de conformidad con el pliego de Condiciones de la Licitación No. 002 de 1998 y la propuesta presentada por EL CONCESIONARIO”. Recordó que durante el desarrollo del contrato se presentaron algunas controversias, por lo cual acudió en dos oportunidades a los correspondientes Tribunales de Arbitramento, los cuales, con decisiones del 19 de agosto de 2003 y 13 de febrero de 2006, reconocieron que “…el Contrato de Concesión No. 167 de 1998 era conmutativo, [razón por la cual] se restableció el equilibrio económico y financiero del mismo disminuyendo el valor de la concesión”.</w:t>
      </w:r>
    </w:p>
    <w:p w:rsidR="00A27007" w:rsidRPr="00DE6EE1" w:rsidRDefault="004E3E3B" w:rsidP="00A27007">
      <w:pPr>
        <w:pStyle w:val="Sangra3detindependiente"/>
        <w:spacing w:line="240" w:lineRule="auto"/>
        <w:ind w:left="0"/>
        <w:jc w:val="both"/>
        <w:rPr>
          <w:rFonts w:ascii="Arial" w:eastAsia="Times New Roman" w:hAnsi="Arial" w:cs="Arial"/>
          <w:b/>
          <w:sz w:val="22"/>
          <w:szCs w:val="22"/>
          <w:lang w:eastAsia="es-ES"/>
        </w:rPr>
      </w:pPr>
      <w:r>
        <w:rPr>
          <w:rFonts w:ascii="Arial" w:eastAsia="Times New Roman" w:hAnsi="Arial" w:cs="Arial"/>
          <w:b/>
          <w:sz w:val="22"/>
          <w:szCs w:val="22"/>
          <w:lang w:eastAsia="es-ES"/>
        </w:rPr>
        <w:t>RECURSO DE ANULACIÓN</w:t>
      </w:r>
      <w:r w:rsidRPr="00DE6EE1">
        <w:rPr>
          <w:rFonts w:ascii="Arial" w:eastAsia="Times New Roman" w:hAnsi="Arial" w:cs="Arial"/>
          <w:b/>
          <w:sz w:val="22"/>
          <w:szCs w:val="22"/>
          <w:lang w:eastAsia="es-ES"/>
        </w:rPr>
        <w:t xml:space="preserve"> – </w:t>
      </w:r>
      <w:r>
        <w:rPr>
          <w:rFonts w:ascii="Arial" w:eastAsia="Times New Roman" w:hAnsi="Arial" w:cs="Arial"/>
          <w:b/>
          <w:sz w:val="22"/>
          <w:szCs w:val="22"/>
          <w:lang w:eastAsia="es-ES"/>
        </w:rPr>
        <w:t xml:space="preserve">Laudos arbitrales </w:t>
      </w:r>
      <w:r w:rsidR="00A27007" w:rsidRPr="00DE6EE1">
        <w:rPr>
          <w:rFonts w:ascii="Arial" w:eastAsia="Times New Roman" w:hAnsi="Arial" w:cs="Arial"/>
          <w:b/>
          <w:sz w:val="22"/>
          <w:szCs w:val="22"/>
          <w:lang w:eastAsia="es-ES"/>
        </w:rPr>
        <w:t>– Reglas</w:t>
      </w:r>
    </w:p>
    <w:p w:rsidR="00A27007" w:rsidRPr="00DE6EE1" w:rsidRDefault="00A27007" w:rsidP="00A050C6">
      <w:pPr>
        <w:pStyle w:val="Sangra3detindependiente"/>
        <w:spacing w:line="240" w:lineRule="auto"/>
        <w:ind w:left="0"/>
        <w:jc w:val="both"/>
        <w:rPr>
          <w:rFonts w:ascii="Arial" w:eastAsia="Times New Roman" w:hAnsi="Arial" w:cs="Arial"/>
          <w:sz w:val="22"/>
          <w:szCs w:val="22"/>
          <w:lang w:eastAsia="es-ES"/>
        </w:rPr>
      </w:pPr>
      <w:r w:rsidRPr="00DE6EE1">
        <w:rPr>
          <w:rFonts w:ascii="Arial" w:eastAsia="Times New Roman" w:hAnsi="Arial" w:cs="Arial"/>
          <w:sz w:val="22"/>
          <w:szCs w:val="22"/>
          <w:lang w:eastAsia="es-ES"/>
        </w:rPr>
        <w:t>El recurso de anulación de laudos arbitrales, es de carácter excepcional, restrictivo y extraordinario, sin que constituya una instancia más dentro del correspondiente proceso. El recurso tiene como finalidad controvertir la decisión contenida en el laudo arbitral por errores in procedendo (por violación de leyes procesales) (…) el juez de anulación podrá corregir o adicionar el laudo en aquellos eventos en que prospera la causal de incongruencia, por no haberse decidido la totalidad de los asuntos sometidos al conocimiento de los árbitros o por haberse pronunciado sobre aspectos que no estuvieron sujetos a la decisión de los mismos o por haberse concedido más de lo pedido, de conformidad con las causales previstas en los numerales 4º y 5º, del artículo 72, de la Ley 80 de 1993. Los poderes del juez del recurso de anulación están restringidos por el denominado “principio dispositivo”, (…) El recurso de anulación procede contra laudos arbitrales debidamente ejecutoriados, como excepción al principio de intangibilidad de las sentencias en firme (…) Su procedencia está condicionada a que se determinen y sustenten, debidamente, las causales que de manera taxativa se encuentran consagradas por la ley para ese efecto; por lo tanto, el juez de la anulación debe rechazar de plano el recurso cuando las causales que se invoquen o propongan no correspondan a alguna de las señaladas en la ley (…) el juez de la anulación tiene competencia para declarar la nulidad absoluta de la cláusula compromisoria siempre que la nulidad aparezca probada y en el recurso intervengan las partes contratantes</w:t>
      </w:r>
    </w:p>
    <w:p w:rsidR="00A27007" w:rsidRPr="00DE6EE1" w:rsidRDefault="00A27007" w:rsidP="00A27007">
      <w:pPr>
        <w:pStyle w:val="Sangra3detindependiente"/>
        <w:spacing w:after="0" w:line="240" w:lineRule="auto"/>
        <w:ind w:left="0"/>
        <w:jc w:val="both"/>
        <w:rPr>
          <w:rFonts w:ascii="Arial" w:eastAsia="Times New Roman" w:hAnsi="Arial" w:cs="Arial"/>
          <w:b/>
          <w:sz w:val="22"/>
          <w:szCs w:val="22"/>
          <w:lang w:eastAsia="es-ES"/>
        </w:rPr>
      </w:pPr>
    </w:p>
    <w:p w:rsidR="00870283" w:rsidRPr="00DE6EE1" w:rsidRDefault="004E3E3B" w:rsidP="00A27007">
      <w:pPr>
        <w:pStyle w:val="Sangra3detindependiente"/>
        <w:spacing w:after="0" w:line="240" w:lineRule="auto"/>
        <w:ind w:left="0"/>
        <w:jc w:val="both"/>
        <w:rPr>
          <w:rFonts w:ascii="Arial" w:eastAsia="Times New Roman" w:hAnsi="Arial" w:cs="Arial"/>
          <w:b/>
          <w:sz w:val="22"/>
          <w:szCs w:val="22"/>
          <w:lang w:eastAsia="es-ES"/>
        </w:rPr>
      </w:pPr>
      <w:r>
        <w:rPr>
          <w:rFonts w:ascii="Arial" w:eastAsia="Times New Roman" w:hAnsi="Arial" w:cs="Arial"/>
          <w:b/>
          <w:sz w:val="22"/>
          <w:szCs w:val="22"/>
          <w:lang w:eastAsia="es-ES"/>
        </w:rPr>
        <w:t xml:space="preserve">ANULACIÓN DE LAUDO ARBITRAL </w:t>
      </w:r>
      <w:r w:rsidRPr="00DE6EE1">
        <w:rPr>
          <w:rFonts w:ascii="Arial" w:eastAsia="Times New Roman" w:hAnsi="Arial" w:cs="Arial"/>
          <w:b/>
          <w:sz w:val="22"/>
          <w:szCs w:val="22"/>
          <w:lang w:eastAsia="es-ES"/>
        </w:rPr>
        <w:t>–</w:t>
      </w:r>
      <w:r>
        <w:rPr>
          <w:rFonts w:ascii="Arial" w:eastAsia="Times New Roman" w:hAnsi="Arial" w:cs="Arial"/>
          <w:b/>
          <w:sz w:val="22"/>
          <w:szCs w:val="22"/>
          <w:lang w:eastAsia="es-ES"/>
        </w:rPr>
        <w:t xml:space="preserve"> Derecho al debido proceso </w:t>
      </w:r>
      <w:r w:rsidRPr="00DE6EE1">
        <w:rPr>
          <w:rFonts w:ascii="Arial" w:eastAsia="Times New Roman" w:hAnsi="Arial" w:cs="Arial"/>
          <w:b/>
          <w:sz w:val="22"/>
          <w:szCs w:val="22"/>
          <w:lang w:eastAsia="es-ES"/>
        </w:rPr>
        <w:t>–</w:t>
      </w:r>
      <w:r>
        <w:rPr>
          <w:rFonts w:ascii="Arial" w:eastAsia="Times New Roman" w:hAnsi="Arial" w:cs="Arial"/>
          <w:b/>
          <w:sz w:val="22"/>
          <w:szCs w:val="22"/>
          <w:lang w:eastAsia="es-ES"/>
        </w:rPr>
        <w:t xml:space="preserve"> Vulneración </w:t>
      </w:r>
      <w:r w:rsidRPr="00DE6EE1">
        <w:rPr>
          <w:rFonts w:ascii="Arial" w:eastAsia="Times New Roman" w:hAnsi="Arial" w:cs="Arial"/>
          <w:b/>
          <w:sz w:val="22"/>
          <w:szCs w:val="22"/>
          <w:lang w:eastAsia="es-ES"/>
        </w:rPr>
        <w:t>–</w:t>
      </w:r>
      <w:r>
        <w:rPr>
          <w:rFonts w:ascii="Arial" w:eastAsia="Times New Roman" w:hAnsi="Arial" w:cs="Arial"/>
          <w:b/>
          <w:sz w:val="22"/>
          <w:szCs w:val="22"/>
          <w:lang w:eastAsia="es-ES"/>
        </w:rPr>
        <w:t xml:space="preserve"> </w:t>
      </w:r>
      <w:r>
        <w:rPr>
          <w:rFonts w:ascii="Arial" w:eastAsia="Times New Roman" w:hAnsi="Arial" w:cs="Arial"/>
          <w:b/>
          <w:sz w:val="22"/>
          <w:szCs w:val="22"/>
          <w:lang w:eastAsia="es-ES"/>
        </w:rPr>
        <w:t xml:space="preserve"> Decreto nulidad absoluta </w:t>
      </w:r>
      <w:r w:rsidRPr="00DE6EE1">
        <w:rPr>
          <w:rFonts w:ascii="Arial" w:eastAsia="Times New Roman" w:hAnsi="Arial" w:cs="Arial"/>
          <w:b/>
          <w:sz w:val="22"/>
          <w:szCs w:val="22"/>
          <w:lang w:eastAsia="es-ES"/>
        </w:rPr>
        <w:t>–</w:t>
      </w:r>
      <w:r>
        <w:rPr>
          <w:rFonts w:ascii="Arial" w:eastAsia="Times New Roman" w:hAnsi="Arial" w:cs="Arial"/>
          <w:b/>
          <w:sz w:val="22"/>
          <w:szCs w:val="22"/>
          <w:lang w:eastAsia="es-ES"/>
        </w:rPr>
        <w:t xml:space="preserve"> Competencia</w:t>
      </w:r>
      <w:bookmarkStart w:id="0" w:name="_GoBack"/>
      <w:bookmarkEnd w:id="0"/>
    </w:p>
    <w:p w:rsidR="00A27007" w:rsidRPr="00DE6EE1" w:rsidRDefault="00A27007" w:rsidP="00A27007">
      <w:pPr>
        <w:pStyle w:val="Sangra3detindependiente"/>
        <w:spacing w:after="0" w:line="240" w:lineRule="auto"/>
        <w:ind w:left="0"/>
        <w:jc w:val="both"/>
        <w:rPr>
          <w:rFonts w:ascii="Arial" w:hAnsi="Arial" w:cs="Arial"/>
          <w:sz w:val="22"/>
          <w:szCs w:val="22"/>
        </w:rPr>
      </w:pPr>
    </w:p>
    <w:p w:rsidR="00870283" w:rsidRPr="00DE6EE1" w:rsidRDefault="00870283" w:rsidP="00A050C6">
      <w:pPr>
        <w:pStyle w:val="Sangra3detindependiente"/>
        <w:spacing w:line="240" w:lineRule="auto"/>
        <w:ind w:left="0"/>
        <w:jc w:val="both"/>
        <w:rPr>
          <w:rFonts w:ascii="Arial" w:eastAsia="Times New Roman" w:hAnsi="Arial" w:cs="Arial"/>
          <w:sz w:val="22"/>
          <w:szCs w:val="22"/>
          <w:lang w:eastAsia="es-ES"/>
        </w:rPr>
      </w:pPr>
      <w:r w:rsidRPr="00DE6EE1">
        <w:rPr>
          <w:rFonts w:ascii="Arial" w:eastAsia="Times New Roman" w:hAnsi="Arial" w:cs="Arial"/>
          <w:sz w:val="22"/>
          <w:szCs w:val="22"/>
          <w:lang w:eastAsia="es-ES"/>
        </w:rPr>
        <w:t xml:space="preserve">La Sección Tercera explicó en la providencia cuestionada que a pesar de actuar como juez extraordinario, al resolver el recurso de anulación, podía entrar a estudiar de oficio la nulidad absoluta de cualquier cláusula del contrato, pero dicha facultad está limitada a los casos en los que las disposiciones contractuales sean abiertamente contrarias al ordenamiento superior. Así las cosas, esa Corporación se encontró habilitada para estudiar la legalidad de la cláusula al considerar que el Tribunal Arbitral no hizo pronunciamiento alguno relativo a la nulidad absoluta originada en la contravención del orden imperativo. Esta Sala no comparte este estudio hecho por la Sección Tercera puesto que debe tenerse en cuenta que el tribunal arbitral en el laudo de 3 de abril de 2013… sí se pronunció sobre la legalidad de la cláusula octava. Al respecto debe tenerse en cuenta que si bien no hizo un estudio extenso, lo cierto es que sostuvo: El Tribunal no encuentra ninguna razón que afecte su validez o eficacia, con lo cual es claro que al mencionar que no encontró afectada su validez, es porque la cláusula en su parecer estaba acorde con el ordenamiento jurídico, razón por la cual no podía la Sección Tercera del Consejo de Estado entrar a hacer dicho estudio, puesto que, se reitera, el Tribunal arbitral sí hizo el estudio correspondiente. Así las cosas es claro que el juez extraordinario puede de oficio declarar la nulidad del pacto arbitral; así mismo puede declarar la nulidad total o parcial del contrato o de alguna de sus cláusulas cuando haya sido alegada por las partes y no hubiera sido objeto de pronunciamiento por parte del tribunal Arbitral, y sea manifiesta o abiertamente contraria al ordenamiento superior o cuando esté plenamente demostrada en el proceso, o cuando a pesar de haber sido resuelta por el tribunal arbitral, las partes consideren que se incurrió en error in procedendo y lo aleguen vía recurso de anulación. En este asunto, para esta </w:t>
      </w:r>
      <w:r w:rsidRPr="00DE6EE1">
        <w:rPr>
          <w:rFonts w:ascii="Arial" w:eastAsia="Times New Roman" w:hAnsi="Arial" w:cs="Arial"/>
          <w:sz w:val="22"/>
          <w:szCs w:val="22"/>
          <w:lang w:eastAsia="es-ES"/>
        </w:rPr>
        <w:lastRenderedPageBreak/>
        <w:t xml:space="preserve">Sección, la estipulación contenida en la cláusula 8 del Otrosí No. 4, no es abierta o manifiestamente contraria al ordenamiento superior y no estaba plenamente demostrada en el proceso, pues tal como se explicó en la providencia acusada, con antelación se profirieron dos laudos en los casos de RCN Televisión y Caracol Televisión en los cuales sobre la función de fijar la tarifa y la intervención de un tercero los respectivos Tribunales Arbitrales sostuvieron que: (i) sin importar los medios e indicaciones que se hubieran utilizado para fijar el precio, esa era una responsabilidad atribuida por la ley a la Comisión Nacional de Televisión, y si en el ejercicio de esa facultad dispuso unos medios, procedimientos verificaciones y su interlocución con el concesionario, a ello debía atenerse, y (ii) si bien la Comisión Nacional de Televisión tenía la facultad legal para imponer la tarifa por concesión, debía estarse a lo que ella convino sobre la delegación a un tercero de esa facultad… Así las cosas, y al no ser abierta o manifiesta la ilegalidad de la cláusula 8 del otrosí número 4, puesto que la interpretación de la cláusula da lugar a una discusión sobre su legalidad, es claro que este requisito tampoco se cumplió. Por lo expuesto, para esta Sala es claro que la Sección Tercera no tenía la competencia para declarar la nulidad absoluta de la cláusula octava del otrosí número 4, por carecer de competencia para ello. Por lo anterior, se revocará el fallo de primera instancia, de 26 de noviembre de 2015 proferido por la Sección Cuarta de esta Corporación  y en su lugar ampárase el derecho fundamental al debido proceso de la CEETTV S.A.  Como consecuencia de lo anterior, déjese sin efectos la providencia de 29 de mayo de 2014 proferida por la Sección Tercera Subsección B del Consejo de Estado, para que en su lugar profiera una nueva sentencia en la que estudie cada uno de los cargos del recurso de anulación propuestos por la Comisión Nacional de Televisión (hoy Autoridad Nacional de Televisión) contra el laudo arbitral proferido el 3 de abril de 2013. </w:t>
      </w:r>
    </w:p>
    <w:p w:rsidR="00870283" w:rsidRDefault="00870283" w:rsidP="006F79DA">
      <w:pPr>
        <w:contextualSpacing/>
        <w:jc w:val="center"/>
        <w:rPr>
          <w:rFonts w:ascii="Arial" w:hAnsi="Arial" w:cs="Arial"/>
          <w:b/>
          <w:sz w:val="24"/>
          <w:szCs w:val="24"/>
          <w:lang w:val="es-ES"/>
        </w:rPr>
      </w:pPr>
    </w:p>
    <w:p w:rsidR="00566431" w:rsidRDefault="00566431" w:rsidP="006F79DA">
      <w:pPr>
        <w:contextualSpacing/>
        <w:jc w:val="center"/>
        <w:rPr>
          <w:rFonts w:ascii="Arial" w:hAnsi="Arial" w:cs="Arial"/>
          <w:b/>
          <w:sz w:val="24"/>
          <w:szCs w:val="24"/>
          <w:lang w:val="es-ES"/>
        </w:rPr>
      </w:pPr>
    </w:p>
    <w:p w:rsidR="006F79DA" w:rsidRPr="006F79DA" w:rsidRDefault="006F79DA" w:rsidP="006F79DA">
      <w:pPr>
        <w:contextualSpacing/>
        <w:jc w:val="center"/>
        <w:rPr>
          <w:rFonts w:ascii="Arial" w:hAnsi="Arial" w:cs="Arial"/>
          <w:b/>
          <w:sz w:val="24"/>
          <w:szCs w:val="24"/>
          <w:lang w:val="es-ES"/>
        </w:rPr>
      </w:pPr>
      <w:r w:rsidRPr="006F79DA">
        <w:rPr>
          <w:rFonts w:ascii="Arial" w:hAnsi="Arial" w:cs="Arial"/>
          <w:b/>
          <w:sz w:val="24"/>
          <w:szCs w:val="24"/>
          <w:lang w:val="es-ES"/>
        </w:rPr>
        <w:t>CONSEJO DE ESTADO</w:t>
      </w:r>
    </w:p>
    <w:p w:rsidR="006F79DA" w:rsidRPr="006F79DA" w:rsidRDefault="006F79DA" w:rsidP="006F79DA">
      <w:pPr>
        <w:contextualSpacing/>
        <w:jc w:val="center"/>
        <w:rPr>
          <w:rFonts w:ascii="Arial" w:hAnsi="Arial" w:cs="Arial"/>
          <w:b/>
          <w:sz w:val="24"/>
          <w:szCs w:val="24"/>
          <w:lang w:val="es-ES"/>
        </w:rPr>
      </w:pPr>
    </w:p>
    <w:p w:rsidR="006F79DA" w:rsidRPr="006F79DA" w:rsidRDefault="006F79DA" w:rsidP="006F79DA">
      <w:pPr>
        <w:contextualSpacing/>
        <w:jc w:val="center"/>
        <w:rPr>
          <w:rFonts w:ascii="Arial" w:hAnsi="Arial" w:cs="Arial"/>
          <w:b/>
          <w:sz w:val="24"/>
          <w:szCs w:val="24"/>
          <w:lang w:val="es-ES"/>
        </w:rPr>
      </w:pPr>
      <w:r w:rsidRPr="006F79DA">
        <w:rPr>
          <w:rFonts w:ascii="Arial" w:hAnsi="Arial" w:cs="Arial"/>
          <w:b/>
          <w:sz w:val="24"/>
          <w:szCs w:val="24"/>
          <w:lang w:val="es-ES"/>
        </w:rPr>
        <w:t>SALA DE LO CONTENCIOSO ADMINISTRATIVO</w:t>
      </w:r>
    </w:p>
    <w:p w:rsidR="006F79DA" w:rsidRPr="006F79DA" w:rsidRDefault="006F79DA" w:rsidP="006F79DA">
      <w:pPr>
        <w:contextualSpacing/>
        <w:jc w:val="center"/>
        <w:rPr>
          <w:rFonts w:ascii="Arial" w:hAnsi="Arial" w:cs="Arial"/>
          <w:b/>
          <w:sz w:val="24"/>
          <w:szCs w:val="24"/>
          <w:lang w:val="es-ES"/>
        </w:rPr>
      </w:pPr>
    </w:p>
    <w:p w:rsidR="006F79DA" w:rsidRPr="006F79DA" w:rsidRDefault="006F79DA" w:rsidP="006F79DA">
      <w:pPr>
        <w:contextualSpacing/>
        <w:jc w:val="center"/>
        <w:rPr>
          <w:rFonts w:ascii="Arial" w:hAnsi="Arial" w:cs="Arial"/>
          <w:b/>
          <w:sz w:val="24"/>
          <w:szCs w:val="24"/>
          <w:lang w:val="es-ES"/>
        </w:rPr>
      </w:pPr>
      <w:r w:rsidRPr="006F79DA">
        <w:rPr>
          <w:rFonts w:ascii="Arial" w:hAnsi="Arial" w:cs="Arial"/>
          <w:b/>
          <w:sz w:val="24"/>
          <w:szCs w:val="24"/>
          <w:lang w:val="es-ES"/>
        </w:rPr>
        <w:t>SECCI</w:t>
      </w:r>
      <w:r w:rsidR="00665127">
        <w:rPr>
          <w:rFonts w:ascii="Arial" w:hAnsi="Arial" w:cs="Arial"/>
          <w:b/>
          <w:sz w:val="24"/>
          <w:szCs w:val="24"/>
          <w:lang w:val="es-ES"/>
        </w:rPr>
        <w:t>Ó</w:t>
      </w:r>
      <w:r w:rsidRPr="006F79DA">
        <w:rPr>
          <w:rFonts w:ascii="Arial" w:hAnsi="Arial" w:cs="Arial"/>
          <w:b/>
          <w:sz w:val="24"/>
          <w:szCs w:val="24"/>
          <w:lang w:val="es-ES"/>
        </w:rPr>
        <w:t>N QUINTA</w:t>
      </w:r>
    </w:p>
    <w:p w:rsidR="006F79DA" w:rsidRPr="006F79DA" w:rsidRDefault="006F79DA" w:rsidP="006F79DA">
      <w:pPr>
        <w:contextualSpacing/>
        <w:jc w:val="center"/>
        <w:rPr>
          <w:rFonts w:ascii="Arial" w:hAnsi="Arial" w:cs="Arial"/>
          <w:b/>
          <w:sz w:val="24"/>
          <w:szCs w:val="24"/>
          <w:lang w:val="es-ES"/>
        </w:rPr>
      </w:pPr>
    </w:p>
    <w:p w:rsidR="006F79DA" w:rsidRPr="006F79DA" w:rsidRDefault="006F79DA" w:rsidP="006F79DA">
      <w:pPr>
        <w:contextualSpacing/>
        <w:jc w:val="center"/>
        <w:rPr>
          <w:rFonts w:ascii="Arial" w:hAnsi="Arial" w:cs="Arial"/>
          <w:b/>
          <w:sz w:val="24"/>
          <w:szCs w:val="24"/>
          <w:lang w:val="es-ES"/>
        </w:rPr>
      </w:pPr>
      <w:r w:rsidRPr="006F79DA">
        <w:rPr>
          <w:rFonts w:ascii="Arial" w:hAnsi="Arial" w:cs="Arial"/>
          <w:b/>
          <w:sz w:val="24"/>
          <w:szCs w:val="24"/>
          <w:lang w:val="es-ES"/>
        </w:rPr>
        <w:t>Consejero ponente: CARLOS ENRIQUE MORENO RUBIO</w:t>
      </w:r>
    </w:p>
    <w:p w:rsidR="006F79DA" w:rsidRPr="006F79DA" w:rsidRDefault="006F79DA" w:rsidP="006F79DA">
      <w:pPr>
        <w:contextualSpacing/>
        <w:jc w:val="center"/>
        <w:rPr>
          <w:rFonts w:ascii="Arial" w:hAnsi="Arial" w:cs="Arial"/>
          <w:b/>
          <w:sz w:val="24"/>
          <w:szCs w:val="24"/>
          <w:lang w:val="es-ES"/>
        </w:rPr>
      </w:pPr>
    </w:p>
    <w:p w:rsidR="006F79DA" w:rsidRPr="006F79DA" w:rsidRDefault="006F79DA" w:rsidP="006F79DA">
      <w:pPr>
        <w:contextualSpacing/>
        <w:jc w:val="both"/>
        <w:rPr>
          <w:rFonts w:ascii="Arial" w:eastAsia="Times New Roman" w:hAnsi="Arial" w:cs="Arial"/>
          <w:sz w:val="24"/>
          <w:szCs w:val="24"/>
          <w:lang w:eastAsia="es-ES"/>
        </w:rPr>
      </w:pPr>
      <w:r w:rsidRPr="006F79DA">
        <w:rPr>
          <w:rFonts w:ascii="Arial" w:hAnsi="Arial" w:cs="Arial"/>
          <w:color w:val="000000"/>
          <w:sz w:val="24"/>
          <w:szCs w:val="24"/>
          <w:lang w:val="es-ES"/>
        </w:rPr>
        <w:t xml:space="preserve">Bogotá, D.C., </w:t>
      </w:r>
      <w:r w:rsidRPr="006F79DA">
        <w:rPr>
          <w:rFonts w:ascii="Arial" w:eastAsia="Times New Roman" w:hAnsi="Arial" w:cs="Arial"/>
          <w:sz w:val="24"/>
          <w:szCs w:val="24"/>
          <w:lang w:eastAsia="es-ES"/>
        </w:rPr>
        <w:t xml:space="preserve">diecisiete (17) de </w:t>
      </w:r>
      <w:r w:rsidR="0016607B" w:rsidRPr="006F79DA">
        <w:rPr>
          <w:rFonts w:ascii="Arial" w:eastAsia="Times New Roman" w:hAnsi="Arial" w:cs="Arial"/>
          <w:sz w:val="24"/>
          <w:szCs w:val="24"/>
          <w:lang w:eastAsia="es-ES"/>
        </w:rPr>
        <w:t xml:space="preserve">marzo </w:t>
      </w:r>
      <w:r w:rsidR="0016607B">
        <w:rPr>
          <w:rFonts w:ascii="Arial" w:eastAsia="Times New Roman" w:hAnsi="Arial" w:cs="Arial"/>
          <w:sz w:val="24"/>
          <w:szCs w:val="24"/>
          <w:lang w:eastAsia="es-ES"/>
        </w:rPr>
        <w:t xml:space="preserve">de </w:t>
      </w:r>
      <w:r w:rsidRPr="006F79DA">
        <w:rPr>
          <w:rFonts w:ascii="Arial" w:eastAsia="Times New Roman" w:hAnsi="Arial" w:cs="Arial"/>
          <w:sz w:val="24"/>
          <w:szCs w:val="24"/>
          <w:lang w:eastAsia="es-ES"/>
        </w:rPr>
        <w:t>dos mil dieciséis (2016)</w:t>
      </w:r>
    </w:p>
    <w:p w:rsidR="006F79DA" w:rsidRPr="006F79DA" w:rsidRDefault="006F79DA" w:rsidP="006F79DA">
      <w:pPr>
        <w:contextualSpacing/>
        <w:jc w:val="both"/>
        <w:rPr>
          <w:rFonts w:ascii="Arial" w:hAnsi="Arial" w:cs="Arial"/>
          <w:color w:val="000000"/>
          <w:sz w:val="24"/>
          <w:szCs w:val="24"/>
        </w:rPr>
      </w:pPr>
    </w:p>
    <w:p w:rsidR="006F79DA" w:rsidRPr="006F79DA" w:rsidRDefault="006F79DA" w:rsidP="006F79DA">
      <w:pPr>
        <w:contextualSpacing/>
        <w:jc w:val="both"/>
        <w:rPr>
          <w:rFonts w:ascii="Arial" w:hAnsi="Arial" w:cs="Arial"/>
          <w:b/>
          <w:color w:val="000000"/>
          <w:sz w:val="24"/>
          <w:szCs w:val="24"/>
          <w:lang w:val="es-ES"/>
        </w:rPr>
      </w:pPr>
      <w:r w:rsidRPr="006F79DA">
        <w:rPr>
          <w:rFonts w:ascii="Arial" w:hAnsi="Arial" w:cs="Arial"/>
          <w:b/>
          <w:color w:val="000000"/>
          <w:sz w:val="24"/>
          <w:szCs w:val="24"/>
          <w:lang w:val="es-ES"/>
        </w:rPr>
        <w:t xml:space="preserve">Radicación número: </w:t>
      </w:r>
      <w:r w:rsidRPr="006F79DA">
        <w:rPr>
          <w:rFonts w:ascii="Arial" w:eastAsia="Times New Roman" w:hAnsi="Arial" w:cs="Arial"/>
          <w:b/>
          <w:sz w:val="24"/>
          <w:szCs w:val="24"/>
          <w:lang w:eastAsia="es-ES"/>
        </w:rPr>
        <w:t>11001-03-15-000-2014-03668-01</w:t>
      </w:r>
      <w:r w:rsidRPr="006F79DA">
        <w:rPr>
          <w:rFonts w:ascii="Arial" w:hAnsi="Arial" w:cs="Arial"/>
          <w:b/>
          <w:color w:val="000000"/>
          <w:sz w:val="24"/>
          <w:szCs w:val="24"/>
          <w:lang w:val="es-ES"/>
        </w:rPr>
        <w:t>(AC)</w:t>
      </w:r>
    </w:p>
    <w:p w:rsidR="006F79DA" w:rsidRPr="006F79DA" w:rsidRDefault="006F79DA" w:rsidP="006F79DA">
      <w:pPr>
        <w:contextualSpacing/>
        <w:jc w:val="both"/>
        <w:rPr>
          <w:rFonts w:ascii="Arial" w:hAnsi="Arial" w:cs="Arial"/>
          <w:b/>
          <w:color w:val="000000"/>
          <w:sz w:val="24"/>
          <w:szCs w:val="24"/>
          <w:lang w:val="es-ES"/>
        </w:rPr>
      </w:pPr>
    </w:p>
    <w:p w:rsidR="006F79DA" w:rsidRPr="006F79DA" w:rsidRDefault="006F79DA" w:rsidP="006F79DA">
      <w:pPr>
        <w:contextualSpacing/>
        <w:jc w:val="both"/>
        <w:rPr>
          <w:rFonts w:ascii="Arial" w:hAnsi="Arial" w:cs="Arial"/>
          <w:b/>
          <w:color w:val="000000"/>
          <w:sz w:val="24"/>
          <w:szCs w:val="24"/>
          <w:lang w:val="es-ES"/>
        </w:rPr>
      </w:pPr>
      <w:r w:rsidRPr="006F79DA">
        <w:rPr>
          <w:rFonts w:ascii="Arial" w:hAnsi="Arial" w:cs="Arial"/>
          <w:b/>
          <w:color w:val="000000"/>
          <w:sz w:val="24"/>
          <w:szCs w:val="24"/>
          <w:lang w:val="es-ES"/>
        </w:rPr>
        <w:t xml:space="preserve">Actor: </w:t>
      </w:r>
      <w:r w:rsidRPr="006F79DA">
        <w:rPr>
          <w:rFonts w:ascii="Arial" w:eastAsia="Times New Roman" w:hAnsi="Arial" w:cs="Arial"/>
          <w:b/>
          <w:sz w:val="24"/>
          <w:szCs w:val="24"/>
          <w:lang w:eastAsia="es-ES"/>
        </w:rPr>
        <w:t>CEETTV S.A</w:t>
      </w:r>
      <w:r w:rsidR="00C41A3B">
        <w:rPr>
          <w:rFonts w:ascii="Arial" w:eastAsia="Times New Roman" w:hAnsi="Arial" w:cs="Arial"/>
          <w:b/>
          <w:sz w:val="24"/>
          <w:szCs w:val="24"/>
          <w:lang w:eastAsia="es-ES"/>
        </w:rPr>
        <w:t>.</w:t>
      </w:r>
    </w:p>
    <w:p w:rsidR="006F79DA" w:rsidRPr="006F79DA" w:rsidRDefault="006F79DA" w:rsidP="006F79DA">
      <w:pPr>
        <w:contextualSpacing/>
        <w:jc w:val="both"/>
        <w:rPr>
          <w:rFonts w:ascii="Arial" w:hAnsi="Arial" w:cs="Arial"/>
          <w:b/>
          <w:color w:val="000000"/>
          <w:sz w:val="24"/>
          <w:szCs w:val="24"/>
          <w:lang w:val="es-ES"/>
        </w:rPr>
      </w:pPr>
    </w:p>
    <w:p w:rsidR="006F79DA" w:rsidRPr="006F79DA" w:rsidRDefault="006F79DA" w:rsidP="006F79DA">
      <w:pPr>
        <w:contextualSpacing/>
        <w:jc w:val="both"/>
        <w:rPr>
          <w:rFonts w:ascii="Arial" w:hAnsi="Arial" w:cs="Arial"/>
          <w:b/>
          <w:color w:val="000000"/>
          <w:sz w:val="24"/>
          <w:szCs w:val="24"/>
          <w:lang w:val="es-ES"/>
        </w:rPr>
      </w:pPr>
      <w:r w:rsidRPr="006F79DA">
        <w:rPr>
          <w:rFonts w:ascii="Arial" w:hAnsi="Arial" w:cs="Arial"/>
          <w:b/>
          <w:color w:val="000000"/>
          <w:sz w:val="24"/>
          <w:szCs w:val="24"/>
          <w:lang w:val="es-ES"/>
        </w:rPr>
        <w:t xml:space="preserve">Demandado: </w:t>
      </w:r>
      <w:r w:rsidRPr="006F79DA">
        <w:rPr>
          <w:rFonts w:ascii="Arial" w:eastAsia="Times New Roman" w:hAnsi="Arial" w:cs="Arial"/>
          <w:b/>
          <w:sz w:val="24"/>
          <w:szCs w:val="24"/>
          <w:lang w:eastAsia="es-ES"/>
        </w:rPr>
        <w:t>CONSEJO DE ESTADO</w:t>
      </w:r>
      <w:r w:rsidR="00B20A1C">
        <w:rPr>
          <w:rFonts w:ascii="Arial" w:eastAsia="Times New Roman" w:hAnsi="Arial" w:cs="Arial"/>
          <w:b/>
          <w:sz w:val="24"/>
          <w:szCs w:val="24"/>
          <w:lang w:eastAsia="es-ES"/>
        </w:rPr>
        <w:t xml:space="preserve"> -</w:t>
      </w:r>
      <w:r w:rsidRPr="006F79DA">
        <w:rPr>
          <w:rFonts w:ascii="Arial" w:eastAsia="Times New Roman" w:hAnsi="Arial" w:cs="Arial"/>
          <w:b/>
          <w:sz w:val="24"/>
          <w:szCs w:val="24"/>
          <w:lang w:eastAsia="es-ES"/>
        </w:rPr>
        <w:t xml:space="preserve"> SECCI</w:t>
      </w:r>
      <w:r w:rsidR="00B20A1C">
        <w:rPr>
          <w:rFonts w:ascii="Arial" w:eastAsia="Times New Roman" w:hAnsi="Arial" w:cs="Arial"/>
          <w:b/>
          <w:sz w:val="24"/>
          <w:szCs w:val="24"/>
          <w:lang w:eastAsia="es-ES"/>
        </w:rPr>
        <w:t>O</w:t>
      </w:r>
      <w:r w:rsidRPr="006F79DA">
        <w:rPr>
          <w:rFonts w:ascii="Arial" w:eastAsia="Times New Roman" w:hAnsi="Arial" w:cs="Arial"/>
          <w:b/>
          <w:sz w:val="24"/>
          <w:szCs w:val="24"/>
          <w:lang w:eastAsia="es-ES"/>
        </w:rPr>
        <w:t>N TERCERA</w:t>
      </w:r>
      <w:r w:rsidR="00B20A1C">
        <w:rPr>
          <w:rFonts w:ascii="Arial" w:eastAsia="Times New Roman" w:hAnsi="Arial" w:cs="Arial"/>
          <w:b/>
          <w:sz w:val="24"/>
          <w:szCs w:val="24"/>
          <w:lang w:eastAsia="es-ES"/>
        </w:rPr>
        <w:t xml:space="preserve"> - </w:t>
      </w:r>
      <w:r w:rsidRPr="006F79DA">
        <w:rPr>
          <w:rFonts w:ascii="Arial" w:eastAsia="Times New Roman" w:hAnsi="Arial" w:cs="Arial"/>
          <w:b/>
          <w:sz w:val="24"/>
          <w:szCs w:val="24"/>
          <w:lang w:eastAsia="es-ES"/>
        </w:rPr>
        <w:t>SUBSECCI</w:t>
      </w:r>
      <w:r w:rsidR="00B20A1C">
        <w:rPr>
          <w:rFonts w:ascii="Arial" w:eastAsia="Times New Roman" w:hAnsi="Arial" w:cs="Arial"/>
          <w:b/>
          <w:sz w:val="24"/>
          <w:szCs w:val="24"/>
          <w:lang w:eastAsia="es-ES"/>
        </w:rPr>
        <w:t>O</w:t>
      </w:r>
      <w:r w:rsidRPr="006F79DA">
        <w:rPr>
          <w:rFonts w:ascii="Arial" w:eastAsia="Times New Roman" w:hAnsi="Arial" w:cs="Arial"/>
          <w:b/>
          <w:sz w:val="24"/>
          <w:szCs w:val="24"/>
          <w:lang w:eastAsia="es-ES"/>
        </w:rPr>
        <w:t>N B</w:t>
      </w:r>
    </w:p>
    <w:p w:rsidR="00FA71F4" w:rsidRPr="006F79DA" w:rsidRDefault="00FA71F4" w:rsidP="006F79DA">
      <w:pPr>
        <w:contextualSpacing/>
        <w:rPr>
          <w:rFonts w:ascii="Arial" w:hAnsi="Arial" w:cs="Arial"/>
          <w:b/>
          <w:color w:val="0D0D0D"/>
          <w:sz w:val="24"/>
          <w:szCs w:val="24"/>
          <w:lang w:val="es-ES"/>
        </w:rPr>
      </w:pPr>
    </w:p>
    <w:p w:rsidR="006F79DA" w:rsidRPr="006F79DA" w:rsidRDefault="006F79DA" w:rsidP="006F79DA">
      <w:pPr>
        <w:contextualSpacing/>
        <w:rPr>
          <w:rFonts w:ascii="Arial" w:hAnsi="Arial" w:cs="Arial"/>
          <w:b/>
          <w:color w:val="0D0D0D"/>
          <w:sz w:val="24"/>
          <w:szCs w:val="24"/>
          <w:lang w:val="es-ES"/>
        </w:rPr>
      </w:pPr>
    </w:p>
    <w:p w:rsidR="00FA71F4" w:rsidRPr="006F79DA" w:rsidRDefault="00FA71F4" w:rsidP="006F79DA">
      <w:pPr>
        <w:contextualSpacing/>
        <w:jc w:val="both"/>
        <w:rPr>
          <w:rFonts w:ascii="Arial" w:eastAsia="Times New Roman" w:hAnsi="Arial" w:cs="Arial"/>
          <w:sz w:val="24"/>
          <w:szCs w:val="24"/>
          <w:lang w:eastAsia="es-ES"/>
        </w:rPr>
      </w:pPr>
    </w:p>
    <w:p w:rsidR="00FA71F4" w:rsidRPr="006F79DA" w:rsidRDefault="00FA71F4" w:rsidP="006F79DA">
      <w:pPr>
        <w:contextualSpacing/>
        <w:jc w:val="both"/>
        <w:rPr>
          <w:rFonts w:ascii="Arial" w:eastAsia="Times New Roman" w:hAnsi="Arial" w:cs="Arial"/>
          <w:bCs/>
          <w:sz w:val="24"/>
          <w:szCs w:val="24"/>
          <w:lang w:eastAsia="es-ES"/>
        </w:rPr>
      </w:pPr>
      <w:r w:rsidRPr="006F79DA">
        <w:rPr>
          <w:rFonts w:ascii="Arial" w:eastAsia="Times New Roman" w:hAnsi="Arial" w:cs="Arial"/>
          <w:bCs/>
          <w:sz w:val="24"/>
          <w:szCs w:val="24"/>
          <w:lang w:eastAsia="es-ES"/>
        </w:rPr>
        <w:t xml:space="preserve">Procede la Sala a decidir la impugnación que presentó la sociedad actora contra la sentencia del 26 de noviembre de 2015, proferida por el </w:t>
      </w:r>
      <w:r w:rsidRPr="006F79DA">
        <w:rPr>
          <w:rFonts w:ascii="Arial" w:eastAsia="Times New Roman" w:hAnsi="Arial" w:cs="Arial"/>
          <w:sz w:val="24"/>
          <w:szCs w:val="24"/>
          <w:lang w:eastAsia="es-ES"/>
        </w:rPr>
        <w:t>Consejo de Estado Sección Cuarta,</w:t>
      </w:r>
      <w:r w:rsidRPr="006F79DA">
        <w:rPr>
          <w:rFonts w:ascii="Arial" w:eastAsia="Times New Roman" w:hAnsi="Arial" w:cs="Arial"/>
          <w:bCs/>
          <w:sz w:val="24"/>
          <w:szCs w:val="24"/>
          <w:lang w:eastAsia="es-ES"/>
        </w:rPr>
        <w:t xml:space="preserve"> que negó la solicitud de amparo constitucional. </w:t>
      </w:r>
    </w:p>
    <w:p w:rsidR="00FA71F4" w:rsidRDefault="00FA71F4" w:rsidP="00FA71F4">
      <w:pPr>
        <w:spacing w:line="276" w:lineRule="auto"/>
        <w:contextualSpacing/>
        <w:jc w:val="both"/>
        <w:rPr>
          <w:rFonts w:ascii="Arial" w:eastAsia="Times New Roman" w:hAnsi="Arial" w:cs="Arial"/>
          <w:sz w:val="24"/>
          <w:szCs w:val="24"/>
          <w:lang w:eastAsia="es-ES"/>
        </w:rPr>
      </w:pPr>
    </w:p>
    <w:p w:rsidR="005E0664" w:rsidRPr="006F79DA" w:rsidRDefault="005E066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ind w:left="142"/>
        <w:contextualSpacing/>
        <w:jc w:val="center"/>
        <w:rPr>
          <w:rFonts w:ascii="Arial" w:eastAsia="Times New Roman" w:hAnsi="Arial" w:cs="Arial"/>
          <w:b/>
          <w:sz w:val="24"/>
          <w:szCs w:val="24"/>
          <w:lang w:eastAsia="es-ES"/>
        </w:rPr>
      </w:pPr>
      <w:r w:rsidRPr="006F79DA">
        <w:rPr>
          <w:rFonts w:ascii="Arial" w:eastAsia="Times New Roman" w:hAnsi="Arial" w:cs="Arial"/>
          <w:b/>
          <w:sz w:val="24"/>
          <w:szCs w:val="24"/>
          <w:lang w:eastAsia="es-ES"/>
        </w:rPr>
        <w:t>ANTECEDENTES</w:t>
      </w:r>
    </w:p>
    <w:p w:rsidR="00FA71F4" w:rsidRPr="006F79DA" w:rsidRDefault="00FA71F4" w:rsidP="00FA71F4">
      <w:pPr>
        <w:spacing w:line="276" w:lineRule="auto"/>
        <w:contextualSpacing/>
        <w:jc w:val="both"/>
        <w:rPr>
          <w:rFonts w:ascii="Arial" w:eastAsia="Times New Roman" w:hAnsi="Arial" w:cs="Arial"/>
          <w:b/>
          <w:sz w:val="24"/>
          <w:szCs w:val="24"/>
          <w:lang w:eastAsia="es-ES"/>
        </w:rPr>
      </w:pPr>
    </w:p>
    <w:p w:rsidR="00FA71F4" w:rsidRPr="006F79DA" w:rsidRDefault="00FA71F4" w:rsidP="00FA71F4">
      <w:pPr>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1. La tutela</w:t>
      </w:r>
    </w:p>
    <w:p w:rsidR="00FA71F4" w:rsidRPr="006F79DA" w:rsidRDefault="00FA71F4" w:rsidP="00FA71F4">
      <w:pPr>
        <w:spacing w:line="276" w:lineRule="auto"/>
        <w:contextualSpacing/>
        <w:jc w:val="both"/>
        <w:rPr>
          <w:rFonts w:ascii="Arial" w:eastAsia="Times New Roman" w:hAnsi="Arial" w:cs="Arial"/>
          <w:b/>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lastRenderedPageBreak/>
        <w:t xml:space="preserve">La sociedad, CEETTV S.A., a través de apoderado, instauró acción de tutela contra el Consejo de Estado, Sección Tercera, Subsección B, con el fin de que fuera amparado su derecho fundamental al debido proceso. </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i/>
          <w:sz w:val="24"/>
          <w:szCs w:val="24"/>
          <w:lang w:eastAsia="es-ES"/>
        </w:rPr>
      </w:pPr>
      <w:r w:rsidRPr="006F79DA">
        <w:rPr>
          <w:rFonts w:ascii="Arial" w:eastAsia="Times New Roman" w:hAnsi="Arial" w:cs="Arial"/>
          <w:sz w:val="24"/>
          <w:szCs w:val="24"/>
          <w:lang w:eastAsia="es-ES"/>
        </w:rPr>
        <w:t xml:space="preserve">Considera que tal derecho se desconoció con ocasión de la sentencia del 29 de mayo de 2014, proferida por esta Corporación, por la cual se declaró </w:t>
      </w:r>
      <w:r w:rsidRPr="006F79DA">
        <w:rPr>
          <w:rFonts w:ascii="Arial" w:eastAsia="Times New Roman" w:hAnsi="Arial" w:cs="Arial"/>
          <w:i/>
          <w:sz w:val="24"/>
          <w:szCs w:val="24"/>
          <w:lang w:eastAsia="es-ES"/>
        </w:rPr>
        <w:t>“la nulidad absoluta de la Cláusula (sic) Octava (sic) del Otrosí n° 4 del contrato de concesión n° 167 de 1998 suscrito entre las partes, en cuanto contiene estipulaciones contractuales relativas a i) la negociación de un precio con criterios ajenos a los establecidos por la Ley 182 de 1995 para la definición de la tarifa de la concesión y</w:t>
      </w:r>
      <w:r w:rsidRPr="006F79DA">
        <w:rPr>
          <w:rFonts w:ascii="Arial" w:eastAsia="Times New Roman" w:hAnsi="Arial" w:cs="Arial"/>
          <w:sz w:val="24"/>
          <w:szCs w:val="24"/>
          <w:lang w:eastAsia="es-ES"/>
        </w:rPr>
        <w:t xml:space="preserve"> </w:t>
      </w:r>
      <w:r w:rsidRPr="006F79DA">
        <w:rPr>
          <w:rFonts w:ascii="Arial" w:eastAsia="Times New Roman" w:hAnsi="Arial" w:cs="Arial"/>
          <w:i/>
          <w:sz w:val="24"/>
          <w:szCs w:val="24"/>
          <w:lang w:eastAsia="es-ES"/>
        </w:rPr>
        <w:t>ii) la habilitación para que los árbitros conozcan de las controversias originadas en el ejercicio de la facultad de intervención del Estado mediante la fijación de la tarifa y en el pago de una obligación impuesta por una ley en la que envuelto el orden público, que contraviene manifiestamente los artículos 75,76,116 y 365 de la Constitución Política; 4º, 5º, 29, 35,37,46 y 48 de la Ley 182 de 1995 y 1º del Decreto 2279 de 1989”</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Como consecuencia de lo anterior, anuló </w:t>
      </w:r>
      <w:r w:rsidRPr="006F79DA">
        <w:rPr>
          <w:rFonts w:ascii="Arial" w:eastAsia="Times New Roman" w:hAnsi="Arial" w:cs="Arial"/>
          <w:i/>
          <w:sz w:val="24"/>
          <w:szCs w:val="24"/>
          <w:lang w:eastAsia="es-ES"/>
        </w:rPr>
        <w:t>“…el proceso arbitral y el laudo del 3 de abril de 2013, adelantado y proferido en Tribunal de Arbitramento convocado por la Comisión Nacional de Televisión para dirimir las controversias surgidas con la CEETTV S.A., con ocasión de la Cláusula Octava del Otrosí n° 4 del contrato de concesión n° 167 de 1998, suscrito entre ellas”.</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La actora, en concreto, solicitó que:</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ind w:left="705" w:right="618"/>
        <w:contextualSpacing/>
        <w:jc w:val="both"/>
        <w:rPr>
          <w:rFonts w:ascii="Arial" w:eastAsia="Times New Roman" w:hAnsi="Arial" w:cs="Arial"/>
          <w:i/>
          <w:sz w:val="24"/>
          <w:szCs w:val="24"/>
          <w:lang w:eastAsia="es-ES"/>
        </w:rPr>
      </w:pPr>
      <w:r w:rsidRPr="006F79DA">
        <w:rPr>
          <w:rFonts w:ascii="Arial" w:eastAsia="Times New Roman" w:hAnsi="Arial" w:cs="Arial"/>
          <w:i/>
          <w:sz w:val="24"/>
          <w:szCs w:val="24"/>
          <w:lang w:eastAsia="es-ES"/>
        </w:rPr>
        <w:t>“1. Que se ampare el derecho constitucional fundamental al debido proceso vulnerado por la Subsección B de la Sección Tercera del Consejo de Estado al proferir la sentencia de 29 de mayo de 2014 (notificada el 12 de agosto de 2014), mediante la cual la misma decidió anular la cláusula 8 del Otrosí No. 4 al Contrato de Concesión No. 167 de 1998, el proceso arbitral promovido por la Comisión Nacional de Televisión, en adelante CNTV, y el laudo arbitral de 3 de abril de 2013.</w:t>
      </w:r>
    </w:p>
    <w:p w:rsidR="00FA71F4" w:rsidRPr="006F79DA" w:rsidRDefault="00FA71F4" w:rsidP="00FA71F4">
      <w:pPr>
        <w:spacing w:line="276" w:lineRule="auto"/>
        <w:ind w:left="705" w:right="618"/>
        <w:contextualSpacing/>
        <w:jc w:val="both"/>
        <w:rPr>
          <w:rFonts w:ascii="Arial" w:eastAsia="Times New Roman" w:hAnsi="Arial" w:cs="Arial"/>
          <w:i/>
          <w:sz w:val="24"/>
          <w:szCs w:val="24"/>
          <w:lang w:eastAsia="es-ES"/>
        </w:rPr>
      </w:pPr>
    </w:p>
    <w:p w:rsidR="00FA71F4" w:rsidRPr="006F79DA" w:rsidRDefault="00FA71F4" w:rsidP="00FA71F4">
      <w:pPr>
        <w:spacing w:line="276" w:lineRule="auto"/>
        <w:ind w:left="705" w:right="618"/>
        <w:contextualSpacing/>
        <w:jc w:val="both"/>
        <w:rPr>
          <w:rFonts w:ascii="Arial" w:eastAsia="Times New Roman" w:hAnsi="Arial" w:cs="Arial"/>
          <w:i/>
          <w:sz w:val="24"/>
          <w:szCs w:val="24"/>
          <w:lang w:eastAsia="es-ES"/>
        </w:rPr>
      </w:pPr>
      <w:r w:rsidRPr="006F79DA">
        <w:rPr>
          <w:rFonts w:ascii="Arial" w:eastAsia="Times New Roman" w:hAnsi="Arial" w:cs="Arial"/>
          <w:i/>
          <w:sz w:val="24"/>
          <w:szCs w:val="24"/>
          <w:lang w:eastAsia="es-ES"/>
        </w:rPr>
        <w:t xml:space="preserve">2. Que se declare que la vulneración del derecho constitucional fundamental al debido proceso cuyo amparo se solicita, se produjo por parte de la Subsección B de la Sección Tercera del Consejo de Estado en la sentencia de 29 de mayo de 2014. </w:t>
      </w:r>
    </w:p>
    <w:p w:rsidR="00FA71F4" w:rsidRPr="006F79DA" w:rsidRDefault="00FA71F4" w:rsidP="00FA71F4">
      <w:pPr>
        <w:spacing w:line="276" w:lineRule="auto"/>
        <w:ind w:left="705" w:right="618"/>
        <w:contextualSpacing/>
        <w:jc w:val="both"/>
        <w:rPr>
          <w:rFonts w:ascii="Arial" w:eastAsia="Times New Roman" w:hAnsi="Arial" w:cs="Arial"/>
          <w:i/>
          <w:sz w:val="24"/>
          <w:szCs w:val="24"/>
          <w:lang w:eastAsia="es-ES"/>
        </w:rPr>
      </w:pPr>
    </w:p>
    <w:p w:rsidR="00FA71F4" w:rsidRPr="006F79DA" w:rsidRDefault="00FA71F4" w:rsidP="00FA71F4">
      <w:pPr>
        <w:spacing w:line="276" w:lineRule="auto"/>
        <w:ind w:left="705" w:right="618"/>
        <w:contextualSpacing/>
        <w:jc w:val="both"/>
        <w:rPr>
          <w:rFonts w:ascii="Arial" w:eastAsia="Times New Roman" w:hAnsi="Arial" w:cs="Arial"/>
          <w:i/>
          <w:sz w:val="24"/>
          <w:szCs w:val="24"/>
          <w:lang w:eastAsia="es-ES"/>
        </w:rPr>
      </w:pPr>
      <w:r w:rsidRPr="006F79DA">
        <w:rPr>
          <w:rFonts w:ascii="Arial" w:eastAsia="Times New Roman" w:hAnsi="Arial" w:cs="Arial"/>
          <w:i/>
          <w:sz w:val="24"/>
          <w:szCs w:val="24"/>
          <w:lang w:eastAsia="es-ES"/>
        </w:rPr>
        <w:t>(…)</w:t>
      </w:r>
    </w:p>
    <w:p w:rsidR="00FA71F4" w:rsidRPr="006F79DA" w:rsidRDefault="00FA71F4" w:rsidP="00FA71F4">
      <w:pPr>
        <w:spacing w:line="276" w:lineRule="auto"/>
        <w:ind w:left="705" w:right="618"/>
        <w:contextualSpacing/>
        <w:jc w:val="both"/>
        <w:rPr>
          <w:rFonts w:ascii="Arial" w:eastAsia="Times New Roman" w:hAnsi="Arial" w:cs="Arial"/>
          <w:i/>
          <w:sz w:val="24"/>
          <w:szCs w:val="24"/>
          <w:lang w:eastAsia="es-ES"/>
        </w:rPr>
      </w:pPr>
    </w:p>
    <w:p w:rsidR="00FA71F4" w:rsidRPr="006F79DA" w:rsidRDefault="00FA71F4" w:rsidP="00FA71F4">
      <w:pPr>
        <w:spacing w:line="276" w:lineRule="auto"/>
        <w:ind w:left="705" w:right="618"/>
        <w:contextualSpacing/>
        <w:jc w:val="both"/>
        <w:rPr>
          <w:rFonts w:ascii="Arial" w:hAnsi="Arial" w:cs="Arial"/>
          <w:i/>
          <w:color w:val="0D0D0D"/>
          <w:sz w:val="24"/>
          <w:szCs w:val="24"/>
        </w:rPr>
      </w:pPr>
      <w:r w:rsidRPr="006F79DA">
        <w:rPr>
          <w:rFonts w:ascii="Arial" w:eastAsia="Times New Roman" w:hAnsi="Arial" w:cs="Arial"/>
          <w:i/>
          <w:sz w:val="24"/>
          <w:szCs w:val="24"/>
          <w:lang w:eastAsia="es-ES"/>
        </w:rPr>
        <w:t>3. Que para proteger el derecho fundamental al debido proceso, se ordene dejar sin valor y efecto la sentencia de 29 de mayo de 2014, proferida por la Sección Tercera – Subsección B del Consejo de Estado”.</w:t>
      </w:r>
    </w:p>
    <w:p w:rsidR="00FA71F4" w:rsidRPr="006F79DA" w:rsidRDefault="00FA71F4" w:rsidP="00FA71F4">
      <w:pPr>
        <w:spacing w:line="276" w:lineRule="auto"/>
        <w:ind w:left="705" w:right="618"/>
        <w:contextualSpacing/>
        <w:jc w:val="both"/>
        <w:rPr>
          <w:rFonts w:ascii="Arial" w:eastAsia="Times New Roman" w:hAnsi="Arial" w:cs="Arial"/>
          <w:i/>
          <w:sz w:val="24"/>
          <w:szCs w:val="24"/>
          <w:lang w:eastAsia="es-ES"/>
        </w:rPr>
      </w:pPr>
    </w:p>
    <w:p w:rsidR="00FA71F4" w:rsidRPr="006F79DA" w:rsidRDefault="00FA71F4" w:rsidP="00FA71F4">
      <w:pPr>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 xml:space="preserve">2. Hechos </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lastRenderedPageBreak/>
        <w:t>La petición de amparo se fundamenta en los siguientes supuestos fácticos, que se sintetizan así:</w:t>
      </w: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Señaló que </w:t>
      </w:r>
      <w:bookmarkStart w:id="1" w:name="_Hlk30082313"/>
      <w:r w:rsidRPr="006F79DA">
        <w:rPr>
          <w:rFonts w:ascii="Arial" w:eastAsia="Times New Roman" w:hAnsi="Arial" w:cs="Arial"/>
          <w:sz w:val="24"/>
          <w:szCs w:val="24"/>
          <w:lang w:eastAsia="es-ES"/>
        </w:rPr>
        <w:t xml:space="preserve">celebró con la Comisión Nacional de Televisión  (en adelante CNTV), el contrato de concesión número 167 del 19 de julio de 1998 por un término de 10 años, cuyo objeto era </w:t>
      </w:r>
      <w:r w:rsidRPr="006F79DA">
        <w:rPr>
          <w:rFonts w:ascii="Arial" w:eastAsia="Times New Roman" w:hAnsi="Arial" w:cs="Arial"/>
          <w:i/>
          <w:sz w:val="24"/>
          <w:szCs w:val="24"/>
          <w:lang w:eastAsia="es-ES"/>
        </w:rPr>
        <w:t>“…la operación y explotación de una (1) Estación Local con Ánimo de lucro en Santa Fe de Bogotá, D.C., de conformidad con el pliego de Condiciones de la Licitación No. 002 de 1998 y la propuesta presentada por EL CONCESIONARIO”.</w:t>
      </w:r>
      <w:r w:rsidRPr="006F79DA">
        <w:rPr>
          <w:rFonts w:ascii="Arial" w:eastAsia="Times New Roman" w:hAnsi="Arial" w:cs="Arial"/>
          <w:sz w:val="24"/>
          <w:szCs w:val="24"/>
          <w:lang w:eastAsia="es-ES"/>
        </w:rPr>
        <w:t xml:space="preserve">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i/>
          <w:sz w:val="24"/>
          <w:szCs w:val="24"/>
          <w:lang w:eastAsia="es-ES"/>
        </w:rPr>
      </w:pPr>
      <w:r w:rsidRPr="006F79DA">
        <w:rPr>
          <w:rFonts w:ascii="Arial" w:eastAsia="Times New Roman" w:hAnsi="Arial" w:cs="Arial"/>
          <w:sz w:val="24"/>
          <w:szCs w:val="24"/>
          <w:lang w:eastAsia="es-ES"/>
        </w:rPr>
        <w:t xml:space="preserve">Recordó que durante el desarrollo del contrato se presentaron algunas controversias, por lo cual acudió en dos oportunidades a los correspondientes Tribunales de Arbitramento, los cuales con decisiones del 19 de agosto de 2003 y 13 de febrero de 2006, reconocieron que </w:t>
      </w:r>
      <w:r w:rsidRPr="006F79DA">
        <w:rPr>
          <w:rFonts w:ascii="Arial" w:eastAsia="Times New Roman" w:hAnsi="Arial" w:cs="Arial"/>
          <w:i/>
          <w:sz w:val="24"/>
          <w:szCs w:val="24"/>
          <w:lang w:eastAsia="es-ES"/>
        </w:rPr>
        <w:t>“…el Contrato de Concesión No. 167 de 1998 era conmutativo, [razón por la cual] se restableció el equilibrio económico y financiero del mismo disminuyendo el valor de la concesión”.</w:t>
      </w:r>
    </w:p>
    <w:bookmarkEnd w:id="1"/>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Indicó que el 18 de marzo de 2009 suscribió con la CNTV el otrosí número 4 al contrato de concesión No. 167. Además, se prorrogó el plazo de éste por 10 años, con un valor inicial de </w:t>
      </w:r>
      <w:r w:rsidRPr="006F79DA">
        <w:rPr>
          <w:rFonts w:ascii="Arial" w:eastAsia="Times New Roman" w:hAnsi="Arial" w:cs="Arial"/>
          <w:i/>
          <w:sz w:val="24"/>
          <w:szCs w:val="24"/>
          <w:lang w:eastAsia="es-ES"/>
        </w:rPr>
        <w:t>“…OCHO MIL OCHOCIENTOS TREINTA Y OCHO MILLONES DE PESOS ($8.838.000.000), (En adelante “Precio Base”) más la cifra positiva o negativa que resulte de aplicar el Precio Base un ajuste (en adelante “Valor de Ajuste”), en función del comportamiento real observado de la inversión neta en publicidad en televisión abierta, nacional, regional y local (INPTV), durante los años 2009 y 2010”.</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i/>
          <w:sz w:val="24"/>
          <w:szCs w:val="24"/>
          <w:lang w:eastAsia="es-ES"/>
        </w:rPr>
      </w:pPr>
      <w:r w:rsidRPr="006F79DA">
        <w:rPr>
          <w:rFonts w:ascii="Arial" w:eastAsia="Times New Roman" w:hAnsi="Arial" w:cs="Arial"/>
          <w:sz w:val="24"/>
          <w:szCs w:val="24"/>
          <w:lang w:eastAsia="es-ES"/>
        </w:rPr>
        <w:t>Agregó que “…</w:t>
      </w:r>
      <w:r w:rsidRPr="006F79DA">
        <w:rPr>
          <w:rFonts w:ascii="Arial" w:eastAsia="Times New Roman" w:hAnsi="Arial" w:cs="Arial"/>
          <w:i/>
          <w:sz w:val="24"/>
          <w:szCs w:val="24"/>
          <w:lang w:eastAsia="es-ES"/>
        </w:rPr>
        <w:t xml:space="preserve">para tal efecto la CNTV aplicará el valor de la INPTV que determine el auditor que ésta designe para tal propósito tratándose de las concesiones nacionales de televisión abierta. El precio ajustado se denominará “PRECIO FINAL”. </w:t>
      </w:r>
    </w:p>
    <w:p w:rsidR="00FA71F4" w:rsidRPr="006F79DA" w:rsidRDefault="00FA71F4" w:rsidP="00FA71F4">
      <w:pPr>
        <w:spacing w:line="276" w:lineRule="auto"/>
        <w:jc w:val="both"/>
        <w:rPr>
          <w:rFonts w:ascii="Arial" w:eastAsia="Times New Roman" w:hAnsi="Arial" w:cs="Arial"/>
          <w:i/>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Sostuvo que antes de firmar el referido otrosí, se había efectuado la prórroga de los contratos de concesión suscritos con RCN y Caracol, en los cuales, a su juicio, se incluyó como valor una clausula similar a la que se suscribió en su caso particular.</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Señaló que la CNTV adelantó dos procesos licitatorios para la adjudicación de un tercer canal de televisión nacional abierta, pero ninguno de éstos culminó. El primero fue revocado en razón al control que ejerció el ministerio público al respecto y el segundo se suspendió por decisión del Consejo de Estado en relación  a algunos apartes consignados en el pliego de condiciones que tenían que ver con la adjudicación.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i/>
          <w:sz w:val="24"/>
          <w:szCs w:val="24"/>
          <w:lang w:eastAsia="es-ES"/>
        </w:rPr>
      </w:pPr>
      <w:r w:rsidRPr="006F79DA">
        <w:rPr>
          <w:rFonts w:ascii="Arial" w:eastAsia="Times New Roman" w:hAnsi="Arial" w:cs="Arial"/>
          <w:sz w:val="24"/>
          <w:szCs w:val="24"/>
          <w:lang w:eastAsia="es-ES"/>
        </w:rPr>
        <w:t xml:space="preserve">Manifestó que mediante Resolución número 2011-380-00225-4 del 11 de marzo de 2011, la CNTV resolvió </w:t>
      </w:r>
      <w:r w:rsidRPr="006F79DA">
        <w:rPr>
          <w:rFonts w:ascii="Arial" w:eastAsia="Times New Roman" w:hAnsi="Arial" w:cs="Arial"/>
          <w:i/>
          <w:sz w:val="24"/>
          <w:szCs w:val="24"/>
          <w:lang w:eastAsia="es-ES"/>
        </w:rPr>
        <w:t xml:space="preserve">“…ordenar el cobro de la suma de $ 1.250.046.011 a CEETTV de acuerdo con lo establecido en la cláusula Octava del Otrosí No. 4 al Contrato de Concesión No. 167 de 1998 y la parte motiva de la presente Resolución, sin que ello implique aceptación por parte de la Comisión Nacional de Televisión del valor final de la INPTV determinado por el AUDITOR para el periodo 1º de enero de 2009 a 31 de diciembre de 2010 y consecuencialmente del “precio Final” de la prórroga de la concesión. Lo anterior sin perjuicio de la aplicación por parte de la </w:t>
      </w:r>
      <w:r w:rsidRPr="006F79DA">
        <w:rPr>
          <w:rFonts w:ascii="Arial" w:eastAsia="Times New Roman" w:hAnsi="Arial" w:cs="Arial"/>
          <w:i/>
          <w:sz w:val="24"/>
          <w:szCs w:val="24"/>
          <w:lang w:eastAsia="es-ES"/>
        </w:rPr>
        <w:lastRenderedPageBreak/>
        <w:t>CNTV de la manifestación de las partes en relación con la cláusula octava” que establece que teniendo en cuenta que el valor de la presente prórroga ha sido determinado con base en el resultado de la aplicación de un modelo de valoración sobre unos supuestos de mercado, las partes se reservan el derecho de reclamar cuando estimen que se rompa el equilibrio económico del contrato”</w:t>
      </w:r>
      <w:r w:rsidRPr="006F79DA">
        <w:rPr>
          <w:rFonts w:ascii="Arial" w:eastAsia="Times New Roman" w:hAnsi="Arial" w:cs="Arial"/>
          <w:sz w:val="24"/>
          <w:szCs w:val="24"/>
          <w:lang w:eastAsia="es-ES"/>
        </w:rPr>
        <w:t xml:space="preserve">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Ante tal situación, la CNTV (en ejercicio de la reserva de requerir el equilibrio económico del contrato) interpuso demanda ante la justicita arbitral contra CEETTV, en la cual solicitó el reconocimiento de un mayor valor por concepto de ingresos de publicidad televisiva, (en adelante INPTV), ya que el valor de ajuste se modificó por situaciones imprevistas y ajenas a la voluntad de la demandante. En concreto, a raíz de la no entrada en operación del tercer canal de televisión, la indebida aplicación de la metodología de cálculo de la INPTV por parte del auditor y por la distorsión de los valores de venta por parte de Caracol y RCN.</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La CEETTV contestó dicha demanda arbitral y, entre otras excepciones, propuso las siguientes: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ind w:left="567" w:right="448"/>
        <w:jc w:val="both"/>
        <w:rPr>
          <w:rFonts w:ascii="Arial" w:eastAsia="Times New Roman" w:hAnsi="Arial" w:cs="Arial"/>
          <w:sz w:val="24"/>
          <w:szCs w:val="24"/>
          <w:lang w:eastAsia="es-ES"/>
        </w:rPr>
      </w:pPr>
      <w:r w:rsidRPr="006F79DA">
        <w:rPr>
          <w:rFonts w:ascii="Arial" w:eastAsia="Times New Roman" w:hAnsi="Arial" w:cs="Arial"/>
          <w:i/>
          <w:sz w:val="24"/>
          <w:szCs w:val="24"/>
          <w:lang w:eastAsia="es-ES"/>
        </w:rPr>
        <w:t>“(…) 3. Inaplicabilidad del artículo 27 de la Ley 80 de 1993 en razón de la inexistencia de los requisitos de no imputabilidad e imprevisibilidad requerido para el restablecimiento del equilibrio financiero del contrato; 4. Cumplimiento por parte de CEETTV de lo pactado en la cláusula octava del Otrosí No. 4 al Contrato de Concesión No. 167 de 1998, en concordancia con la cláusula séptima de los contratos de RCN y CARACOL”</w:t>
      </w:r>
      <w:r w:rsidRPr="006F79DA">
        <w:rPr>
          <w:rFonts w:ascii="Arial" w:eastAsia="Times New Roman" w:hAnsi="Arial" w:cs="Arial"/>
          <w:sz w:val="24"/>
          <w:szCs w:val="24"/>
          <w:lang w:eastAsia="es-ES"/>
        </w:rPr>
        <w:t xml:space="preserve"> </w:t>
      </w:r>
    </w:p>
    <w:p w:rsidR="00FA71F4" w:rsidRPr="006F79DA" w:rsidRDefault="00FA71F4" w:rsidP="00FA71F4">
      <w:pPr>
        <w:spacing w:line="276" w:lineRule="auto"/>
        <w:ind w:left="567" w:right="448"/>
        <w:jc w:val="both"/>
        <w:rPr>
          <w:rFonts w:ascii="Arial" w:eastAsia="Times New Roman" w:hAnsi="Arial" w:cs="Arial"/>
          <w:sz w:val="24"/>
          <w:szCs w:val="24"/>
          <w:lang w:eastAsia="es-ES"/>
        </w:rPr>
      </w:pPr>
    </w:p>
    <w:p w:rsidR="00FA71F4" w:rsidRPr="006F79DA" w:rsidRDefault="00FA71F4" w:rsidP="00FA71F4">
      <w:pPr>
        <w:spacing w:line="276" w:lineRule="auto"/>
        <w:ind w:left="567" w:right="448"/>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 </w:t>
      </w:r>
      <w:r w:rsidRPr="006F79DA">
        <w:rPr>
          <w:rFonts w:ascii="Arial" w:eastAsia="Times New Roman" w:hAnsi="Arial" w:cs="Arial"/>
          <w:i/>
          <w:sz w:val="24"/>
          <w:szCs w:val="24"/>
          <w:lang w:eastAsia="es-ES"/>
        </w:rPr>
        <w:t>(..) 7. Riesgos asumidos por la CNTV al convenir lo pactado en la cláusula séptima de los contratos de prórroga suscritos con los canales nacionales y de las decisiones que la misma adoptó al impedir que CEETTV tuviera participación en la aplicación de lo pactado en dicha cláusula y en las actuaciones desplegadas por el auditor y los canales al amparo de las mismas y 8. Hechos y actuaciones de terceros ajenas y extrañas a CETTV, sino por CNTV en los contratos de concesión de los canales nacionales”.</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Arguyó que el Tribunal de Arbitramento conformado por los doctores Marcela Monroy, Juan Pablo Mejía y Jorge Cubides Camacho, con laudo del 3 de abril de 2013</w:t>
      </w:r>
      <w:r w:rsidRPr="006F79DA">
        <w:rPr>
          <w:rStyle w:val="Refdenotaalpie"/>
          <w:rFonts w:ascii="Arial" w:eastAsia="Times New Roman" w:hAnsi="Arial" w:cs="Arial"/>
          <w:sz w:val="24"/>
          <w:szCs w:val="24"/>
          <w:lang w:eastAsia="es-ES"/>
        </w:rPr>
        <w:footnoteReference w:id="1"/>
      </w:r>
      <w:r w:rsidRPr="006F79DA">
        <w:rPr>
          <w:rFonts w:ascii="Arial" w:eastAsia="Times New Roman" w:hAnsi="Arial" w:cs="Arial"/>
          <w:sz w:val="24"/>
          <w:szCs w:val="24"/>
          <w:lang w:eastAsia="es-ES"/>
        </w:rPr>
        <w:t xml:space="preserve"> únicamente concedió la pretensión relativa a que se declare que el valor de </w:t>
      </w:r>
      <w:r w:rsidRPr="006F79DA">
        <w:rPr>
          <w:rFonts w:ascii="Arial" w:eastAsia="Times New Roman" w:hAnsi="Arial" w:cs="Arial"/>
          <w:sz w:val="24"/>
          <w:szCs w:val="24"/>
          <w:lang w:eastAsia="es-ES"/>
        </w:rPr>
        <w:lastRenderedPageBreak/>
        <w:t xml:space="preserve">la prórroga de la concesión está regulado por la cláusula 8ª del texto integrado del Contrato de Concesión cuyo precio base y reglas fijadas para la determinación del valor de ajuste (VDA) - así como el precio final-, obligan y vinculan a las partes de acuerdo con el pacto contractual.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Asimismo, denegó las demás pretensiones (que estaban encaminadas al reconocimiento de la ruptura del equilibrio de la ecuación financiera y que se declare que el auditor aplicó una metodología errónea respecto de la INPTV) y declaró probadas las referidas excepciones que propuso la actora.</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Puso de presente que la CNTV, con fundamento en las causales  6ª y 8ª del Decreto 1818 de 1982, formuló recurso de anulación de laudo arbitral, en el cual señaló que </w:t>
      </w:r>
      <w:r w:rsidRPr="006F79DA">
        <w:rPr>
          <w:rFonts w:ascii="Arial" w:eastAsia="Times New Roman" w:hAnsi="Arial" w:cs="Arial"/>
          <w:i/>
          <w:sz w:val="24"/>
          <w:szCs w:val="24"/>
          <w:lang w:eastAsia="es-ES"/>
        </w:rPr>
        <w:t xml:space="preserve">“…la decisión arbitral no se soportó en el material probatorio recaudado en el proceso, de tal manera que se fundó en la equidad de los árbitros y no en derecho como correspondía”. </w:t>
      </w:r>
      <w:r w:rsidRPr="006F79DA">
        <w:rPr>
          <w:rFonts w:ascii="Arial" w:eastAsia="Times New Roman" w:hAnsi="Arial" w:cs="Arial"/>
          <w:sz w:val="24"/>
          <w:szCs w:val="24"/>
          <w:lang w:eastAsia="es-ES"/>
        </w:rPr>
        <w:t xml:space="preserve">Además, adujo que </w:t>
      </w:r>
      <w:r w:rsidRPr="006F79DA">
        <w:rPr>
          <w:rFonts w:ascii="Arial" w:eastAsia="Times New Roman" w:hAnsi="Arial" w:cs="Arial"/>
          <w:i/>
          <w:sz w:val="24"/>
          <w:szCs w:val="24"/>
          <w:lang w:eastAsia="es-ES"/>
        </w:rPr>
        <w:t>“el Tribunal no respetó el principio de congruencia, pues se desbordó el alcance del litigio planteado por las partes, tanto en la demanda arbitral como en las excepciones propuestas en la contestación de la demanda”.</w:t>
      </w: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 </w:t>
      </w: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Refirió que la Sección Tercera del Consejo de Estado, en providencia del 29 de mayo de 2014, declaró la nulidad absoluta de la cláusula octava del otrosí número 4 del contrato de concesión No. 167 de 1998 suscrito por las partes</w:t>
      </w:r>
      <w:r w:rsidRPr="006F79DA">
        <w:rPr>
          <w:rStyle w:val="Refdenotaalpie"/>
          <w:rFonts w:ascii="Arial" w:eastAsia="Times New Roman" w:hAnsi="Arial" w:cs="Arial"/>
          <w:sz w:val="24"/>
          <w:szCs w:val="24"/>
          <w:lang w:eastAsia="es-ES"/>
        </w:rPr>
        <w:footnoteReference w:id="2"/>
      </w:r>
      <w:r w:rsidRPr="006F79DA">
        <w:rPr>
          <w:rFonts w:ascii="Arial" w:eastAsia="Times New Roman" w:hAnsi="Arial" w:cs="Arial"/>
          <w:sz w:val="24"/>
          <w:szCs w:val="24"/>
          <w:lang w:eastAsia="es-ES"/>
        </w:rPr>
        <w:t xml:space="preserve">. En consecuencia, se anuló el proceso arbitral y el laudo del 3 de abril de 2013 proferido por el Tribunal de Arbitramento, convocado por la CNTV para dirimir las controversias surgidas con la CEETTV, con ocasión de la cláusula mencionada.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3. Sustento de la vulneración</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La sociedad actora manifestó que la autoridad judicial accionada vulneró su derecho fundamental al debido proceso, por las siguientes circunstancias:</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i) Indicó que incurrió en defecto orgánico ya que su competencia como juez del recurso de anulación se circunscribe a las causales establecidas taxativamente en la ley, de las cuales no se puede evidenciar que tuviera atribución alguna para anular la causal 8ª del otrosí No. 4 del contrato de concesión número 167 de 1998.</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i/>
          <w:sz w:val="24"/>
          <w:szCs w:val="24"/>
          <w:lang w:eastAsia="es-ES"/>
        </w:rPr>
      </w:pPr>
      <w:r w:rsidRPr="006F79DA">
        <w:rPr>
          <w:rFonts w:ascii="Arial" w:eastAsia="Times New Roman" w:hAnsi="Arial" w:cs="Arial"/>
          <w:sz w:val="24"/>
          <w:szCs w:val="24"/>
          <w:lang w:eastAsia="es-ES"/>
        </w:rPr>
        <w:lastRenderedPageBreak/>
        <w:t>Agregó que el Consejo de Estado, Sección Tercera</w:t>
      </w:r>
      <w:r w:rsidRPr="006F79DA">
        <w:rPr>
          <w:rStyle w:val="Refdenotaalpie"/>
          <w:rFonts w:ascii="Arial" w:eastAsia="Times New Roman" w:hAnsi="Arial" w:cs="Arial"/>
          <w:sz w:val="24"/>
          <w:szCs w:val="24"/>
          <w:lang w:eastAsia="es-ES"/>
        </w:rPr>
        <w:footnoteReference w:id="3"/>
      </w:r>
      <w:r w:rsidRPr="006F79DA">
        <w:rPr>
          <w:rFonts w:ascii="Arial" w:eastAsia="Times New Roman" w:hAnsi="Arial" w:cs="Arial"/>
          <w:sz w:val="24"/>
          <w:szCs w:val="24"/>
          <w:lang w:eastAsia="es-ES"/>
        </w:rPr>
        <w:t>, desconoció su propio precedente y el de la Corte Constitucional</w:t>
      </w:r>
      <w:r w:rsidRPr="006F79DA">
        <w:rPr>
          <w:rStyle w:val="Refdenotaalpie"/>
          <w:rFonts w:ascii="Arial" w:eastAsia="Times New Roman" w:hAnsi="Arial" w:cs="Arial"/>
          <w:sz w:val="24"/>
          <w:szCs w:val="24"/>
          <w:lang w:eastAsia="es-ES"/>
        </w:rPr>
        <w:footnoteReference w:id="4"/>
      </w:r>
      <w:r w:rsidRPr="006F79DA">
        <w:rPr>
          <w:rFonts w:ascii="Arial" w:eastAsia="Times New Roman" w:hAnsi="Arial" w:cs="Arial"/>
          <w:sz w:val="24"/>
          <w:szCs w:val="24"/>
          <w:lang w:eastAsia="es-ES"/>
        </w:rPr>
        <w:t xml:space="preserve">, respecto a que </w:t>
      </w:r>
      <w:r w:rsidRPr="006F79DA">
        <w:rPr>
          <w:rFonts w:ascii="Arial" w:eastAsia="Times New Roman" w:hAnsi="Arial" w:cs="Arial"/>
          <w:i/>
          <w:sz w:val="24"/>
          <w:szCs w:val="24"/>
          <w:lang w:eastAsia="es-ES"/>
        </w:rPr>
        <w:t xml:space="preserve">“…el juez de anulación sólo tiene competencia para </w:t>
      </w:r>
      <w:r w:rsidRPr="006F79DA">
        <w:rPr>
          <w:rFonts w:ascii="Arial" w:eastAsia="Times New Roman" w:hAnsi="Arial" w:cs="Arial"/>
          <w:i/>
          <w:sz w:val="24"/>
          <w:szCs w:val="24"/>
          <w:u w:val="single"/>
          <w:lang w:eastAsia="es-ES"/>
        </w:rPr>
        <w:t>anular de oficio</w:t>
      </w:r>
      <w:r w:rsidRPr="006F79DA">
        <w:rPr>
          <w:rFonts w:ascii="Arial" w:eastAsia="Times New Roman" w:hAnsi="Arial" w:cs="Arial"/>
          <w:i/>
          <w:sz w:val="24"/>
          <w:szCs w:val="24"/>
          <w:lang w:eastAsia="es-ES"/>
        </w:rPr>
        <w:t xml:space="preserve"> el pacto arbitral (en este caso la cláusula cuadragésima quinta del Otrosí No. 4) y no las demás cláusulas del contrato (en este caso la citada cláusula 8)”.</w:t>
      </w:r>
    </w:p>
    <w:p w:rsidR="00FA71F4" w:rsidRPr="006F79DA" w:rsidRDefault="00FA71F4" w:rsidP="00FA71F4">
      <w:pPr>
        <w:spacing w:line="276" w:lineRule="auto"/>
        <w:jc w:val="both"/>
        <w:rPr>
          <w:rFonts w:ascii="Arial" w:eastAsia="Times New Roman" w:hAnsi="Arial" w:cs="Arial"/>
          <w:i/>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Afirmó que el recurso de anulación de laudos arbitrales tiene un carácter restrictivo, extraordinario y excepcional, pues a través de éste solo se pueden discutir errores de procedimiento y no sustanciales o de fondo.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ii) Sostuvo que, aunado a lo anterior, incurrió en defecto sustantivo, toda vez que el Consejo de Estado erróneamente concluyó que en el laudo arbitral de 3 de abril de 2013 no había habido pronunciamiento sobre la validez de la cláusula 8ª del Otrosí No. 4, cuando, en realidad, en dicha decisión sí existió un pronunciamiento expreso sobre la validez y eficacia de la misma.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De esta manera, la decisión atacada desconoció el análisis que sobre la referida clausula efectuó el Tribunal de Arbitramento y, apartándose de dicho estudio, esgrimió su propia postura sobre el particular, lo cual, a todas luces, desconoce la restricción que rige todo recurso de anulación en el sentido de que no es posible que el juez que lo tramite se pronuncie sobre temas de fondo o </w:t>
      </w:r>
      <w:r w:rsidRPr="006F79DA">
        <w:rPr>
          <w:rFonts w:ascii="Arial" w:eastAsia="Times New Roman" w:hAnsi="Arial" w:cs="Arial"/>
          <w:i/>
          <w:sz w:val="24"/>
          <w:szCs w:val="24"/>
          <w:lang w:eastAsia="es-ES"/>
        </w:rPr>
        <w:t>in iudicando</w:t>
      </w:r>
      <w:r w:rsidRPr="006F79DA">
        <w:rPr>
          <w:rFonts w:ascii="Arial" w:eastAsia="Times New Roman" w:hAnsi="Arial" w:cs="Arial"/>
          <w:sz w:val="24"/>
          <w:szCs w:val="24"/>
          <w:lang w:eastAsia="es-ES"/>
        </w:rPr>
        <w:t xml:space="preserve">, que fue efectivamente lo que sucedió en el </w:t>
      </w:r>
      <w:r w:rsidRPr="006F79DA">
        <w:rPr>
          <w:rFonts w:ascii="Arial" w:eastAsia="Times New Roman" w:hAnsi="Arial" w:cs="Arial"/>
          <w:i/>
          <w:sz w:val="24"/>
          <w:szCs w:val="24"/>
          <w:lang w:eastAsia="es-ES"/>
        </w:rPr>
        <w:t>sub examine.</w:t>
      </w:r>
      <w:r w:rsidRPr="006F79DA">
        <w:rPr>
          <w:rFonts w:ascii="Arial" w:eastAsia="Times New Roman" w:hAnsi="Arial" w:cs="Arial"/>
          <w:sz w:val="24"/>
          <w:szCs w:val="24"/>
          <w:lang w:eastAsia="es-ES"/>
        </w:rPr>
        <w:t xml:space="preserve">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iii) También sostuvo que se incurrió en una vía de hecho </w:t>
      </w:r>
      <w:r w:rsidRPr="006F79DA">
        <w:rPr>
          <w:rFonts w:ascii="Arial" w:eastAsia="Times New Roman" w:hAnsi="Arial" w:cs="Arial"/>
          <w:i/>
          <w:sz w:val="24"/>
          <w:szCs w:val="24"/>
          <w:lang w:eastAsia="es-ES"/>
        </w:rPr>
        <w:t>“…al considerar equívocamente que la mencionada cláusula delegaba en un tercero (auditor) la fijación del precio de la prórroga que era competencia constitucional y legal de la CNTV, desconociendo que el “Precio Base” y el “Precio Final” de la prórroga del contrato sí habían sido determinados por la propia CNTV”.</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i/>
          <w:sz w:val="24"/>
          <w:szCs w:val="24"/>
          <w:lang w:eastAsia="es-ES"/>
        </w:rPr>
      </w:pPr>
      <w:r w:rsidRPr="006F79DA">
        <w:rPr>
          <w:rFonts w:ascii="Arial" w:eastAsia="Times New Roman" w:hAnsi="Arial" w:cs="Arial"/>
          <w:sz w:val="24"/>
          <w:szCs w:val="24"/>
          <w:lang w:eastAsia="es-ES"/>
        </w:rPr>
        <w:t xml:space="preserve">iv) Indicó que no se debió disponer que </w:t>
      </w:r>
      <w:r w:rsidRPr="006F79DA">
        <w:rPr>
          <w:rFonts w:ascii="Arial" w:eastAsia="Times New Roman" w:hAnsi="Arial" w:cs="Arial"/>
          <w:i/>
          <w:sz w:val="24"/>
          <w:szCs w:val="24"/>
          <w:lang w:eastAsia="es-ES"/>
        </w:rPr>
        <w:t>“…la Autoridad Nacional de Televisión, en adelante ANTV, debía adoptar las decisiones administrativas necesarias para fijar nuevamente la tarifa de la prórroga de la concesión desconociendo la presunción de legalidad y la ejecutividad de la Resolución No. 2011-380-000225-4 de 11 de marzo de 2011 (en la que la CNTV fijó el precio de ajuste que dicha tarifa), el pago del precio de ajuste por CEETTV a la CNTV, pues se trataba de una situación jurídica consolidada sobre la cual la nulidad no podía producir efecto retroactivo alguno”.</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v) Argumentó que la sentencia en cuestión no fue debidamente motivada, toda vez que no se explicaron las razones por las cuales en el caso concreto en el que hizo </w:t>
      </w:r>
      <w:r w:rsidRPr="006F79DA">
        <w:rPr>
          <w:rFonts w:ascii="Arial" w:eastAsia="Times New Roman" w:hAnsi="Arial" w:cs="Arial"/>
          <w:sz w:val="24"/>
          <w:szCs w:val="24"/>
          <w:lang w:eastAsia="es-ES"/>
        </w:rPr>
        <w:lastRenderedPageBreak/>
        <w:t>parte la CEETTV sí procedía la anulación de la referida cláusula 8ª, cuando en otros casos similares, el mismo Consejo de Estado al decidir los recursos de anulación que interpusieron Caracol Televisión S.A. y RCN Televisión S.A., contra los laudos del 7 de noviembre de 2012, determinó que no había lugar a anular las cláusulas que se habían pactado en los mismos términos de la cláusula 8 del otrosí No. 4 del contrato de concesión No. 167 de 1998.</w:t>
      </w:r>
    </w:p>
    <w:p w:rsidR="00FA71F4" w:rsidRPr="006F79DA" w:rsidRDefault="00FA71F4" w:rsidP="00FA71F4">
      <w:pPr>
        <w:spacing w:line="276" w:lineRule="auto"/>
        <w:jc w:val="both"/>
        <w:rPr>
          <w:rFonts w:ascii="Arial" w:eastAsia="Times New Roman" w:hAnsi="Arial" w:cs="Arial"/>
          <w:i/>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vi) Sostuvo que el Consejo de Estado se equivocó al concluir que el contrato celebrado con la CNTV </w:t>
      </w:r>
      <w:r w:rsidRPr="006F79DA">
        <w:rPr>
          <w:rFonts w:ascii="Arial" w:eastAsia="Times New Roman" w:hAnsi="Arial" w:cs="Arial"/>
          <w:i/>
          <w:sz w:val="24"/>
          <w:szCs w:val="24"/>
          <w:lang w:eastAsia="es-ES"/>
        </w:rPr>
        <w:t xml:space="preserve">“…no era conmutativo ni susceptible de restablecimiento del equilibrio económico y financiero”, </w:t>
      </w:r>
      <w:r w:rsidRPr="006F79DA">
        <w:rPr>
          <w:rFonts w:ascii="Arial" w:eastAsia="Times New Roman" w:hAnsi="Arial" w:cs="Arial"/>
          <w:sz w:val="24"/>
          <w:szCs w:val="24"/>
          <w:lang w:eastAsia="es-ES"/>
        </w:rPr>
        <w:t>pues con dicha postura desconoció no solo su propia competencia en materia de anulación de laudos arbitrales, sino también la cosa juzgada derivada de los laudos de 19 de marzo de 2003 y 13 de febrero de 2006, en los cuales había resuelto lo contrario.</w:t>
      </w:r>
      <w:r w:rsidRPr="006F79DA">
        <w:rPr>
          <w:rFonts w:ascii="Arial" w:eastAsia="Times New Roman" w:hAnsi="Arial" w:cs="Arial"/>
          <w:i/>
          <w:sz w:val="24"/>
          <w:szCs w:val="24"/>
          <w:lang w:eastAsia="es-ES"/>
        </w:rPr>
        <w:t xml:space="preserve"> </w:t>
      </w:r>
    </w:p>
    <w:p w:rsidR="00FA71F4" w:rsidRPr="006F79DA" w:rsidRDefault="00FA71F4" w:rsidP="00FA71F4">
      <w:pPr>
        <w:spacing w:line="276" w:lineRule="auto"/>
        <w:jc w:val="both"/>
        <w:rPr>
          <w:rFonts w:ascii="Arial" w:eastAsia="Times New Roman" w:hAnsi="Arial" w:cs="Arial"/>
          <w:sz w:val="24"/>
          <w:szCs w:val="24"/>
          <w:lang w:eastAsia="es-ES"/>
        </w:rPr>
      </w:pP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Sobre el particular, adujo que no se requiere mayor esfuerzo argumentativo para determinar que efectivamente dicha equivocación tuvo lugar, toda vez que es evidente que sobre ese aspecto ya existía un pronunciamiento por parte del Tribunal de Arbitramento, el cual hizo tránsito a cosa juzgada y, por ende, no podía ser objeto de un nuevo estudio por parte del Consejo de Estado.</w:t>
      </w:r>
    </w:p>
    <w:p w:rsidR="00FA71F4" w:rsidRPr="006F79DA" w:rsidRDefault="00FA71F4" w:rsidP="00FA71F4">
      <w:pPr>
        <w:spacing w:line="276" w:lineRule="auto"/>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 </w:t>
      </w:r>
    </w:p>
    <w:p w:rsidR="00FA71F4" w:rsidRPr="006F79DA" w:rsidRDefault="00FA71F4" w:rsidP="00FA71F4">
      <w:pPr>
        <w:spacing w:line="276" w:lineRule="auto"/>
        <w:contextualSpacing/>
        <w:jc w:val="both"/>
        <w:outlineLvl w:val="0"/>
        <w:rPr>
          <w:rFonts w:ascii="Arial" w:eastAsia="Times New Roman" w:hAnsi="Arial" w:cs="Arial"/>
          <w:b/>
          <w:sz w:val="24"/>
          <w:szCs w:val="24"/>
          <w:lang w:eastAsia="es-ES"/>
        </w:rPr>
      </w:pPr>
      <w:r w:rsidRPr="006F79DA">
        <w:rPr>
          <w:rFonts w:ascii="Arial" w:eastAsia="Times New Roman" w:hAnsi="Arial" w:cs="Arial"/>
          <w:b/>
          <w:sz w:val="24"/>
          <w:szCs w:val="24"/>
          <w:lang w:eastAsia="es-ES"/>
        </w:rPr>
        <w:t>4. Trámite de la tutela</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La Sección Cuarta de esta Corporación con proveído del 25 de noviembre de 2014 admitió la presente solicitud de amparo y ordenó notificar como demandado a los magistrados del Consejo de Estado, Sección Tercera, Subsección B.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Además, vinculó al director de la ANTV, como tercero interesado en las resultas del proceso.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5. Argumentos de defensa</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b/>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5.1 Del Consejo de Estado, Sección Tercera, Subsección B.</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b/>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La magistrada ponente de la decisión, solicitó que se negara la solicitud de amparo, por las siguientes razones:</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Adujo que en el caso concreto se concluyó que la cláusula octava del otrosí número 4 al contrato de concesión No. 167 de 1998, desconocía lo dispuesto en los artículos 75, 76 y 365 de la Constitución Política, así como el 4, 5, 29, 35, 37, 46 y 48 de la Ley 182 de 1995, en razón a que el precio se sometió a la negociación entre las partes, cuando por disposición de la Ley 182 éste debió fijarlo directamente la ANTV.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Indicó que la acción de tutela </w:t>
      </w:r>
      <w:r w:rsidRPr="006F79DA">
        <w:rPr>
          <w:rFonts w:ascii="Arial" w:eastAsia="Times New Roman" w:hAnsi="Arial" w:cs="Arial"/>
          <w:i/>
          <w:sz w:val="24"/>
          <w:szCs w:val="24"/>
          <w:lang w:eastAsia="es-ES"/>
        </w:rPr>
        <w:t>“…se centra en que la competencia del juez estatal en lo relativo a la nulidad absoluta se limita, a juicio de la actora, a la cláusula compromisoria sin reparar en que precisamente la declarada recayó sobre el pacto arbitral contenido en el contrato N° 167 adicionado por el pluricitado otrosí N° 4”.</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i/>
          <w:sz w:val="24"/>
          <w:szCs w:val="24"/>
          <w:lang w:eastAsia="es-ES"/>
        </w:rPr>
      </w:pPr>
      <w:r w:rsidRPr="006F79DA">
        <w:rPr>
          <w:rFonts w:ascii="Arial" w:eastAsia="Times New Roman" w:hAnsi="Arial" w:cs="Arial"/>
          <w:sz w:val="24"/>
          <w:szCs w:val="24"/>
          <w:lang w:eastAsia="es-ES"/>
        </w:rPr>
        <w:lastRenderedPageBreak/>
        <w:t xml:space="preserve">Refirió que </w:t>
      </w:r>
      <w:r w:rsidRPr="006F79DA">
        <w:rPr>
          <w:rFonts w:ascii="Arial" w:eastAsia="Times New Roman" w:hAnsi="Arial" w:cs="Arial"/>
          <w:i/>
          <w:sz w:val="24"/>
          <w:szCs w:val="24"/>
          <w:lang w:eastAsia="es-ES"/>
        </w:rPr>
        <w:t>“…el entendimiento de que las estipulaciones de la cláusula octava relativas a la negociación del precio son independientes del pacto arbitral sugerido por la actora, por una parte, no desvirtúa el hecho de que esas disposiciones efectivamente habilitaron la competencia de los árbitros, al punto que la decisión en ese sentido no le mereció reparo alguno a la actora en este proceso y, por la otra, tampoco resulta válido para negar la competencia que el ordenamiento confiere al juez, al margen de la naturaleza del proceso o recurso de que se trate, para declarar la nulidad absoluta de cualquier disposición contractual abiertamente contraria al ordenamiento”.</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Agregó que la Sección Tercera del Consejo de Estado en varias oportunidades ha sostenido que el juez del recurso de anulación de laudos arbitrales puede anular cualquier disposición contractual que resulte contraria al ordenamiento jurídico. Lo anterior, en virtud del principio de prevalencia del derecho sustancial sobre las formalidades.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Puso de presente que, contrario a lo que sostuvo la actora, la cláusula octava del otrosí número 4 no fue objeto de un análisis de fondo por parte de los árbitros, toda vez que sobre el particular el laudo se limitó a manifestar que ninguna de las partes cuestionó la validez de la cláusula ni su obligatoriedad.</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Señaló que el valor del contrato de concesión debió fijarse por la CNTV, de conformidad con lo dispuesto en el literal g) del artículo 5 de la Ley 182 de 1995. No obstante, las partes de forma indebida acordaron una metodología para fijar dicho precio, es decir, acudir a un tercero (auditor), entonces, ante las diferencias suscitadas entre éstas, se acudió al Tribunal de Arbitramento, el cual tampoco se encontraba habilitado para determinar tal valor.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i/>
          <w:sz w:val="24"/>
          <w:szCs w:val="24"/>
          <w:lang w:eastAsia="es-ES"/>
        </w:rPr>
      </w:pPr>
      <w:r w:rsidRPr="006F79DA">
        <w:rPr>
          <w:rFonts w:ascii="Arial" w:eastAsia="Times New Roman" w:hAnsi="Arial" w:cs="Arial"/>
          <w:sz w:val="24"/>
          <w:szCs w:val="24"/>
          <w:lang w:eastAsia="es-ES"/>
        </w:rPr>
        <w:t xml:space="preserve">Afirmó que la sentencia del 19 de mayo de 2014 </w:t>
      </w:r>
      <w:r w:rsidRPr="006F79DA">
        <w:rPr>
          <w:rFonts w:ascii="Arial" w:eastAsia="Times New Roman" w:hAnsi="Arial" w:cs="Arial"/>
          <w:i/>
          <w:sz w:val="24"/>
          <w:szCs w:val="24"/>
          <w:lang w:eastAsia="es-ES"/>
        </w:rPr>
        <w:t>“…nada dispuso sobre la legalidad y ejecutividad de la resolución n° 2011-380-000225-4 del 11 de marzo de 2011, expedida por la CNTV para acoger el precio establecido por el particular, pues nada puede endilgarse a esta decisión. En efecto, en ella se dejó señalado que de conformidad con las funciones atribuidas por la Ley 182 de 1995 le corresponde a la Comisión Nacional de Televisión fijar la tarifa y, a todas luces no resulta posible el entendimiento en el sentido de que la exigencia del cumplimiento de la ley constituya vía de hecho. Siendo así, conforme a lo señalado en el fallo impugnado, correspond[ía] a la autoridad competente decidir la fijación con sujeción a los criterios definidos en la Ley”.</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Aunado a lo anterior, consideró que no se incurrió en defecto sustantivo alguno. Que, en efecto, a diferencia de lo que pretende la sociedad actora, no puede cuestionarse la sentencia del 29 de mayo de 2014 bajo el  argumento de que en otras providencias (en concreto, las que decidieron los recursos de anulación presentados por Caracol y RCN televisión), no se declaró la nulidad absoluta de las estipulaciones contractuales similares a las que sí se anularon en el presente caso, pues el alcance de los laudos proferidos en esos casos es completamente diferente al otorgado en el asunto de la CEETTV.</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Además, la citada providencia judicial estuvo debidamente motivada, toda vez que </w:t>
      </w:r>
      <w:r w:rsidRPr="006F79DA">
        <w:rPr>
          <w:rFonts w:ascii="Arial" w:eastAsia="Times New Roman" w:hAnsi="Arial" w:cs="Arial"/>
          <w:sz w:val="24"/>
          <w:szCs w:val="24"/>
          <w:lang w:eastAsia="es-ES"/>
        </w:rPr>
        <w:lastRenderedPageBreak/>
        <w:t xml:space="preserve">se expusieron de forma clara y concreta las razones que daban lugar a que de oficio se declarara la nulidad de la cláusula octava del otrosí realizado al contrato de concesión 167 de 1998.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Tampoco hay lugar, como aduce la actora, a que se endilgue desconocimiento de precedente alguno, pues el fallo del 29 de mayo de 2014 estuvo sustentada en reiterada jurisprudencia de la Sección Tercera del Consejo de Estado.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Por último, de manera enfática señaló que, de conformidad con lo dispuesto en los artículos 75 y 367 de la Constitución Política, así como 5º, 12 y 48 de la Ley 182 de 1995, </w:t>
      </w:r>
      <w:r w:rsidRPr="006F79DA">
        <w:rPr>
          <w:rFonts w:ascii="Arial" w:eastAsia="Times New Roman" w:hAnsi="Arial" w:cs="Arial"/>
          <w:i/>
          <w:sz w:val="24"/>
          <w:szCs w:val="24"/>
          <w:lang w:eastAsia="es-ES"/>
        </w:rPr>
        <w:t xml:space="preserve">“….la concesión del uso espectro electromagnético destinado a la televisión da lugar al pago de una tarifa por la autoridad reguladora y administradora de ese bien público, con sujeción a los criterios definidos en el citado artículo 5º, sin que entre ello se incluya la conmutatividad, convenida en las estipulaciones cobijadas con la nulidad declarada en la sentencia impugnada. </w:t>
      </w:r>
      <w:r w:rsidRPr="006F79DA">
        <w:rPr>
          <w:rFonts w:ascii="Arial" w:eastAsia="Times New Roman" w:hAnsi="Arial" w:cs="Arial"/>
          <w:sz w:val="24"/>
          <w:szCs w:val="24"/>
          <w:lang w:eastAsia="es-ES"/>
        </w:rPr>
        <w:t>Que, por ende,</w:t>
      </w:r>
      <w:r w:rsidRPr="006F79DA">
        <w:rPr>
          <w:rFonts w:ascii="Arial" w:eastAsia="Times New Roman" w:hAnsi="Arial" w:cs="Arial"/>
          <w:i/>
          <w:sz w:val="24"/>
          <w:szCs w:val="24"/>
          <w:lang w:eastAsia="es-ES"/>
        </w:rPr>
        <w:t xml:space="preserve"> “no resulta posible sostener que la tarifa que debe pagar el concesionario del bien público se rija enteramente por el poder dispositivo de las partes en el contrato de concesión, al margen de los criterios legales que se sujetan”.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5.2 De la Autoridad Nacional de Televisión</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b/>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A través de apoderado, solicitó que se negaran las pretensiones de amparo.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Después de citar varios apartes de la sentencia del 29 de mayo de 2014 por la Sección Tercera, Subsección B del Consejo de Estado, concluyó que en el caso concreto era evidente que dicha decisión se encontraba ajustada a derecho.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Sostuvo que no puede pretender la sociedad actora utilizar la tutela como un mecanismo para reabrir el debate que se adelantó ante los jueces ordinarios, máxime si se tiene en cuenta que en dicho trámite contó con todas las garantías procesales.</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i/>
          <w:sz w:val="24"/>
          <w:szCs w:val="24"/>
          <w:lang w:eastAsia="es-ES"/>
        </w:rPr>
      </w:pPr>
      <w:r w:rsidRPr="006F79DA">
        <w:rPr>
          <w:rFonts w:ascii="Arial" w:eastAsia="Times New Roman" w:hAnsi="Arial" w:cs="Arial"/>
          <w:sz w:val="24"/>
          <w:szCs w:val="24"/>
          <w:lang w:eastAsia="es-ES"/>
        </w:rPr>
        <w:t xml:space="preserve">Adujo que </w:t>
      </w:r>
      <w:r w:rsidRPr="006F79DA">
        <w:rPr>
          <w:rFonts w:ascii="Arial" w:eastAsia="Times New Roman" w:hAnsi="Arial" w:cs="Arial"/>
          <w:i/>
          <w:sz w:val="24"/>
          <w:szCs w:val="24"/>
          <w:lang w:eastAsia="es-ES"/>
        </w:rPr>
        <w:t>“en el escrito de tutela el actor citó como precedente las decisiones proferidas por el Consejo de Estado con ocasión de los recursos de anulación presentados por Caracol</w:t>
      </w:r>
      <w:r w:rsidRPr="006F79DA">
        <w:rPr>
          <w:rStyle w:val="Refdenotaalpie"/>
          <w:rFonts w:ascii="Arial" w:eastAsia="Times New Roman" w:hAnsi="Arial" w:cs="Arial"/>
          <w:i/>
          <w:sz w:val="24"/>
          <w:szCs w:val="24"/>
          <w:lang w:eastAsia="es-ES"/>
        </w:rPr>
        <w:footnoteReference w:id="5"/>
      </w:r>
      <w:r w:rsidRPr="006F79DA">
        <w:rPr>
          <w:rFonts w:ascii="Arial" w:eastAsia="Times New Roman" w:hAnsi="Arial" w:cs="Arial"/>
          <w:i/>
          <w:sz w:val="24"/>
          <w:szCs w:val="24"/>
          <w:lang w:eastAsia="es-ES"/>
        </w:rPr>
        <w:t xml:space="preserve"> y RCN</w:t>
      </w:r>
      <w:r w:rsidRPr="006F79DA">
        <w:rPr>
          <w:rStyle w:val="Refdenotaalpie"/>
          <w:rFonts w:ascii="Arial" w:eastAsia="Times New Roman" w:hAnsi="Arial" w:cs="Arial"/>
          <w:i/>
          <w:sz w:val="24"/>
          <w:szCs w:val="24"/>
          <w:lang w:eastAsia="es-ES"/>
        </w:rPr>
        <w:footnoteReference w:id="6"/>
      </w:r>
      <w:r w:rsidRPr="006F79DA">
        <w:rPr>
          <w:rFonts w:ascii="Arial" w:eastAsia="Times New Roman" w:hAnsi="Arial" w:cs="Arial"/>
          <w:i/>
          <w:sz w:val="24"/>
          <w:szCs w:val="24"/>
          <w:lang w:eastAsia="es-ES"/>
        </w:rPr>
        <w:t xml:space="preserve"> televisión contra los laudos arbitrales del 7 de noviembre de 2012, donde se les ordenó restablecer el equilibrio económico de los respectivos contratos de concesión a favor de la CNTV, debido a que no entró en operación un tercer canal privado de cobertura nacional en la fecha prevista para el efecto, en donde se</w:t>
      </w:r>
      <w:r w:rsidRPr="006F79DA">
        <w:rPr>
          <w:rFonts w:ascii="Arial" w:eastAsia="Times New Roman" w:hAnsi="Arial" w:cs="Arial"/>
          <w:sz w:val="24"/>
          <w:szCs w:val="24"/>
          <w:lang w:eastAsia="es-ES"/>
        </w:rPr>
        <w:t xml:space="preserve"> </w:t>
      </w:r>
      <w:r w:rsidRPr="006F79DA">
        <w:rPr>
          <w:rFonts w:ascii="Arial" w:eastAsia="Times New Roman" w:hAnsi="Arial" w:cs="Arial"/>
          <w:i/>
          <w:sz w:val="24"/>
          <w:szCs w:val="24"/>
          <w:lang w:eastAsia="es-ES"/>
        </w:rPr>
        <w:t>“declararon infundados los respectivos recursos de anulación y no se profirió ningún cuestionamiento en cuanto al carácter conmutativo de los contratos de concesión que dieron origen al desequilibrio pretendido por la CNTV”.</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Sin embargo, el mismo fallo del 29 de mayo de 2014 fue claro en explicar las </w:t>
      </w:r>
      <w:r w:rsidRPr="006F79DA">
        <w:rPr>
          <w:rFonts w:ascii="Arial" w:eastAsia="Times New Roman" w:hAnsi="Arial" w:cs="Arial"/>
          <w:sz w:val="24"/>
          <w:szCs w:val="24"/>
          <w:lang w:eastAsia="es-ES"/>
        </w:rPr>
        <w:lastRenderedPageBreak/>
        <w:t>circunstancias que diferenciaron dichos casos del asunto bajo examine, razón por la cual no podía tomarse como precedente vinculante.</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Por último, indicó que la acción de tutela resulta improcedente toda vez que no se superó el requisito de inmediatez, por cuanto </w:t>
      </w:r>
      <w:r w:rsidRPr="006F79DA">
        <w:rPr>
          <w:rFonts w:ascii="Arial" w:eastAsia="Times New Roman" w:hAnsi="Arial" w:cs="Arial"/>
          <w:i/>
          <w:sz w:val="24"/>
          <w:szCs w:val="24"/>
          <w:lang w:eastAsia="es-ES"/>
        </w:rPr>
        <w:t xml:space="preserve">“la sentencia del 29 de mayo de 2014 solo viene a cuestionarse vía tutela después de 5 meses de encontrarse ejecutoriada y haber hecho tránsito a cosa juzgada con total ausencia” </w:t>
      </w:r>
      <w:r w:rsidRPr="006F79DA">
        <w:rPr>
          <w:rFonts w:ascii="Arial" w:eastAsia="Times New Roman" w:hAnsi="Arial" w:cs="Arial"/>
          <w:sz w:val="24"/>
          <w:szCs w:val="24"/>
          <w:lang w:eastAsia="es-ES"/>
        </w:rPr>
        <w:t xml:space="preserve">del mencionado presupuesto. </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6. Fallo de Primera Instancia</w:t>
      </w:r>
    </w:p>
    <w:p w:rsidR="00FA71F4" w:rsidRPr="006F79DA" w:rsidRDefault="00FA71F4" w:rsidP="00FA71F4">
      <w:pPr>
        <w:widowControl w:val="0"/>
        <w:autoSpaceDE w:val="0"/>
        <w:autoSpaceDN w:val="0"/>
        <w:adjustRightInd w:val="0"/>
        <w:spacing w:line="276" w:lineRule="auto"/>
        <w:contextualSpacing/>
        <w:jc w:val="both"/>
        <w:rPr>
          <w:rFonts w:ascii="Arial" w:eastAsia="Times New Roman" w:hAnsi="Arial" w:cs="Arial"/>
          <w:sz w:val="24"/>
          <w:szCs w:val="24"/>
          <w:lang w:eastAsia="es-ES"/>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El Consejo de Estado, Sección Cuarta</w:t>
      </w:r>
      <w:r w:rsidRPr="006F79DA">
        <w:rPr>
          <w:rFonts w:ascii="Arial" w:hAnsi="Arial" w:cs="Arial"/>
          <w:sz w:val="24"/>
          <w:szCs w:val="24"/>
          <w:vertAlign w:val="superscript"/>
        </w:rPr>
        <w:footnoteReference w:id="7"/>
      </w:r>
      <w:r w:rsidRPr="006F79DA">
        <w:rPr>
          <w:rFonts w:ascii="Arial" w:hAnsi="Arial" w:cs="Arial"/>
          <w:sz w:val="24"/>
          <w:szCs w:val="24"/>
        </w:rPr>
        <w:t xml:space="preserve">, mediante sentencia de 26 de noviembre de 2015, negó la solicitud de amparo.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Para resolver el caso propuesto, el </w:t>
      </w:r>
      <w:r w:rsidRPr="006F79DA">
        <w:rPr>
          <w:rFonts w:ascii="Arial" w:hAnsi="Arial" w:cs="Arial"/>
          <w:i/>
          <w:sz w:val="24"/>
          <w:szCs w:val="24"/>
        </w:rPr>
        <w:t>a quo</w:t>
      </w:r>
      <w:r w:rsidRPr="006F79DA">
        <w:rPr>
          <w:rFonts w:ascii="Arial" w:hAnsi="Arial" w:cs="Arial"/>
          <w:sz w:val="24"/>
          <w:szCs w:val="24"/>
        </w:rPr>
        <w:t xml:space="preserve"> formuló los siguientes problemas jurídicos, a saber:</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b/>
          <w:sz w:val="24"/>
          <w:szCs w:val="24"/>
        </w:rPr>
        <w:t>-</w:t>
      </w:r>
      <w:r w:rsidRPr="006F79DA">
        <w:rPr>
          <w:rFonts w:ascii="Arial" w:hAnsi="Arial" w:cs="Arial"/>
          <w:sz w:val="24"/>
          <w:szCs w:val="24"/>
        </w:rPr>
        <w:t>¿El Consejo de Estado, Sección Tercera, Subsección B, como juez del recurso de anulación, tenía competencia para examinar la validez de la cláusula octava del otrosí número 4 del contrato de concesión 167 de 1998?.</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b/>
          <w:sz w:val="24"/>
          <w:szCs w:val="24"/>
        </w:rPr>
        <w:t>-</w:t>
      </w:r>
      <w:r w:rsidRPr="006F79DA">
        <w:rPr>
          <w:rFonts w:ascii="Arial" w:hAnsi="Arial" w:cs="Arial"/>
          <w:sz w:val="24"/>
          <w:szCs w:val="24"/>
        </w:rPr>
        <w:t xml:space="preserve">¿En la sentencia del 29 de mayo de 2014 se desconoció el debido proceso y el derecho de acceso a la administración de justicia al concluir que la cláusula octava del otrosí número 4 del contrato de concesión 167 de 1998 estaba afectada por nulidad absoluta, por ser evidentemente contraria al ordenamiento jurídico?.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Sobre estos aspectos, en síntesis:</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b/>
          <w:sz w:val="24"/>
          <w:szCs w:val="24"/>
        </w:rPr>
        <w:t>A)</w:t>
      </w:r>
      <w:r w:rsidRPr="006F79DA">
        <w:rPr>
          <w:rFonts w:ascii="Arial" w:hAnsi="Arial" w:cs="Arial"/>
          <w:sz w:val="24"/>
          <w:szCs w:val="24"/>
        </w:rPr>
        <w:t xml:space="preserve"> Sostuvo que, a su juicio, resulta claro que la competencia del juez que conoce del recurso extraordinario de anulación contra un laudo arbitral incluye la posibilidad de examinar la legalidad de las estipulaciones que evidentemente son contrarias a derecho.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Indicó que excepcionalmente el juzgador </w:t>
      </w:r>
      <w:r w:rsidRPr="006F79DA">
        <w:rPr>
          <w:rFonts w:ascii="Arial" w:hAnsi="Arial" w:cs="Arial"/>
          <w:i/>
          <w:sz w:val="24"/>
          <w:szCs w:val="24"/>
        </w:rPr>
        <w:t xml:space="preserve">“…puede ocuparse del fondo del asunto para corregir o adicionar el laudo si prospera la incongruencia, al no haber decidido el tribunal arbitral sobre cuestiones sometidas a arbitramento o por haber decidido otras que no estaban. En este punto la jurisprudencia del Consejo de Estado ha sido pacífica y constante tal y como se expresó en la sentencia objeto de la presente tutela”.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Puso de presente que como acertadamente lo concluyó el Consejo de Estado, Sección Tercera, la competencia del juez en materia del recurso de anulación tiene fundamento en los artículos 1742 del CC, concordante con el artículo 45 de la Ley 80 de 1993, y el 87 del C.C.A.</w:t>
      </w:r>
      <w:r w:rsidRPr="006F79DA">
        <w:rPr>
          <w:rStyle w:val="Refdenotaalpie"/>
          <w:rFonts w:ascii="Arial" w:hAnsi="Arial" w:cs="Arial"/>
          <w:sz w:val="24"/>
          <w:szCs w:val="24"/>
        </w:rPr>
        <w:footnoteReference w:id="8"/>
      </w:r>
      <w:r w:rsidRPr="006F79DA">
        <w:rPr>
          <w:rFonts w:ascii="Arial" w:hAnsi="Arial" w:cs="Arial"/>
          <w:sz w:val="24"/>
          <w:szCs w:val="24"/>
        </w:rPr>
        <w:t xml:space="preserve">, los cuales prevén que el juzgador </w:t>
      </w:r>
      <w:r w:rsidRPr="006F79DA">
        <w:rPr>
          <w:rFonts w:ascii="Arial" w:hAnsi="Arial" w:cs="Arial"/>
          <w:sz w:val="24"/>
          <w:szCs w:val="24"/>
          <w:u w:val="single"/>
        </w:rPr>
        <w:t>de oficio</w:t>
      </w:r>
      <w:r w:rsidRPr="006F79DA">
        <w:rPr>
          <w:rFonts w:ascii="Arial" w:hAnsi="Arial" w:cs="Arial"/>
          <w:sz w:val="24"/>
          <w:szCs w:val="24"/>
        </w:rPr>
        <w:t xml:space="preserve"> puede declarar la nulidad absoluta del negocio jurídico, siempre que ésta se encuentre </w:t>
      </w:r>
      <w:r w:rsidRPr="006F79DA">
        <w:rPr>
          <w:rFonts w:ascii="Arial" w:hAnsi="Arial" w:cs="Arial"/>
          <w:sz w:val="24"/>
          <w:szCs w:val="24"/>
        </w:rPr>
        <w:lastRenderedPageBreak/>
        <w:t>probada y las partes contratantes o sus causahabientes intervengan en el mencionado recurso, que es lo que sucedió en el presente asunto.</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i/>
          <w:sz w:val="24"/>
          <w:szCs w:val="24"/>
        </w:rPr>
      </w:pPr>
      <w:r w:rsidRPr="006F79DA">
        <w:rPr>
          <w:rFonts w:ascii="Arial" w:hAnsi="Arial" w:cs="Arial"/>
          <w:sz w:val="24"/>
          <w:szCs w:val="24"/>
        </w:rPr>
        <w:t xml:space="preserve">Afirmó que </w:t>
      </w:r>
      <w:r w:rsidRPr="006F79DA">
        <w:rPr>
          <w:rFonts w:ascii="Arial" w:hAnsi="Arial" w:cs="Arial"/>
          <w:i/>
          <w:sz w:val="24"/>
          <w:szCs w:val="24"/>
        </w:rPr>
        <w:t xml:space="preserve">“en principio, el juez de la anulación está limitado por los argumentos del recurrente, pues ahí entra en juego el principio dispositivo que es el que limita la competencia en sede extraordinaria. Pero también es cierto que el juez de la anulación no puede ser ajeno a los pactos que contravienen la ley. El ordenamiento jurídico en ese caso le reconoce al juez la facultad para declarar de oficio la nulidad absoluta del negocio jurídico originado de la controversia. Esa competencia, desde luego incluye la posibilidad de determinar las cláusulas del contrato (no solo la que establece la cláusula compromisoria o compromiso) están conformes con el orden jurídico, sin que implique desplazar la competencia de los árbitros”. </w:t>
      </w:r>
    </w:p>
    <w:p w:rsidR="00FA71F4" w:rsidRPr="006F79DA" w:rsidRDefault="00FA71F4" w:rsidP="00FA71F4">
      <w:pPr>
        <w:tabs>
          <w:tab w:val="left" w:pos="3686"/>
        </w:tabs>
        <w:spacing w:line="276" w:lineRule="auto"/>
        <w:jc w:val="both"/>
        <w:rPr>
          <w:rFonts w:ascii="Arial" w:hAnsi="Arial" w:cs="Arial"/>
          <w:i/>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b/>
          <w:sz w:val="24"/>
          <w:szCs w:val="24"/>
        </w:rPr>
        <w:t>B)</w:t>
      </w:r>
      <w:r w:rsidRPr="006F79DA">
        <w:rPr>
          <w:rFonts w:ascii="Arial" w:hAnsi="Arial" w:cs="Arial"/>
          <w:sz w:val="24"/>
          <w:szCs w:val="24"/>
        </w:rPr>
        <w:t xml:space="preserve"> Manifestó que es cierto que el Tribunal de Arbitramento no se pronunció de fondo sobre la validez de la cláusula octava del otrosí No. 4 del contrato de concesión número 167 de 1998, pues éste se únicamente se limitó a decidir sobre su eficacia, en tanto obligaba a la Autoridad Nacional de Televisión y a la CEETTV.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Arguyo que </w:t>
      </w:r>
      <w:r w:rsidRPr="006F79DA">
        <w:rPr>
          <w:rFonts w:ascii="Arial" w:hAnsi="Arial" w:cs="Arial"/>
          <w:i/>
          <w:sz w:val="24"/>
          <w:szCs w:val="24"/>
        </w:rPr>
        <w:t>“…si bien el tribunal arbitral se refirió al precio pactado y a la posibilidad de que a la luz de las normas, que debía determinar la incidencia de ciertas variables, lo cierto es que el tribunal no se detuvo en el estudio de la Ley 182, que específicamente otorga la potestad a la autoridad nacional de televisión de fijar la tarifa del contrato de concesión del especio electromagnético destinado a la televisión”.</w:t>
      </w:r>
      <w:r w:rsidRPr="006F79DA">
        <w:rPr>
          <w:rFonts w:ascii="Arial" w:hAnsi="Arial" w:cs="Arial"/>
          <w:sz w:val="24"/>
          <w:szCs w:val="24"/>
        </w:rPr>
        <w:t xml:space="preserve"> Entonces, </w:t>
      </w:r>
      <w:r w:rsidRPr="006F79DA">
        <w:rPr>
          <w:rFonts w:ascii="Arial" w:hAnsi="Arial" w:cs="Arial"/>
          <w:i/>
          <w:sz w:val="24"/>
          <w:szCs w:val="24"/>
        </w:rPr>
        <w:t>“…como frente a este aspecto no existió discusión y no fue objeto de estudio por parte del tribunal arbitral, el Consejo de Estado podía ocuparse del estudio de la cláusula relacionada con la tarifa de la concesión, como bien se dijo en la providencia aquí cuestionada”.</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Argumentó que en el fallo del 29 de mayo de 2014 se expusieron las razones por las que debía adoptarse una decisión distinta a la que se acogió  en los casos de Caracol y RCN televisión resueltos por  la Sección Tercera del Consejo de Estado.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En efecto,  en </w:t>
      </w:r>
      <w:r w:rsidRPr="006F79DA">
        <w:rPr>
          <w:rFonts w:ascii="Arial" w:hAnsi="Arial" w:cs="Arial"/>
          <w:i/>
          <w:sz w:val="24"/>
          <w:szCs w:val="24"/>
        </w:rPr>
        <w:t>“…la sentencia cuestionada expuso que en los casos de Caracol y RCN televisión los tribunales arbitrales (cuyas decisiones dieron lugar a los recursos de anulación) sí se pronunciaron sobre la tarifa regulada en el contrato de concesión del espectro electromagnético para la televisión y la posibilidad de que intervenga un tercero y que, además, de manera expresa los árbitros concluyeron que el contrato de concesión era oneroso, bilateral y conmutativo y, por ende, era posible invocar el restablecimiento del equilibrio económico de la ecuación económica del contrato”.</w:t>
      </w:r>
      <w:r w:rsidRPr="006F79DA">
        <w:rPr>
          <w:rFonts w:ascii="Arial" w:hAnsi="Arial" w:cs="Arial"/>
          <w:sz w:val="24"/>
          <w:szCs w:val="24"/>
        </w:rPr>
        <w:t xml:space="preserve">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Entonces, no se configuró el desconocimiento del precedente judicial que alegó la parte actora, en razón a que en el caso de la CEETTV, se reitera, se presentaron situaciones fáticas y jurídicas distintas, las cuales ameritaron un trato diferente, aunque las cláusulas por las cuales se pactó la tarifa fueran similares.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Dijo que </w:t>
      </w:r>
      <w:r w:rsidRPr="006F79DA">
        <w:rPr>
          <w:rFonts w:ascii="Arial" w:hAnsi="Arial" w:cs="Arial"/>
          <w:i/>
          <w:sz w:val="24"/>
          <w:szCs w:val="24"/>
        </w:rPr>
        <w:t xml:space="preserve">“…la autoridad de televisión tampoco podía pactar que ante el desacuerdo con ese tercero se acudiera a la justicia arbitral, que finamente sería la encargada </w:t>
      </w:r>
      <w:r w:rsidRPr="006F79DA">
        <w:rPr>
          <w:rFonts w:ascii="Arial" w:hAnsi="Arial" w:cs="Arial"/>
          <w:i/>
          <w:sz w:val="24"/>
          <w:szCs w:val="24"/>
        </w:rPr>
        <w:lastRenderedPageBreak/>
        <w:t>de revisar la tarifa de la concesión, pues eso desconoce, como antes también se explicó, que el negocio jurídico de la concesión está estructurado a partir de la autorización que del Estado de explotar un bien (el espectro electromagnético) y prestar el servicio de televisión y, como retribución, el concesionario se obliga a pagar la tarifa que el propio Estado fija, tarifa que no puede ser objeto de revisión, a través del instituto del restablecimiento del equilibrio económico y financiero del contrato. Eso implica, tal y como se dijo en la providencia del 29 de mayo de 2014, otorgar indebidamente el carácter conmutativo a la autorización que concede el Estado para operar y explotar el servicio de televisión”.</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Señaló que la cláusula octava del otrosí N°4 del contrato de concesión N° 167 de 1998 está afectada por nulidad absoluta, pues desconoce flagrantemente, como lo reconoció la autoridad demandada, los artículo 75, 76 116, y 365 CP, 4, 5, 29, 35, 37 46 y 48 de la ley 182, y 1 del decreto 2279 de 1989, por cuanto era imperioso que la autoridad de televisión se ocupara de fijar directamente la tarifa en la concesión otorgada a la CEETTV.</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Sostuvo que en los términos de los artículos 1519 y 1742 del C.C., el Consejo de Estado, Sección Tercera, Subsección [B], estaba obligado a declarar la nulidad absoluta de la cláusula octava del contrato de concesión N° 1167 de 1998, habida cuenta de que la controversia giraba en torno del recurso de anulación y estaba suficientemente probada la nulidad absoluta por desconocimiento del derecho público de la Nación.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Por último, manifestó que </w:t>
      </w:r>
      <w:r w:rsidRPr="006F79DA">
        <w:rPr>
          <w:rFonts w:ascii="Arial" w:hAnsi="Arial" w:cs="Arial"/>
          <w:i/>
          <w:sz w:val="24"/>
          <w:szCs w:val="24"/>
        </w:rPr>
        <w:t>“respalda la conclusión del demandado frente a la imposibilidad de pronunciarse sobre restricciones, pues cierto es que “i) se trata de la nulidad absoluta de una cláusula contractual, que no proyecta sus efectos sobre los demás aspectos del contrato de concesión, distintos de los convenidos en aquella estipulación y ii) (…) la obligación del concesionario de pagar la tarifa por la autorización para operar y explotar el servicio público de televisión fue impuesta por ministerio de la ley, para lo cual a la Comisión Nacional de Televisión o la autoridad que la sustituyó en sus funciones (…) le corresponde adoptar las decisiones administrativas necesarias para fijar esta tarifa, con sujeción a los criterios establecidos en el literal g) del artículo 5º de la ley en comento”.</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Ante tales afirmaciones, concluyó que no le merece ningún reparo la conclusión a la que llegó la autoridad judicial accionada, pues es la consecuencia normal de la declaratoria de nulidad lo que habilita a la autoridad de televisión adoptar una nueva decisión frente a la tarifa, sin perjuicio de que deba hacerse algún pronunciamiento sobre los valores que la CEETTV ya hubiera pagado, en virtud de la Resolución 2011-380-00225-4 de 2011, que fue el acto dictado para fijar el precio final antes de acudir a la justicia arbitral.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tabs>
          <w:tab w:val="left" w:pos="3686"/>
        </w:tabs>
        <w:spacing w:line="276" w:lineRule="auto"/>
        <w:jc w:val="both"/>
        <w:rPr>
          <w:rFonts w:ascii="Arial" w:hAnsi="Arial" w:cs="Arial"/>
          <w:sz w:val="24"/>
          <w:szCs w:val="24"/>
        </w:rPr>
      </w:pPr>
      <w:r w:rsidRPr="006F79DA">
        <w:rPr>
          <w:rFonts w:ascii="Arial" w:hAnsi="Arial" w:cs="Arial"/>
          <w:sz w:val="24"/>
          <w:szCs w:val="24"/>
        </w:rPr>
        <w:t xml:space="preserve">Que de conformidad con lo expuesto es claro que el Consejo de Estado, Sección Tercera, Subsección B, no vulneró los derechos fundamentales al debido proceso y de acceso a la administración de justicia de la parte actora, cuando estimó que la cláusula octava del otrosí número 4 del contrato de concesión 167 de 1998 estaba afectada por nulidad absoluta. </w:t>
      </w:r>
    </w:p>
    <w:p w:rsidR="00FA71F4" w:rsidRPr="006F79DA" w:rsidRDefault="00FA71F4" w:rsidP="00FA71F4">
      <w:pPr>
        <w:tabs>
          <w:tab w:val="left" w:pos="3686"/>
        </w:tabs>
        <w:spacing w:line="276" w:lineRule="auto"/>
        <w:jc w:val="both"/>
        <w:rPr>
          <w:rFonts w:ascii="Arial" w:hAnsi="Arial" w:cs="Arial"/>
          <w:sz w:val="24"/>
          <w:szCs w:val="24"/>
        </w:rPr>
      </w:pPr>
    </w:p>
    <w:p w:rsidR="00FA71F4" w:rsidRPr="006F79DA" w:rsidRDefault="00FA71F4" w:rsidP="00FA71F4">
      <w:pPr>
        <w:autoSpaceDE w:val="0"/>
        <w:autoSpaceDN w:val="0"/>
        <w:adjustRightInd w:val="0"/>
        <w:spacing w:line="276" w:lineRule="auto"/>
        <w:contextualSpacing/>
        <w:jc w:val="both"/>
        <w:rPr>
          <w:rFonts w:ascii="Arial" w:hAnsi="Arial" w:cs="Arial"/>
          <w:i/>
          <w:sz w:val="24"/>
          <w:szCs w:val="24"/>
        </w:rPr>
      </w:pPr>
      <w:r w:rsidRPr="006F79DA">
        <w:rPr>
          <w:rFonts w:ascii="Arial" w:hAnsi="Arial" w:cs="Arial"/>
          <w:b/>
          <w:sz w:val="24"/>
          <w:szCs w:val="24"/>
        </w:rPr>
        <w:t>7. La impugnación</w:t>
      </w:r>
    </w:p>
    <w:p w:rsidR="00FA71F4" w:rsidRPr="006F79DA" w:rsidRDefault="00FA71F4" w:rsidP="00FA71F4">
      <w:pPr>
        <w:spacing w:line="276" w:lineRule="auto"/>
        <w:jc w:val="both"/>
        <w:rPr>
          <w:rFonts w:ascii="Arial" w:hAnsi="Arial" w:cs="Arial"/>
          <w:b/>
          <w:sz w:val="24"/>
          <w:szCs w:val="24"/>
        </w:rPr>
      </w:pPr>
    </w:p>
    <w:p w:rsidR="00FA71F4" w:rsidRPr="006F79DA" w:rsidRDefault="00FA71F4" w:rsidP="00FA71F4">
      <w:pPr>
        <w:spacing w:line="276" w:lineRule="auto"/>
        <w:jc w:val="both"/>
        <w:rPr>
          <w:rFonts w:ascii="Arial" w:hAnsi="Arial" w:cs="Arial"/>
          <w:sz w:val="24"/>
          <w:szCs w:val="24"/>
        </w:rPr>
      </w:pPr>
      <w:r w:rsidRPr="006F79DA">
        <w:rPr>
          <w:rFonts w:ascii="Arial" w:hAnsi="Arial" w:cs="Arial"/>
          <w:sz w:val="24"/>
          <w:szCs w:val="24"/>
        </w:rPr>
        <w:t>Inconforme con el fallo de primera instancia, la sociedad actora a través de escrito del 10 de diciembre de 2015</w:t>
      </w:r>
      <w:r w:rsidRPr="006F79DA">
        <w:rPr>
          <w:rStyle w:val="Refdenotaalpie"/>
          <w:rFonts w:ascii="Arial" w:hAnsi="Arial" w:cs="Arial"/>
          <w:sz w:val="24"/>
          <w:szCs w:val="24"/>
        </w:rPr>
        <w:footnoteReference w:id="9"/>
      </w:r>
      <w:r w:rsidRPr="006F79DA">
        <w:rPr>
          <w:rFonts w:ascii="Arial" w:hAnsi="Arial" w:cs="Arial"/>
          <w:sz w:val="24"/>
          <w:szCs w:val="24"/>
        </w:rPr>
        <w:t xml:space="preserve"> lo impugnó.</w:t>
      </w:r>
    </w:p>
    <w:p w:rsidR="00FA71F4" w:rsidRPr="006F79DA" w:rsidRDefault="00FA71F4" w:rsidP="00FA71F4">
      <w:pPr>
        <w:spacing w:line="276" w:lineRule="auto"/>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Sostuvo que no comparte la decisión de primera instancia, toda vez que, a su juicio, el juez que desata el recurso de anulación no tiene la potestad de anular cláusulas del contrato, distintas a las del pacto arbitral, pues esta facultad no es general sino restrictiva.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Indicó que el juzgador se extralimitó con sus funciones y anuló el oficio la cláusula 8ª del otrosí número 4, situación que no se encuentra contemplada en la Ley, ya que dentro de ésta no aparece la posibilidad de declarar la nulidad de cláusulas distintas a las del pacto arbitral.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Señaló que la jurisprudencia del Consejo de Estado ha dicho que el juez del recurso de anulación no está facultado para invalidar de oficio el contrato, sino únicamente el pacto arbitral. Al respecto citó varios pronunciamientos del Consejo de Estado</w:t>
      </w:r>
      <w:r w:rsidRPr="006F79DA">
        <w:rPr>
          <w:rStyle w:val="Refdenotaalpie"/>
          <w:rFonts w:ascii="Arial" w:hAnsi="Arial" w:cs="Arial"/>
          <w:sz w:val="24"/>
          <w:szCs w:val="24"/>
        </w:rPr>
        <w:footnoteReference w:id="10"/>
      </w:r>
      <w:r w:rsidRPr="006F79DA">
        <w:rPr>
          <w:rFonts w:ascii="Arial" w:hAnsi="Arial" w:cs="Arial"/>
          <w:sz w:val="24"/>
          <w:szCs w:val="24"/>
        </w:rPr>
        <w:t xml:space="preserve"> y la Corte Constitucional</w:t>
      </w:r>
      <w:r w:rsidRPr="006F79DA">
        <w:rPr>
          <w:rStyle w:val="Refdenotaalpie"/>
          <w:rFonts w:ascii="Arial" w:hAnsi="Arial" w:cs="Arial"/>
          <w:sz w:val="24"/>
          <w:szCs w:val="24"/>
        </w:rPr>
        <w:footnoteReference w:id="11"/>
      </w:r>
      <w:r w:rsidRPr="006F79DA">
        <w:rPr>
          <w:rFonts w:ascii="Arial" w:hAnsi="Arial" w:cs="Arial"/>
          <w:sz w:val="24"/>
          <w:szCs w:val="24"/>
        </w:rPr>
        <w:t xml:space="preserve"> que, en su parecer, fueron desconocidos y sobre los cuales sustentó su argumento.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Puso de presente que, contrario a lo que expuso la Sección Cuarta en la primera instancia, </w:t>
      </w:r>
      <w:r w:rsidRPr="006F79DA">
        <w:rPr>
          <w:rFonts w:ascii="Arial" w:hAnsi="Arial" w:cs="Arial"/>
          <w:i/>
          <w:sz w:val="24"/>
          <w:szCs w:val="24"/>
        </w:rPr>
        <w:t>“…no hubo una subordinación de la facultad o función de regular la tarifa o precio, sino que la CNTV quien diseñó y estableció todos los elementos de la misma partiendo desde las valoraciones realizadas con bancas de inversión y asesores externos, hasta la aplicación del mecanismo de ajuste que la propia CNTV diseñó, y que en lo que atañe al trabajo realizado por el auditor, ello fue simplemente la contratación de un estudio o medición de la INPTV (Pauta Final) que sirviera a la CNTV como elemento para ella misma ajustar a la realidad de mercado el precio previamente estimado por la CNTV con base en las valoraciones y estudios realizados”.</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Agregó que “…</w:t>
      </w:r>
      <w:r w:rsidRPr="006F79DA">
        <w:rPr>
          <w:rFonts w:ascii="Arial" w:hAnsi="Arial" w:cs="Arial"/>
          <w:i/>
          <w:sz w:val="24"/>
          <w:szCs w:val="24"/>
        </w:rPr>
        <w:t xml:space="preserve">el auditor no tuvo la función, no ese fue el trabajo final por él entregado, la definición del “Precio Final”, sino la entrega a la CNTV del resultado de la medición de la INPTV, definida en el contrato como “Pauta Final” y fue la CNTV quien habiendo predeterminado el rango de precios mínimo y máximo de la concesión local del Citytv, tomó dicho insumo para determinar y fijar directamente el “Precio Final” aplicable dentro de los rangos de precio previamente fijados por la CNTV”.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lastRenderedPageBreak/>
        <w:t xml:space="preserve">Además, adujo que </w:t>
      </w:r>
      <w:r w:rsidRPr="006F79DA">
        <w:rPr>
          <w:rFonts w:ascii="Arial" w:hAnsi="Arial" w:cs="Arial"/>
          <w:i/>
          <w:sz w:val="24"/>
          <w:szCs w:val="24"/>
        </w:rPr>
        <w:t>“….la medición de la INPTV fue un insumo adicional y complementario a los que obtuvo la CNTV de los estudios y valoraciones realizadas previamente, para fijar ella misma el precio o tarifa de la concesión y que se ajustaron a los preceptos de la Ley 182 de 1995. Es decir, que contrario a lo afirmado por la Sección Cuarta en el fallo que acá se impugna la autoridad de televisión sí se ocupó de fijar directamente la tarifa en la concesión otorgada a CEETTV y en ningún momento “se despojó” de dicha facultad. Si ello es así, imposible es predicar la existencia palmaria o flagrante ilegalidad que pueda legitimar la declaración de nulidad sobre una cláusula contractual cuya validez y alcance no fue objeto de controversia o debate entre las partes”.</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Afirmó que contrario a lo dicho por la magistrada ponente en su contestación de tutela – </w:t>
      </w:r>
      <w:r w:rsidRPr="006F79DA">
        <w:rPr>
          <w:rFonts w:ascii="Arial" w:hAnsi="Arial" w:cs="Arial"/>
          <w:i/>
          <w:sz w:val="24"/>
          <w:szCs w:val="24"/>
        </w:rPr>
        <w:t>“el precio se sometió a la negociación entre las partes, cuando por disposición de la Ley 182, debió fijarlo directamente al autoridad de televisión”</w:t>
      </w:r>
      <w:r w:rsidRPr="006F79DA">
        <w:rPr>
          <w:rFonts w:ascii="Arial" w:hAnsi="Arial" w:cs="Arial"/>
          <w:sz w:val="24"/>
          <w:szCs w:val="24"/>
        </w:rPr>
        <w:t xml:space="preserve"> – no existió tal negociación, entonces, no se acreditó la ilegalidad aducida en el fallo ordinario para declarar la nulidad absoluta de la cláusula 8 del otrosí número 4.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Que tampoco se probó en el proceso la presunta ilegalidad originada en que al fijar el precio del contrato se atendió a criterios ajenos a los establecidos  por la Ley 182 de 1995.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Adujo que no es ilegal la cláusula mediante la cual se acordó acudir a la justicia arbitral para dirimir controversias de las partes, entre otras, las que surgen por el rompimiento del equilibrio económico del contrato, toda vez que ese tipo de estipulaciones hacen parte de los contratos conmutativos, como es el caso de la concesión 167 de 1998.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-Puso de presente que contrario a lo concluido por la Sección Cuarta, en el laudo arbitral del 3 de abril de 2013 sí hubo una manifestación sobre la facultad de regulación del precio a cargo de la CNTV, así como sobre el alcance de la función del auditor.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Afirmó que el Tribunal Arbitral sí hizo un pronunciamiento de fondo sobre la cláusula 8 del otrosí número 4 que hizo tránsito a cosa juzgada, entonces, mal podía el Consejo de Estado, Sección Tercera, Subsección B, decidir sobre la validez de la misma y mucho menos sustentar su decisión en la falta de ésta.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i/>
          <w:sz w:val="24"/>
          <w:szCs w:val="24"/>
        </w:rPr>
      </w:pPr>
      <w:r w:rsidRPr="006F79DA">
        <w:rPr>
          <w:rFonts w:ascii="Arial" w:hAnsi="Arial" w:cs="Arial"/>
          <w:sz w:val="24"/>
          <w:szCs w:val="24"/>
        </w:rPr>
        <w:t xml:space="preserve">-Que no es cierto como se dijo en la providencia impugnada que el laudo arbitral en el proceso promovido por la CNTV contra la CEETTV no era equiparable a los proferidos para dirimir las controversias surgidas con RCN  y Caracol televisión, </w:t>
      </w:r>
      <w:r w:rsidRPr="006F79DA">
        <w:rPr>
          <w:rFonts w:ascii="Arial" w:hAnsi="Arial" w:cs="Arial"/>
          <w:i/>
          <w:sz w:val="24"/>
          <w:szCs w:val="24"/>
        </w:rPr>
        <w:t xml:space="preserve">“pues en éstos últimos hubo un pronunciamiento de fondo del Tribunal Arbitral sobre la ausencia de nulidad absoluta de la cláusula correspondiente al valor de la prórroga del contrato de concesión, la cual, vale anotar, es casi idéntica a la pactada en el contrato el caso que nos ocupa”.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Reiteró que la sentencia proferida por la Sección Tercera debió ser idéntica a las proferidas al resolver la anulación en los casos de RCN y Caracol televisión en las cuales no se anuló la disposición relativa al valor de la prórroga, que contenía los </w:t>
      </w:r>
      <w:r w:rsidRPr="006F79DA">
        <w:rPr>
          <w:rFonts w:ascii="Arial" w:hAnsi="Arial" w:cs="Arial"/>
          <w:sz w:val="24"/>
          <w:szCs w:val="24"/>
        </w:rPr>
        <w:lastRenderedPageBreak/>
        <w:t xml:space="preserve">mismos elementos que en su momento fueron reprochados al analizar la cláusula 8 del contrato de concesión de la CEETTV.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Recordó que precisamente dicho aspecto fue advertido por el Magistrado Ramiro Pazos Guerrero, entonces dijo </w:t>
      </w:r>
      <w:r w:rsidRPr="006F79DA">
        <w:rPr>
          <w:rFonts w:ascii="Arial" w:hAnsi="Arial" w:cs="Arial"/>
          <w:i/>
          <w:sz w:val="24"/>
          <w:szCs w:val="24"/>
        </w:rPr>
        <w:t>“…no encuentro que se hayan expuesto de manera satisfactoria los argumentos para explicar por qué en otros dos recursos de anulación, la Sala no se ocupó del estudio de dicha nulidad absoluta frente a estipulaciones contractuales similares a la sub examine”.</w:t>
      </w:r>
      <w:r w:rsidRPr="006F79DA">
        <w:rPr>
          <w:rFonts w:ascii="Arial" w:hAnsi="Arial" w:cs="Arial"/>
          <w:sz w:val="24"/>
          <w:szCs w:val="24"/>
        </w:rPr>
        <w:t xml:space="preserve">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Que no es cierto que la CNTV renunció a la facultad legal de determinar la tarifa a cargo del concesionario por la utilización del espectro electromagnético, supuestamente, al conferir al auditor la función de determinar ese ingreso y que por ello se vulneró de manera flagrante los artículos 75 y 365 constitucionales y 4 5 29 35, 37 46 y 48 de la Ley 182 de 1995.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i/>
          <w:sz w:val="24"/>
          <w:szCs w:val="24"/>
        </w:rPr>
      </w:pPr>
      <w:r w:rsidRPr="006F79DA">
        <w:rPr>
          <w:rFonts w:ascii="Arial" w:hAnsi="Arial" w:cs="Arial"/>
          <w:sz w:val="24"/>
          <w:szCs w:val="24"/>
        </w:rPr>
        <w:t xml:space="preserve">Al respecto, manifestó que no puede concluirse que la CNTV delegara en un tercero la determinación del precio de la concesión. Asimismo lo refirió el consejero Danilo Rojas Betancourth en su salvamento de voto al señalar </w:t>
      </w:r>
      <w:r w:rsidRPr="006F79DA">
        <w:rPr>
          <w:rFonts w:ascii="Arial" w:hAnsi="Arial" w:cs="Arial"/>
          <w:i/>
          <w:sz w:val="24"/>
          <w:szCs w:val="24"/>
        </w:rPr>
        <w:t>“que no surge la evidente ilegalidad que aquí plantea en relación con la cláusula 8 del referido otrosí, por cuanto en la estipulación contractual se fijó como valor por concepto de la prórroga y “por decisión de la Comisión” la cantidad inicial de $ 8.838.000.000 como “precio base”, más un ajuste – positivo o negativo – que surja del comportamiento real observado en la inversión neta en publicidad en televisión abierta, nacional, regional y local durante los años 2009 y 2010”.</w:t>
      </w:r>
    </w:p>
    <w:p w:rsidR="00FA71F4" w:rsidRPr="006F79DA" w:rsidRDefault="00FA71F4" w:rsidP="00FA71F4">
      <w:pPr>
        <w:spacing w:line="276" w:lineRule="auto"/>
        <w:contextualSpacing/>
        <w:jc w:val="both"/>
        <w:rPr>
          <w:rFonts w:ascii="Arial" w:hAnsi="Arial" w:cs="Arial"/>
          <w:i/>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Por último, refirió que en el laudo arbitral del 3 de abril de 2003, si se hizo un pronunciamiento en cuanto a la naturaleza conmutativa del contrato de concesión 167 de 1998, por tanto, este aspecto hizo tránsito a cosa juzgada. Entonces, era legal que la prórroga del mencionado contrato mantuviera ésta condición, siendo innecesario que el Tribunal de Arbitramento se pronunciara al respecto.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center"/>
        <w:rPr>
          <w:rFonts w:ascii="Arial" w:eastAsia="Times New Roman" w:hAnsi="Arial" w:cs="Arial"/>
          <w:b/>
          <w:sz w:val="24"/>
          <w:szCs w:val="24"/>
          <w:lang w:eastAsia="es-ES"/>
        </w:rPr>
      </w:pPr>
      <w:r w:rsidRPr="006F79DA">
        <w:rPr>
          <w:rFonts w:ascii="Arial" w:eastAsia="Times New Roman" w:hAnsi="Arial" w:cs="Arial"/>
          <w:b/>
          <w:sz w:val="24"/>
          <w:szCs w:val="24"/>
          <w:lang w:eastAsia="es-ES"/>
        </w:rPr>
        <w:t>II. CONSIDERACIONES DE LA SALA</w:t>
      </w:r>
    </w:p>
    <w:p w:rsidR="00FA71F4" w:rsidRPr="006F79DA" w:rsidRDefault="00FA71F4" w:rsidP="00FA71F4">
      <w:pPr>
        <w:spacing w:line="276" w:lineRule="auto"/>
        <w:contextualSpacing/>
        <w:jc w:val="both"/>
        <w:rPr>
          <w:rFonts w:ascii="Arial" w:eastAsia="Times New Roman" w:hAnsi="Arial" w:cs="Arial"/>
          <w:b/>
          <w:sz w:val="24"/>
          <w:szCs w:val="24"/>
          <w:lang w:eastAsia="es-ES"/>
        </w:rPr>
      </w:pPr>
    </w:p>
    <w:p w:rsidR="00FA71F4" w:rsidRPr="006F79DA" w:rsidRDefault="00FA71F4" w:rsidP="00FA71F4">
      <w:pPr>
        <w:numPr>
          <w:ilvl w:val="1"/>
          <w:numId w:val="1"/>
        </w:numPr>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Competencia.</w:t>
      </w:r>
    </w:p>
    <w:p w:rsidR="00FA71F4" w:rsidRPr="006F79DA" w:rsidRDefault="00FA71F4" w:rsidP="00FA71F4">
      <w:pPr>
        <w:spacing w:line="276" w:lineRule="auto"/>
        <w:contextualSpacing/>
        <w:jc w:val="both"/>
        <w:rPr>
          <w:rFonts w:ascii="Arial" w:eastAsia="Times New Roman" w:hAnsi="Arial" w:cs="Arial"/>
          <w:b/>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La Sala es competente para conocer de la impugnación presentada contra la sentencia de primera instancia proferida por la Sección Cuarta del Consejo de Estado, de conformidad con el artículo 32 del Decreto 2591 de 1991.</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2.2. Problema jurídico.</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widowControl w:val="0"/>
        <w:spacing w:line="276" w:lineRule="auto"/>
        <w:jc w:val="both"/>
        <w:rPr>
          <w:rFonts w:ascii="Arial" w:hAnsi="Arial" w:cs="Arial"/>
          <w:sz w:val="24"/>
          <w:szCs w:val="24"/>
        </w:rPr>
      </w:pPr>
      <w:r w:rsidRPr="006F79DA">
        <w:rPr>
          <w:rFonts w:ascii="Arial" w:hAnsi="Arial" w:cs="Arial"/>
          <w:sz w:val="24"/>
          <w:szCs w:val="24"/>
        </w:rPr>
        <w:t xml:space="preserve">Corresponde a la Sala determinar si revoca, confirma o modifica la decisión constitucional de primera instancia, proferida por la Sección Cuarta de esta Corporación. </w:t>
      </w:r>
    </w:p>
    <w:p w:rsidR="00FA71F4" w:rsidRPr="006F79DA" w:rsidRDefault="00FA71F4" w:rsidP="00FA71F4">
      <w:pPr>
        <w:widowControl w:val="0"/>
        <w:spacing w:line="276" w:lineRule="auto"/>
        <w:jc w:val="both"/>
        <w:rPr>
          <w:rFonts w:ascii="Arial" w:hAnsi="Arial" w:cs="Arial"/>
          <w:sz w:val="24"/>
          <w:szCs w:val="24"/>
        </w:rPr>
      </w:pPr>
    </w:p>
    <w:p w:rsidR="00FA71F4" w:rsidRPr="006F79DA" w:rsidRDefault="00FA71F4" w:rsidP="00FA71F4">
      <w:pPr>
        <w:widowControl w:val="0"/>
        <w:spacing w:line="276" w:lineRule="auto"/>
        <w:jc w:val="both"/>
        <w:rPr>
          <w:rFonts w:ascii="Arial" w:hAnsi="Arial" w:cs="Arial"/>
          <w:sz w:val="24"/>
          <w:szCs w:val="24"/>
        </w:rPr>
      </w:pPr>
      <w:r w:rsidRPr="006F79DA">
        <w:rPr>
          <w:rFonts w:ascii="Arial" w:hAnsi="Arial" w:cs="Arial"/>
          <w:sz w:val="24"/>
          <w:szCs w:val="24"/>
        </w:rPr>
        <w:t xml:space="preserve">Para tal fin, se abordarán los dos argumentos principales dados por el </w:t>
      </w:r>
      <w:r w:rsidRPr="006F79DA">
        <w:rPr>
          <w:rFonts w:ascii="Arial" w:hAnsi="Arial" w:cs="Arial"/>
          <w:i/>
          <w:sz w:val="24"/>
          <w:szCs w:val="24"/>
        </w:rPr>
        <w:t xml:space="preserve">a-quo, </w:t>
      </w:r>
      <w:r w:rsidRPr="006F79DA">
        <w:rPr>
          <w:rFonts w:ascii="Arial" w:hAnsi="Arial" w:cs="Arial"/>
          <w:sz w:val="24"/>
          <w:szCs w:val="24"/>
        </w:rPr>
        <w:t xml:space="preserve">respecto de los cuales la sociedad actora formuló los referidos motivos de reparo en la impugnación, los que, valga la pena aclarar, se integran en estos dos </w:t>
      </w:r>
      <w:r w:rsidRPr="006F79DA">
        <w:rPr>
          <w:rFonts w:ascii="Arial" w:hAnsi="Arial" w:cs="Arial"/>
          <w:sz w:val="24"/>
          <w:szCs w:val="24"/>
        </w:rPr>
        <w:lastRenderedPageBreak/>
        <w:t>problemas jurídicos:</w:t>
      </w:r>
    </w:p>
    <w:p w:rsidR="00FA71F4" w:rsidRPr="006F79DA" w:rsidRDefault="00FA71F4" w:rsidP="00FA71F4">
      <w:pPr>
        <w:widowControl w:val="0"/>
        <w:spacing w:line="276" w:lineRule="auto"/>
        <w:jc w:val="both"/>
        <w:rPr>
          <w:rFonts w:ascii="Arial" w:hAnsi="Arial" w:cs="Arial"/>
          <w:sz w:val="24"/>
          <w:szCs w:val="24"/>
        </w:rPr>
      </w:pPr>
    </w:p>
    <w:p w:rsidR="00FA71F4" w:rsidRPr="006F79DA" w:rsidRDefault="00FA71F4" w:rsidP="00FA71F4">
      <w:pPr>
        <w:numPr>
          <w:ilvl w:val="0"/>
          <w:numId w:val="2"/>
        </w:numPr>
        <w:tabs>
          <w:tab w:val="left" w:pos="567"/>
        </w:tabs>
        <w:autoSpaceDE w:val="0"/>
        <w:autoSpaceDN w:val="0"/>
        <w:adjustRightInd w:val="0"/>
        <w:spacing w:line="276" w:lineRule="auto"/>
        <w:ind w:left="567" w:hanging="567"/>
        <w:jc w:val="both"/>
        <w:rPr>
          <w:rFonts w:ascii="Arial" w:hAnsi="Arial" w:cs="Arial"/>
          <w:sz w:val="24"/>
          <w:szCs w:val="24"/>
          <w:lang w:val="es-ES_tradnl"/>
        </w:rPr>
      </w:pPr>
      <w:r w:rsidRPr="006F79DA">
        <w:rPr>
          <w:rFonts w:ascii="Arial" w:hAnsi="Arial" w:cs="Arial"/>
          <w:sz w:val="24"/>
          <w:szCs w:val="24"/>
          <w:lang w:val="es-ES_tradnl"/>
        </w:rPr>
        <w:t>¿El Consejo de Estado, Sección Tercera, Subsección B, como juez del recurso de anulación, tenía competencia para examinar la validez la cláusula octava del otrosí N° 4 del contrato de concesión 167 de 1998?</w:t>
      </w:r>
    </w:p>
    <w:p w:rsidR="00FA71F4" w:rsidRPr="006F79DA" w:rsidRDefault="00FA71F4" w:rsidP="00FA71F4">
      <w:pPr>
        <w:autoSpaceDE w:val="0"/>
        <w:autoSpaceDN w:val="0"/>
        <w:adjustRightInd w:val="0"/>
        <w:spacing w:line="276" w:lineRule="auto"/>
        <w:ind w:left="720"/>
        <w:jc w:val="both"/>
        <w:rPr>
          <w:rFonts w:ascii="Arial" w:hAnsi="Arial" w:cs="Arial"/>
          <w:sz w:val="24"/>
          <w:szCs w:val="24"/>
          <w:lang w:val="es-ES_tradnl"/>
        </w:rPr>
      </w:pPr>
    </w:p>
    <w:p w:rsidR="00FA71F4" w:rsidRPr="006F79DA" w:rsidRDefault="00FA71F4" w:rsidP="00FA71F4">
      <w:pPr>
        <w:numPr>
          <w:ilvl w:val="0"/>
          <w:numId w:val="2"/>
        </w:numPr>
        <w:tabs>
          <w:tab w:val="left" w:pos="567"/>
        </w:tabs>
        <w:autoSpaceDE w:val="0"/>
        <w:autoSpaceDN w:val="0"/>
        <w:adjustRightInd w:val="0"/>
        <w:spacing w:line="276" w:lineRule="auto"/>
        <w:ind w:left="567" w:hanging="567"/>
        <w:jc w:val="both"/>
        <w:rPr>
          <w:rFonts w:ascii="Arial" w:hAnsi="Arial" w:cs="Arial"/>
          <w:sz w:val="24"/>
          <w:szCs w:val="24"/>
          <w:lang w:val="es-ES_tradnl"/>
        </w:rPr>
      </w:pPr>
      <w:r w:rsidRPr="006F79DA">
        <w:rPr>
          <w:rFonts w:ascii="Arial" w:hAnsi="Arial" w:cs="Arial"/>
          <w:sz w:val="24"/>
          <w:szCs w:val="24"/>
          <w:lang w:val="es-ES_tradnl"/>
        </w:rPr>
        <w:t>Después de precisar dicho aspecto, se analizará si ¿en la sentencia del 29 de mayo de 2014 se desconoció el debido proceso y el derecho de acceso a la administración de justicia, al concluir la cláusula octava del otrosí N° 4 del contrato de concesión 167 de 1998 estaba afectada por nulidad absoluta, por ser evidentemente contraria al ordenamiento jurídico?</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Para tal efecto, en el presente caso, se hará una breve mención al </w:t>
      </w:r>
      <w:r w:rsidRPr="006F79DA">
        <w:rPr>
          <w:rFonts w:ascii="Arial" w:hAnsi="Arial" w:cs="Arial"/>
          <w:sz w:val="24"/>
          <w:szCs w:val="24"/>
        </w:rPr>
        <w:t>criterio de la Sección sobre la procedencia de la acción de tutela contra providencia judicial, para luego, analizar el caso concreto</w:t>
      </w: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b/>
          <w:sz w:val="24"/>
          <w:szCs w:val="24"/>
          <w:lang w:eastAsia="es-ES"/>
        </w:rPr>
        <w:t>2.3</w:t>
      </w:r>
      <w:r w:rsidRPr="006F79DA">
        <w:rPr>
          <w:rFonts w:ascii="Arial" w:eastAsia="Times New Roman" w:hAnsi="Arial" w:cs="Arial"/>
          <w:sz w:val="24"/>
          <w:szCs w:val="24"/>
          <w:lang w:eastAsia="es-ES"/>
        </w:rPr>
        <w:t xml:space="preserve"> </w:t>
      </w:r>
      <w:r w:rsidRPr="006F79DA">
        <w:rPr>
          <w:rFonts w:ascii="Arial" w:hAnsi="Arial" w:cs="Arial"/>
          <w:b/>
          <w:sz w:val="24"/>
          <w:szCs w:val="24"/>
        </w:rPr>
        <w:t>La procedencia de la acción de tutela contra providencia judicial.</w:t>
      </w:r>
    </w:p>
    <w:p w:rsidR="00FA71F4" w:rsidRPr="006F79DA" w:rsidRDefault="00FA71F4" w:rsidP="00FA71F4">
      <w:pPr>
        <w:tabs>
          <w:tab w:val="left" w:pos="2835"/>
        </w:tabs>
        <w:spacing w:line="276" w:lineRule="auto"/>
        <w:jc w:val="both"/>
        <w:rPr>
          <w:rFonts w:ascii="Arial" w:hAnsi="Arial" w:cs="Arial"/>
          <w:sz w:val="24"/>
          <w:szCs w:val="24"/>
        </w:rPr>
      </w:pPr>
    </w:p>
    <w:p w:rsidR="00FA71F4" w:rsidRPr="006F79DA" w:rsidRDefault="00FA71F4" w:rsidP="00FA71F4">
      <w:pPr>
        <w:tabs>
          <w:tab w:val="left" w:pos="2835"/>
        </w:tabs>
        <w:spacing w:line="276" w:lineRule="auto"/>
        <w:jc w:val="both"/>
        <w:rPr>
          <w:rFonts w:ascii="Arial" w:hAnsi="Arial" w:cs="Arial"/>
          <w:sz w:val="24"/>
          <w:szCs w:val="24"/>
        </w:rPr>
      </w:pPr>
      <w:r w:rsidRPr="006F79DA">
        <w:rPr>
          <w:rFonts w:ascii="Arial" w:hAnsi="Arial" w:cs="Arial"/>
          <w:sz w:val="24"/>
          <w:szCs w:val="24"/>
        </w:rPr>
        <w:t>La Sala Plena de lo Contencioso Administrativo, en fallo de 31 de julio de 2012</w:t>
      </w:r>
      <w:r w:rsidRPr="006F79DA">
        <w:rPr>
          <w:rStyle w:val="Refdenotaalpie"/>
          <w:rFonts w:ascii="Arial" w:hAnsi="Arial" w:cs="Arial"/>
          <w:sz w:val="24"/>
          <w:szCs w:val="24"/>
        </w:rPr>
        <w:footnoteReference w:id="12"/>
      </w:r>
      <w:r w:rsidRPr="006F79DA">
        <w:rPr>
          <w:rFonts w:ascii="Arial" w:hAnsi="Arial" w:cs="Arial"/>
          <w:sz w:val="24"/>
          <w:szCs w:val="24"/>
        </w:rPr>
        <w:t>unificó la diversidad de criterios que esta Corporación tenía sobre la acción de tutela contra providencias judiciales, por cuanto las distintas Secciones y la misma Sala Plena habían adoptado posturas diversas sobre el tema</w:t>
      </w:r>
      <w:r w:rsidRPr="006F79DA">
        <w:rPr>
          <w:rStyle w:val="Refdenotaalpie"/>
          <w:rFonts w:ascii="Arial" w:hAnsi="Arial" w:cs="Arial"/>
          <w:sz w:val="24"/>
          <w:szCs w:val="24"/>
        </w:rPr>
        <w:footnoteReference w:id="13"/>
      </w:r>
      <w:r w:rsidRPr="006F79DA">
        <w:rPr>
          <w:rFonts w:ascii="Arial" w:hAnsi="Arial" w:cs="Arial"/>
          <w:sz w:val="24"/>
          <w:szCs w:val="24"/>
        </w:rPr>
        <w:t xml:space="preserve"> y declaró su procedencia</w:t>
      </w:r>
      <w:r w:rsidRPr="006F79DA">
        <w:rPr>
          <w:rStyle w:val="Refdenotaalpie"/>
          <w:rFonts w:ascii="Arial" w:hAnsi="Arial" w:cs="Arial"/>
          <w:sz w:val="24"/>
          <w:szCs w:val="24"/>
        </w:rPr>
        <w:footnoteReference w:id="14"/>
      </w:r>
      <w:r w:rsidRPr="006F79DA">
        <w:rPr>
          <w:rFonts w:ascii="Arial" w:hAnsi="Arial" w:cs="Arial"/>
          <w:sz w:val="24"/>
          <w:szCs w:val="24"/>
        </w:rPr>
        <w:t>.</w:t>
      </w:r>
    </w:p>
    <w:p w:rsidR="00FA71F4" w:rsidRPr="006F79DA" w:rsidRDefault="00FA71F4" w:rsidP="00FA71F4">
      <w:pPr>
        <w:tabs>
          <w:tab w:val="left" w:pos="2835"/>
        </w:tabs>
        <w:spacing w:line="276" w:lineRule="auto"/>
        <w:jc w:val="both"/>
        <w:rPr>
          <w:rFonts w:ascii="Arial" w:hAnsi="Arial" w:cs="Arial"/>
          <w:sz w:val="24"/>
          <w:szCs w:val="24"/>
        </w:rPr>
      </w:pPr>
      <w:r w:rsidRPr="006F79DA">
        <w:rPr>
          <w:rFonts w:ascii="Arial" w:hAnsi="Arial" w:cs="Arial"/>
          <w:sz w:val="24"/>
          <w:szCs w:val="24"/>
        </w:rPr>
        <w:t xml:space="preserve"> </w:t>
      </w:r>
    </w:p>
    <w:p w:rsidR="00FA71F4" w:rsidRPr="006F79DA" w:rsidRDefault="00FA71F4" w:rsidP="00FA71F4">
      <w:pPr>
        <w:tabs>
          <w:tab w:val="left" w:pos="2835"/>
        </w:tabs>
        <w:spacing w:line="276" w:lineRule="auto"/>
        <w:jc w:val="both"/>
        <w:rPr>
          <w:rFonts w:ascii="Arial" w:hAnsi="Arial" w:cs="Arial"/>
          <w:sz w:val="24"/>
          <w:szCs w:val="24"/>
        </w:rPr>
      </w:pPr>
      <w:r w:rsidRPr="006F79DA">
        <w:rPr>
          <w:rFonts w:ascii="Arial" w:hAnsi="Arial" w:cs="Arial"/>
          <w:sz w:val="24"/>
          <w:szCs w:val="24"/>
        </w:rPr>
        <w:t xml:space="preserve">Así pues, esta Sección de manera reiterada ha establecido como parámetros para realizar su estudio, que cumpla con los siguientes requisitos: </w:t>
      </w:r>
      <w:r w:rsidRPr="006F79DA">
        <w:rPr>
          <w:rFonts w:ascii="Arial" w:hAnsi="Arial" w:cs="Arial"/>
          <w:b/>
          <w:sz w:val="24"/>
          <w:szCs w:val="24"/>
        </w:rPr>
        <w:t>i)</w:t>
      </w:r>
      <w:r w:rsidRPr="006F79DA">
        <w:rPr>
          <w:rFonts w:ascii="Arial" w:hAnsi="Arial" w:cs="Arial"/>
          <w:sz w:val="24"/>
          <w:szCs w:val="24"/>
        </w:rPr>
        <w:t xml:space="preserve"> que no se trate de tutela contra tutela; </w:t>
      </w:r>
      <w:r w:rsidRPr="006F79DA">
        <w:rPr>
          <w:rFonts w:ascii="Arial" w:hAnsi="Arial" w:cs="Arial"/>
          <w:b/>
          <w:sz w:val="24"/>
          <w:szCs w:val="24"/>
        </w:rPr>
        <w:t>ii)</w:t>
      </w:r>
      <w:r w:rsidRPr="006F79DA">
        <w:rPr>
          <w:rFonts w:ascii="Arial" w:hAnsi="Arial" w:cs="Arial"/>
          <w:sz w:val="24"/>
          <w:szCs w:val="24"/>
        </w:rPr>
        <w:t xml:space="preserve"> inmediatez; </w:t>
      </w:r>
      <w:r w:rsidRPr="006F79DA">
        <w:rPr>
          <w:rFonts w:ascii="Arial" w:hAnsi="Arial" w:cs="Arial"/>
          <w:b/>
          <w:sz w:val="24"/>
          <w:szCs w:val="24"/>
        </w:rPr>
        <w:t>iii)</w:t>
      </w:r>
      <w:r w:rsidRPr="006F79DA">
        <w:rPr>
          <w:rFonts w:ascii="Arial" w:hAnsi="Arial" w:cs="Arial"/>
          <w:sz w:val="24"/>
          <w:szCs w:val="24"/>
        </w:rPr>
        <w:t xml:space="preserve"> subsidiariedad, es decir, agotamiento de los requisitos ordinarios y extraordinarios, siempre y cuando ellos sean idóneos y eficaces para la protección del derecho que se dice vulnerado. De modo que, de no observarse el cumplimiento de uno de estos presupuestos, se declara la improcedencia del amparo solicitado, sin que se analice el fondo del asunto.</w:t>
      </w:r>
    </w:p>
    <w:p w:rsidR="00FA71F4" w:rsidRPr="006F79DA" w:rsidRDefault="00FA71F4" w:rsidP="00FA71F4">
      <w:pPr>
        <w:tabs>
          <w:tab w:val="left" w:pos="2835"/>
        </w:tabs>
        <w:spacing w:line="276" w:lineRule="auto"/>
        <w:jc w:val="both"/>
        <w:rPr>
          <w:rFonts w:ascii="Arial" w:hAnsi="Arial" w:cs="Arial"/>
          <w:sz w:val="24"/>
          <w:szCs w:val="24"/>
        </w:rPr>
      </w:pPr>
    </w:p>
    <w:p w:rsidR="00FA71F4" w:rsidRPr="006F79DA" w:rsidRDefault="00FA71F4" w:rsidP="00FA71F4">
      <w:pPr>
        <w:tabs>
          <w:tab w:val="left" w:pos="2835"/>
        </w:tabs>
        <w:spacing w:line="276" w:lineRule="auto"/>
        <w:jc w:val="both"/>
        <w:rPr>
          <w:rFonts w:ascii="Arial" w:hAnsi="Arial" w:cs="Arial"/>
          <w:sz w:val="24"/>
          <w:szCs w:val="24"/>
        </w:rPr>
      </w:pPr>
      <w:r w:rsidRPr="006F79DA">
        <w:rPr>
          <w:rFonts w:ascii="Arial" w:hAnsi="Arial" w:cs="Arial"/>
          <w:sz w:val="24"/>
          <w:szCs w:val="24"/>
        </w:rPr>
        <w:t xml:space="preserve">Ahora bien, comoquiera que la primera instancia ya analizó los requisitos de procedibilidad adjetiva, y en consideración a que ello no fue materia de impugnación, corresponderá adentrarse en la materia objeto del amparo, a partir de los argumentos expuestos en la correspondiente impugnación. </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 xml:space="preserve">2.4 Reglas del recurso de anulación contra laudos arbitrales. </w:t>
      </w:r>
    </w:p>
    <w:p w:rsidR="00FA71F4" w:rsidRPr="006F79DA" w:rsidRDefault="00FA71F4" w:rsidP="00FA71F4">
      <w:pPr>
        <w:spacing w:line="276" w:lineRule="auto"/>
        <w:contextualSpacing/>
        <w:jc w:val="both"/>
        <w:rPr>
          <w:rFonts w:ascii="Arial" w:eastAsia="Times New Roman" w:hAnsi="Arial" w:cs="Arial"/>
          <w:b/>
          <w:sz w:val="24"/>
          <w:szCs w:val="24"/>
          <w:lang w:eastAsia="es-ES"/>
        </w:rPr>
      </w:pP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r w:rsidRPr="006F79DA">
        <w:rPr>
          <w:rFonts w:ascii="Arial" w:eastAsia="Times New Roman" w:hAnsi="Arial" w:cs="Arial"/>
          <w:sz w:val="24"/>
          <w:szCs w:val="24"/>
          <w:lang w:eastAsia="es-ES"/>
        </w:rPr>
        <w:t xml:space="preserve">Esta Corporación </w:t>
      </w:r>
      <w:r w:rsidRPr="006F79DA">
        <w:rPr>
          <w:rFonts w:ascii="Arial" w:hAnsi="Arial" w:cs="Arial"/>
          <w:sz w:val="24"/>
          <w:szCs w:val="24"/>
        </w:rPr>
        <w:t>en reiterada jurisprudencia</w:t>
      </w:r>
      <w:r w:rsidRPr="006F79DA">
        <w:rPr>
          <w:rStyle w:val="Refdenotaalpie"/>
          <w:rFonts w:ascii="Arial" w:hAnsi="Arial" w:cs="Arial"/>
          <w:sz w:val="24"/>
          <w:szCs w:val="24"/>
        </w:rPr>
        <w:footnoteReference w:id="15"/>
      </w:r>
      <w:r w:rsidRPr="006F79DA">
        <w:rPr>
          <w:rFonts w:ascii="Arial" w:hAnsi="Arial" w:cs="Arial"/>
          <w:sz w:val="24"/>
          <w:szCs w:val="24"/>
        </w:rPr>
        <w:t xml:space="preserve"> en relación con el recurso de anulación de laudos arbitrales ha fijado las siguientes reglas:</w:t>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p>
    <w:p w:rsidR="00FA71F4" w:rsidRPr="006F79DA" w:rsidRDefault="00FA71F4" w:rsidP="00FA71F4">
      <w:pPr>
        <w:spacing w:line="276" w:lineRule="auto"/>
        <w:ind w:left="567"/>
        <w:jc w:val="both"/>
        <w:rPr>
          <w:rFonts w:ascii="Arial" w:hAnsi="Arial" w:cs="Arial"/>
          <w:i/>
          <w:sz w:val="24"/>
          <w:szCs w:val="24"/>
        </w:rPr>
      </w:pPr>
      <w:r w:rsidRPr="006F79DA">
        <w:rPr>
          <w:rFonts w:ascii="Arial" w:hAnsi="Arial" w:cs="Arial"/>
          <w:sz w:val="24"/>
          <w:szCs w:val="24"/>
        </w:rPr>
        <w:t>i</w:t>
      </w:r>
      <w:r w:rsidRPr="006F79DA">
        <w:rPr>
          <w:rFonts w:ascii="Arial" w:hAnsi="Arial" w:cs="Arial"/>
          <w:i/>
          <w:sz w:val="24"/>
          <w:szCs w:val="24"/>
        </w:rPr>
        <w:t xml:space="preserve">) </w:t>
      </w:r>
      <w:r w:rsidRPr="006F79DA">
        <w:rPr>
          <w:rFonts w:ascii="Arial" w:hAnsi="Arial" w:cs="Arial"/>
          <w:i/>
          <w:sz w:val="24"/>
          <w:szCs w:val="24"/>
        </w:rPr>
        <w:tab/>
      </w:r>
      <w:bookmarkStart w:id="2" w:name="_Hlk30082774"/>
      <w:r w:rsidRPr="006F79DA">
        <w:rPr>
          <w:rFonts w:ascii="Arial" w:hAnsi="Arial" w:cs="Arial"/>
          <w:i/>
          <w:sz w:val="24"/>
          <w:szCs w:val="24"/>
        </w:rPr>
        <w:t xml:space="preserve">El recurso de anulación de laudos arbitrales, es de carácter excepcional, restrictivo y extraordinario, sin que constituya una instancia más dentro del correspondiente proceso. </w:t>
      </w:r>
    </w:p>
    <w:bookmarkEnd w:id="2"/>
    <w:p w:rsidR="00FA71F4" w:rsidRPr="006F79DA" w:rsidRDefault="00FA71F4" w:rsidP="00FA71F4">
      <w:pPr>
        <w:spacing w:line="276" w:lineRule="auto"/>
        <w:ind w:left="567"/>
        <w:jc w:val="both"/>
        <w:rPr>
          <w:rFonts w:ascii="Arial" w:hAnsi="Arial" w:cs="Arial"/>
          <w:i/>
          <w:sz w:val="24"/>
          <w:szCs w:val="24"/>
        </w:rPr>
      </w:pPr>
    </w:p>
    <w:p w:rsidR="00FA71F4" w:rsidRPr="006F79DA" w:rsidRDefault="00FA71F4" w:rsidP="00FA71F4">
      <w:pPr>
        <w:spacing w:line="276" w:lineRule="auto"/>
        <w:ind w:left="567"/>
        <w:jc w:val="both"/>
        <w:rPr>
          <w:rFonts w:ascii="Arial" w:hAnsi="Arial" w:cs="Arial"/>
          <w:i/>
          <w:sz w:val="24"/>
          <w:szCs w:val="24"/>
        </w:rPr>
      </w:pPr>
      <w:r w:rsidRPr="006F79DA">
        <w:rPr>
          <w:rFonts w:ascii="Arial" w:hAnsi="Arial" w:cs="Arial"/>
          <w:i/>
          <w:sz w:val="24"/>
          <w:szCs w:val="24"/>
        </w:rPr>
        <w:t xml:space="preserve">ii) </w:t>
      </w:r>
      <w:r w:rsidRPr="006F79DA">
        <w:rPr>
          <w:rFonts w:ascii="Arial" w:hAnsi="Arial" w:cs="Arial"/>
          <w:i/>
          <w:sz w:val="24"/>
          <w:szCs w:val="24"/>
        </w:rPr>
        <w:tab/>
      </w:r>
      <w:bookmarkStart w:id="3" w:name="_Hlk30082786"/>
      <w:r w:rsidRPr="006F79DA">
        <w:rPr>
          <w:rFonts w:ascii="Arial" w:hAnsi="Arial" w:cs="Arial"/>
          <w:i/>
          <w:sz w:val="24"/>
          <w:szCs w:val="24"/>
        </w:rPr>
        <w:t>El recurso tiene como finalidad controvertir la decisión contenida en el laudo arbitral por errores in procedendo (por violación de leyes procesales)</w:t>
      </w:r>
      <w:bookmarkEnd w:id="3"/>
      <w:r w:rsidRPr="006F79DA">
        <w:rPr>
          <w:rFonts w:ascii="Arial" w:hAnsi="Arial" w:cs="Arial"/>
          <w:i/>
          <w:sz w:val="24"/>
          <w:szCs w:val="24"/>
        </w:rPr>
        <w:t xml:space="preserve">, que comprometen la ritualidad de las actuaciones, por quebrantar normas reguladoras de la actividad procesal, desviar el juicio o vulnerar las garantías del derecho de defensa y del debido proceso, pero a través de él, no puede pretenderse atacar el laudo por cuestiones de mérito o de fondo, errores in iudicando (violación de leyes sustantivas), es decir, para examinar si el Tribunal de Arbitramento obró o no conforme al derecho sustancial (falta de aplicación de la ley sustantiva, indebida aplicación o aplicación errónea), ni tampoco para revivir un nuevo debate probatorio o considerar si hubo o no un yerro en la valoración de las pruebas o en las conclusiones a las cuales arribó el correspondiente Tribunal, puesto que el juez de anulación no constituye superior jerárquico del Tribunal de Arbitramento y en consecuencia, no podrá intervenir en el juzgamiento del asunto de fondo y de esta manera modificar las decisiones plasmadas en el laudo, por no compartir sus criterios y razonamientos. </w:t>
      </w:r>
    </w:p>
    <w:p w:rsidR="00FA71F4" w:rsidRPr="006F79DA" w:rsidRDefault="00FA71F4" w:rsidP="00FA71F4">
      <w:pPr>
        <w:spacing w:line="276" w:lineRule="auto"/>
        <w:ind w:left="567"/>
        <w:jc w:val="both"/>
        <w:rPr>
          <w:rFonts w:ascii="Arial" w:hAnsi="Arial" w:cs="Arial"/>
          <w:i/>
          <w:sz w:val="24"/>
          <w:szCs w:val="24"/>
        </w:rPr>
      </w:pPr>
    </w:p>
    <w:p w:rsidR="00FA71F4" w:rsidRPr="006F79DA" w:rsidRDefault="00FA71F4" w:rsidP="00FA71F4">
      <w:pPr>
        <w:spacing w:line="276" w:lineRule="auto"/>
        <w:ind w:left="567"/>
        <w:jc w:val="both"/>
        <w:rPr>
          <w:rFonts w:ascii="Arial" w:hAnsi="Arial" w:cs="Arial"/>
          <w:i/>
          <w:sz w:val="24"/>
          <w:szCs w:val="24"/>
        </w:rPr>
      </w:pPr>
      <w:r w:rsidRPr="006F79DA">
        <w:rPr>
          <w:rFonts w:ascii="Arial" w:hAnsi="Arial" w:cs="Arial"/>
          <w:i/>
          <w:sz w:val="24"/>
          <w:szCs w:val="24"/>
        </w:rPr>
        <w:t>iii)</w:t>
      </w:r>
      <w:r w:rsidRPr="006F79DA">
        <w:rPr>
          <w:rFonts w:ascii="Arial" w:hAnsi="Arial" w:cs="Arial"/>
          <w:i/>
          <w:sz w:val="24"/>
          <w:szCs w:val="24"/>
        </w:rPr>
        <w:tab/>
        <w:t xml:space="preserve">Excepcionalmente, </w:t>
      </w:r>
      <w:bookmarkStart w:id="4" w:name="_Hlk30082809"/>
      <w:r w:rsidRPr="006F79DA">
        <w:rPr>
          <w:rFonts w:ascii="Arial" w:hAnsi="Arial" w:cs="Arial"/>
          <w:i/>
          <w:sz w:val="24"/>
          <w:szCs w:val="24"/>
        </w:rPr>
        <w:t xml:space="preserve">el juez de anulación podrá corregir o adicionar el laudo en aquellos eventos en que prospera la causal de incongruencia, por no haberse decidido la totalidad de los asuntos sometidos al conocimiento de los árbitros o por haberse pronunciado sobre aspectos que no estuvieron sujetos a la decisión de los mismos o por haberse concedido más de lo pedido, de conformidad con las causales previstas en los numerales 4º y 5º, del artículo 72, de </w:t>
      </w:r>
      <w:smartTag w:uri="urn:schemas-microsoft-com:office:smarttags" w:element="PersonName">
        <w:smartTagPr>
          <w:attr w:name="ProductID" w:val="la Ley"/>
        </w:smartTagPr>
        <w:r w:rsidRPr="006F79DA">
          <w:rPr>
            <w:rFonts w:ascii="Arial" w:hAnsi="Arial" w:cs="Arial"/>
            <w:i/>
            <w:sz w:val="24"/>
            <w:szCs w:val="24"/>
          </w:rPr>
          <w:t>la Ley</w:t>
        </w:r>
      </w:smartTag>
      <w:r w:rsidRPr="006F79DA">
        <w:rPr>
          <w:rFonts w:ascii="Arial" w:hAnsi="Arial" w:cs="Arial"/>
          <w:i/>
          <w:sz w:val="24"/>
          <w:szCs w:val="24"/>
        </w:rPr>
        <w:t xml:space="preserve"> 80 de 1993. </w:t>
      </w:r>
    </w:p>
    <w:bookmarkEnd w:id="4"/>
    <w:p w:rsidR="00FA71F4" w:rsidRPr="006F79DA" w:rsidRDefault="00FA71F4" w:rsidP="00FA71F4">
      <w:pPr>
        <w:pStyle w:val="Encabezado"/>
        <w:spacing w:line="276" w:lineRule="auto"/>
        <w:ind w:left="567"/>
        <w:jc w:val="both"/>
        <w:rPr>
          <w:rFonts w:ascii="Arial" w:hAnsi="Arial" w:cs="Arial"/>
          <w:i/>
        </w:rPr>
      </w:pPr>
    </w:p>
    <w:p w:rsidR="00FA71F4" w:rsidRPr="006F79DA" w:rsidRDefault="00FA71F4" w:rsidP="00FA71F4">
      <w:pPr>
        <w:spacing w:line="276" w:lineRule="auto"/>
        <w:ind w:left="567"/>
        <w:jc w:val="both"/>
        <w:rPr>
          <w:rFonts w:ascii="Arial" w:hAnsi="Arial" w:cs="Arial"/>
          <w:i/>
          <w:sz w:val="24"/>
          <w:szCs w:val="24"/>
        </w:rPr>
      </w:pPr>
      <w:r w:rsidRPr="006F79DA">
        <w:rPr>
          <w:rFonts w:ascii="Arial" w:hAnsi="Arial" w:cs="Arial"/>
          <w:i/>
          <w:sz w:val="24"/>
          <w:szCs w:val="24"/>
        </w:rPr>
        <w:t>iv)</w:t>
      </w:r>
      <w:r w:rsidRPr="006F79DA">
        <w:rPr>
          <w:rFonts w:ascii="Arial" w:hAnsi="Arial" w:cs="Arial"/>
          <w:i/>
          <w:sz w:val="24"/>
          <w:szCs w:val="24"/>
        </w:rPr>
        <w:tab/>
      </w:r>
      <w:bookmarkStart w:id="5" w:name="_Hlk30082822"/>
      <w:r w:rsidRPr="006F79DA">
        <w:rPr>
          <w:rFonts w:ascii="Arial" w:hAnsi="Arial" w:cs="Arial"/>
          <w:i/>
          <w:sz w:val="24"/>
          <w:szCs w:val="24"/>
        </w:rPr>
        <w:t xml:space="preserve">Los poderes del juez del recurso de anulación están restringidos por el denominado “principio dispositivo”, </w:t>
      </w:r>
      <w:bookmarkEnd w:id="5"/>
      <w:r w:rsidRPr="006F79DA">
        <w:rPr>
          <w:rFonts w:ascii="Arial" w:hAnsi="Arial" w:cs="Arial"/>
          <w:i/>
          <w:sz w:val="24"/>
          <w:szCs w:val="24"/>
        </w:rPr>
        <w:t>el cual le impone limitarse exclusivamente a lo solicitado por el recurrente en la formulación y sustentación del recurso, el objeto que con él se persigue y ello, obviamente, dentro de las precisas y taxativas causales que la ley consagra</w:t>
      </w:r>
      <w:r w:rsidRPr="006F79DA">
        <w:rPr>
          <w:rStyle w:val="Refdenotaalpie"/>
          <w:rFonts w:ascii="Arial" w:hAnsi="Arial" w:cs="Arial"/>
          <w:i/>
          <w:sz w:val="24"/>
          <w:szCs w:val="24"/>
        </w:rPr>
        <w:footnoteReference w:id="16"/>
      </w:r>
      <w:r w:rsidRPr="006F79DA">
        <w:rPr>
          <w:rFonts w:ascii="Arial" w:hAnsi="Arial" w:cs="Arial"/>
          <w:i/>
          <w:sz w:val="24"/>
          <w:szCs w:val="24"/>
        </w:rPr>
        <w:t>; en consecuencia, no le es permitido al juez de anulación interpretar lo expresado por el recurrente para entender o deducir la causal invocada y menos aún pronunciarse sobre aspectos no contenidos en la formulación y sustentación del correspondiente recurso de anulación.</w:t>
      </w:r>
      <w:r w:rsidRPr="006F79DA">
        <w:rPr>
          <w:rStyle w:val="Refdenotaalpie"/>
          <w:rFonts w:ascii="Arial" w:hAnsi="Arial" w:cs="Arial"/>
          <w:i/>
          <w:sz w:val="24"/>
          <w:szCs w:val="24"/>
        </w:rPr>
        <w:footnoteReference w:id="17"/>
      </w:r>
    </w:p>
    <w:p w:rsidR="00FA71F4" w:rsidRPr="006F79DA" w:rsidRDefault="00FA71F4" w:rsidP="00FA71F4">
      <w:pPr>
        <w:spacing w:line="276" w:lineRule="auto"/>
        <w:ind w:left="567"/>
        <w:jc w:val="both"/>
        <w:rPr>
          <w:rFonts w:ascii="Arial" w:hAnsi="Arial" w:cs="Arial"/>
          <w:i/>
          <w:sz w:val="24"/>
          <w:szCs w:val="24"/>
        </w:rPr>
      </w:pPr>
    </w:p>
    <w:p w:rsidR="00FA71F4" w:rsidRPr="006F79DA" w:rsidRDefault="00FA71F4" w:rsidP="00FA71F4">
      <w:pPr>
        <w:spacing w:line="276" w:lineRule="auto"/>
        <w:ind w:left="567"/>
        <w:jc w:val="both"/>
        <w:rPr>
          <w:rFonts w:ascii="Arial" w:hAnsi="Arial" w:cs="Arial"/>
          <w:sz w:val="24"/>
          <w:szCs w:val="24"/>
        </w:rPr>
      </w:pPr>
      <w:r w:rsidRPr="006F79DA">
        <w:rPr>
          <w:rFonts w:ascii="Arial" w:hAnsi="Arial" w:cs="Arial"/>
          <w:i/>
          <w:sz w:val="24"/>
          <w:szCs w:val="24"/>
        </w:rPr>
        <w:t xml:space="preserve">v) </w:t>
      </w:r>
      <w:r w:rsidRPr="006F79DA">
        <w:rPr>
          <w:rFonts w:ascii="Arial" w:hAnsi="Arial" w:cs="Arial"/>
          <w:i/>
          <w:sz w:val="24"/>
          <w:szCs w:val="24"/>
        </w:rPr>
        <w:tab/>
      </w:r>
      <w:bookmarkStart w:id="6" w:name="_Hlk30082852"/>
      <w:r w:rsidRPr="006F79DA">
        <w:rPr>
          <w:rFonts w:ascii="Arial" w:hAnsi="Arial" w:cs="Arial"/>
          <w:i/>
          <w:sz w:val="24"/>
          <w:szCs w:val="24"/>
        </w:rPr>
        <w:t>El recurso de anulación procede contra laudos arbitrales debidamente ejecutoriados, como excepción al principio de intangibilidad de las sentencias en firme</w:t>
      </w:r>
      <w:bookmarkEnd w:id="6"/>
      <w:r w:rsidRPr="006F79DA">
        <w:rPr>
          <w:rFonts w:ascii="Arial" w:hAnsi="Arial" w:cs="Arial"/>
          <w:i/>
          <w:sz w:val="24"/>
          <w:szCs w:val="24"/>
        </w:rPr>
        <w:t xml:space="preserve">; “tal excepcionalidad es pues, a la vez, fundamento y límite de los </w:t>
      </w:r>
      <w:r w:rsidRPr="006F79DA">
        <w:rPr>
          <w:rFonts w:ascii="Arial" w:hAnsi="Arial" w:cs="Arial"/>
          <w:i/>
          <w:sz w:val="24"/>
          <w:szCs w:val="24"/>
        </w:rPr>
        <w:lastRenderedPageBreak/>
        <w:t>poderes del juez de la anulación, para enmarcar rígidamente el susodicho recurso extraordinario dentro del concepto de los eminentemente rogados.</w:t>
      </w:r>
      <w:r w:rsidRPr="006F79DA">
        <w:rPr>
          <w:rFonts w:ascii="Arial" w:hAnsi="Arial" w:cs="Arial"/>
          <w:sz w:val="24"/>
          <w:szCs w:val="24"/>
        </w:rPr>
        <w:t>”</w:t>
      </w:r>
      <w:r w:rsidRPr="006F79DA">
        <w:rPr>
          <w:rStyle w:val="Refdenotaalpie"/>
          <w:rFonts w:ascii="Arial" w:hAnsi="Arial" w:cs="Arial"/>
          <w:sz w:val="24"/>
          <w:szCs w:val="24"/>
        </w:rPr>
        <w:footnoteReference w:id="18"/>
      </w:r>
    </w:p>
    <w:p w:rsidR="00FA71F4" w:rsidRPr="006F79DA" w:rsidRDefault="00FA71F4" w:rsidP="00FA71F4">
      <w:pPr>
        <w:spacing w:line="276" w:lineRule="auto"/>
        <w:ind w:left="567"/>
        <w:jc w:val="both"/>
        <w:rPr>
          <w:rFonts w:ascii="Arial" w:hAnsi="Arial" w:cs="Arial"/>
          <w:sz w:val="24"/>
          <w:szCs w:val="24"/>
        </w:rPr>
      </w:pPr>
      <w:r w:rsidRPr="006F79DA">
        <w:rPr>
          <w:rFonts w:ascii="Arial" w:hAnsi="Arial" w:cs="Arial"/>
          <w:sz w:val="24"/>
          <w:szCs w:val="24"/>
        </w:rPr>
        <w:t xml:space="preserve"> </w:t>
      </w:r>
    </w:p>
    <w:p w:rsidR="00FA71F4" w:rsidRPr="006F79DA" w:rsidRDefault="00FA71F4" w:rsidP="00FA71F4">
      <w:pPr>
        <w:pStyle w:val="Encabezado"/>
        <w:spacing w:line="276" w:lineRule="auto"/>
        <w:ind w:left="567"/>
        <w:jc w:val="both"/>
        <w:rPr>
          <w:rFonts w:ascii="Arial" w:hAnsi="Arial" w:cs="Arial"/>
        </w:rPr>
      </w:pPr>
      <w:r w:rsidRPr="006F79DA">
        <w:rPr>
          <w:rFonts w:ascii="Arial" w:hAnsi="Arial" w:cs="Arial"/>
          <w:i/>
        </w:rPr>
        <w:t>vi)</w:t>
      </w:r>
      <w:r w:rsidRPr="006F79DA">
        <w:rPr>
          <w:rFonts w:ascii="Arial" w:hAnsi="Arial" w:cs="Arial"/>
          <w:i/>
        </w:rPr>
        <w:tab/>
        <w:t xml:space="preserve"> Teniendo en cuenta el carácter restrictivo que identifica el recurso de anulación, </w:t>
      </w:r>
      <w:bookmarkStart w:id="7" w:name="_Hlk30082869"/>
      <w:r w:rsidRPr="006F79DA">
        <w:rPr>
          <w:rFonts w:ascii="Arial" w:hAnsi="Arial" w:cs="Arial"/>
          <w:i/>
        </w:rPr>
        <w:t xml:space="preserve">su procedencia está condicionada a que se determinen y sustenten, debidamente, las causales que de manera taxativa se encuentran consagradas por la ley para ese efecto; por lo tanto, el juez de la anulación debe rechazar de plano el recurso cuando las causales que se invoquen o propongan no correspondan a alguna de las señaladas en la ley </w:t>
      </w:r>
      <w:bookmarkEnd w:id="7"/>
      <w:r w:rsidRPr="006F79DA">
        <w:rPr>
          <w:rFonts w:ascii="Arial" w:hAnsi="Arial" w:cs="Arial"/>
          <w:i/>
        </w:rPr>
        <w:t>(Artículos 128 de la ley 446 de 1998 y 164 del Decreto 1818 de 1998)</w:t>
      </w:r>
      <w:r w:rsidRPr="006F79DA">
        <w:rPr>
          <w:rStyle w:val="Refdenotaalpie"/>
          <w:rFonts w:ascii="Arial" w:hAnsi="Arial" w:cs="Arial"/>
        </w:rPr>
        <w:footnoteReference w:id="19"/>
      </w:r>
      <w:r w:rsidRPr="006F79DA">
        <w:rPr>
          <w:rFonts w:ascii="Arial" w:hAnsi="Arial" w:cs="Arial"/>
        </w:rPr>
        <w:t>.</w:t>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r w:rsidRPr="006F79DA">
        <w:rPr>
          <w:rFonts w:ascii="Arial" w:hAnsi="Arial" w:cs="Arial"/>
          <w:sz w:val="24"/>
          <w:szCs w:val="24"/>
        </w:rPr>
        <w:t xml:space="preserve">Así mismo, </w:t>
      </w:r>
      <w:bookmarkStart w:id="8" w:name="_Hlk30082887"/>
      <w:r w:rsidRPr="006F79DA">
        <w:rPr>
          <w:rFonts w:ascii="Arial" w:hAnsi="Arial" w:cs="Arial"/>
          <w:sz w:val="24"/>
          <w:szCs w:val="24"/>
        </w:rPr>
        <w:t>e</w:t>
      </w:r>
      <w:r w:rsidRPr="006F79DA">
        <w:rPr>
          <w:rFonts w:ascii="Arial" w:eastAsia="Batang" w:hAnsi="Arial" w:cs="Arial"/>
          <w:sz w:val="24"/>
          <w:szCs w:val="24"/>
        </w:rPr>
        <w:t>l juez de la anulación tiene competencia para declarar la nulidad absoluta de la cláusula compromisoria siempre que la nulidad aparezca probada y en el recurso intervengan las partes contratantes</w:t>
      </w:r>
      <w:bookmarkEnd w:id="8"/>
      <w:r w:rsidRPr="006F79DA">
        <w:rPr>
          <w:rStyle w:val="Refdenotaalpie"/>
          <w:rFonts w:ascii="Arial" w:eastAsia="Batang" w:hAnsi="Arial" w:cs="Arial"/>
          <w:sz w:val="24"/>
          <w:szCs w:val="24"/>
        </w:rPr>
        <w:footnoteReference w:id="20"/>
      </w:r>
      <w:r w:rsidRPr="006F79DA">
        <w:rPr>
          <w:rFonts w:ascii="Arial" w:eastAsia="Batang" w:hAnsi="Arial" w:cs="Arial"/>
          <w:sz w:val="24"/>
          <w:szCs w:val="24"/>
        </w:rPr>
        <w:t xml:space="preserve">. Sobre este preciso punto, en sentencia </w:t>
      </w:r>
      <w:r w:rsidRPr="006F79DA">
        <w:rPr>
          <w:rFonts w:ascii="Arial" w:hAnsi="Arial" w:cs="Arial"/>
          <w:sz w:val="24"/>
          <w:szCs w:val="24"/>
        </w:rPr>
        <w:t>del 29 de noviembre de 2012 (Exp 39332), manifestó:</w:t>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p>
    <w:p w:rsidR="00FA71F4" w:rsidRPr="006F79DA" w:rsidRDefault="00FA71F4" w:rsidP="00FA71F4">
      <w:pPr>
        <w:pStyle w:val="Textodebloque1"/>
        <w:spacing w:line="276" w:lineRule="auto"/>
        <w:ind w:left="567" w:firstLine="0"/>
        <w:rPr>
          <w:rFonts w:ascii="Arial" w:hAnsi="Arial" w:cs="Arial"/>
          <w:szCs w:val="24"/>
        </w:rPr>
      </w:pPr>
      <w:r w:rsidRPr="006F79DA">
        <w:rPr>
          <w:rFonts w:ascii="Arial" w:hAnsi="Arial" w:cs="Arial"/>
          <w:b/>
          <w:szCs w:val="24"/>
        </w:rPr>
        <w:t>Al respecto, de una parte se precisa que la mencionada nulidad absoluta del pacto arbitral por objeto o causa ilícita, cuya declaratoria invalida también el laudo</w:t>
      </w:r>
      <w:r w:rsidRPr="006F79DA">
        <w:rPr>
          <w:rFonts w:ascii="Arial" w:hAnsi="Arial" w:cs="Arial"/>
          <w:szCs w:val="24"/>
        </w:rPr>
        <w:t xml:space="preserve">, en realidad no integra una nueva y diferente causal de anulación de los laudos, que exceda las previsiones o disposiciones legales vigentes y a cuya creación hubiere procedido el juez de anulación invadiendo la órbita del legislador, sino que simplemente corresponde a una de las hipótesis fácticas a través de las cuales es posible la configuración de una de las casuales de anulación taxativa, expresa y previamente establecidas por la ley en el ordenamiento vigente. </w:t>
      </w:r>
    </w:p>
    <w:p w:rsidR="00FA71F4" w:rsidRPr="006F79DA" w:rsidRDefault="00FA71F4" w:rsidP="00FA71F4">
      <w:pPr>
        <w:pStyle w:val="Textodebloque1"/>
        <w:spacing w:line="276" w:lineRule="auto"/>
        <w:ind w:left="567" w:firstLine="0"/>
        <w:rPr>
          <w:rFonts w:ascii="Arial" w:hAnsi="Arial" w:cs="Arial"/>
          <w:szCs w:val="24"/>
        </w:rPr>
      </w:pPr>
    </w:p>
    <w:p w:rsidR="00FA71F4" w:rsidRPr="006F79DA" w:rsidRDefault="00FA71F4" w:rsidP="00FA71F4">
      <w:pPr>
        <w:pStyle w:val="Textodebloque1"/>
        <w:spacing w:line="276" w:lineRule="auto"/>
        <w:ind w:left="567" w:firstLine="0"/>
        <w:rPr>
          <w:rFonts w:ascii="Arial" w:hAnsi="Arial" w:cs="Arial"/>
          <w:szCs w:val="24"/>
        </w:rPr>
      </w:pPr>
      <w:r w:rsidRPr="006F79DA">
        <w:rPr>
          <w:rFonts w:ascii="Arial" w:hAnsi="Arial" w:cs="Arial"/>
          <w:szCs w:val="24"/>
        </w:rPr>
        <w:t>Ciertamente, la Sala entiende que la validez del pacto arbitral dice relación directa e inmediata con el principio de congruencia, al punto de constituirse en un presupuesto indispensable para su realización material y efectiva, por tanto, en aquellos eventos en que el laudo que se expida encuentre fundamento en un pacto arbitral afectado de nulidad, ha de concluirse que el mismo ha recaído sobre puntos no sujetos a la decisión de los árbitros.</w:t>
      </w:r>
    </w:p>
    <w:p w:rsidR="00FA71F4" w:rsidRPr="006F79DA" w:rsidRDefault="00FA71F4" w:rsidP="00FA71F4">
      <w:pPr>
        <w:pStyle w:val="Textodebloque1"/>
        <w:spacing w:line="276" w:lineRule="auto"/>
        <w:ind w:left="567" w:firstLine="0"/>
        <w:rPr>
          <w:rFonts w:ascii="Arial" w:hAnsi="Arial" w:cs="Arial"/>
          <w:szCs w:val="24"/>
        </w:rPr>
      </w:pPr>
    </w:p>
    <w:p w:rsidR="00FA71F4" w:rsidRPr="006F79DA" w:rsidRDefault="00FA71F4" w:rsidP="00FA71F4">
      <w:pPr>
        <w:pStyle w:val="Textodebloque1"/>
        <w:spacing w:line="276" w:lineRule="auto"/>
        <w:ind w:left="567" w:firstLine="0"/>
        <w:rPr>
          <w:rFonts w:ascii="Arial" w:hAnsi="Arial" w:cs="Arial"/>
          <w:szCs w:val="24"/>
        </w:rPr>
      </w:pPr>
      <w:r w:rsidRPr="006F79DA">
        <w:rPr>
          <w:rFonts w:ascii="Arial" w:hAnsi="Arial" w:cs="Arial"/>
          <w:szCs w:val="24"/>
        </w:rPr>
        <w:t xml:space="preserve">Así pues, si las materias y cuestiones que en principio, de manera puramente aparente o formal, las partes decidieron someter a la decisión de los árbitros </w:t>
      </w:r>
      <w:r w:rsidRPr="006F79DA">
        <w:rPr>
          <w:rFonts w:ascii="Arial" w:hAnsi="Arial" w:cs="Arial"/>
          <w:szCs w:val="24"/>
        </w:rPr>
        <w:lastRenderedPageBreak/>
        <w:t>resultan sin validez, por resultar nulo el pacto arbitral que las contiene, obligado resulta concluir también que el laudo finalmente proferido, en realidad ha recaído entonces sobre aspectos que materialmente no fueron sometidos al conocimiento de los árbitros, no al menos de manera válida.</w:t>
      </w:r>
    </w:p>
    <w:p w:rsidR="00FA71F4" w:rsidRPr="006F79DA" w:rsidRDefault="00FA71F4" w:rsidP="00FA71F4">
      <w:pPr>
        <w:pStyle w:val="Textodebloque1"/>
        <w:spacing w:line="276" w:lineRule="auto"/>
        <w:ind w:left="567" w:firstLine="0"/>
        <w:rPr>
          <w:rFonts w:ascii="Arial" w:hAnsi="Arial" w:cs="Arial"/>
          <w:szCs w:val="24"/>
        </w:rPr>
      </w:pPr>
    </w:p>
    <w:p w:rsidR="00FA71F4" w:rsidRPr="006F79DA" w:rsidRDefault="00FA71F4" w:rsidP="00FA71F4">
      <w:pPr>
        <w:pStyle w:val="Textodebloque1"/>
        <w:spacing w:line="276" w:lineRule="auto"/>
        <w:ind w:left="567" w:firstLine="0"/>
        <w:rPr>
          <w:rFonts w:ascii="Arial" w:hAnsi="Arial" w:cs="Arial"/>
          <w:szCs w:val="24"/>
        </w:rPr>
      </w:pPr>
      <w:r w:rsidRPr="006F79DA">
        <w:rPr>
          <w:rFonts w:ascii="Arial" w:hAnsi="Arial" w:cs="Arial"/>
          <w:b/>
          <w:szCs w:val="24"/>
        </w:rPr>
        <w:t>De esa manera se tiene entonces que la nulidad absoluta del pacto arbitral por objeto o causa ilícita, cuya declaratoria invalida también el laudo, lejos de ser una nueva o diferente causal de anulación de los laudos arbitrales que se expidan en relación o con ocasión de las controversias que emanen de los contratos estatales, corresponde a una de las maneras de configuración de la causal de anulación consagrada en el numeral 4º del artículo 72 de la Ley 80</w:t>
      </w:r>
      <w:r w:rsidRPr="006F79DA">
        <w:rPr>
          <w:rFonts w:ascii="Arial" w:hAnsi="Arial" w:cs="Arial"/>
          <w:szCs w:val="24"/>
        </w:rPr>
        <w:t>, según el cual:</w:t>
      </w:r>
    </w:p>
    <w:p w:rsidR="00FA71F4" w:rsidRPr="006F79DA" w:rsidRDefault="00FA71F4" w:rsidP="00FA71F4">
      <w:pPr>
        <w:pStyle w:val="Textodebloque1"/>
        <w:spacing w:line="276" w:lineRule="auto"/>
        <w:ind w:left="567" w:firstLine="0"/>
        <w:rPr>
          <w:rFonts w:ascii="Arial" w:hAnsi="Arial" w:cs="Arial"/>
          <w:szCs w:val="24"/>
        </w:rPr>
      </w:pPr>
    </w:p>
    <w:p w:rsidR="00FA71F4" w:rsidRPr="006F79DA" w:rsidRDefault="00FA71F4" w:rsidP="00FA71F4">
      <w:pPr>
        <w:pStyle w:val="Textodebloque1"/>
        <w:spacing w:line="276" w:lineRule="auto"/>
        <w:ind w:left="567" w:firstLine="0"/>
        <w:rPr>
          <w:rFonts w:ascii="Arial" w:hAnsi="Arial" w:cs="Arial"/>
          <w:szCs w:val="24"/>
        </w:rPr>
      </w:pPr>
      <w:r w:rsidRPr="006F79DA">
        <w:rPr>
          <w:rFonts w:ascii="Arial" w:hAnsi="Arial" w:cs="Arial"/>
          <w:szCs w:val="24"/>
        </w:rPr>
        <w:t>“Son causales de anulación del laudo las siguientes</w:t>
      </w:r>
    </w:p>
    <w:p w:rsidR="00FA71F4" w:rsidRPr="006F79DA" w:rsidRDefault="00FA71F4" w:rsidP="00FA71F4">
      <w:pPr>
        <w:pStyle w:val="Textodebloque1"/>
        <w:spacing w:line="276" w:lineRule="auto"/>
        <w:ind w:left="567" w:firstLine="0"/>
        <w:rPr>
          <w:rFonts w:ascii="Arial" w:hAnsi="Arial" w:cs="Arial"/>
          <w:szCs w:val="24"/>
        </w:rPr>
      </w:pPr>
      <w:r w:rsidRPr="006F79DA">
        <w:rPr>
          <w:rFonts w:ascii="Arial" w:hAnsi="Arial" w:cs="Arial"/>
          <w:szCs w:val="24"/>
        </w:rPr>
        <w:t>…</w:t>
      </w:r>
    </w:p>
    <w:p w:rsidR="00FA71F4" w:rsidRPr="006F79DA" w:rsidRDefault="00FA71F4" w:rsidP="00FA71F4">
      <w:pPr>
        <w:pStyle w:val="Textodebloque1"/>
        <w:spacing w:line="276" w:lineRule="auto"/>
        <w:ind w:left="567" w:firstLine="0"/>
        <w:rPr>
          <w:rFonts w:ascii="Arial" w:hAnsi="Arial" w:cs="Arial"/>
          <w:szCs w:val="24"/>
        </w:rPr>
      </w:pPr>
      <w:r w:rsidRPr="006F79DA">
        <w:rPr>
          <w:rFonts w:ascii="Arial" w:hAnsi="Arial" w:cs="Arial"/>
          <w:szCs w:val="24"/>
        </w:rPr>
        <w:t>“4º. Haber recaído el laudo sobre puntos no sujetos a la decisión de los árbitros…”.</w:t>
      </w:r>
    </w:p>
    <w:p w:rsidR="00FA71F4" w:rsidRPr="006F79DA" w:rsidRDefault="00FA71F4" w:rsidP="00FA71F4">
      <w:pPr>
        <w:pStyle w:val="Textodebloque1"/>
        <w:spacing w:line="276" w:lineRule="auto"/>
        <w:ind w:left="567" w:firstLine="0"/>
        <w:rPr>
          <w:rFonts w:ascii="Arial" w:hAnsi="Arial" w:cs="Arial"/>
          <w:szCs w:val="24"/>
        </w:rPr>
      </w:pPr>
    </w:p>
    <w:p w:rsidR="00FA71F4" w:rsidRPr="006F79DA" w:rsidRDefault="00FA71F4" w:rsidP="00FA71F4">
      <w:pPr>
        <w:pStyle w:val="Textodebloque1"/>
        <w:spacing w:line="276" w:lineRule="auto"/>
        <w:ind w:left="567" w:firstLine="0"/>
        <w:rPr>
          <w:rFonts w:ascii="Arial" w:hAnsi="Arial" w:cs="Arial"/>
          <w:szCs w:val="24"/>
        </w:rPr>
      </w:pPr>
      <w:r w:rsidRPr="006F79DA">
        <w:rPr>
          <w:rFonts w:ascii="Arial" w:hAnsi="Arial" w:cs="Arial"/>
          <w:szCs w:val="24"/>
        </w:rPr>
        <w:t xml:space="preserve">Así las cosas, en cuanto la hipótesis aludida constituye tan solo una de las diferentes maneras de configurar una de las causales de anulación taxativa y expresamente consagradas por la ley -la del numeral 4º del artículo 72 de la Ley 80-, conviene agregar que ella, como sucede con las demás causales, podrá ser alegada por cualquiera de las partes dentro de la oportunidad y con los requisitos establecidos para el efecto por las normas vigentes sobre la materia. </w:t>
      </w:r>
    </w:p>
    <w:p w:rsidR="00FA71F4" w:rsidRPr="006F79DA" w:rsidRDefault="00FA71F4" w:rsidP="00FA71F4">
      <w:pPr>
        <w:pStyle w:val="Textodebloque1"/>
        <w:spacing w:line="276" w:lineRule="auto"/>
        <w:ind w:left="567" w:firstLine="0"/>
        <w:rPr>
          <w:rFonts w:ascii="Arial" w:hAnsi="Arial" w:cs="Arial"/>
          <w:szCs w:val="24"/>
        </w:rPr>
      </w:pPr>
    </w:p>
    <w:p w:rsidR="00FA71F4" w:rsidRPr="006F79DA" w:rsidRDefault="00FA71F4" w:rsidP="00FA71F4">
      <w:pPr>
        <w:pStyle w:val="Textodebloque1"/>
        <w:spacing w:line="276" w:lineRule="auto"/>
        <w:ind w:left="567" w:firstLine="0"/>
        <w:rPr>
          <w:rFonts w:ascii="Arial" w:hAnsi="Arial" w:cs="Arial"/>
          <w:szCs w:val="24"/>
        </w:rPr>
      </w:pPr>
      <w:r w:rsidRPr="006F79DA">
        <w:rPr>
          <w:rFonts w:ascii="Arial" w:hAnsi="Arial" w:cs="Arial"/>
          <w:szCs w:val="24"/>
        </w:rPr>
        <w:t xml:space="preserve">De esta manera se complementa, sin que por ello se entienda agotado, el entendimiento que la Sala ha expuesto acerca del alcance de la causal de anulación de laudos consagrada, explícitamente, en el numeral 4º del artículo 72 de la Ley 80 </w:t>
      </w:r>
      <w:r w:rsidRPr="006F79DA">
        <w:rPr>
          <w:rFonts w:ascii="Arial" w:hAnsi="Arial" w:cs="Arial"/>
          <w:i w:val="0"/>
          <w:szCs w:val="24"/>
        </w:rPr>
        <w:t>(</w:t>
      </w:r>
      <w:r w:rsidRPr="006F79DA">
        <w:rPr>
          <w:rFonts w:ascii="Arial" w:hAnsi="Arial" w:cs="Arial"/>
          <w:szCs w:val="24"/>
        </w:rPr>
        <w:t>...</w:t>
      </w:r>
      <w:r w:rsidRPr="006F79DA">
        <w:rPr>
          <w:rFonts w:ascii="Arial" w:hAnsi="Arial" w:cs="Arial"/>
          <w:i w:val="0"/>
          <w:szCs w:val="24"/>
        </w:rPr>
        <w:t>)</w:t>
      </w:r>
      <w:r w:rsidRPr="006F79DA">
        <w:rPr>
          <w:rFonts w:ascii="Arial" w:hAnsi="Arial" w:cs="Arial"/>
          <w:szCs w:val="24"/>
        </w:rPr>
        <w:t xml:space="preserve"> </w:t>
      </w:r>
    </w:p>
    <w:p w:rsidR="00FA71F4" w:rsidRPr="006F79DA" w:rsidRDefault="00FA71F4" w:rsidP="00FA71F4">
      <w:pPr>
        <w:pStyle w:val="Textodebloque1"/>
        <w:spacing w:line="276" w:lineRule="auto"/>
        <w:ind w:left="567" w:firstLine="0"/>
        <w:rPr>
          <w:rFonts w:ascii="Arial" w:hAnsi="Arial" w:cs="Arial"/>
          <w:i w:val="0"/>
          <w:szCs w:val="24"/>
        </w:rPr>
      </w:pPr>
    </w:p>
    <w:p w:rsidR="00FA71F4" w:rsidRPr="006F79DA" w:rsidRDefault="00FA71F4" w:rsidP="00FA71F4">
      <w:pPr>
        <w:widowControl w:val="0"/>
        <w:tabs>
          <w:tab w:val="left" w:pos="993"/>
        </w:tabs>
        <w:overflowPunct w:val="0"/>
        <w:adjustRightInd w:val="0"/>
        <w:spacing w:line="276" w:lineRule="auto"/>
        <w:ind w:left="567"/>
        <w:jc w:val="both"/>
        <w:rPr>
          <w:rFonts w:ascii="Arial" w:eastAsia="Batang" w:hAnsi="Arial" w:cs="Arial"/>
          <w:i/>
          <w:sz w:val="24"/>
          <w:szCs w:val="24"/>
        </w:rPr>
      </w:pPr>
      <w:r w:rsidRPr="006F79DA">
        <w:rPr>
          <w:rFonts w:ascii="Arial" w:hAnsi="Arial" w:cs="Arial"/>
          <w:i/>
          <w:sz w:val="24"/>
          <w:szCs w:val="24"/>
        </w:rPr>
        <w:t>De otra parte, en cuanto se refiere a los casos de nulidad por la obtención de pruebas con violación del debido proceso, también se impone precisar que esa hipótesis fáctica no se erige en una nueva causal de anulación de los laudos, diferente de aquellas consagradas de manera precisa y taxativa en la Ley 80, sino que es una de las formas en que puede configurarse la causal de anulación consagrada en el numeral 1º del referido artículo 72, en cuanto se hayan dejado de practicar las diligencias necesarias para evacuar las pruebas correspondientes”.</w:t>
      </w:r>
    </w:p>
    <w:p w:rsidR="00FA71F4" w:rsidRPr="006F79DA" w:rsidRDefault="00FA71F4" w:rsidP="00FA71F4">
      <w:pPr>
        <w:spacing w:line="276" w:lineRule="auto"/>
        <w:contextualSpacing/>
        <w:jc w:val="both"/>
        <w:rPr>
          <w:rFonts w:ascii="Arial" w:eastAsia="Times New Roman" w:hAnsi="Arial" w:cs="Arial"/>
          <w:b/>
          <w:sz w:val="24"/>
          <w:szCs w:val="24"/>
          <w:lang w:eastAsia="es-ES"/>
        </w:rPr>
      </w:pPr>
    </w:p>
    <w:p w:rsidR="00FA71F4" w:rsidRPr="006F79DA" w:rsidRDefault="00FA71F4" w:rsidP="00FA71F4">
      <w:pPr>
        <w:spacing w:line="276" w:lineRule="auto"/>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2.5 Del caso concreto.</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En el presente caso, la sociedad impugnante, en términos generales, insiste en las razones que dieron lugar a la interposición de la presente acción de tutela. De esta manera, la Sala a fin de analizar dichos cargos estudiará los problemas jurídicos que quedaron planteados en el acápite anterior, para lo cual, como primera medida, se reseñará lo que sobre el particular argumentó la Sección Tercera del Consejo de Estado, para luego fijar la respectiva posición de la Sala.</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Al respecto se tiene:</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numPr>
          <w:ilvl w:val="0"/>
          <w:numId w:val="3"/>
        </w:numPr>
        <w:spacing w:line="276" w:lineRule="auto"/>
        <w:ind w:left="567" w:firstLine="0"/>
        <w:contextualSpacing/>
        <w:jc w:val="both"/>
        <w:rPr>
          <w:rFonts w:ascii="Arial" w:eastAsia="Times New Roman" w:hAnsi="Arial" w:cs="Arial"/>
          <w:b/>
          <w:sz w:val="24"/>
          <w:szCs w:val="24"/>
          <w:lang w:eastAsia="es-ES"/>
        </w:rPr>
      </w:pPr>
      <w:r w:rsidRPr="006F79DA">
        <w:rPr>
          <w:rFonts w:ascii="Arial" w:eastAsia="Times New Roman" w:hAnsi="Arial" w:cs="Arial"/>
          <w:b/>
          <w:sz w:val="24"/>
          <w:szCs w:val="24"/>
          <w:lang w:eastAsia="es-ES"/>
        </w:rPr>
        <w:t>Sobre la competencia para examinar la validez de la cláusula 8ª del otro sí No. 4º del contrato de concesión 167 de 1998</w:t>
      </w:r>
    </w:p>
    <w:p w:rsidR="00FA71F4" w:rsidRPr="006F79DA" w:rsidRDefault="00FA71F4" w:rsidP="00FA71F4">
      <w:pPr>
        <w:spacing w:line="276" w:lineRule="auto"/>
        <w:contextualSpacing/>
        <w:jc w:val="both"/>
        <w:rPr>
          <w:rFonts w:ascii="Arial" w:eastAsia="Times New Roman" w:hAnsi="Arial" w:cs="Arial"/>
          <w:b/>
          <w:sz w:val="24"/>
          <w:szCs w:val="24"/>
          <w:lang w:eastAsia="es-ES"/>
        </w:rPr>
      </w:pP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A fin de resolver este cargo debe tenerse en cuenta que el Consejo de Estado, Sección Tercera, Subsección B delimitó el objeto de su pronunciamiento bajo los siguientes argumentos que expusieron las partes dentro del trámite del recurso de anulación del laudo arbitral del 3 de abril de 2013. </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ind w:left="567" w:right="589"/>
        <w:contextualSpacing/>
        <w:jc w:val="both"/>
        <w:rPr>
          <w:rFonts w:ascii="Arial" w:eastAsia="Times New Roman" w:hAnsi="Arial" w:cs="Arial"/>
          <w:sz w:val="24"/>
          <w:szCs w:val="24"/>
          <w:lang w:eastAsia="es-ES"/>
        </w:rPr>
      </w:pPr>
      <w:r w:rsidRPr="006F79DA">
        <w:rPr>
          <w:rFonts w:ascii="Arial" w:hAnsi="Arial" w:cs="Arial"/>
          <w:sz w:val="24"/>
          <w:szCs w:val="24"/>
        </w:rPr>
        <w:t xml:space="preserve">“(…) </w:t>
      </w:r>
      <w:r w:rsidRPr="006F79DA">
        <w:rPr>
          <w:rFonts w:ascii="Arial" w:hAnsi="Arial" w:cs="Arial"/>
          <w:i/>
          <w:sz w:val="24"/>
          <w:szCs w:val="24"/>
        </w:rPr>
        <w:t xml:space="preserve">La Autoridad Nacional de Televisión procura la anulación del laudo arbitral proferido por el Tribunal conformado a instancias suyas, por considerar que los árbitros i) prescindieron del acervo probatorio, conforme con el cual se acreditó que era previsible la entrada en operación comercial del tercer canal e imprevisible la no adjudicación, para concluir lo contrario sin respaldo probatorio, esto es la previsibilidad del fracaso de la licitación para adjudicar el nuevo canal y ii) decidieron sobre la existencia y asignación de un riesgo político imputable a la convocante, ajeno a las pretensiones, excepciones y al debate probatorio. </w:t>
      </w:r>
      <w:r w:rsidRPr="006F79DA">
        <w:rPr>
          <w:rFonts w:ascii="Arial" w:hAnsi="Arial" w:cs="Arial"/>
          <w:sz w:val="24"/>
          <w:szCs w:val="24"/>
        </w:rPr>
        <w:t>//</w:t>
      </w:r>
      <w:r w:rsidRPr="006F79DA">
        <w:rPr>
          <w:rFonts w:ascii="Arial" w:hAnsi="Arial" w:cs="Arial"/>
          <w:i/>
          <w:sz w:val="24"/>
          <w:szCs w:val="24"/>
        </w:rPr>
        <w:t xml:space="preserve"> Por su parte, la convocada solicita se declare infundado el recurso, en cuanto la decisión arbitral viene fundada en el ordenamiento positivo y enmarcada dentro de la litis traída por las partes al proceso</w:t>
      </w:r>
      <w:r w:rsidRPr="006F79DA">
        <w:rPr>
          <w:rFonts w:ascii="Arial" w:hAnsi="Arial" w:cs="Arial"/>
          <w:sz w:val="24"/>
          <w:szCs w:val="24"/>
        </w:rPr>
        <w:t>”.</w:t>
      </w:r>
    </w:p>
    <w:p w:rsidR="00FA71F4" w:rsidRPr="006F79DA" w:rsidRDefault="00FA71F4" w:rsidP="00FA71F4">
      <w:pPr>
        <w:tabs>
          <w:tab w:val="left" w:pos="5140"/>
        </w:tabs>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ab/>
      </w:r>
    </w:p>
    <w:p w:rsidR="00FA71F4" w:rsidRPr="006F79DA" w:rsidRDefault="00FA71F4" w:rsidP="00FA71F4">
      <w:pPr>
        <w:spacing w:line="276" w:lineRule="auto"/>
        <w:contextualSpacing/>
        <w:jc w:val="both"/>
        <w:rPr>
          <w:rFonts w:ascii="Arial" w:eastAsia="Times New Roman" w:hAnsi="Arial" w:cs="Arial"/>
          <w:sz w:val="24"/>
          <w:szCs w:val="24"/>
          <w:lang w:eastAsia="es-ES"/>
        </w:rPr>
      </w:pPr>
      <w:r w:rsidRPr="006F79DA">
        <w:rPr>
          <w:rFonts w:ascii="Arial" w:eastAsia="Times New Roman" w:hAnsi="Arial" w:cs="Arial"/>
          <w:sz w:val="24"/>
          <w:szCs w:val="24"/>
          <w:lang w:eastAsia="es-ES"/>
        </w:rPr>
        <w:t xml:space="preserve">Sin perjuicio de lo anterior, consideró que, </w:t>
      </w:r>
      <w:r w:rsidRPr="006F79DA">
        <w:rPr>
          <w:rFonts w:ascii="Arial" w:eastAsia="Times New Roman" w:hAnsi="Arial" w:cs="Arial"/>
          <w:i/>
          <w:sz w:val="24"/>
          <w:szCs w:val="24"/>
          <w:lang w:eastAsia="es-ES"/>
        </w:rPr>
        <w:t>prima facie</w:t>
      </w:r>
      <w:r w:rsidRPr="006F79DA">
        <w:rPr>
          <w:rFonts w:ascii="Arial" w:eastAsia="Times New Roman" w:hAnsi="Arial" w:cs="Arial"/>
          <w:sz w:val="24"/>
          <w:szCs w:val="24"/>
          <w:lang w:eastAsia="es-ES"/>
        </w:rPr>
        <w:t>, se observaba que las estipulaciones contractuales en las que se originaron las controversias contractuales, que sirvieron de habilitación para la intervención del respectivo tribunal de arbitramento, eran evidentemente contrarias al ordenamiento jurídico y así lo declaró en la providencia de mayo 5 de 2014.</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Para entrar a estudiar sobre la legalidad de la cláusula octava del Otrosí No. 4, la Sección Tercera abordó dos requisitos:</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1) Sostuvo que s</w:t>
      </w:r>
      <w:r w:rsidRPr="006F79DA">
        <w:rPr>
          <w:rFonts w:ascii="Arial" w:eastAsia="Times New Roman" w:hAnsi="Arial" w:cs="Arial"/>
          <w:sz w:val="24"/>
          <w:szCs w:val="24"/>
          <w:lang w:eastAsia="es-ES"/>
        </w:rPr>
        <w:t xml:space="preserve">egún reiterada jurisprudencia del Consejo de Estado, en principio la competencia del juez de la anulación está delimitada por un principio dispositivo, lo cierto es que también tiene la potestad de declarar, de oficio, la caducidad, la falta de competencia y la nulidad absoluta </w:t>
      </w:r>
      <w:r w:rsidRPr="006F79DA">
        <w:rPr>
          <w:rFonts w:ascii="Arial" w:eastAsia="Times New Roman" w:hAnsi="Arial" w:cs="Arial"/>
          <w:i/>
          <w:sz w:val="24"/>
          <w:szCs w:val="24"/>
          <w:lang w:eastAsia="es-ES"/>
        </w:rPr>
        <w:t xml:space="preserve">“…siempre que </w:t>
      </w:r>
      <w:r w:rsidRPr="006F79DA">
        <w:rPr>
          <w:rFonts w:ascii="Arial" w:hAnsi="Arial" w:cs="Arial"/>
          <w:i/>
          <w:sz w:val="24"/>
          <w:szCs w:val="24"/>
        </w:rPr>
        <w:t xml:space="preserve">esas cuestiones </w:t>
      </w:r>
      <w:r w:rsidRPr="006F79DA">
        <w:rPr>
          <w:rFonts w:ascii="Arial" w:hAnsi="Arial" w:cs="Arial"/>
          <w:b/>
          <w:i/>
          <w:sz w:val="24"/>
          <w:szCs w:val="24"/>
        </w:rPr>
        <w:t>no se hayan estudiado en el laudo arbitral</w:t>
      </w:r>
      <w:r w:rsidRPr="006F79DA">
        <w:rPr>
          <w:rFonts w:ascii="Arial" w:hAnsi="Arial" w:cs="Arial"/>
          <w:i/>
          <w:sz w:val="24"/>
          <w:szCs w:val="24"/>
        </w:rPr>
        <w:t>. Todo eso en aras de asegurar la vigencia y eficacia del ordenamiento jurídico, que puede resultar transgredido en la celebración, modificación, ejecución o liquidación del contrato estatal”</w:t>
      </w:r>
      <w:r w:rsidRPr="006F79DA">
        <w:rPr>
          <w:rStyle w:val="Refdenotaalpie"/>
          <w:rFonts w:ascii="Arial" w:hAnsi="Arial" w:cs="Arial"/>
          <w:i/>
          <w:sz w:val="24"/>
          <w:szCs w:val="24"/>
        </w:rPr>
        <w:footnoteReference w:id="21"/>
      </w:r>
      <w:r w:rsidRPr="006F79DA">
        <w:rPr>
          <w:rFonts w:ascii="Arial" w:hAnsi="Arial" w:cs="Arial"/>
          <w:sz w:val="24"/>
          <w:szCs w:val="24"/>
        </w:rPr>
        <w:t>. (Negrillas fuera del texto original)</w:t>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r w:rsidRPr="006F79DA">
        <w:rPr>
          <w:rFonts w:ascii="Arial" w:hAnsi="Arial" w:cs="Arial"/>
          <w:sz w:val="24"/>
          <w:szCs w:val="24"/>
        </w:rPr>
        <w:t xml:space="preserve"> </w:t>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r w:rsidRPr="006F79DA">
        <w:rPr>
          <w:rFonts w:ascii="Arial" w:hAnsi="Arial" w:cs="Arial"/>
          <w:sz w:val="24"/>
          <w:szCs w:val="24"/>
        </w:rPr>
        <w:t>En este caso, la Sección Tercera de esta Corporación consideró:</w:t>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r w:rsidRPr="006F79DA">
        <w:rPr>
          <w:rFonts w:ascii="Arial" w:hAnsi="Arial" w:cs="Arial"/>
          <w:sz w:val="24"/>
          <w:szCs w:val="24"/>
        </w:rPr>
        <w:t xml:space="preserve"> </w:t>
      </w:r>
    </w:p>
    <w:p w:rsidR="00FA71F4" w:rsidRPr="006F79DA" w:rsidRDefault="00FA71F4" w:rsidP="00FA71F4">
      <w:pPr>
        <w:widowControl w:val="0"/>
        <w:tabs>
          <w:tab w:val="left" w:pos="993"/>
        </w:tabs>
        <w:overflowPunct w:val="0"/>
        <w:adjustRightInd w:val="0"/>
        <w:spacing w:line="276" w:lineRule="auto"/>
        <w:ind w:left="426"/>
        <w:jc w:val="both"/>
        <w:rPr>
          <w:rFonts w:ascii="Arial" w:hAnsi="Arial" w:cs="Arial"/>
          <w:b/>
          <w:i/>
          <w:sz w:val="24"/>
          <w:szCs w:val="24"/>
        </w:rPr>
      </w:pPr>
      <w:r w:rsidRPr="006F79DA">
        <w:rPr>
          <w:rFonts w:ascii="Arial" w:hAnsi="Arial" w:cs="Arial"/>
          <w:i/>
          <w:sz w:val="24"/>
          <w:szCs w:val="24"/>
        </w:rPr>
        <w:t xml:space="preserve">“(…) Como se observa se refirió el Tribunal específicamente a los asuntos relativos a la validez que debe ser alegada por las partes y a la eficacia de la </w:t>
      </w:r>
      <w:r w:rsidRPr="006F79DA">
        <w:rPr>
          <w:rFonts w:ascii="Arial" w:hAnsi="Arial" w:cs="Arial"/>
          <w:i/>
          <w:sz w:val="24"/>
          <w:szCs w:val="24"/>
        </w:rPr>
        <w:lastRenderedPageBreak/>
        <w:t xml:space="preserve">estipulación contractual, esto es a los efectos que deben producir para las partes sus declaraciones de voluntad, </w:t>
      </w:r>
      <w:r w:rsidRPr="006F79DA">
        <w:rPr>
          <w:rFonts w:ascii="Arial" w:hAnsi="Arial" w:cs="Arial"/>
          <w:b/>
          <w:i/>
          <w:sz w:val="24"/>
          <w:szCs w:val="24"/>
        </w:rPr>
        <w:t>sin pronunciamiento alguno relativo a la nulidad absoluta originada en la contravención del orden imperativo.</w:t>
      </w:r>
    </w:p>
    <w:p w:rsidR="00FA71F4" w:rsidRPr="006F79DA" w:rsidRDefault="00FA71F4" w:rsidP="00FA71F4">
      <w:pPr>
        <w:widowControl w:val="0"/>
        <w:tabs>
          <w:tab w:val="left" w:pos="993"/>
        </w:tabs>
        <w:overflowPunct w:val="0"/>
        <w:adjustRightInd w:val="0"/>
        <w:spacing w:line="276" w:lineRule="auto"/>
        <w:ind w:left="426"/>
        <w:jc w:val="both"/>
        <w:rPr>
          <w:rFonts w:ascii="Arial" w:hAnsi="Arial" w:cs="Arial"/>
          <w:i/>
          <w:sz w:val="24"/>
          <w:szCs w:val="24"/>
        </w:rPr>
      </w:pPr>
    </w:p>
    <w:p w:rsidR="00FA71F4" w:rsidRPr="006F79DA" w:rsidRDefault="00FA71F4" w:rsidP="00FA71F4">
      <w:pPr>
        <w:widowControl w:val="0"/>
        <w:tabs>
          <w:tab w:val="left" w:pos="993"/>
        </w:tabs>
        <w:overflowPunct w:val="0"/>
        <w:adjustRightInd w:val="0"/>
        <w:spacing w:line="276" w:lineRule="auto"/>
        <w:ind w:left="426"/>
        <w:jc w:val="both"/>
        <w:rPr>
          <w:rFonts w:ascii="Arial" w:hAnsi="Arial" w:cs="Arial"/>
          <w:sz w:val="24"/>
          <w:szCs w:val="24"/>
        </w:rPr>
      </w:pPr>
      <w:r w:rsidRPr="006F79DA">
        <w:rPr>
          <w:rFonts w:ascii="Arial" w:hAnsi="Arial" w:cs="Arial"/>
          <w:i/>
          <w:sz w:val="24"/>
          <w:szCs w:val="24"/>
        </w:rPr>
        <w:t xml:space="preserve">(…) Ante las particulares condiciones del sub examine que se han puesto de presente, si se considera que en el sub judice los árbitros centraron su atención principalmente en la aplicación de la ecuación financiera convenida y en la fijación del precio con sujeción al derecho privado, </w:t>
      </w:r>
      <w:r w:rsidRPr="006F79DA">
        <w:rPr>
          <w:rFonts w:ascii="Arial" w:hAnsi="Arial" w:cs="Arial"/>
          <w:b/>
          <w:i/>
          <w:sz w:val="24"/>
          <w:szCs w:val="24"/>
        </w:rPr>
        <w:t>sin ocuparse de la facultad legal de regular la tarifa de la concesión y la aplicación del criterio de la conmutatividad a la remuneración prevista en la ley para el contrato de concesión del espectro electromagnético destinado al servicio público de televisión</w:t>
      </w:r>
      <w:r w:rsidRPr="006F79DA">
        <w:rPr>
          <w:rFonts w:ascii="Arial" w:hAnsi="Arial" w:cs="Arial"/>
          <w:i/>
          <w:sz w:val="24"/>
          <w:szCs w:val="24"/>
        </w:rPr>
        <w:t xml:space="preserve">, como sí fue objeto de pronunciamiento expreso en los laudos anteriormente referidos, </w:t>
      </w:r>
      <w:r w:rsidRPr="006F79DA">
        <w:rPr>
          <w:rFonts w:ascii="Arial" w:hAnsi="Arial" w:cs="Arial"/>
          <w:b/>
          <w:i/>
          <w:sz w:val="24"/>
          <w:szCs w:val="24"/>
        </w:rPr>
        <w:t>la Sala procederá a estudiar la validez de las estipulaciones contractuales que originaron la controversia y la habilitación de los árbitros para proferir la decisión que ocupa su atención, en sede del recurso extraordinario</w:t>
      </w:r>
      <w:r w:rsidRPr="006F79DA">
        <w:rPr>
          <w:rFonts w:ascii="Arial" w:hAnsi="Arial" w:cs="Arial"/>
          <w:i/>
          <w:sz w:val="24"/>
          <w:szCs w:val="24"/>
        </w:rPr>
        <w:t xml:space="preserve">.” </w:t>
      </w:r>
      <w:r w:rsidRPr="006F79DA">
        <w:rPr>
          <w:rFonts w:ascii="Arial" w:hAnsi="Arial" w:cs="Arial"/>
          <w:sz w:val="24"/>
          <w:szCs w:val="24"/>
        </w:rPr>
        <w:t>(Negrillas fuera del texto original)</w:t>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p>
    <w:p w:rsidR="00FA71F4" w:rsidRPr="006F79DA" w:rsidRDefault="00FA71F4" w:rsidP="00FA71F4">
      <w:pPr>
        <w:widowControl w:val="0"/>
        <w:tabs>
          <w:tab w:val="left" w:pos="993"/>
        </w:tabs>
        <w:overflowPunct w:val="0"/>
        <w:adjustRightInd w:val="0"/>
        <w:spacing w:line="276" w:lineRule="auto"/>
        <w:jc w:val="both"/>
        <w:rPr>
          <w:rFonts w:ascii="Arial" w:hAnsi="Arial" w:cs="Arial"/>
          <w:b/>
          <w:i/>
          <w:sz w:val="24"/>
          <w:szCs w:val="24"/>
        </w:rPr>
      </w:pPr>
      <w:r w:rsidRPr="006F79DA">
        <w:rPr>
          <w:rFonts w:ascii="Arial" w:hAnsi="Arial" w:cs="Arial"/>
          <w:sz w:val="24"/>
          <w:szCs w:val="24"/>
        </w:rPr>
        <w:t xml:space="preserve">Así las cosas, esa Corporación se encontró habilitada para estudiar la legalidad de la cláusula al considerar que el Tribunal Arbitral no hizo </w:t>
      </w:r>
      <w:r w:rsidRPr="006F79DA">
        <w:rPr>
          <w:rFonts w:ascii="Arial" w:hAnsi="Arial" w:cs="Arial"/>
          <w:b/>
          <w:i/>
          <w:sz w:val="24"/>
          <w:szCs w:val="24"/>
        </w:rPr>
        <w:t>pronunciamiento alguno relativo a la nulidad absoluta originada en la contravención del orden imperativo.</w:t>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r w:rsidRPr="006F79DA">
        <w:rPr>
          <w:rFonts w:ascii="Arial" w:hAnsi="Arial" w:cs="Arial"/>
          <w:sz w:val="24"/>
          <w:szCs w:val="24"/>
        </w:rPr>
        <w:t xml:space="preserve">Esta Sala no comparte este estudio hecho por la Sección Tercera puesto que debe tenerse en cuenta que el tribunal arbitral en el laudo de 3 de abril de 2013, hizo la siguiente consideración: </w:t>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p>
    <w:p w:rsidR="00FA71F4" w:rsidRPr="006F79DA" w:rsidRDefault="00FA71F4" w:rsidP="00FA71F4">
      <w:pPr>
        <w:widowControl w:val="0"/>
        <w:tabs>
          <w:tab w:val="left" w:pos="993"/>
        </w:tabs>
        <w:overflowPunct w:val="0"/>
        <w:adjustRightInd w:val="0"/>
        <w:spacing w:line="276" w:lineRule="auto"/>
        <w:ind w:left="567"/>
        <w:jc w:val="both"/>
        <w:rPr>
          <w:rFonts w:ascii="Arial" w:hAnsi="Arial" w:cs="Arial"/>
          <w:i/>
          <w:sz w:val="24"/>
          <w:szCs w:val="24"/>
        </w:rPr>
      </w:pPr>
      <w:r w:rsidRPr="006F79DA">
        <w:rPr>
          <w:rFonts w:ascii="Arial" w:hAnsi="Arial" w:cs="Arial"/>
          <w:i/>
          <w:sz w:val="24"/>
          <w:szCs w:val="24"/>
        </w:rPr>
        <w:t>“1. Pretensión primera de la demanda.</w:t>
      </w:r>
    </w:p>
    <w:p w:rsidR="00FA71F4" w:rsidRPr="006F79DA" w:rsidRDefault="00FA71F4" w:rsidP="00FA71F4">
      <w:pPr>
        <w:widowControl w:val="0"/>
        <w:tabs>
          <w:tab w:val="left" w:pos="993"/>
        </w:tabs>
        <w:overflowPunct w:val="0"/>
        <w:adjustRightInd w:val="0"/>
        <w:spacing w:line="276" w:lineRule="auto"/>
        <w:ind w:left="567"/>
        <w:jc w:val="both"/>
        <w:rPr>
          <w:rFonts w:ascii="Arial" w:hAnsi="Arial" w:cs="Arial"/>
          <w:i/>
          <w:sz w:val="24"/>
          <w:szCs w:val="24"/>
        </w:rPr>
      </w:pPr>
      <w:r w:rsidRPr="006F79DA">
        <w:rPr>
          <w:rFonts w:ascii="Arial" w:hAnsi="Arial" w:cs="Arial"/>
          <w:i/>
          <w:sz w:val="24"/>
          <w:szCs w:val="24"/>
        </w:rPr>
        <w:t>En la pretensión primera principal general de su demanda la parte demandante solicitó que se declare “que el valor de la prórroga de la Concesión está regulado por la Cláusula 8 del texto integrado del Contrato de Concesión cuyo precio base y reglas fijadas para la determinación del valor de ajuste (VDA), así como el precio final, obligan y vinculan a las partes de acuerdo con el pacto contractual celebrado entre ellas y con la ejecución que ellas mismas han hecho de la prórroga. (…)</w:t>
      </w:r>
    </w:p>
    <w:p w:rsidR="00FA71F4" w:rsidRPr="006F79DA" w:rsidRDefault="00FA71F4" w:rsidP="00FA71F4">
      <w:pPr>
        <w:widowControl w:val="0"/>
        <w:tabs>
          <w:tab w:val="left" w:pos="993"/>
        </w:tabs>
        <w:overflowPunct w:val="0"/>
        <w:adjustRightInd w:val="0"/>
        <w:spacing w:line="276" w:lineRule="auto"/>
        <w:ind w:left="567"/>
        <w:jc w:val="both"/>
        <w:rPr>
          <w:rFonts w:ascii="Arial" w:hAnsi="Arial" w:cs="Arial"/>
          <w:i/>
          <w:sz w:val="24"/>
          <w:szCs w:val="24"/>
        </w:rPr>
      </w:pPr>
      <w:r w:rsidRPr="006F79DA">
        <w:rPr>
          <w:rFonts w:ascii="Arial" w:hAnsi="Arial" w:cs="Arial"/>
          <w:i/>
          <w:sz w:val="24"/>
          <w:szCs w:val="24"/>
        </w:rPr>
        <w:t>Por otro lado está acreditado en el expediente que las partes celebraron el Otrosí No. 4 del Contrato de Concesión No. 167 de 1998 en cuya cláusula octava se estipuló: (…)</w:t>
      </w:r>
    </w:p>
    <w:p w:rsidR="00FA71F4" w:rsidRPr="006F79DA" w:rsidRDefault="00FA71F4" w:rsidP="00FA71F4">
      <w:pPr>
        <w:widowControl w:val="0"/>
        <w:tabs>
          <w:tab w:val="left" w:pos="993"/>
        </w:tabs>
        <w:overflowPunct w:val="0"/>
        <w:adjustRightInd w:val="0"/>
        <w:spacing w:line="276" w:lineRule="auto"/>
        <w:ind w:left="567"/>
        <w:jc w:val="both"/>
        <w:rPr>
          <w:rFonts w:ascii="Arial" w:hAnsi="Arial" w:cs="Arial"/>
          <w:i/>
          <w:sz w:val="24"/>
          <w:szCs w:val="24"/>
        </w:rPr>
      </w:pPr>
    </w:p>
    <w:p w:rsidR="00FA71F4" w:rsidRPr="006F79DA" w:rsidRDefault="00FA71F4" w:rsidP="00FA71F4">
      <w:pPr>
        <w:widowControl w:val="0"/>
        <w:tabs>
          <w:tab w:val="left" w:pos="993"/>
        </w:tabs>
        <w:overflowPunct w:val="0"/>
        <w:adjustRightInd w:val="0"/>
        <w:spacing w:line="276" w:lineRule="auto"/>
        <w:ind w:left="567"/>
        <w:jc w:val="both"/>
        <w:rPr>
          <w:rFonts w:ascii="Arial" w:hAnsi="Arial" w:cs="Arial"/>
          <w:sz w:val="24"/>
          <w:szCs w:val="24"/>
        </w:rPr>
      </w:pPr>
      <w:r w:rsidRPr="006F79DA">
        <w:rPr>
          <w:rFonts w:ascii="Arial" w:hAnsi="Arial" w:cs="Arial"/>
          <w:b/>
          <w:i/>
          <w:sz w:val="24"/>
          <w:szCs w:val="24"/>
        </w:rPr>
        <w:t>Ahora bien, en ninguna de las partes ha cuestionado la validez de dicha estipulación contractual ni su obligatoriedad.  Así mismo el Tribunal no encuentra ninguna razón que afecte su validez o eficacia.  Por lo anterior se accederá a la pretensión primera de la demanda</w:t>
      </w:r>
      <w:r w:rsidRPr="006F79DA">
        <w:rPr>
          <w:rFonts w:ascii="Arial" w:hAnsi="Arial" w:cs="Arial"/>
          <w:i/>
          <w:sz w:val="24"/>
          <w:szCs w:val="24"/>
        </w:rPr>
        <w:t xml:space="preserve">.” </w:t>
      </w:r>
      <w:r w:rsidRPr="006F79DA">
        <w:rPr>
          <w:rFonts w:ascii="Arial" w:hAnsi="Arial" w:cs="Arial"/>
          <w:sz w:val="24"/>
          <w:szCs w:val="24"/>
        </w:rPr>
        <w:t>(Negrillas fuera del texto original)</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De este pronunciamiento, se tiene que el tribunal arbitral sí se pronunció sobre la legalidad de la cláusula octava. Al respecto debe tenerse en cuenta que si bien no hizo un estudio extenso, lo cierto es que sostuvo </w:t>
      </w:r>
      <w:r w:rsidRPr="006F79DA">
        <w:rPr>
          <w:rFonts w:ascii="Arial" w:hAnsi="Arial" w:cs="Arial"/>
          <w:i/>
          <w:sz w:val="24"/>
          <w:szCs w:val="24"/>
        </w:rPr>
        <w:t xml:space="preserve">“El Tribunal no encuentra ninguna </w:t>
      </w:r>
      <w:r w:rsidRPr="006F79DA">
        <w:rPr>
          <w:rFonts w:ascii="Arial" w:hAnsi="Arial" w:cs="Arial"/>
          <w:i/>
          <w:sz w:val="24"/>
          <w:szCs w:val="24"/>
        </w:rPr>
        <w:lastRenderedPageBreak/>
        <w:t>razón que afecte su validez o eficacia</w:t>
      </w:r>
      <w:r w:rsidRPr="006F79DA">
        <w:rPr>
          <w:rFonts w:ascii="Arial" w:hAnsi="Arial" w:cs="Arial"/>
          <w:sz w:val="24"/>
          <w:szCs w:val="24"/>
        </w:rPr>
        <w:t>”</w:t>
      </w:r>
      <w:r w:rsidRPr="006F79DA">
        <w:rPr>
          <w:rStyle w:val="Refdenotaalpie"/>
          <w:rFonts w:ascii="Arial" w:hAnsi="Arial" w:cs="Arial"/>
          <w:sz w:val="24"/>
          <w:szCs w:val="24"/>
        </w:rPr>
        <w:footnoteReference w:id="22"/>
      </w:r>
      <w:r w:rsidRPr="006F79DA">
        <w:rPr>
          <w:rFonts w:ascii="Arial" w:hAnsi="Arial" w:cs="Arial"/>
          <w:sz w:val="24"/>
          <w:szCs w:val="24"/>
        </w:rPr>
        <w:t>, con lo cual es claro que al mencionar que no encontró afectada su validez, es porque la cláusula en su parecer estaba acorde con el ordenamiento jurídico, razón por la cual no podía la Sección Tercera del Consejo de Estado entrar a hacer dicho estudio, puesto que, se reitera, el Tribunal arbitral sí hizo el estudio correspondiente.</w:t>
      </w:r>
    </w:p>
    <w:p w:rsidR="00FA71F4" w:rsidRPr="006F79DA" w:rsidRDefault="00FA71F4" w:rsidP="00FA71F4">
      <w:pPr>
        <w:tabs>
          <w:tab w:val="left" w:pos="5509"/>
        </w:tabs>
        <w:spacing w:line="276" w:lineRule="auto"/>
        <w:contextualSpacing/>
        <w:jc w:val="both"/>
        <w:rPr>
          <w:rFonts w:ascii="Arial" w:hAnsi="Arial" w:cs="Arial"/>
          <w:sz w:val="24"/>
          <w:szCs w:val="24"/>
        </w:rPr>
      </w:pPr>
      <w:r w:rsidRPr="006F79DA">
        <w:rPr>
          <w:rFonts w:ascii="Arial" w:hAnsi="Arial" w:cs="Arial"/>
          <w:sz w:val="24"/>
          <w:szCs w:val="24"/>
        </w:rPr>
        <w:tab/>
      </w:r>
    </w:p>
    <w:p w:rsidR="00FA71F4" w:rsidRPr="006F79DA" w:rsidRDefault="00FA71F4" w:rsidP="00FA71F4">
      <w:pPr>
        <w:widowControl w:val="0"/>
        <w:tabs>
          <w:tab w:val="left" w:pos="993"/>
        </w:tabs>
        <w:overflowPunct w:val="0"/>
        <w:adjustRightInd w:val="0"/>
        <w:spacing w:line="276" w:lineRule="auto"/>
        <w:jc w:val="both"/>
        <w:rPr>
          <w:rFonts w:ascii="Arial" w:hAnsi="Arial" w:cs="Arial"/>
          <w:sz w:val="24"/>
          <w:szCs w:val="24"/>
        </w:rPr>
      </w:pPr>
      <w:r w:rsidRPr="006F79DA">
        <w:rPr>
          <w:rFonts w:ascii="Arial" w:hAnsi="Arial" w:cs="Arial"/>
          <w:sz w:val="24"/>
          <w:szCs w:val="24"/>
        </w:rPr>
        <w:t xml:space="preserve">2) Adujo que el juez extraordinario deberá declarar la nulidad absoluta de las disposiciones contractuales abiertamente contrarias al ordenamiento superior, cuando quiera que encuentre que las disposiciones que le corresponde interpretar y hacer prevalecer, no pueden ser tenidas como marco para la decisión en cuanto deben ser expulsadas del ordenamiento jurídico.  </w:t>
      </w:r>
    </w:p>
    <w:p w:rsidR="00FA71F4" w:rsidRPr="006F79DA" w:rsidRDefault="00FA71F4" w:rsidP="00FA71F4">
      <w:pPr>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En este orden de ideas, fue tajante en sostener que ni siquiera el acuerdo de las partes restringe la potestad del juez de la anulación para estudiar esa clase de cuestiones. Al respecto, en concreto dijo:</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tabs>
          <w:tab w:val="left" w:pos="851"/>
        </w:tabs>
        <w:spacing w:line="276" w:lineRule="auto"/>
        <w:ind w:left="567"/>
        <w:jc w:val="both"/>
        <w:rPr>
          <w:rFonts w:ascii="Arial" w:hAnsi="Arial" w:cs="Arial"/>
          <w:i/>
          <w:sz w:val="24"/>
          <w:szCs w:val="24"/>
        </w:rPr>
      </w:pPr>
      <w:r w:rsidRPr="006F79DA">
        <w:rPr>
          <w:rFonts w:ascii="Arial" w:hAnsi="Arial" w:cs="Arial"/>
          <w:i/>
          <w:sz w:val="24"/>
          <w:szCs w:val="24"/>
        </w:rPr>
        <w:t>(…) en lo que se refiere a los principios de habilitación y el dispositivo, debe considerarse que i) la facultad de imponer límites al juez para impedir la eficacia del orden imperativo, no se comprende en la autonomía de la voluntad privada, si se considera que, al tenor de las disposiciones del artículo 16 del Código Civil, “[n]o podrán derogarse por convenios particulares las leyes en cuya observancia están interesados el orden y las buenas costumbres” y ii) el poder de disposición que le asiste a las partes se agota en la facultad de proponer las pretensiones o formular excepciones, según el caso, referir los hechos y traer las pruebas. Sin vincular al juez con las transgresiones del orden público en que se incurrió en la celebración del contrato, modificación, ejecución o liquidación, que, además, originaron las controversias sometidas a la decisión arbitral.</w:t>
      </w:r>
    </w:p>
    <w:p w:rsidR="00FA71F4" w:rsidRPr="006F79DA" w:rsidRDefault="00FA71F4" w:rsidP="00FA71F4">
      <w:pPr>
        <w:tabs>
          <w:tab w:val="left" w:pos="851"/>
        </w:tabs>
        <w:spacing w:line="276" w:lineRule="auto"/>
        <w:ind w:left="567"/>
        <w:jc w:val="both"/>
        <w:rPr>
          <w:rFonts w:ascii="Arial" w:hAnsi="Arial" w:cs="Arial"/>
          <w:i/>
          <w:sz w:val="24"/>
          <w:szCs w:val="24"/>
        </w:rPr>
      </w:pPr>
    </w:p>
    <w:p w:rsidR="00FA71F4" w:rsidRPr="006F79DA" w:rsidRDefault="00FA71F4" w:rsidP="00FA71F4">
      <w:pPr>
        <w:tabs>
          <w:tab w:val="left" w:pos="900"/>
        </w:tabs>
        <w:spacing w:line="276" w:lineRule="auto"/>
        <w:ind w:left="567"/>
        <w:jc w:val="both"/>
        <w:rPr>
          <w:rFonts w:ascii="Arial" w:hAnsi="Arial" w:cs="Arial"/>
          <w:i/>
          <w:sz w:val="24"/>
          <w:szCs w:val="24"/>
        </w:rPr>
      </w:pPr>
      <w:r w:rsidRPr="006F79DA">
        <w:rPr>
          <w:rFonts w:ascii="Arial" w:hAnsi="Arial" w:cs="Arial"/>
          <w:i/>
          <w:sz w:val="24"/>
          <w:szCs w:val="24"/>
        </w:rPr>
        <w:t xml:space="preserve">(…) Además, si al tenor de los artículos 44 y 45 de la Ley 80 de 1993 son absolutamente nulos los contratos celebrados por las entidades estatales, en los casos previstos en el derecho común, lo procedente en relación con los poderes del juez extraordinario tiene que ver con el deber de declarar de oficio la nulidad absoluta, como lo prevén esas disposiciones, al margen de los límites originados en las causales de anulación y la naturaleza del recurso, en cuanto la ley no reserva esa facultad oficiosa a los juicios y recursos ordinarios y estando viciadas de nulidad absoluta las disposiciones contractuales, objeto de controversia y de la habilitación de los árbitros, al tenor de las disposiciones de los artículos 228 y 230 Constitucionales, no podría el juez del recurso de anulación, observada la ilegalidad pasarla por alto y fallar la controversia, como fue planteada; pues de ello no se deriva nada distinto a la convalidación de lo que no puede ser, en cuanto las estipulaciones abiertamente contrarias al orden imperativo habrán de expulsarse, para hacer prevalecer este último, en todos los casos. </w:t>
      </w:r>
    </w:p>
    <w:p w:rsidR="00FA71F4" w:rsidRPr="006F79DA" w:rsidRDefault="00FA71F4" w:rsidP="00FA71F4">
      <w:pPr>
        <w:tabs>
          <w:tab w:val="left" w:pos="900"/>
        </w:tabs>
        <w:spacing w:line="276" w:lineRule="auto"/>
        <w:ind w:left="567"/>
        <w:jc w:val="both"/>
        <w:rPr>
          <w:rFonts w:ascii="Arial" w:hAnsi="Arial" w:cs="Arial"/>
          <w:i/>
          <w:sz w:val="24"/>
          <w:szCs w:val="24"/>
        </w:rPr>
      </w:pPr>
    </w:p>
    <w:p w:rsidR="00FA71F4" w:rsidRPr="006F79DA" w:rsidRDefault="00FA71F4" w:rsidP="00FA71F4">
      <w:pPr>
        <w:tabs>
          <w:tab w:val="left" w:pos="851"/>
        </w:tabs>
        <w:spacing w:line="276" w:lineRule="auto"/>
        <w:ind w:left="567"/>
        <w:jc w:val="both"/>
        <w:rPr>
          <w:rFonts w:ascii="Arial" w:hAnsi="Arial" w:cs="Arial"/>
          <w:i/>
          <w:sz w:val="24"/>
          <w:szCs w:val="24"/>
        </w:rPr>
      </w:pPr>
      <w:r w:rsidRPr="006F79DA">
        <w:rPr>
          <w:rFonts w:ascii="Arial" w:hAnsi="Arial" w:cs="Arial"/>
          <w:i/>
          <w:sz w:val="24"/>
          <w:szCs w:val="24"/>
        </w:rPr>
        <w:lastRenderedPageBreak/>
        <w:t xml:space="preserve">En ese mismo orden, los artículos 87 y 136 del Código Contencioso Administrativo, modificados por los artículos 32 y 44 de la Ley 446 de 1998, autorizan al juez para declarar oficiosamente la nulidad absoluta del contrato </w:t>
      </w:r>
      <w:r w:rsidRPr="006F79DA">
        <w:rPr>
          <w:rFonts w:ascii="Arial" w:hAnsi="Arial" w:cs="Arial"/>
          <w:b/>
          <w:i/>
          <w:sz w:val="24"/>
          <w:szCs w:val="24"/>
        </w:rPr>
        <w:t>cuando sea manifiesta</w:t>
      </w:r>
      <w:r w:rsidRPr="006F79DA">
        <w:rPr>
          <w:rFonts w:ascii="Arial" w:hAnsi="Arial" w:cs="Arial"/>
          <w:i/>
          <w:sz w:val="24"/>
          <w:szCs w:val="24"/>
        </w:rPr>
        <w:t>, sujeto a que no haya caducado la acción, esto es,</w:t>
      </w:r>
      <w:r w:rsidRPr="006F79DA">
        <w:rPr>
          <w:rFonts w:ascii="Arial" w:hAnsi="Arial" w:cs="Arial"/>
          <w:sz w:val="24"/>
          <w:szCs w:val="24"/>
        </w:rPr>
        <w:t xml:space="preserve"> </w:t>
      </w:r>
      <w:r w:rsidRPr="006F79DA">
        <w:rPr>
          <w:rFonts w:ascii="Arial" w:hAnsi="Arial" w:cs="Arial"/>
          <w:i/>
          <w:sz w:val="24"/>
          <w:szCs w:val="24"/>
        </w:rPr>
        <w:t>“dentro de los dos (2) años siguientes a su perfeccionamiento. Si el término de vigencia del contrato fuere superior a dos (2) años, el término de caducidad será igual al de su vigencia, sin que en ningún caso exceda de cinco (5) años, contados a partir de su perfeccionamiento”.</w:t>
      </w:r>
    </w:p>
    <w:p w:rsidR="00FA71F4" w:rsidRPr="006F79DA" w:rsidRDefault="00FA71F4" w:rsidP="00FA71F4">
      <w:pPr>
        <w:tabs>
          <w:tab w:val="left" w:pos="851"/>
        </w:tabs>
        <w:spacing w:line="276" w:lineRule="auto"/>
        <w:ind w:left="567"/>
        <w:jc w:val="both"/>
        <w:rPr>
          <w:rFonts w:ascii="Arial" w:hAnsi="Arial" w:cs="Arial"/>
          <w:i/>
          <w:sz w:val="24"/>
          <w:szCs w:val="24"/>
        </w:rPr>
      </w:pPr>
    </w:p>
    <w:p w:rsidR="00FA71F4" w:rsidRPr="006F79DA" w:rsidRDefault="00FA71F4" w:rsidP="00FA71F4">
      <w:pPr>
        <w:tabs>
          <w:tab w:val="left" w:pos="851"/>
        </w:tabs>
        <w:spacing w:line="276" w:lineRule="auto"/>
        <w:ind w:left="567"/>
        <w:jc w:val="both"/>
        <w:rPr>
          <w:rFonts w:ascii="Arial" w:hAnsi="Arial" w:cs="Arial"/>
          <w:i/>
          <w:sz w:val="24"/>
          <w:szCs w:val="24"/>
        </w:rPr>
      </w:pPr>
      <w:r w:rsidRPr="006F79DA">
        <w:rPr>
          <w:rFonts w:ascii="Arial" w:hAnsi="Arial" w:cs="Arial"/>
          <w:sz w:val="24"/>
          <w:szCs w:val="24"/>
        </w:rPr>
        <w:t xml:space="preserve">(…) </w:t>
      </w:r>
      <w:r w:rsidRPr="006F79DA">
        <w:rPr>
          <w:rFonts w:ascii="Arial" w:hAnsi="Arial" w:cs="Arial"/>
          <w:i/>
          <w:sz w:val="24"/>
          <w:szCs w:val="24"/>
        </w:rPr>
        <w:t xml:space="preserve">En ese orden y siendo claro el alcance de los principios de imperio y prevalencia del derecho sustancial, a los que la Constitución Política sujeta las decisiones judiciales, en lo que tiene que ver con la declaración oficiosa de la nulidad absoluta de las disposiciones contractuales, </w:t>
      </w:r>
      <w:r w:rsidRPr="006F79DA">
        <w:rPr>
          <w:rFonts w:ascii="Arial" w:hAnsi="Arial" w:cs="Arial"/>
          <w:b/>
          <w:i/>
          <w:sz w:val="24"/>
          <w:szCs w:val="24"/>
        </w:rPr>
        <w:t>abiertamente contrarias al ordenamiento superior</w:t>
      </w:r>
      <w:r w:rsidRPr="006F79DA">
        <w:rPr>
          <w:rFonts w:ascii="Arial" w:hAnsi="Arial" w:cs="Arial"/>
          <w:i/>
          <w:sz w:val="24"/>
          <w:szCs w:val="24"/>
        </w:rPr>
        <w:t xml:space="preserve">, así como de los mandatos contenidos en los artículos 44, 45 de la Ley 80 de 1993;  87, 136 del Código Contencioso Administrativo, modificados por los artículos 32, 44 de la Ley 446 de 1998; 306 del Código de Procedimiento Civil y 20 del Decreto 2651 de 1991, huelga concluir que así deberá proceder el juez extraordinario, cuando quiera que encuentre que las disposiciones que le corresponde interpretar y hacer prevalecer, no pueden ser tenidas como marco para la decisión en cuanto habrán de ser expulsadas del ordenamiento contractual”. </w:t>
      </w:r>
      <w:r w:rsidRPr="006F79DA">
        <w:rPr>
          <w:rFonts w:ascii="Arial" w:hAnsi="Arial" w:cs="Arial"/>
          <w:sz w:val="24"/>
          <w:szCs w:val="24"/>
        </w:rPr>
        <w:t>(Negrillas fuera del texto original)</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La Sección Tercera explicó en la providencia cuestionada que a pesar de actuar como juez extraordinario, al resolver el recurso de anulación, podía entrar a estudiar de oficio la nulidad absoluta de cualquier cláusula del contrato, pero dicha facultad esta limitada a los casos en los que las disposiciones contractuales sean </w:t>
      </w:r>
      <w:r w:rsidRPr="006F79DA">
        <w:rPr>
          <w:rFonts w:ascii="Arial" w:hAnsi="Arial" w:cs="Arial"/>
          <w:b/>
          <w:sz w:val="24"/>
          <w:szCs w:val="24"/>
        </w:rPr>
        <w:t>abiertamente contrarias al ordenamiento superior</w:t>
      </w:r>
      <w:r w:rsidRPr="006F79DA">
        <w:rPr>
          <w:rStyle w:val="Refdenotaalpie"/>
          <w:rFonts w:ascii="Arial" w:hAnsi="Arial" w:cs="Arial"/>
          <w:b/>
          <w:sz w:val="24"/>
          <w:szCs w:val="24"/>
        </w:rPr>
        <w:footnoteReference w:id="23"/>
      </w:r>
      <w:r w:rsidRPr="006F79DA">
        <w:rPr>
          <w:rFonts w:ascii="Arial" w:hAnsi="Arial" w:cs="Arial"/>
          <w:sz w:val="24"/>
          <w:szCs w:val="24"/>
        </w:rPr>
        <w:t xml:space="preserve">, en este mismo sentido el magistrado Danilo Rojas en el salvamento de voto sostuvo: </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ind w:left="567"/>
        <w:contextualSpacing/>
        <w:jc w:val="both"/>
        <w:rPr>
          <w:rFonts w:ascii="Arial" w:hAnsi="Arial" w:cs="Arial"/>
          <w:b/>
          <w:i/>
          <w:sz w:val="24"/>
          <w:szCs w:val="24"/>
        </w:rPr>
      </w:pPr>
      <w:r w:rsidRPr="006F79DA">
        <w:rPr>
          <w:rFonts w:ascii="Arial" w:hAnsi="Arial" w:cs="Arial"/>
          <w:i/>
          <w:sz w:val="24"/>
          <w:szCs w:val="24"/>
        </w:rPr>
        <w:t xml:space="preserve">“(…) Y si bien es cierto que el juez del recurso de anulación bien puede declarar de oficio la nulidad absoluta total o parcial del contrato objeto de la controversia que se decidió mediante laudo arbitral impugnado, también lo es que, de acuerdo con lo establecido en el artículo 2º de la Ley 50 de 1936, que subrogó el artículo 1742 del C.C., -norma que atribuye dicha facultad al juez en general-, la misma solo surge cuando la nulidad absoluta </w:t>
      </w:r>
      <w:r w:rsidRPr="006F79DA">
        <w:rPr>
          <w:rFonts w:ascii="Arial" w:hAnsi="Arial" w:cs="Arial"/>
          <w:b/>
          <w:i/>
          <w:sz w:val="24"/>
          <w:szCs w:val="24"/>
        </w:rPr>
        <w:t>“aparezca de manifiesto en el acto o contrato.</w:t>
      </w:r>
    </w:p>
    <w:p w:rsidR="00FA71F4" w:rsidRPr="006F79DA" w:rsidRDefault="00FA71F4" w:rsidP="00FA71F4">
      <w:pPr>
        <w:spacing w:line="276" w:lineRule="auto"/>
        <w:ind w:left="567"/>
        <w:contextualSpacing/>
        <w:jc w:val="both"/>
        <w:rPr>
          <w:rFonts w:ascii="Arial" w:hAnsi="Arial" w:cs="Arial"/>
          <w:sz w:val="24"/>
          <w:szCs w:val="24"/>
        </w:rPr>
      </w:pPr>
      <w:r w:rsidRPr="006F79DA">
        <w:rPr>
          <w:rFonts w:ascii="Arial" w:hAnsi="Arial" w:cs="Arial"/>
          <w:i/>
          <w:sz w:val="24"/>
          <w:szCs w:val="24"/>
        </w:rPr>
        <w:t xml:space="preserve">A su vez, el artículo 87 del CCA – Decreto 01 de 1984, modificado por el artículo 32 de la Ley 446 de 1998-, dispone que el juez administrativo queda facultado para declarar de oficio la nulidad absoluta del contrato </w:t>
      </w:r>
      <w:r w:rsidRPr="006F79DA">
        <w:rPr>
          <w:rFonts w:ascii="Arial" w:hAnsi="Arial" w:cs="Arial"/>
          <w:b/>
          <w:i/>
          <w:sz w:val="24"/>
          <w:szCs w:val="24"/>
        </w:rPr>
        <w:t xml:space="preserve">“cuando esté plenamente demostrada en el proceso” </w:t>
      </w:r>
      <w:r w:rsidRPr="006F79DA">
        <w:rPr>
          <w:rFonts w:ascii="Arial" w:hAnsi="Arial" w:cs="Arial"/>
          <w:i/>
          <w:sz w:val="24"/>
          <w:szCs w:val="24"/>
        </w:rPr>
        <w:t xml:space="preserve">requisito que, a mi parecer, en el presente caso no se configura.” </w:t>
      </w:r>
      <w:r w:rsidRPr="006F79DA">
        <w:rPr>
          <w:rFonts w:ascii="Arial" w:hAnsi="Arial" w:cs="Arial"/>
          <w:sz w:val="24"/>
          <w:szCs w:val="24"/>
        </w:rPr>
        <w:t>(Negrillas fuera del texto original)</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 xml:space="preserve">Así las cosas es claro que el juez extraordinario puede de oficio declarar la nulidad del pacto arbitral; así mismo puede declarar la nulidad total o parcial del contrato o de alguna de sus cláusulas cuando haya sido alegada por las partes y no hubiera </w:t>
      </w:r>
      <w:r w:rsidRPr="006F79DA">
        <w:rPr>
          <w:rFonts w:ascii="Arial" w:hAnsi="Arial" w:cs="Arial"/>
          <w:sz w:val="24"/>
          <w:szCs w:val="24"/>
        </w:rPr>
        <w:lastRenderedPageBreak/>
        <w:t>sido objeto de pronunciamiento por parte del tribunal Arbitral, y sea manifiesta o abiertamente contraria al ordenamiento superior o cuando esté plenamente demostrada en el proceso, o cuando a pesar de haber sido resuelta por el tribunal arbitral, las partes consideren que se incurrió en error in procedendo y lo aleguen vía recurso de anulación.</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En este asunto, para esta Sección, la estipulación contenida en la cláusula 8ª del Otrosí No. 4, no es abierta o manifiestamente contraria al ordenamiento superior y no estaba plenamente demostrada en el proceso, pues tal como se explicó en la providencia acusada, con antelación se profirieron dos laudos en los casos de RCN Televisión y Caracol Televisión</w:t>
      </w:r>
      <w:r w:rsidRPr="006F79DA">
        <w:rPr>
          <w:rStyle w:val="Refdenotaalpie"/>
          <w:rFonts w:ascii="Arial" w:hAnsi="Arial" w:cs="Arial"/>
          <w:sz w:val="24"/>
          <w:szCs w:val="24"/>
        </w:rPr>
        <w:footnoteReference w:id="24"/>
      </w:r>
      <w:r w:rsidRPr="006F79DA">
        <w:rPr>
          <w:rFonts w:ascii="Arial" w:hAnsi="Arial" w:cs="Arial"/>
          <w:sz w:val="24"/>
          <w:szCs w:val="24"/>
        </w:rPr>
        <w:t>, en los cuales sobre la función de fijar la tarifa y la intervención de un tercero los respectivos Tribunales Arbitrales sostuvieron que: (i) sin importar los medios e indicaciones que se hubieran utilizado para fijar el precio, esa era una responsabilidad atribuida por la ley a la Comisión Nacional de Televisión, y si en el ejercicio de esa facultad dispuso unos medios, procedimientos verificaciones y su interlocución con el concesionario, a ello debía atenerse, y (ii) si bien la Comisión Nacional de Televisión tenía la facultad legal para imponer la tarifa por concesión, debía estarse a lo que ella convino sobre la delegación a un tercero de esa facultad</w:t>
      </w:r>
      <w:r w:rsidRPr="006F79DA">
        <w:rPr>
          <w:rStyle w:val="Refdenotaalpie"/>
          <w:rFonts w:ascii="Arial" w:hAnsi="Arial" w:cs="Arial"/>
          <w:sz w:val="24"/>
          <w:szCs w:val="24"/>
        </w:rPr>
        <w:footnoteReference w:id="25"/>
      </w:r>
      <w:r w:rsidRPr="006F79DA">
        <w:rPr>
          <w:rFonts w:ascii="Arial" w:hAnsi="Arial" w:cs="Arial"/>
          <w:sz w:val="24"/>
          <w:szCs w:val="24"/>
        </w:rPr>
        <w:t>.</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A su vez el magistrado Danilo Rojas en el salvamento de voto, al respecto expuso:</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ind w:left="567"/>
        <w:contextualSpacing/>
        <w:jc w:val="both"/>
        <w:rPr>
          <w:rFonts w:ascii="Arial" w:hAnsi="Arial" w:cs="Arial"/>
          <w:sz w:val="24"/>
          <w:szCs w:val="24"/>
        </w:rPr>
      </w:pPr>
      <w:r w:rsidRPr="006F79DA">
        <w:rPr>
          <w:rFonts w:ascii="Arial" w:hAnsi="Arial" w:cs="Arial"/>
          <w:sz w:val="24"/>
          <w:szCs w:val="24"/>
        </w:rPr>
        <w:t xml:space="preserve">“(…) </w:t>
      </w:r>
      <w:r w:rsidRPr="006F79DA">
        <w:rPr>
          <w:rFonts w:ascii="Arial" w:hAnsi="Arial" w:cs="Arial"/>
          <w:i/>
          <w:sz w:val="24"/>
          <w:szCs w:val="24"/>
        </w:rPr>
        <w:t xml:space="preserve">Considero, contrario a lo manifestado en la sentencia de la cual me aparto, que </w:t>
      </w:r>
      <w:r w:rsidRPr="006F79DA">
        <w:rPr>
          <w:rFonts w:ascii="Arial" w:hAnsi="Arial" w:cs="Arial"/>
          <w:b/>
          <w:i/>
          <w:sz w:val="24"/>
          <w:szCs w:val="24"/>
        </w:rPr>
        <w:t>no surge la evidente ilegalidad que allí se plantea</w:t>
      </w:r>
      <w:r w:rsidRPr="006F79DA">
        <w:rPr>
          <w:rFonts w:ascii="Arial" w:hAnsi="Arial" w:cs="Arial"/>
          <w:i/>
          <w:sz w:val="24"/>
          <w:szCs w:val="24"/>
        </w:rPr>
        <w:t>, en relación con la cláusula octava del referido otrosí, por cuanto en la estipulación contractual se fijó como valor por concepto de la prórroga y “por decisión de la Comisión”, la cantidad inicial de $8 838 000 000 como “precio base”, más un ajuste –positivo o negativo- que surja del comportamiento real observado en la inversión neta en publicidad en televisión abierta, nacional, regional y local durante los años 2009 y 2010.</w:t>
      </w:r>
    </w:p>
    <w:p w:rsidR="00FA71F4" w:rsidRPr="006F79DA" w:rsidRDefault="00FA71F4" w:rsidP="00FA71F4">
      <w:pPr>
        <w:spacing w:line="276" w:lineRule="auto"/>
        <w:ind w:left="567"/>
        <w:contextualSpacing/>
        <w:jc w:val="both"/>
        <w:rPr>
          <w:rFonts w:ascii="Arial" w:hAnsi="Arial" w:cs="Arial"/>
          <w:i/>
          <w:sz w:val="24"/>
          <w:szCs w:val="24"/>
        </w:rPr>
      </w:pPr>
    </w:p>
    <w:p w:rsidR="00FA71F4" w:rsidRPr="006F79DA" w:rsidRDefault="00FA71F4" w:rsidP="00FA71F4">
      <w:pPr>
        <w:spacing w:line="276" w:lineRule="auto"/>
        <w:ind w:left="567"/>
        <w:contextualSpacing/>
        <w:jc w:val="both"/>
        <w:rPr>
          <w:rFonts w:ascii="Arial" w:hAnsi="Arial" w:cs="Arial"/>
          <w:sz w:val="24"/>
          <w:szCs w:val="24"/>
        </w:rPr>
      </w:pPr>
      <w:r w:rsidRPr="006F79DA">
        <w:rPr>
          <w:rFonts w:ascii="Arial" w:hAnsi="Arial" w:cs="Arial"/>
          <w:i/>
          <w:sz w:val="24"/>
          <w:szCs w:val="24"/>
        </w:rPr>
        <w:t xml:space="preserve">Pues bien, se advierte </w:t>
      </w:r>
      <w:r w:rsidRPr="006F79DA">
        <w:rPr>
          <w:rFonts w:ascii="Arial" w:hAnsi="Arial" w:cs="Arial"/>
          <w:b/>
          <w:i/>
          <w:sz w:val="24"/>
          <w:szCs w:val="24"/>
        </w:rPr>
        <w:t>que no está claramente demostrado</w:t>
      </w:r>
      <w:r w:rsidRPr="006F79DA">
        <w:rPr>
          <w:rFonts w:ascii="Arial" w:hAnsi="Arial" w:cs="Arial"/>
          <w:i/>
          <w:sz w:val="24"/>
          <w:szCs w:val="24"/>
        </w:rPr>
        <w:t xml:space="preserve"> que para la fijación de este denominado “precio”, que en realidad corresponde a la tarifa a la cual se refiere la ley, no se hayan tenido en cuenta por la Comisión Nacional de televisión los criterios establecidos en el literal g) del artículo 5º de la Ley 182 de 1995, </w:t>
      </w:r>
      <w:r w:rsidRPr="006F79DA">
        <w:rPr>
          <w:rFonts w:ascii="Arial" w:hAnsi="Arial" w:cs="Arial"/>
          <w:b/>
          <w:i/>
          <w:sz w:val="24"/>
          <w:szCs w:val="24"/>
        </w:rPr>
        <w:t>como para poder afirmar tajantemente, como se hace en la providencia</w:t>
      </w:r>
      <w:r w:rsidRPr="006F79DA">
        <w:rPr>
          <w:rFonts w:ascii="Arial" w:hAnsi="Arial" w:cs="Arial"/>
          <w:i/>
          <w:sz w:val="24"/>
          <w:szCs w:val="24"/>
        </w:rPr>
        <w:t xml:space="preserve">, que fueron desconocidos y dejados de lado en forma tan ostensible, que la cláusula quedó viciada de nulidad” </w:t>
      </w:r>
      <w:r w:rsidRPr="006F79DA">
        <w:rPr>
          <w:rFonts w:ascii="Arial" w:hAnsi="Arial" w:cs="Arial"/>
          <w:sz w:val="24"/>
          <w:szCs w:val="24"/>
        </w:rPr>
        <w:t>(Negrilla fuera del texto original)</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t>Así las cosas, y al no ser abierta o manifiesta la ilegalidad de la cláusula 8ª del otrosí No. 4, puesto que la interpretación de la cláusula da lugar a una discusión sobre su legalidad, es claro que este requisito tampoco se cumplió.</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hAnsi="Arial" w:cs="Arial"/>
          <w:sz w:val="24"/>
          <w:szCs w:val="24"/>
        </w:rPr>
      </w:pPr>
      <w:r w:rsidRPr="006F79DA">
        <w:rPr>
          <w:rFonts w:ascii="Arial" w:hAnsi="Arial" w:cs="Arial"/>
          <w:sz w:val="24"/>
          <w:szCs w:val="24"/>
        </w:rPr>
        <w:lastRenderedPageBreak/>
        <w:t>Por lo expuesto, para esta Sala es claro que la Sección Tercera no tenía la competencia para declarar la nulidad absoluta de la cláusula octava del otrosí No. 4, por carecer de competencia para ello.</w:t>
      </w:r>
    </w:p>
    <w:p w:rsidR="00FA71F4" w:rsidRPr="006F79DA" w:rsidRDefault="00FA71F4" w:rsidP="00FA71F4">
      <w:pPr>
        <w:spacing w:line="276" w:lineRule="auto"/>
        <w:contextualSpacing/>
        <w:jc w:val="both"/>
        <w:rPr>
          <w:rFonts w:ascii="Arial" w:hAnsi="Arial" w:cs="Arial"/>
          <w:sz w:val="24"/>
          <w:szCs w:val="24"/>
        </w:rPr>
      </w:pPr>
    </w:p>
    <w:p w:rsidR="00FA71F4" w:rsidRPr="006F79DA" w:rsidRDefault="00FA71F4" w:rsidP="00FA71F4">
      <w:pPr>
        <w:spacing w:line="276" w:lineRule="auto"/>
        <w:contextualSpacing/>
        <w:jc w:val="both"/>
        <w:rPr>
          <w:rFonts w:ascii="Arial" w:eastAsia="Times New Roman" w:hAnsi="Arial" w:cs="Arial"/>
          <w:bCs/>
          <w:color w:val="000000"/>
          <w:sz w:val="24"/>
          <w:szCs w:val="24"/>
          <w:lang w:eastAsia="es-ES"/>
        </w:rPr>
      </w:pPr>
      <w:r w:rsidRPr="006F79DA">
        <w:rPr>
          <w:rFonts w:ascii="Arial" w:hAnsi="Arial" w:cs="Arial"/>
          <w:sz w:val="24"/>
          <w:szCs w:val="24"/>
        </w:rPr>
        <w:t>Por lo anterior, se revocará el fallo de primera instancia, de 26 de noviembre de 2015 proferido por la Sección Cuarta de esta Corporación y en su lugar se dejará sin efectos la providencia de 29 de mayo de 2015 proferida por la Sección Tercera Subsección B del Consejo de Estado, para que en su lugar profiera una nueva sentencia en la que estudie cada uno de los cargos del recurso de anulación propuestos por la Comisión Nacional de Televisión (hoy Autoridad Nacional de Televisión) contra el laudo arbitral proferido el 3 de abril de 2013.</w:t>
      </w:r>
      <w:r w:rsidRPr="006F79DA">
        <w:rPr>
          <w:rFonts w:ascii="Arial" w:eastAsia="Times New Roman" w:hAnsi="Arial" w:cs="Arial"/>
          <w:bCs/>
          <w:color w:val="000000"/>
          <w:sz w:val="24"/>
          <w:szCs w:val="24"/>
          <w:lang w:eastAsia="es-ES"/>
        </w:rPr>
        <w:t xml:space="preserve"> </w:t>
      </w:r>
    </w:p>
    <w:p w:rsidR="00FA71F4" w:rsidRPr="006F79DA" w:rsidRDefault="00FA71F4" w:rsidP="00FA71F4">
      <w:pPr>
        <w:widowControl w:val="0"/>
        <w:spacing w:line="276" w:lineRule="auto"/>
        <w:contextualSpacing/>
        <w:jc w:val="both"/>
        <w:rPr>
          <w:rFonts w:ascii="Arial" w:hAnsi="Arial" w:cs="Arial"/>
          <w:sz w:val="24"/>
          <w:szCs w:val="24"/>
          <w:lang w:val="es-ES_tradnl"/>
        </w:rPr>
      </w:pPr>
    </w:p>
    <w:p w:rsidR="00FA71F4" w:rsidRPr="006F79DA" w:rsidRDefault="00FA71F4" w:rsidP="00FA71F4">
      <w:pPr>
        <w:widowControl w:val="0"/>
        <w:spacing w:line="276" w:lineRule="auto"/>
        <w:contextualSpacing/>
        <w:jc w:val="both"/>
        <w:rPr>
          <w:rFonts w:ascii="Arial" w:hAnsi="Arial" w:cs="Arial"/>
          <w:sz w:val="24"/>
          <w:szCs w:val="24"/>
          <w:lang w:val="es-ES_tradnl"/>
        </w:rPr>
      </w:pPr>
      <w:r w:rsidRPr="006F79DA">
        <w:rPr>
          <w:rFonts w:ascii="Arial" w:hAnsi="Arial" w:cs="Arial"/>
          <w:sz w:val="24"/>
          <w:szCs w:val="24"/>
          <w:lang w:val="es-ES_tradnl"/>
        </w:rPr>
        <w:t xml:space="preserve">Por lo expuesto, el Consejo de Estado, Sala de lo Contencioso Administrativo, Sección Quinta, administrando justicia en nombre de la República y por autoridad de la ley, </w:t>
      </w:r>
    </w:p>
    <w:p w:rsidR="00FA71F4" w:rsidRPr="006F79DA" w:rsidRDefault="00FA71F4" w:rsidP="00FA71F4">
      <w:pPr>
        <w:spacing w:line="276" w:lineRule="auto"/>
        <w:contextualSpacing/>
        <w:jc w:val="both"/>
        <w:rPr>
          <w:rFonts w:ascii="Arial" w:eastAsia="Times New Roman" w:hAnsi="Arial" w:cs="Arial"/>
          <w:sz w:val="24"/>
          <w:szCs w:val="24"/>
          <w:lang w:eastAsia="es-ES"/>
        </w:rPr>
      </w:pPr>
    </w:p>
    <w:p w:rsidR="00FA71F4" w:rsidRPr="006F79DA" w:rsidRDefault="00FA71F4" w:rsidP="00FA71F4">
      <w:pPr>
        <w:pStyle w:val="Prrafodelista"/>
        <w:spacing w:line="276" w:lineRule="auto"/>
        <w:ind w:left="0"/>
        <w:jc w:val="center"/>
        <w:rPr>
          <w:rFonts w:ascii="Arial" w:hAnsi="Arial" w:cs="Arial"/>
          <w:b/>
          <w:sz w:val="24"/>
          <w:szCs w:val="24"/>
        </w:rPr>
      </w:pPr>
      <w:r w:rsidRPr="006F79DA">
        <w:rPr>
          <w:rFonts w:ascii="Arial" w:hAnsi="Arial" w:cs="Arial"/>
          <w:b/>
          <w:sz w:val="24"/>
          <w:szCs w:val="24"/>
        </w:rPr>
        <w:t>FALLA:</w:t>
      </w:r>
    </w:p>
    <w:p w:rsidR="00FA71F4" w:rsidRPr="006F79DA" w:rsidRDefault="00FA71F4" w:rsidP="00FA71F4">
      <w:pPr>
        <w:spacing w:line="276" w:lineRule="auto"/>
        <w:jc w:val="both"/>
        <w:rPr>
          <w:rFonts w:ascii="Arial" w:hAnsi="Arial" w:cs="Arial"/>
          <w:b/>
          <w:bCs/>
          <w:spacing w:val="-1"/>
          <w:w w:val="105"/>
          <w:sz w:val="24"/>
          <w:szCs w:val="24"/>
        </w:rPr>
      </w:pPr>
    </w:p>
    <w:p w:rsidR="00FA71F4" w:rsidRPr="006F79DA" w:rsidRDefault="00FA71F4" w:rsidP="00FA71F4">
      <w:pPr>
        <w:spacing w:line="276" w:lineRule="auto"/>
        <w:jc w:val="both"/>
        <w:rPr>
          <w:rFonts w:ascii="Arial" w:hAnsi="Arial" w:cs="Arial"/>
          <w:sz w:val="24"/>
          <w:szCs w:val="24"/>
        </w:rPr>
      </w:pPr>
      <w:r w:rsidRPr="006F79DA">
        <w:rPr>
          <w:rFonts w:ascii="Arial" w:hAnsi="Arial" w:cs="Arial"/>
          <w:b/>
          <w:bCs/>
          <w:spacing w:val="-1"/>
          <w:w w:val="105"/>
          <w:sz w:val="24"/>
          <w:szCs w:val="24"/>
        </w:rPr>
        <w:t xml:space="preserve">PRIMERO: </w:t>
      </w:r>
      <w:r w:rsidRPr="006F79DA">
        <w:rPr>
          <w:rFonts w:ascii="Arial" w:hAnsi="Arial" w:cs="Arial"/>
          <w:sz w:val="24"/>
          <w:szCs w:val="24"/>
        </w:rPr>
        <w:t>Revócase</w:t>
      </w:r>
      <w:r w:rsidRPr="006F79DA">
        <w:rPr>
          <w:rFonts w:ascii="Arial" w:hAnsi="Arial" w:cs="Arial"/>
          <w:b/>
          <w:sz w:val="24"/>
          <w:szCs w:val="24"/>
        </w:rPr>
        <w:t xml:space="preserve"> </w:t>
      </w:r>
      <w:r w:rsidRPr="006F79DA">
        <w:rPr>
          <w:rFonts w:ascii="Arial" w:hAnsi="Arial" w:cs="Arial"/>
          <w:sz w:val="24"/>
          <w:szCs w:val="24"/>
          <w:lang w:val="es-ES_tradnl"/>
        </w:rPr>
        <w:t xml:space="preserve">la sentencia </w:t>
      </w:r>
      <w:r w:rsidRPr="006F79DA">
        <w:rPr>
          <w:rFonts w:ascii="Arial" w:hAnsi="Arial" w:cs="Arial"/>
          <w:sz w:val="24"/>
          <w:szCs w:val="24"/>
        </w:rPr>
        <w:t>del 26 de noviembre de 2015 de la Sección Cuarta del Consejo de Estado, y en su lugar ampárase el derecho fundamental al debido proceso de la CEETTV S.A.  Como consecuencia de lo anterior, déjese sin efectos la providencia de 29 de mayo de 2014 proferida por la Sección Tercera Subsección B del Consejo de Estado, expediente número 110010326000201300053000.</w:t>
      </w:r>
    </w:p>
    <w:p w:rsidR="00FA71F4" w:rsidRPr="006F79DA" w:rsidRDefault="00FA71F4" w:rsidP="00FA71F4">
      <w:pPr>
        <w:pStyle w:val="Prrafodelista"/>
        <w:spacing w:line="276" w:lineRule="auto"/>
        <w:ind w:left="1080"/>
        <w:jc w:val="both"/>
        <w:rPr>
          <w:rFonts w:ascii="Arial" w:hAnsi="Arial" w:cs="Arial"/>
          <w:sz w:val="24"/>
          <w:szCs w:val="24"/>
        </w:rPr>
      </w:pPr>
    </w:p>
    <w:p w:rsidR="00FA71F4" w:rsidRPr="006F79DA" w:rsidRDefault="00FA71F4" w:rsidP="00FA71F4">
      <w:pPr>
        <w:spacing w:line="276" w:lineRule="auto"/>
        <w:contextualSpacing/>
        <w:jc w:val="both"/>
        <w:rPr>
          <w:rFonts w:ascii="Arial" w:eastAsia="Times New Roman" w:hAnsi="Arial" w:cs="Arial"/>
          <w:bCs/>
          <w:sz w:val="24"/>
          <w:szCs w:val="24"/>
          <w:lang w:eastAsia="es-ES"/>
        </w:rPr>
      </w:pPr>
      <w:r w:rsidRPr="006F79DA">
        <w:rPr>
          <w:rFonts w:ascii="Arial" w:hAnsi="Arial" w:cs="Arial"/>
          <w:b/>
          <w:sz w:val="24"/>
          <w:szCs w:val="24"/>
        </w:rPr>
        <w:t>SEGUNDO:</w:t>
      </w:r>
      <w:r w:rsidRPr="006F79DA">
        <w:rPr>
          <w:rFonts w:ascii="Arial" w:hAnsi="Arial" w:cs="Arial"/>
          <w:sz w:val="24"/>
          <w:szCs w:val="24"/>
        </w:rPr>
        <w:t xml:space="preserve"> Ordénase a la Sección Tercera Subsección B del Consejo de Estado que profiera una nueva sentencia, en la cual estudie el recurso de anulación presentado por la Comisión Nacional de Televisión (hoy Autoridad Nacional de Televisión) contra el laudo arbitral proferido el 3 de abril de 2013, de conformidad con lo expuesto en la parte motiva de esta providencia.</w:t>
      </w:r>
    </w:p>
    <w:p w:rsidR="00FA71F4" w:rsidRPr="006F79DA" w:rsidRDefault="00FA71F4" w:rsidP="00FA71F4">
      <w:pPr>
        <w:pStyle w:val="Style22"/>
        <w:tabs>
          <w:tab w:val="right" w:pos="0"/>
          <w:tab w:val="left" w:pos="142"/>
          <w:tab w:val="left" w:pos="284"/>
        </w:tabs>
        <w:kinsoku w:val="0"/>
        <w:autoSpaceDE/>
        <w:autoSpaceDN/>
        <w:adjustRightInd w:val="0"/>
        <w:spacing w:line="276" w:lineRule="auto"/>
        <w:ind w:left="0"/>
        <w:contextualSpacing/>
        <w:rPr>
          <w:rFonts w:ascii="Arial" w:hAnsi="Arial" w:cs="Arial"/>
          <w:sz w:val="24"/>
          <w:szCs w:val="24"/>
          <w:lang w:val="es-CO"/>
        </w:rPr>
      </w:pPr>
      <w:r w:rsidRPr="006F79DA">
        <w:rPr>
          <w:rFonts w:ascii="Arial" w:hAnsi="Arial" w:cs="Arial"/>
          <w:b w:val="0"/>
          <w:sz w:val="24"/>
          <w:szCs w:val="24"/>
          <w:lang w:val="es-CO"/>
        </w:rPr>
        <w:t xml:space="preserve"> </w:t>
      </w:r>
    </w:p>
    <w:p w:rsidR="00FA71F4" w:rsidRPr="006F79DA" w:rsidRDefault="00FA71F4" w:rsidP="00FA71F4">
      <w:pPr>
        <w:pStyle w:val="Style22"/>
        <w:tabs>
          <w:tab w:val="right" w:pos="0"/>
          <w:tab w:val="left" w:pos="142"/>
          <w:tab w:val="left" w:pos="284"/>
        </w:tabs>
        <w:kinsoku w:val="0"/>
        <w:autoSpaceDE/>
        <w:autoSpaceDN/>
        <w:adjustRightInd w:val="0"/>
        <w:spacing w:line="276" w:lineRule="auto"/>
        <w:ind w:left="0"/>
        <w:contextualSpacing/>
        <w:rPr>
          <w:rFonts w:ascii="Arial" w:hAnsi="Arial" w:cs="Arial"/>
          <w:sz w:val="24"/>
          <w:szCs w:val="24"/>
          <w:lang w:val="es-ES"/>
        </w:rPr>
      </w:pPr>
      <w:r w:rsidRPr="006F79DA">
        <w:rPr>
          <w:rFonts w:ascii="Arial" w:hAnsi="Arial" w:cs="Arial"/>
          <w:sz w:val="24"/>
          <w:szCs w:val="24"/>
          <w:lang w:val="es-ES"/>
        </w:rPr>
        <w:t>TERCERO:</w:t>
      </w:r>
      <w:r w:rsidRPr="006F79DA">
        <w:rPr>
          <w:rFonts w:ascii="Arial" w:hAnsi="Arial" w:cs="Arial"/>
          <w:b w:val="0"/>
          <w:sz w:val="24"/>
          <w:szCs w:val="24"/>
          <w:lang w:val="es-ES"/>
        </w:rPr>
        <w:t xml:space="preserve"> Notifíquese</w:t>
      </w:r>
      <w:r w:rsidRPr="006F79DA">
        <w:rPr>
          <w:rFonts w:ascii="Arial" w:hAnsi="Arial" w:cs="Arial"/>
          <w:sz w:val="24"/>
          <w:szCs w:val="24"/>
          <w:lang w:val="es-ES"/>
        </w:rPr>
        <w:t xml:space="preserve"> </w:t>
      </w:r>
      <w:r w:rsidRPr="006F79DA">
        <w:rPr>
          <w:rFonts w:ascii="Arial" w:hAnsi="Arial" w:cs="Arial"/>
          <w:b w:val="0"/>
          <w:sz w:val="24"/>
          <w:szCs w:val="24"/>
          <w:lang w:val="es-ES"/>
        </w:rPr>
        <w:t>a las partes en la forma prevista en el artículo 30 del Decreto 2591 de 1991</w:t>
      </w:r>
      <w:r w:rsidRPr="006F79DA">
        <w:rPr>
          <w:rFonts w:ascii="Arial" w:hAnsi="Arial" w:cs="Arial"/>
          <w:sz w:val="24"/>
          <w:szCs w:val="24"/>
          <w:lang w:val="es-ES"/>
        </w:rPr>
        <w:t>.</w:t>
      </w:r>
    </w:p>
    <w:p w:rsidR="00FA71F4" w:rsidRPr="006F79DA" w:rsidRDefault="00FA71F4" w:rsidP="00FA71F4">
      <w:pPr>
        <w:pStyle w:val="Prrafodelista"/>
        <w:overflowPunct w:val="0"/>
        <w:autoSpaceDE w:val="0"/>
        <w:autoSpaceDN w:val="0"/>
        <w:adjustRightInd w:val="0"/>
        <w:spacing w:line="276" w:lineRule="auto"/>
        <w:ind w:left="1080"/>
        <w:jc w:val="both"/>
        <w:rPr>
          <w:rFonts w:ascii="Arial" w:hAnsi="Arial" w:cs="Arial"/>
          <w:b/>
          <w:sz w:val="24"/>
          <w:szCs w:val="24"/>
        </w:rPr>
      </w:pPr>
    </w:p>
    <w:p w:rsidR="00FA71F4" w:rsidRPr="006F79DA" w:rsidRDefault="00FA71F4" w:rsidP="00FA71F4">
      <w:pPr>
        <w:autoSpaceDE w:val="0"/>
        <w:autoSpaceDN w:val="0"/>
        <w:adjustRightInd w:val="0"/>
        <w:spacing w:line="276" w:lineRule="auto"/>
        <w:contextualSpacing/>
        <w:jc w:val="both"/>
        <w:rPr>
          <w:rFonts w:ascii="Arial" w:hAnsi="Arial" w:cs="Arial"/>
          <w:sz w:val="24"/>
          <w:szCs w:val="24"/>
        </w:rPr>
      </w:pPr>
      <w:r w:rsidRPr="006F79DA">
        <w:rPr>
          <w:rFonts w:ascii="Arial" w:hAnsi="Arial" w:cs="Arial"/>
          <w:b/>
          <w:sz w:val="24"/>
          <w:szCs w:val="24"/>
        </w:rPr>
        <w:t>CUARTO:</w:t>
      </w:r>
      <w:r w:rsidRPr="006F79DA">
        <w:rPr>
          <w:rFonts w:ascii="Arial" w:hAnsi="Arial" w:cs="Arial"/>
          <w:sz w:val="24"/>
          <w:szCs w:val="24"/>
        </w:rPr>
        <w:t xml:space="preserve"> Dentro de los diez (10) días siguientes a la ejecutoria de esta providencia, remítase el expediente a la Corte Constitucional para su eventual revisión, y envíese copia de la misma al Despacho de origen. </w:t>
      </w:r>
    </w:p>
    <w:p w:rsidR="00FA71F4" w:rsidRPr="006F79DA" w:rsidRDefault="00FA71F4" w:rsidP="00FA71F4">
      <w:pPr>
        <w:autoSpaceDE w:val="0"/>
        <w:autoSpaceDN w:val="0"/>
        <w:adjustRightInd w:val="0"/>
        <w:spacing w:line="276" w:lineRule="auto"/>
        <w:contextualSpacing/>
        <w:jc w:val="both"/>
        <w:rPr>
          <w:rFonts w:ascii="Arial" w:hAnsi="Arial" w:cs="Arial"/>
          <w:b/>
          <w:sz w:val="24"/>
          <w:szCs w:val="24"/>
        </w:rPr>
      </w:pPr>
    </w:p>
    <w:p w:rsidR="00FA71F4" w:rsidRPr="006F79DA" w:rsidRDefault="00FA71F4" w:rsidP="00FA71F4">
      <w:pPr>
        <w:autoSpaceDE w:val="0"/>
        <w:autoSpaceDN w:val="0"/>
        <w:adjustRightInd w:val="0"/>
        <w:spacing w:line="276" w:lineRule="auto"/>
        <w:contextualSpacing/>
        <w:jc w:val="both"/>
        <w:rPr>
          <w:rFonts w:ascii="Arial" w:hAnsi="Arial" w:cs="Arial"/>
          <w:b/>
          <w:sz w:val="24"/>
          <w:szCs w:val="24"/>
        </w:rPr>
      </w:pPr>
    </w:p>
    <w:p w:rsidR="00FA71F4" w:rsidRPr="006F79DA" w:rsidRDefault="00FA71F4" w:rsidP="00FA71F4">
      <w:pPr>
        <w:spacing w:line="276" w:lineRule="auto"/>
        <w:jc w:val="both"/>
        <w:rPr>
          <w:rFonts w:ascii="Arial" w:hAnsi="Arial" w:cs="Arial"/>
          <w:sz w:val="24"/>
          <w:szCs w:val="24"/>
        </w:rPr>
      </w:pPr>
      <w:r w:rsidRPr="006F79DA">
        <w:rPr>
          <w:rFonts w:ascii="Arial" w:hAnsi="Arial" w:cs="Arial"/>
          <w:sz w:val="24"/>
          <w:szCs w:val="24"/>
        </w:rPr>
        <w:t>NOTIFÍQUESE Y CÚMPLASE</w:t>
      </w:r>
    </w:p>
    <w:p w:rsidR="00FA71F4" w:rsidRPr="006F79DA" w:rsidRDefault="00FA71F4" w:rsidP="00FA71F4">
      <w:pPr>
        <w:spacing w:line="276" w:lineRule="auto"/>
        <w:contextualSpacing/>
        <w:jc w:val="center"/>
        <w:rPr>
          <w:rFonts w:ascii="Arial" w:eastAsia="Times New Roman" w:hAnsi="Arial" w:cs="Arial"/>
          <w:sz w:val="24"/>
          <w:szCs w:val="24"/>
          <w:lang w:eastAsia="es-ES"/>
        </w:rPr>
      </w:pPr>
    </w:p>
    <w:p w:rsidR="00FA71F4" w:rsidRPr="006F79DA" w:rsidRDefault="00FA71F4" w:rsidP="00FA71F4">
      <w:pPr>
        <w:spacing w:line="276" w:lineRule="auto"/>
        <w:contextualSpacing/>
        <w:jc w:val="center"/>
        <w:rPr>
          <w:rFonts w:ascii="Arial" w:eastAsia="Times New Roman" w:hAnsi="Arial" w:cs="Arial"/>
          <w:sz w:val="24"/>
          <w:szCs w:val="24"/>
          <w:lang w:eastAsia="es-ES"/>
        </w:rPr>
      </w:pPr>
    </w:p>
    <w:p w:rsidR="00FA71F4" w:rsidRPr="006F79DA" w:rsidRDefault="00FA71F4" w:rsidP="00FA71F4">
      <w:pPr>
        <w:spacing w:line="276" w:lineRule="auto"/>
        <w:contextualSpacing/>
        <w:jc w:val="both"/>
        <w:rPr>
          <w:rFonts w:ascii="Arial" w:eastAsia="Times New Roman" w:hAnsi="Arial" w:cs="Arial"/>
          <w:b/>
          <w:sz w:val="24"/>
          <w:szCs w:val="24"/>
          <w:lang w:eastAsia="es-ES"/>
        </w:rPr>
      </w:pPr>
    </w:p>
    <w:p w:rsidR="00FA71F4" w:rsidRPr="006F79DA" w:rsidRDefault="00FA71F4" w:rsidP="00FA71F4">
      <w:pPr>
        <w:spacing w:line="276" w:lineRule="auto"/>
        <w:contextualSpacing/>
        <w:jc w:val="center"/>
        <w:rPr>
          <w:rFonts w:ascii="Arial" w:eastAsia="Times New Roman" w:hAnsi="Arial" w:cs="Arial"/>
          <w:b/>
          <w:bCs/>
          <w:sz w:val="24"/>
          <w:szCs w:val="24"/>
          <w:lang w:eastAsia="es-ES"/>
        </w:rPr>
      </w:pPr>
      <w:r w:rsidRPr="006F79DA">
        <w:rPr>
          <w:rFonts w:ascii="Arial" w:eastAsia="Times New Roman" w:hAnsi="Arial" w:cs="Arial"/>
          <w:b/>
          <w:bCs/>
          <w:sz w:val="24"/>
          <w:szCs w:val="24"/>
          <w:lang w:eastAsia="es-ES"/>
        </w:rPr>
        <w:t>LUCY JEANNETTE BERMÚDEZ BERMÚDEZ</w:t>
      </w:r>
    </w:p>
    <w:p w:rsidR="00FA71F4" w:rsidRPr="006F79DA" w:rsidRDefault="00FA71F4" w:rsidP="00FA71F4">
      <w:pPr>
        <w:spacing w:line="276" w:lineRule="auto"/>
        <w:contextualSpacing/>
        <w:jc w:val="center"/>
        <w:rPr>
          <w:rFonts w:ascii="Arial" w:eastAsia="Times New Roman" w:hAnsi="Arial" w:cs="Arial"/>
          <w:bCs/>
          <w:sz w:val="24"/>
          <w:szCs w:val="24"/>
          <w:lang w:eastAsia="es-ES"/>
        </w:rPr>
      </w:pPr>
      <w:r w:rsidRPr="006F79DA">
        <w:rPr>
          <w:rFonts w:ascii="Arial" w:eastAsia="Times New Roman" w:hAnsi="Arial" w:cs="Arial"/>
          <w:bCs/>
          <w:sz w:val="24"/>
          <w:szCs w:val="24"/>
          <w:lang w:eastAsia="es-ES"/>
        </w:rPr>
        <w:t>Presidenta</w:t>
      </w:r>
    </w:p>
    <w:p w:rsidR="00FA71F4" w:rsidRPr="006F79DA" w:rsidRDefault="00FA71F4" w:rsidP="00FA71F4">
      <w:pPr>
        <w:spacing w:line="276" w:lineRule="auto"/>
        <w:contextualSpacing/>
        <w:jc w:val="both"/>
        <w:rPr>
          <w:rFonts w:ascii="Arial" w:eastAsia="Times New Roman" w:hAnsi="Arial" w:cs="Arial"/>
          <w:b/>
          <w:bCs/>
          <w:sz w:val="24"/>
          <w:szCs w:val="24"/>
          <w:lang w:eastAsia="es-ES"/>
        </w:rPr>
      </w:pPr>
    </w:p>
    <w:p w:rsidR="00FA71F4" w:rsidRPr="006F79DA" w:rsidRDefault="00FA71F4" w:rsidP="00FA71F4">
      <w:pPr>
        <w:spacing w:line="276" w:lineRule="auto"/>
        <w:contextualSpacing/>
        <w:jc w:val="both"/>
        <w:rPr>
          <w:rFonts w:ascii="Arial" w:eastAsia="Times New Roman" w:hAnsi="Arial" w:cs="Arial"/>
          <w:b/>
          <w:bCs/>
          <w:sz w:val="24"/>
          <w:szCs w:val="24"/>
          <w:lang w:eastAsia="es-ES"/>
        </w:rPr>
      </w:pPr>
    </w:p>
    <w:p w:rsidR="00FA71F4" w:rsidRPr="006F79DA" w:rsidRDefault="00FA71F4" w:rsidP="00FA71F4">
      <w:pPr>
        <w:spacing w:line="276" w:lineRule="auto"/>
        <w:contextualSpacing/>
        <w:jc w:val="both"/>
        <w:rPr>
          <w:rFonts w:ascii="Arial" w:eastAsia="Times New Roman" w:hAnsi="Arial" w:cs="Arial"/>
          <w:b/>
          <w:bCs/>
          <w:sz w:val="24"/>
          <w:szCs w:val="24"/>
          <w:lang w:eastAsia="es-ES"/>
        </w:rPr>
      </w:pPr>
    </w:p>
    <w:p w:rsidR="00FA71F4" w:rsidRPr="006F79DA" w:rsidRDefault="00FA71F4" w:rsidP="00FA71F4">
      <w:pPr>
        <w:spacing w:line="276" w:lineRule="auto"/>
        <w:jc w:val="center"/>
        <w:rPr>
          <w:rFonts w:ascii="Arial" w:hAnsi="Arial" w:cs="Arial"/>
          <w:b/>
          <w:sz w:val="24"/>
          <w:szCs w:val="24"/>
        </w:rPr>
      </w:pPr>
      <w:r w:rsidRPr="006F79DA">
        <w:rPr>
          <w:rFonts w:ascii="Arial" w:hAnsi="Arial" w:cs="Arial"/>
          <w:b/>
          <w:sz w:val="24"/>
          <w:szCs w:val="24"/>
        </w:rPr>
        <w:lastRenderedPageBreak/>
        <w:t>ROCÍO ARAÚJO OÑATE</w:t>
      </w:r>
    </w:p>
    <w:p w:rsidR="00FA71F4" w:rsidRPr="006F79DA" w:rsidRDefault="00FA71F4" w:rsidP="00FA71F4">
      <w:pPr>
        <w:spacing w:line="276" w:lineRule="auto"/>
        <w:contextualSpacing/>
        <w:jc w:val="center"/>
        <w:rPr>
          <w:rFonts w:ascii="Arial" w:eastAsia="Times New Roman" w:hAnsi="Arial" w:cs="Arial"/>
          <w:bCs/>
          <w:sz w:val="24"/>
          <w:szCs w:val="24"/>
          <w:lang w:eastAsia="es-ES"/>
        </w:rPr>
      </w:pPr>
      <w:r w:rsidRPr="006F79DA">
        <w:rPr>
          <w:rFonts w:ascii="Arial" w:eastAsia="Times New Roman" w:hAnsi="Arial" w:cs="Arial"/>
          <w:bCs/>
          <w:sz w:val="24"/>
          <w:szCs w:val="24"/>
          <w:lang w:eastAsia="es-ES"/>
        </w:rPr>
        <w:t>Consejera de Estado</w:t>
      </w:r>
    </w:p>
    <w:p w:rsidR="00FA71F4" w:rsidRPr="006F79DA" w:rsidRDefault="00FA71F4" w:rsidP="00FA71F4">
      <w:pPr>
        <w:spacing w:line="276" w:lineRule="auto"/>
        <w:contextualSpacing/>
        <w:jc w:val="center"/>
        <w:rPr>
          <w:rFonts w:ascii="Arial" w:eastAsia="Times New Roman" w:hAnsi="Arial" w:cs="Arial"/>
          <w:b/>
          <w:bCs/>
          <w:sz w:val="24"/>
          <w:szCs w:val="24"/>
          <w:lang w:eastAsia="es-ES"/>
        </w:rPr>
      </w:pPr>
    </w:p>
    <w:p w:rsidR="00FA71F4" w:rsidRPr="006F79DA" w:rsidRDefault="00FA71F4" w:rsidP="00FA71F4">
      <w:pPr>
        <w:spacing w:line="276" w:lineRule="auto"/>
        <w:contextualSpacing/>
        <w:jc w:val="center"/>
        <w:rPr>
          <w:rFonts w:ascii="Arial" w:eastAsia="Times New Roman" w:hAnsi="Arial" w:cs="Arial"/>
          <w:b/>
          <w:bCs/>
          <w:sz w:val="24"/>
          <w:szCs w:val="24"/>
          <w:lang w:eastAsia="es-ES"/>
        </w:rPr>
      </w:pPr>
    </w:p>
    <w:p w:rsidR="00FA71F4" w:rsidRPr="006F79DA" w:rsidRDefault="00FA71F4" w:rsidP="00FA71F4">
      <w:pPr>
        <w:spacing w:line="276" w:lineRule="auto"/>
        <w:contextualSpacing/>
        <w:jc w:val="center"/>
        <w:rPr>
          <w:rFonts w:ascii="Arial" w:eastAsia="Times New Roman" w:hAnsi="Arial" w:cs="Arial"/>
          <w:b/>
          <w:bCs/>
          <w:sz w:val="24"/>
          <w:szCs w:val="24"/>
          <w:lang w:eastAsia="es-ES"/>
        </w:rPr>
      </w:pPr>
    </w:p>
    <w:p w:rsidR="00FA71F4" w:rsidRPr="006F79DA" w:rsidRDefault="00FA71F4" w:rsidP="00FA71F4">
      <w:pPr>
        <w:spacing w:line="276" w:lineRule="auto"/>
        <w:contextualSpacing/>
        <w:jc w:val="center"/>
        <w:rPr>
          <w:rFonts w:ascii="Arial" w:eastAsia="Times New Roman" w:hAnsi="Arial" w:cs="Arial"/>
          <w:b/>
          <w:bCs/>
          <w:sz w:val="24"/>
          <w:szCs w:val="24"/>
          <w:lang w:eastAsia="es-ES"/>
        </w:rPr>
      </w:pPr>
    </w:p>
    <w:p w:rsidR="00FA71F4" w:rsidRPr="006F79DA" w:rsidRDefault="00FA71F4" w:rsidP="00FA71F4">
      <w:pPr>
        <w:spacing w:line="276" w:lineRule="auto"/>
        <w:contextualSpacing/>
        <w:jc w:val="both"/>
        <w:rPr>
          <w:rFonts w:ascii="Arial" w:eastAsia="Times New Roman" w:hAnsi="Arial" w:cs="Arial"/>
          <w:b/>
          <w:bCs/>
          <w:sz w:val="24"/>
          <w:szCs w:val="24"/>
          <w:lang w:eastAsia="es-ES"/>
        </w:rPr>
      </w:pPr>
    </w:p>
    <w:p w:rsidR="00FA71F4" w:rsidRPr="006F79DA" w:rsidRDefault="00FA71F4" w:rsidP="00FA71F4">
      <w:pPr>
        <w:spacing w:line="276" w:lineRule="auto"/>
        <w:contextualSpacing/>
        <w:jc w:val="center"/>
        <w:rPr>
          <w:rFonts w:ascii="Arial" w:eastAsia="Times New Roman" w:hAnsi="Arial" w:cs="Arial"/>
          <w:b/>
          <w:bCs/>
          <w:sz w:val="24"/>
          <w:szCs w:val="24"/>
          <w:lang w:eastAsia="es-ES"/>
        </w:rPr>
      </w:pPr>
      <w:r w:rsidRPr="006F79DA">
        <w:rPr>
          <w:rFonts w:ascii="Arial" w:eastAsia="Times New Roman" w:hAnsi="Arial" w:cs="Arial"/>
          <w:b/>
          <w:bCs/>
          <w:sz w:val="24"/>
          <w:szCs w:val="24"/>
          <w:lang w:eastAsia="es-ES"/>
        </w:rPr>
        <w:t>CARLOS ENRIQUE MORENO RUBIO</w:t>
      </w:r>
    </w:p>
    <w:p w:rsidR="00FA71F4" w:rsidRPr="006F79DA" w:rsidRDefault="00FA71F4" w:rsidP="00FA71F4">
      <w:pPr>
        <w:spacing w:line="276" w:lineRule="auto"/>
        <w:contextualSpacing/>
        <w:jc w:val="center"/>
        <w:rPr>
          <w:rFonts w:ascii="Arial" w:eastAsia="Times New Roman" w:hAnsi="Arial" w:cs="Arial"/>
          <w:bCs/>
          <w:sz w:val="24"/>
          <w:szCs w:val="24"/>
          <w:lang w:eastAsia="es-ES"/>
        </w:rPr>
      </w:pPr>
      <w:r w:rsidRPr="006F79DA">
        <w:rPr>
          <w:rFonts w:ascii="Arial" w:eastAsia="Times New Roman" w:hAnsi="Arial" w:cs="Arial"/>
          <w:bCs/>
          <w:sz w:val="24"/>
          <w:szCs w:val="24"/>
          <w:lang w:eastAsia="es-ES"/>
        </w:rPr>
        <w:t>Consejero de Estado</w:t>
      </w:r>
    </w:p>
    <w:p w:rsidR="00FA71F4" w:rsidRPr="006F79DA" w:rsidRDefault="00FA71F4" w:rsidP="00FA71F4">
      <w:pPr>
        <w:spacing w:line="276" w:lineRule="auto"/>
        <w:contextualSpacing/>
        <w:jc w:val="both"/>
        <w:rPr>
          <w:rFonts w:ascii="Arial" w:eastAsia="Times New Roman" w:hAnsi="Arial" w:cs="Arial"/>
          <w:b/>
          <w:bCs/>
          <w:sz w:val="24"/>
          <w:szCs w:val="24"/>
          <w:lang w:eastAsia="es-ES"/>
        </w:rPr>
      </w:pPr>
    </w:p>
    <w:p w:rsidR="00FA71F4" w:rsidRPr="006F79DA" w:rsidRDefault="00FA71F4" w:rsidP="00FA71F4">
      <w:pPr>
        <w:spacing w:line="276" w:lineRule="auto"/>
        <w:contextualSpacing/>
        <w:jc w:val="both"/>
        <w:rPr>
          <w:rFonts w:ascii="Arial" w:eastAsia="Times New Roman" w:hAnsi="Arial" w:cs="Arial"/>
          <w:b/>
          <w:bCs/>
          <w:sz w:val="24"/>
          <w:szCs w:val="24"/>
          <w:lang w:eastAsia="es-ES"/>
        </w:rPr>
      </w:pPr>
    </w:p>
    <w:p w:rsidR="00FA71F4" w:rsidRPr="006F79DA" w:rsidRDefault="00FA71F4" w:rsidP="00FA71F4">
      <w:pPr>
        <w:spacing w:line="276" w:lineRule="auto"/>
        <w:contextualSpacing/>
        <w:jc w:val="both"/>
        <w:rPr>
          <w:rFonts w:ascii="Arial" w:eastAsia="Times New Roman" w:hAnsi="Arial" w:cs="Arial"/>
          <w:b/>
          <w:bCs/>
          <w:sz w:val="24"/>
          <w:szCs w:val="24"/>
          <w:lang w:eastAsia="es-ES"/>
        </w:rPr>
      </w:pPr>
    </w:p>
    <w:p w:rsidR="00FA71F4" w:rsidRPr="006F79DA" w:rsidRDefault="00FA71F4" w:rsidP="00FA71F4">
      <w:pPr>
        <w:spacing w:line="276" w:lineRule="auto"/>
        <w:contextualSpacing/>
        <w:jc w:val="center"/>
        <w:rPr>
          <w:rFonts w:ascii="Arial" w:eastAsia="Times New Roman" w:hAnsi="Arial" w:cs="Arial"/>
          <w:b/>
          <w:bCs/>
          <w:sz w:val="24"/>
          <w:szCs w:val="24"/>
          <w:lang w:eastAsia="es-ES"/>
        </w:rPr>
      </w:pPr>
      <w:r w:rsidRPr="006F79DA">
        <w:rPr>
          <w:rFonts w:ascii="Arial" w:eastAsia="Times New Roman" w:hAnsi="Arial" w:cs="Arial"/>
          <w:b/>
          <w:bCs/>
          <w:sz w:val="24"/>
          <w:szCs w:val="24"/>
          <w:lang w:eastAsia="es-ES"/>
        </w:rPr>
        <w:t>ALBERTO YEPES BARREIRO</w:t>
      </w:r>
    </w:p>
    <w:p w:rsidR="00FA71F4" w:rsidRPr="006F79DA" w:rsidRDefault="00FA71F4" w:rsidP="00FA71F4">
      <w:pPr>
        <w:spacing w:line="276" w:lineRule="auto"/>
        <w:contextualSpacing/>
        <w:jc w:val="center"/>
        <w:rPr>
          <w:rFonts w:ascii="Arial" w:eastAsia="Times New Roman" w:hAnsi="Arial" w:cs="Arial"/>
          <w:bCs/>
          <w:sz w:val="24"/>
          <w:szCs w:val="24"/>
          <w:lang w:eastAsia="es-ES"/>
        </w:rPr>
      </w:pPr>
      <w:r w:rsidRPr="006F79DA">
        <w:rPr>
          <w:rFonts w:ascii="Arial" w:eastAsia="Times New Roman" w:hAnsi="Arial" w:cs="Arial"/>
          <w:bCs/>
          <w:sz w:val="24"/>
          <w:szCs w:val="24"/>
          <w:lang w:eastAsia="es-ES"/>
        </w:rPr>
        <w:t>Consejero de Estado</w:t>
      </w:r>
    </w:p>
    <w:p w:rsidR="00A737B5" w:rsidRPr="006F79DA" w:rsidRDefault="00A737B5" w:rsidP="00FA71F4">
      <w:pPr>
        <w:rPr>
          <w:rFonts w:ascii="Arial" w:hAnsi="Arial" w:cs="Arial"/>
          <w:sz w:val="24"/>
          <w:szCs w:val="24"/>
        </w:rPr>
      </w:pPr>
    </w:p>
    <w:sectPr w:rsidR="00A737B5" w:rsidRPr="006F79DA" w:rsidSect="006F79DA">
      <w:headerReference w:type="even" r:id="rId10"/>
      <w:headerReference w:type="first" r:id="rId11"/>
      <w:pgSz w:w="12240" w:h="18720" w:code="14"/>
      <w:pgMar w:top="1701" w:right="1701" w:bottom="1701" w:left="1701" w:header="0" w:footer="0" w:gutter="0"/>
      <w:cols w:space="708"/>
      <w:titlePg/>
      <w:docGrid w:linePitch="360" w:charSpace="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6A74" w:rsidRDefault="00126A74" w:rsidP="00FA71F4">
      <w:r>
        <w:separator/>
      </w:r>
    </w:p>
  </w:endnote>
  <w:endnote w:type="continuationSeparator" w:id="0">
    <w:p w:rsidR="00126A74" w:rsidRDefault="00126A74" w:rsidP="00FA7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6A74" w:rsidRDefault="00126A74" w:rsidP="00FA71F4">
      <w:r>
        <w:separator/>
      </w:r>
    </w:p>
  </w:footnote>
  <w:footnote w:type="continuationSeparator" w:id="0">
    <w:p w:rsidR="00126A74" w:rsidRDefault="00126A74" w:rsidP="00FA71F4">
      <w:r>
        <w:continuationSeparator/>
      </w:r>
    </w:p>
  </w:footnote>
  <w:footnote w:id="1">
    <w:p w:rsidR="00FA71F4" w:rsidRPr="007E3FB0" w:rsidRDefault="00FA71F4" w:rsidP="00FA71F4">
      <w:pPr>
        <w:pStyle w:val="Textonotapie"/>
        <w:jc w:val="both"/>
        <w:rPr>
          <w:rFonts w:ascii="Arial" w:hAnsi="Arial" w:cs="Arial"/>
          <w:i/>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En la providencia se resolvió</w:t>
      </w:r>
      <w:r w:rsidRPr="007E3FB0">
        <w:rPr>
          <w:rFonts w:ascii="Arial" w:hAnsi="Arial" w:cs="Arial"/>
          <w:i/>
          <w:lang w:val="es-CO"/>
        </w:rPr>
        <w:t xml:space="preserve"> “</w:t>
      </w:r>
      <w:r w:rsidRPr="007E3FB0">
        <w:rPr>
          <w:rFonts w:ascii="Arial" w:hAnsi="Arial" w:cs="Arial"/>
          <w:b/>
          <w:i/>
          <w:lang w:val="es-CO"/>
        </w:rPr>
        <w:t>Primero.</w:t>
      </w:r>
      <w:r w:rsidRPr="007E3FB0">
        <w:rPr>
          <w:rFonts w:ascii="Arial" w:hAnsi="Arial" w:cs="Arial"/>
          <w:i/>
          <w:lang w:val="es-CO"/>
        </w:rPr>
        <w:t xml:space="preserve"> Declarar que prospera la primera pretensión general de la demanda por las razone expuestas en la parte motiva de esta providencia. </w:t>
      </w:r>
      <w:r w:rsidRPr="007E3FB0">
        <w:rPr>
          <w:rFonts w:ascii="Arial" w:hAnsi="Arial" w:cs="Arial"/>
          <w:b/>
          <w:i/>
          <w:lang w:val="es-CO"/>
        </w:rPr>
        <w:t xml:space="preserve">Segundo. </w:t>
      </w:r>
      <w:r w:rsidRPr="007E3FB0">
        <w:rPr>
          <w:rFonts w:ascii="Arial" w:hAnsi="Arial" w:cs="Arial"/>
          <w:i/>
          <w:lang w:val="es-CO"/>
        </w:rPr>
        <w:t xml:space="preserve">Declarar que prosperan los medio de defensa formulados por la demandada bajo la denominación “inaplicabilidad del artículo 27 de la Ley 80 e 1993 en razón de la inexistencia de los requisitos de no imputabilidad e imprevisibilidad requerido para el restablecimiento del equilibrio financiero del contrato”; “Cumplimiento por parte de CEETTV de lo pactado en la cláusula octava del Otrosí No. 4 al Contrato de Concesión No. 167 de 1998 en concordancia con la cláusula séptima de los contratos de RCN y Caracol” y “Riesgos asumidos por la CNTV al convenir lo pactado en la cláusula séptima de los contratos de prórroga suscritos con los canales nacionales y de las decisiones que la misma adoptó al impedir que CEETTV tuviera participación en la aplicación de lo pactado en dicha cláusula y en las actuaciones desplegadas por el Auditor y los canales al amparo de las mismas” </w:t>
      </w:r>
      <w:r w:rsidRPr="007E3FB0">
        <w:rPr>
          <w:rFonts w:ascii="Arial" w:hAnsi="Arial" w:cs="Arial"/>
          <w:b/>
          <w:i/>
          <w:lang w:val="es-CO"/>
        </w:rPr>
        <w:t>Tercero.</w:t>
      </w:r>
      <w:r w:rsidRPr="007E3FB0">
        <w:rPr>
          <w:rFonts w:ascii="Arial" w:hAnsi="Arial" w:cs="Arial"/>
          <w:i/>
          <w:lang w:val="es-CO"/>
        </w:rPr>
        <w:t xml:space="preserve"> Declarar que no prosperan las demás pretensiones principales generales ni principal específica, ni las subsidiarias, por las razones expuestas en la parte motiva.” </w:t>
      </w:r>
    </w:p>
  </w:footnote>
  <w:footnote w:id="2">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La nulidad se declaró, en razón a que la cláusula octava contiene estipulaciones relativas a “</w:t>
      </w:r>
      <w:r w:rsidRPr="007E3FB0">
        <w:rPr>
          <w:rFonts w:ascii="Arial" w:hAnsi="Arial" w:cs="Arial"/>
          <w:i/>
          <w:lang w:val="es-CO"/>
        </w:rPr>
        <w:t>i)  la negociación de un precio con criterios ajenos a los establecidos por la Ley 182 de 1995 para la definición  la tarifa de la concesión y ii) la habilitación para que los árbitros conozcan de las controversias originadas en el ejercicio de la facultad de intervención del Estado, mediante la fijación de la tarifa y en el pago de una obligación impuesta por una ley en la que envuelto el orden público, que contraviene manifiestamente los artículos 75,76,11 y 365 de la Constitución Política; 4º, 5º, 29, 35 37, 46y 48 de la Ley 182 de 1995 y 1º del Decreto 2279 de 1989”.</w:t>
      </w:r>
      <w:r w:rsidRPr="007E3FB0">
        <w:rPr>
          <w:rFonts w:ascii="Arial" w:hAnsi="Arial" w:cs="Arial"/>
          <w:lang w:val="es-CO"/>
        </w:rPr>
        <w:t xml:space="preserve">  </w:t>
      </w:r>
    </w:p>
  </w:footnote>
  <w:footnote w:id="3">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 xml:space="preserve">Sobre el particular la actora citó como desconocidas las sentencias del  </w:t>
      </w:r>
      <w:r w:rsidRPr="007E3FB0">
        <w:rPr>
          <w:rFonts w:ascii="Arial" w:hAnsi="Arial" w:cs="Arial"/>
          <w:b/>
          <w:lang w:val="es-CO"/>
        </w:rPr>
        <w:t>i)</w:t>
      </w:r>
      <w:r w:rsidRPr="007E3FB0">
        <w:rPr>
          <w:rFonts w:ascii="Arial" w:hAnsi="Arial" w:cs="Arial"/>
          <w:lang w:val="es-CO"/>
        </w:rPr>
        <w:t xml:space="preserve"> 1 de agosto de 2002, consejero ponente Germán Rodríguez Villamizar, expediente 21041; </w:t>
      </w:r>
      <w:r w:rsidRPr="007E3FB0">
        <w:rPr>
          <w:rFonts w:ascii="Arial" w:hAnsi="Arial" w:cs="Arial"/>
          <w:b/>
          <w:lang w:val="es-CO"/>
        </w:rPr>
        <w:t>ii)</w:t>
      </w:r>
      <w:r w:rsidRPr="007E3FB0">
        <w:rPr>
          <w:rFonts w:ascii="Arial" w:hAnsi="Arial" w:cs="Arial"/>
          <w:lang w:val="es-CO"/>
        </w:rPr>
        <w:t xml:space="preserve"> 11 de marzo de 2004, consejero ponente María Elena Giraldo Gómez, radicado 25021; </w:t>
      </w:r>
      <w:r w:rsidRPr="007E3FB0">
        <w:rPr>
          <w:rFonts w:ascii="Arial" w:hAnsi="Arial" w:cs="Arial"/>
          <w:b/>
          <w:lang w:val="es-CO"/>
        </w:rPr>
        <w:t>iii)</w:t>
      </w:r>
      <w:r w:rsidRPr="007E3FB0">
        <w:rPr>
          <w:rFonts w:ascii="Arial" w:hAnsi="Arial" w:cs="Arial"/>
          <w:lang w:val="es-CO"/>
        </w:rPr>
        <w:t xml:space="preserve"> 8 de junio de 2006, consejera ponente Ruth Stella Correa Palacio, expediente 323998;</w:t>
      </w:r>
      <w:r w:rsidRPr="007E3FB0">
        <w:rPr>
          <w:rFonts w:ascii="Arial" w:hAnsi="Arial" w:cs="Arial"/>
          <w:b/>
          <w:lang w:val="es-CO"/>
        </w:rPr>
        <w:t xml:space="preserve"> iv)</w:t>
      </w:r>
      <w:r w:rsidRPr="007E3FB0">
        <w:rPr>
          <w:rFonts w:ascii="Arial" w:hAnsi="Arial" w:cs="Arial"/>
          <w:lang w:val="es-CO"/>
        </w:rPr>
        <w:t xml:space="preserve"> 7 de junio de 2007 consejero ponente Mauricio Fajardo Gómez, radicado interno 32896; </w:t>
      </w:r>
      <w:r w:rsidRPr="007E3FB0">
        <w:rPr>
          <w:rFonts w:ascii="Arial" w:hAnsi="Arial" w:cs="Arial"/>
          <w:b/>
          <w:lang w:val="es-CO"/>
        </w:rPr>
        <w:t>v)</w:t>
      </w:r>
      <w:r w:rsidRPr="007E3FB0">
        <w:rPr>
          <w:rFonts w:ascii="Arial" w:hAnsi="Arial" w:cs="Arial"/>
          <w:lang w:val="es-CO"/>
        </w:rPr>
        <w:t xml:space="preserve"> 3 de septiembre de 2008, consejero ponente Ramiro Saavedra Becerra, expediente 35797; </w:t>
      </w:r>
      <w:r w:rsidRPr="007E3FB0">
        <w:rPr>
          <w:rFonts w:ascii="Arial" w:hAnsi="Arial" w:cs="Arial"/>
          <w:b/>
          <w:lang w:val="es-CO"/>
        </w:rPr>
        <w:t>vi)</w:t>
      </w:r>
      <w:r w:rsidRPr="007E3FB0">
        <w:rPr>
          <w:rFonts w:ascii="Arial" w:hAnsi="Arial" w:cs="Arial"/>
          <w:lang w:val="es-CO"/>
        </w:rPr>
        <w:t xml:space="preserve"> 15 de octubre de 2008 consejera ponente Myriam Guerrero de Escobar, radicado 35112; y </w:t>
      </w:r>
      <w:r w:rsidRPr="007E3FB0">
        <w:rPr>
          <w:rFonts w:ascii="Arial" w:hAnsi="Arial" w:cs="Arial"/>
          <w:b/>
          <w:lang w:val="es-CO"/>
        </w:rPr>
        <w:t>vii)</w:t>
      </w:r>
      <w:r w:rsidRPr="007E3FB0">
        <w:rPr>
          <w:rFonts w:ascii="Arial" w:hAnsi="Arial" w:cs="Arial"/>
          <w:lang w:val="es-CO"/>
        </w:rPr>
        <w:t xml:space="preserve">  29 de noviembre de 2012, consejero ponente Hernán Andrade Rincón, expediente 39332.</w:t>
      </w:r>
    </w:p>
  </w:footnote>
  <w:footnote w:id="4">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 xml:space="preserve">Al respecto, la tutelante  señaló como desconocidas las sentencias </w:t>
      </w:r>
      <w:r w:rsidRPr="007E3FB0">
        <w:rPr>
          <w:rFonts w:ascii="Arial" w:hAnsi="Arial" w:cs="Arial"/>
          <w:b/>
          <w:lang w:val="es-CO"/>
        </w:rPr>
        <w:t xml:space="preserve">i) </w:t>
      </w:r>
      <w:r w:rsidRPr="007E3FB0">
        <w:rPr>
          <w:rFonts w:ascii="Arial" w:hAnsi="Arial" w:cs="Arial"/>
          <w:lang w:val="es-CO"/>
        </w:rPr>
        <w:t xml:space="preserve">T-511 de 2011; y </w:t>
      </w:r>
      <w:r w:rsidRPr="007E3FB0">
        <w:rPr>
          <w:rFonts w:ascii="Arial" w:hAnsi="Arial" w:cs="Arial"/>
          <w:b/>
          <w:lang w:val="es-CO"/>
        </w:rPr>
        <w:t xml:space="preserve">ii) </w:t>
      </w:r>
      <w:r w:rsidRPr="007E3FB0">
        <w:rPr>
          <w:rFonts w:ascii="Arial" w:hAnsi="Arial" w:cs="Arial"/>
          <w:lang w:val="es-CO"/>
        </w:rPr>
        <w:t xml:space="preserve">T-714 de 2013. </w:t>
      </w:r>
    </w:p>
  </w:footnote>
  <w:footnote w:id="5">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 xml:space="preserve">Consejo de Estado, Sección Tercera, sentencia del 11 de julio de 2013, consejera ponente Olga Melida Valle de la Hoz, radicado 11001-03-26-000-2012-00087-00, promovido por la CNTV contra Caracol televisión. </w:t>
      </w:r>
    </w:p>
  </w:footnote>
  <w:footnote w:id="6">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 xml:space="preserve">Consejo de Estado, Sección Tercera, sentencia del 29 de agosto de 2013, consejero ponente Danilo Rojas Betancourth, radicado 11001-03-26-000-2012-00088-00, promovido  por la CNTV contra RCN televisión. </w:t>
      </w:r>
    </w:p>
  </w:footnote>
  <w:footnote w:id="7">
    <w:p w:rsidR="00FA71F4" w:rsidRPr="007E3FB0" w:rsidRDefault="00FA71F4" w:rsidP="00FA71F4">
      <w:pPr>
        <w:pStyle w:val="Textonotapie"/>
        <w:jc w:val="both"/>
        <w:rPr>
          <w:rFonts w:ascii="Arial" w:hAnsi="Arial" w:cs="Arial"/>
        </w:rPr>
      </w:pPr>
      <w:r w:rsidRPr="007E3FB0">
        <w:rPr>
          <w:rStyle w:val="Refdenotaalpie"/>
          <w:rFonts w:ascii="Arial" w:hAnsi="Arial" w:cs="Arial"/>
        </w:rPr>
        <w:footnoteRef/>
      </w:r>
      <w:r w:rsidRPr="007E3FB0">
        <w:rPr>
          <w:rFonts w:ascii="Arial" w:hAnsi="Arial" w:cs="Arial"/>
        </w:rPr>
        <w:t xml:space="preserve"> Folios. </w:t>
      </w:r>
      <w:r w:rsidRPr="007E3FB0">
        <w:rPr>
          <w:rFonts w:ascii="Arial" w:hAnsi="Arial" w:cs="Arial"/>
          <w:lang w:val="es-CO"/>
        </w:rPr>
        <w:t xml:space="preserve">179 a 199.  </w:t>
      </w:r>
      <w:r w:rsidRPr="007E3FB0">
        <w:rPr>
          <w:rFonts w:ascii="Arial" w:hAnsi="Arial" w:cs="Arial"/>
        </w:rPr>
        <w:t xml:space="preserve"> </w:t>
      </w:r>
    </w:p>
  </w:footnote>
  <w:footnote w:id="8">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Norma vigente al momento en que se impetró el recurso de anulación de laudo arbitral.</w:t>
      </w:r>
    </w:p>
  </w:footnote>
  <w:footnote w:id="9">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 xml:space="preserve">Folios 208 a 238 </w:t>
      </w:r>
    </w:p>
  </w:footnote>
  <w:footnote w:id="10">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lang w:val="es-CO"/>
        </w:rPr>
        <w:t xml:space="preserve"> Consejo de Estado, Sección Tercera, sentencias del 1 de agosto de 2002, consejero ponente Germán Rodríguez Villamizar, expediente 21041;  11 de marzo de 2004, consejera ponente María Elena Giraldo Gómez, radicado 25021; 8 de junio de 2006, consejera ponente Ruth Stella Correa Palacio, radicado 32398; 3 de diciembre de 2008, consejero ponente Ramiro Saavedra Becerra, expediente 35791;  15 de octubre de 2008, consejera ponente Myriam Guerrero de Escobar, radicado 35112; 29 de noviembre de 2012, consejero ponente Hernán Andrade Rincón, radicado 39332.</w:t>
      </w:r>
    </w:p>
  </w:footnote>
  <w:footnote w:id="11">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Sentencias T-511 de 2011; T-755 de 2014 y T-714 de 2013.</w:t>
      </w:r>
    </w:p>
  </w:footnote>
  <w:footnote w:id="12">
    <w:p w:rsidR="00FA71F4" w:rsidRPr="007E3FB0" w:rsidRDefault="00FA71F4" w:rsidP="00FA71F4">
      <w:pPr>
        <w:pStyle w:val="Textonotapie"/>
        <w:jc w:val="both"/>
        <w:rPr>
          <w:rFonts w:ascii="Arial" w:eastAsia="Calibri" w:hAnsi="Arial" w:cs="Arial"/>
          <w:lang w:eastAsia="x-none"/>
        </w:rPr>
      </w:pPr>
      <w:r w:rsidRPr="007E3FB0">
        <w:rPr>
          <w:rStyle w:val="Refdenotaalpie"/>
          <w:rFonts w:ascii="Arial" w:hAnsi="Arial" w:cs="Arial"/>
        </w:rPr>
        <w:footnoteRef/>
      </w:r>
      <w:r w:rsidRPr="007E3FB0">
        <w:rPr>
          <w:rFonts w:ascii="Arial" w:hAnsi="Arial" w:cs="Arial"/>
        </w:rPr>
        <w:t xml:space="preserve"> Ref.: Exp. No. 11001-03-15-000-2009-01328-01. Acción de Tutela - Importancia jurídica. Actora: Nery Germania Álvarez Bello. C.P.: María Elizabeth García González.</w:t>
      </w:r>
    </w:p>
  </w:footnote>
  <w:footnote w:id="13">
    <w:p w:rsidR="00FA71F4" w:rsidRPr="007E3FB0" w:rsidRDefault="00FA71F4" w:rsidP="00FA71F4">
      <w:pPr>
        <w:pStyle w:val="Textonotapie"/>
        <w:jc w:val="both"/>
        <w:rPr>
          <w:rFonts w:ascii="Arial" w:hAnsi="Arial" w:cs="Arial"/>
        </w:rPr>
      </w:pPr>
      <w:r w:rsidRPr="007E3FB0">
        <w:rPr>
          <w:rStyle w:val="Refdenotaalpie"/>
          <w:rFonts w:ascii="Arial" w:hAnsi="Arial" w:cs="Arial"/>
        </w:rPr>
        <w:footnoteRef/>
      </w:r>
      <w:r w:rsidRPr="007E3FB0">
        <w:rPr>
          <w:rFonts w:ascii="Arial" w:hAnsi="Arial" w:cs="Arial"/>
        </w:rPr>
        <w:t xml:space="preserve"> El recuento de esos criterios se encuentra en las páginas 13 a 50 del fallo de la Sala Plena antes reseñado.</w:t>
      </w:r>
    </w:p>
  </w:footnote>
  <w:footnote w:id="14">
    <w:p w:rsidR="00FA71F4" w:rsidRPr="007E3FB0" w:rsidRDefault="00FA71F4" w:rsidP="00FA71F4">
      <w:pPr>
        <w:pStyle w:val="Sangra2detindependiente"/>
        <w:spacing w:after="0" w:line="240" w:lineRule="auto"/>
        <w:ind w:left="0"/>
        <w:jc w:val="both"/>
        <w:rPr>
          <w:rFonts w:ascii="Arial" w:hAnsi="Arial" w:cs="Arial"/>
          <w:sz w:val="20"/>
          <w:szCs w:val="20"/>
        </w:rPr>
      </w:pPr>
      <w:r w:rsidRPr="007E3FB0">
        <w:rPr>
          <w:rStyle w:val="Refdenotaalpie"/>
          <w:rFonts w:ascii="Arial" w:hAnsi="Arial" w:cs="Arial"/>
          <w:sz w:val="20"/>
          <w:szCs w:val="20"/>
        </w:rPr>
        <w:footnoteRef/>
      </w:r>
      <w:r w:rsidRPr="007E3FB0">
        <w:rPr>
          <w:rFonts w:ascii="Arial" w:hAnsi="Arial" w:cs="Arial"/>
          <w:sz w:val="20"/>
          <w:szCs w:val="20"/>
        </w:rPr>
        <w:t xml:space="preserve"> Se dijo en la mencionada sentencia </w:t>
      </w:r>
      <w:r w:rsidRPr="007E3FB0">
        <w:rPr>
          <w:rFonts w:ascii="Arial" w:hAnsi="Arial" w:cs="Arial"/>
          <w:i/>
          <w:sz w:val="20"/>
          <w:szCs w:val="20"/>
        </w:rPr>
        <w:t>“</w:t>
      </w:r>
      <w:r w:rsidRPr="007E3FB0">
        <w:rPr>
          <w:rFonts w:ascii="Arial" w:hAnsi="Arial" w:cs="Arial"/>
          <w:b/>
          <w:i/>
          <w:sz w:val="20"/>
          <w:szCs w:val="20"/>
        </w:rPr>
        <w:t xml:space="preserve">DECLÁRASE </w:t>
      </w:r>
      <w:r w:rsidRPr="007E3FB0">
        <w:rPr>
          <w:rFonts w:ascii="Arial" w:hAnsi="Arial" w:cs="Arial"/>
          <w:i/>
          <w:sz w:val="20"/>
          <w:szCs w:val="20"/>
        </w:rPr>
        <w:t>la procedencia de la acción de tutela contra providencias judiciales, de conformidad con lo expresado a folios 2 a 50 de esta providencia.”</w:t>
      </w:r>
    </w:p>
    <w:p w:rsidR="00FA71F4" w:rsidRPr="007E3FB0" w:rsidRDefault="00FA71F4" w:rsidP="00FA71F4">
      <w:pPr>
        <w:pStyle w:val="Textonotapie"/>
        <w:jc w:val="both"/>
        <w:rPr>
          <w:rFonts w:ascii="Arial" w:hAnsi="Arial" w:cs="Arial"/>
        </w:rPr>
      </w:pPr>
    </w:p>
  </w:footnote>
  <w:footnote w:id="15">
    <w:p w:rsidR="00FA71F4" w:rsidRPr="007E3FB0" w:rsidRDefault="00FA71F4" w:rsidP="00FA71F4">
      <w:pPr>
        <w:pStyle w:val="Textonotapie"/>
        <w:jc w:val="both"/>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Entre otras, ver los siguientes fallos</w:t>
      </w:r>
      <w:r w:rsidRPr="007E3FB0">
        <w:rPr>
          <w:rFonts w:ascii="Arial" w:hAnsi="Arial" w:cs="Arial"/>
        </w:rPr>
        <w:t xml:space="preserve"> de </w:t>
      </w:r>
      <w:smartTag w:uri="urn:schemas-microsoft-com:office:smarttags" w:element="PersonName">
        <w:smartTagPr>
          <w:attr w:name="ProductID" w:val="cuments and Settings\A_X2S303\Mis documentos\GLADYS 2\SENTENCIAS\RECURSO DE ANULACIￓN\36838 bANCO DE LA REPￚBLI"/>
        </w:smartTagPr>
        <w:r w:rsidRPr="007E3FB0">
          <w:rPr>
            <w:rFonts w:ascii="Arial" w:hAnsi="Arial" w:cs="Arial"/>
          </w:rPr>
          <w:t>la Sección Tercera</w:t>
        </w:r>
      </w:smartTag>
      <w:r w:rsidRPr="007E3FB0">
        <w:rPr>
          <w:rFonts w:ascii="Arial" w:hAnsi="Arial" w:cs="Arial"/>
        </w:rPr>
        <w:t xml:space="preserve"> del Consejo de Estado Exp.32398; de 4 de diciembre de 2006, exp. 32871; de 26 de marzo de 2008, exp. 34071; de 13 de agosto de 2008, exp. 34594.</w:t>
      </w:r>
    </w:p>
  </w:footnote>
  <w:footnote w:id="16">
    <w:p w:rsidR="00FA71F4" w:rsidRPr="007E3FB0" w:rsidRDefault="00FA71F4" w:rsidP="00FA71F4">
      <w:pPr>
        <w:pStyle w:val="Textonotapie"/>
        <w:jc w:val="both"/>
        <w:rPr>
          <w:rFonts w:ascii="Arial" w:hAnsi="Arial" w:cs="Arial"/>
        </w:rPr>
      </w:pPr>
      <w:r w:rsidRPr="007E3FB0">
        <w:rPr>
          <w:rStyle w:val="Refdenotaalpie"/>
          <w:rFonts w:ascii="Arial" w:hAnsi="Arial" w:cs="Arial"/>
        </w:rPr>
        <w:footnoteRef/>
      </w:r>
      <w:r w:rsidRPr="007E3FB0">
        <w:rPr>
          <w:rFonts w:ascii="Arial" w:hAnsi="Arial" w:cs="Arial"/>
        </w:rPr>
        <w:t xml:space="preserve"> “Consejo de Estado, Sección Tercera, Sentencia de 15 de mayo de 1992, Exp. 5326; en el mismo sentido pueden consultarse las sentencias de 4 de agosto de 1994, Exp. 6550 y de 16 de junio de 1994, Exp. </w:t>
      </w:r>
      <w:smartTag w:uri="urn:schemas-microsoft-com:office:smarttags" w:element="metricconverter">
        <w:smartTagPr>
          <w:attr w:name="ProductID" w:val="6751.”"/>
        </w:smartTagPr>
        <w:r w:rsidRPr="007E3FB0">
          <w:rPr>
            <w:rFonts w:ascii="Arial" w:hAnsi="Arial" w:cs="Arial"/>
          </w:rPr>
          <w:t>6751.”</w:t>
        </w:r>
      </w:smartTag>
    </w:p>
  </w:footnote>
  <w:footnote w:id="17">
    <w:p w:rsidR="00FA71F4" w:rsidRPr="007E3FB0" w:rsidRDefault="00FA71F4" w:rsidP="00FA71F4">
      <w:pPr>
        <w:pStyle w:val="Textonotapie"/>
        <w:jc w:val="both"/>
        <w:rPr>
          <w:rFonts w:ascii="Arial" w:hAnsi="Arial" w:cs="Arial"/>
        </w:rPr>
      </w:pPr>
      <w:r w:rsidRPr="007E3FB0">
        <w:rPr>
          <w:rStyle w:val="Refdenotaalpie"/>
          <w:rFonts w:ascii="Arial" w:hAnsi="Arial" w:cs="Arial"/>
        </w:rPr>
        <w:footnoteRef/>
      </w:r>
      <w:r w:rsidRPr="007E3FB0">
        <w:rPr>
          <w:rFonts w:ascii="Arial" w:hAnsi="Arial" w:cs="Arial"/>
        </w:rPr>
        <w:t xml:space="preserve"> “Consejo de Estado, Sección Tercera, sentencia de 4 de diciembre de 2006, Exp. </w:t>
      </w:r>
      <w:smartTag w:uri="urn:schemas-microsoft-com:office:smarttags" w:element="metricconverter">
        <w:smartTagPr>
          <w:attr w:name="ProductID" w:val="32871.”"/>
        </w:smartTagPr>
        <w:r w:rsidRPr="007E3FB0">
          <w:rPr>
            <w:rFonts w:ascii="Arial" w:hAnsi="Arial" w:cs="Arial"/>
          </w:rPr>
          <w:t>32871.”</w:t>
        </w:r>
      </w:smartTag>
    </w:p>
  </w:footnote>
  <w:footnote w:id="18">
    <w:p w:rsidR="00FA71F4" w:rsidRPr="007E3FB0" w:rsidRDefault="00FA71F4" w:rsidP="00FA71F4">
      <w:pPr>
        <w:pStyle w:val="Textonotapie"/>
        <w:jc w:val="both"/>
        <w:rPr>
          <w:rFonts w:ascii="Arial" w:hAnsi="Arial" w:cs="Arial"/>
        </w:rPr>
      </w:pPr>
      <w:r w:rsidRPr="007E3FB0">
        <w:rPr>
          <w:rFonts w:ascii="Arial" w:hAnsi="Arial" w:cs="Arial"/>
        </w:rPr>
        <w:t>“</w:t>
      </w:r>
      <w:r w:rsidRPr="007E3FB0">
        <w:rPr>
          <w:rStyle w:val="Refdenotaalpie"/>
          <w:rFonts w:ascii="Arial" w:hAnsi="Arial" w:cs="Arial"/>
        </w:rPr>
        <w:footnoteRef/>
      </w:r>
      <w:r w:rsidRPr="007E3FB0">
        <w:rPr>
          <w:rFonts w:ascii="Arial" w:hAnsi="Arial" w:cs="Arial"/>
        </w:rPr>
        <w:t xml:space="preserve"> Consejo de Estado, Sección Tercera, Sentencia de 15 de mayo de 1992, Exp. </w:t>
      </w:r>
      <w:smartTag w:uri="urn:schemas-microsoft-com:office:smarttags" w:element="metricconverter">
        <w:smartTagPr>
          <w:attr w:name="ProductID" w:val="5326.”"/>
        </w:smartTagPr>
        <w:r w:rsidRPr="007E3FB0">
          <w:rPr>
            <w:rFonts w:ascii="Arial" w:hAnsi="Arial" w:cs="Arial"/>
          </w:rPr>
          <w:t>5326.”</w:t>
        </w:r>
      </w:smartTag>
    </w:p>
  </w:footnote>
  <w:footnote w:id="19">
    <w:p w:rsidR="00FA71F4" w:rsidRPr="007E3FB0" w:rsidRDefault="00FA71F4" w:rsidP="00FA71F4">
      <w:pPr>
        <w:jc w:val="both"/>
        <w:rPr>
          <w:rFonts w:ascii="Arial" w:hAnsi="Arial" w:cs="Arial"/>
          <w:sz w:val="20"/>
          <w:szCs w:val="20"/>
          <w:lang w:val="es-ES_tradnl" w:eastAsia="x-none"/>
        </w:rPr>
      </w:pPr>
      <w:r w:rsidRPr="007E3FB0">
        <w:rPr>
          <w:rStyle w:val="Refdenotaalpie"/>
          <w:rFonts w:ascii="Arial" w:hAnsi="Arial" w:cs="Arial"/>
          <w:sz w:val="20"/>
          <w:szCs w:val="20"/>
        </w:rPr>
        <w:footnoteRef/>
      </w:r>
      <w:r w:rsidRPr="007E3FB0">
        <w:rPr>
          <w:rFonts w:ascii="Arial" w:hAnsi="Arial" w:cs="Arial"/>
          <w:sz w:val="20"/>
          <w:szCs w:val="20"/>
        </w:rPr>
        <w:t xml:space="preserve"> </w:t>
      </w:r>
      <w:r w:rsidRPr="007E3FB0">
        <w:rPr>
          <w:rFonts w:ascii="Arial" w:hAnsi="Arial" w:cs="Arial"/>
          <w:sz w:val="20"/>
          <w:szCs w:val="20"/>
          <w:lang w:val="es-ES_tradnl" w:eastAsia="x-none"/>
        </w:rPr>
        <w:t>Sentencia del 17 de marzo de 2010. Radicación número: 11001-03-26-000-2009-00045-00(36838).</w:t>
      </w:r>
    </w:p>
  </w:footnote>
  <w:footnote w:id="20">
    <w:p w:rsidR="00FA71F4" w:rsidRPr="007E3FB0" w:rsidRDefault="00FA71F4" w:rsidP="00FA71F4">
      <w:pPr>
        <w:widowControl w:val="0"/>
        <w:tabs>
          <w:tab w:val="left" w:pos="993"/>
        </w:tabs>
        <w:overflowPunct w:val="0"/>
        <w:adjustRightInd w:val="0"/>
        <w:jc w:val="both"/>
        <w:rPr>
          <w:rFonts w:ascii="Arial" w:eastAsia="Batang" w:hAnsi="Arial" w:cs="Arial"/>
          <w:i/>
          <w:sz w:val="20"/>
          <w:szCs w:val="20"/>
        </w:rPr>
      </w:pPr>
      <w:r w:rsidRPr="007E3FB0">
        <w:rPr>
          <w:rStyle w:val="Refdenotaalpie"/>
          <w:rFonts w:ascii="Arial" w:hAnsi="Arial" w:cs="Arial"/>
          <w:sz w:val="20"/>
          <w:szCs w:val="20"/>
        </w:rPr>
        <w:footnoteRef/>
      </w:r>
      <w:r w:rsidRPr="007E3FB0">
        <w:rPr>
          <w:rFonts w:ascii="Arial" w:hAnsi="Arial" w:cs="Arial"/>
          <w:sz w:val="20"/>
          <w:szCs w:val="20"/>
        </w:rPr>
        <w:t xml:space="preserve"> Esta Corporación también ha sido enfática en señalar que el juez de la anulación </w:t>
      </w:r>
      <w:r w:rsidRPr="007E3FB0">
        <w:rPr>
          <w:rFonts w:ascii="Arial" w:hAnsi="Arial" w:cs="Arial"/>
          <w:b/>
          <w:i/>
          <w:sz w:val="20"/>
          <w:szCs w:val="20"/>
        </w:rPr>
        <w:t>“</w:t>
      </w:r>
      <w:r w:rsidRPr="007E3FB0">
        <w:rPr>
          <w:rFonts w:ascii="Arial" w:eastAsia="Batang" w:hAnsi="Arial" w:cs="Arial"/>
          <w:b/>
          <w:i/>
          <w:sz w:val="20"/>
          <w:szCs w:val="20"/>
        </w:rPr>
        <w:t>bien puede abordar el estudio de la legalidad de la cláusula compromisoria</w:t>
      </w:r>
      <w:r w:rsidRPr="007E3FB0">
        <w:rPr>
          <w:rFonts w:ascii="Arial" w:eastAsia="Batang" w:hAnsi="Arial" w:cs="Arial"/>
          <w:i/>
          <w:sz w:val="20"/>
          <w:szCs w:val="20"/>
        </w:rPr>
        <w:t xml:space="preserve"> y declarar incluso, de oficio, la nulidad absoluta del pacto arbitral, siempre que la nulidad aparezca probada y en el recurso intervengan las partes contratantes o sus causahabientes”. </w:t>
      </w:r>
    </w:p>
    <w:p w:rsidR="00FA71F4" w:rsidRPr="007E3FB0" w:rsidRDefault="00FA71F4" w:rsidP="00FA71F4">
      <w:pPr>
        <w:widowControl w:val="0"/>
        <w:tabs>
          <w:tab w:val="left" w:pos="993"/>
        </w:tabs>
        <w:overflowPunct w:val="0"/>
        <w:adjustRightInd w:val="0"/>
        <w:jc w:val="both"/>
        <w:rPr>
          <w:rFonts w:ascii="Arial" w:hAnsi="Arial" w:cs="Arial"/>
          <w:i/>
          <w:sz w:val="20"/>
          <w:szCs w:val="20"/>
        </w:rPr>
      </w:pPr>
      <w:r w:rsidRPr="002A6046">
        <w:rPr>
          <w:rFonts w:ascii="Arial" w:eastAsia="Batang" w:hAnsi="Arial" w:cs="Arial"/>
          <w:sz w:val="20"/>
          <w:szCs w:val="20"/>
        </w:rPr>
        <w:t xml:space="preserve">En concreto, se ha dicho que </w:t>
      </w:r>
      <w:r w:rsidRPr="002A6046">
        <w:rPr>
          <w:rFonts w:ascii="Arial" w:hAnsi="Arial" w:cs="Arial"/>
          <w:sz w:val="20"/>
          <w:szCs w:val="20"/>
        </w:rPr>
        <w:t>(...)</w:t>
      </w:r>
      <w:r w:rsidRPr="002A6046">
        <w:rPr>
          <w:rFonts w:ascii="Arial" w:hAnsi="Arial" w:cs="Arial"/>
          <w:i/>
          <w:sz w:val="20"/>
          <w:szCs w:val="20"/>
        </w:rPr>
        <w:t xml:space="preserve"> el pacto arbitral es un contrato que, además, tendrá carácter estatal cuando se trate de un compromiso y en él se obligue una entidad pública, o cuando se trate de una cláusula compromisoria pactada al interior de un contrato del Estado. De otra parte, es claro que el </w:t>
      </w:r>
      <w:r w:rsidRPr="002A6046">
        <w:rPr>
          <w:rFonts w:ascii="Arial" w:hAnsi="Arial" w:cs="Arial"/>
          <w:b/>
          <w:i/>
          <w:sz w:val="20"/>
          <w:szCs w:val="20"/>
          <w:u w:val="single"/>
        </w:rPr>
        <w:t>juez administrativo puede y debe declarar la nulidad absoluta del mismo</w:t>
      </w:r>
      <w:r w:rsidRPr="002A6046">
        <w:rPr>
          <w:rFonts w:ascii="Arial" w:hAnsi="Arial" w:cs="Arial"/>
          <w:i/>
          <w:sz w:val="20"/>
          <w:szCs w:val="20"/>
        </w:rPr>
        <w:t>, si se reúnen las exigencias legales. En efecto, el inciso 3º del artículo 87 del C.C.A., modificado por el artículo 32 de la ley 446 de 1998, impone al Juez Administrativo la obligación de declarar de oficio la nulidad absoluta del contrato, siempre que esté plenamente probada en el proceso y que en el mismo intervengan las partes contratantes o sus causahabientes.</w:t>
      </w:r>
      <w:r w:rsidRPr="007E3FB0">
        <w:rPr>
          <w:rFonts w:ascii="Arial" w:hAnsi="Arial" w:cs="Arial"/>
          <w:i/>
          <w:sz w:val="20"/>
          <w:szCs w:val="20"/>
        </w:rPr>
        <w:t xml:space="preserve"> </w:t>
      </w:r>
    </w:p>
    <w:p w:rsidR="00FA71F4" w:rsidRPr="007E3FB0" w:rsidRDefault="00FA71F4" w:rsidP="00FA71F4">
      <w:pPr>
        <w:widowControl w:val="0"/>
        <w:tabs>
          <w:tab w:val="left" w:pos="993"/>
        </w:tabs>
        <w:overflowPunct w:val="0"/>
        <w:adjustRightInd w:val="0"/>
        <w:jc w:val="both"/>
        <w:rPr>
          <w:rFonts w:ascii="Arial" w:hAnsi="Arial" w:cs="Arial"/>
          <w:i/>
          <w:sz w:val="20"/>
          <w:szCs w:val="20"/>
        </w:rPr>
      </w:pPr>
    </w:p>
    <w:p w:rsidR="00FA71F4" w:rsidRPr="007E3FB0" w:rsidRDefault="00FA71F4" w:rsidP="00FA71F4">
      <w:pPr>
        <w:pStyle w:val="Textonotapie"/>
        <w:rPr>
          <w:rFonts w:ascii="Arial" w:hAnsi="Arial" w:cs="Arial"/>
          <w:lang w:val="es-CO"/>
        </w:rPr>
      </w:pPr>
    </w:p>
  </w:footnote>
  <w:footnote w:id="21">
    <w:p w:rsidR="00FA71F4" w:rsidRPr="007E3FB0" w:rsidRDefault="00FA71F4" w:rsidP="00FA71F4">
      <w:pPr>
        <w:pStyle w:val="Textonotapie"/>
        <w:rPr>
          <w:rFonts w:ascii="Arial" w:hAnsi="Arial" w:cs="Arial"/>
          <w:lang w:val="es-CO"/>
        </w:rPr>
      </w:pPr>
      <w:r w:rsidRPr="007E3FB0">
        <w:rPr>
          <w:rStyle w:val="Refdenotaalpie"/>
          <w:rFonts w:ascii="Arial" w:hAnsi="Arial" w:cs="Arial"/>
        </w:rPr>
        <w:footnoteRef/>
      </w:r>
      <w:r w:rsidRPr="007E3FB0">
        <w:rPr>
          <w:rFonts w:ascii="Arial" w:hAnsi="Arial" w:cs="Arial"/>
        </w:rPr>
        <w:t xml:space="preserve"> </w:t>
      </w:r>
      <w:r w:rsidRPr="007E3FB0">
        <w:rPr>
          <w:rFonts w:ascii="Arial" w:hAnsi="Arial" w:cs="Arial"/>
          <w:lang w:val="es-CO"/>
        </w:rPr>
        <w:t>Sentencia del 29 de mayo de 2014. Consejo de Estado – Sección Tercera.</w:t>
      </w:r>
    </w:p>
  </w:footnote>
  <w:footnote w:id="22">
    <w:p w:rsidR="00FA71F4" w:rsidRPr="00943ECC" w:rsidRDefault="00FA71F4" w:rsidP="00FA71F4">
      <w:pPr>
        <w:pStyle w:val="Textonotapie"/>
        <w:rPr>
          <w:lang w:val="es-CO"/>
        </w:rPr>
      </w:pPr>
      <w:r>
        <w:rPr>
          <w:rStyle w:val="Refdenotaalpie"/>
        </w:rPr>
        <w:footnoteRef/>
      </w:r>
      <w:r>
        <w:t xml:space="preserve"> </w:t>
      </w:r>
      <w:r>
        <w:rPr>
          <w:lang w:val="es-CO"/>
        </w:rPr>
        <w:t>Folio 33 del cuaderno del recurso de anulación.</w:t>
      </w:r>
    </w:p>
  </w:footnote>
  <w:footnote w:id="23">
    <w:p w:rsidR="00FA71F4" w:rsidRPr="00D7230F" w:rsidRDefault="00FA71F4" w:rsidP="00FA71F4">
      <w:pPr>
        <w:pStyle w:val="Textonotapie"/>
        <w:rPr>
          <w:lang w:val="es-CO"/>
        </w:rPr>
      </w:pPr>
      <w:r>
        <w:rPr>
          <w:rStyle w:val="Refdenotaalpie"/>
        </w:rPr>
        <w:footnoteRef/>
      </w:r>
      <w:r>
        <w:t xml:space="preserve"> </w:t>
      </w:r>
      <w:r>
        <w:rPr>
          <w:lang w:val="es-CO"/>
        </w:rPr>
        <w:t>Folio 258 del cuaderno del recurso de anulación</w:t>
      </w:r>
    </w:p>
  </w:footnote>
  <w:footnote w:id="24">
    <w:p w:rsidR="00FA71F4" w:rsidRPr="00BA7742" w:rsidRDefault="00FA71F4" w:rsidP="00FA71F4">
      <w:pPr>
        <w:pStyle w:val="Textonotapie"/>
        <w:rPr>
          <w:lang w:val="es-CO"/>
        </w:rPr>
      </w:pPr>
      <w:r>
        <w:rPr>
          <w:rStyle w:val="Refdenotaalpie"/>
        </w:rPr>
        <w:footnoteRef/>
      </w:r>
      <w:r>
        <w:t xml:space="preserve"> </w:t>
      </w:r>
      <w:r>
        <w:rPr>
          <w:lang w:val="es-CO"/>
        </w:rPr>
        <w:t>Sentencias de 11 de julio de 2013, de la Subsección C y sentencia de 29 de agosto de 2013.</w:t>
      </w:r>
    </w:p>
  </w:footnote>
  <w:footnote w:id="25">
    <w:p w:rsidR="00FA71F4" w:rsidRPr="00CE3E94" w:rsidRDefault="00FA71F4" w:rsidP="00FA71F4">
      <w:pPr>
        <w:pStyle w:val="Textonotapie"/>
        <w:rPr>
          <w:lang w:val="es-CO"/>
        </w:rPr>
      </w:pPr>
      <w:r>
        <w:rPr>
          <w:rStyle w:val="Refdenotaalpie"/>
        </w:rPr>
        <w:footnoteRef/>
      </w:r>
      <w:r>
        <w:t xml:space="preserve"> </w:t>
      </w:r>
      <w:r>
        <w:rPr>
          <w:lang w:val="es-CO"/>
        </w:rPr>
        <w:t>Folio 261 cuaderno de anulación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C23" w:rsidRDefault="00360C23" w:rsidP="00360C23">
    <w:pPr>
      <w:pStyle w:val="Encabezado"/>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360C23" w:rsidRDefault="00360C23">
    <w:pPr>
      <w:pStyle w:val="Encabezado"/>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C23" w:rsidRDefault="00360C23" w:rsidP="00360C23">
    <w:pPr>
      <w:pStyle w:val="Encabezado"/>
      <w:jc w:val="center"/>
      <w:rPr>
        <w:noProof/>
        <w:lang w:val="es-CO" w:eastAsia="es-CO"/>
      </w:rPr>
    </w:pPr>
  </w:p>
  <w:p w:rsidR="00360C23" w:rsidRDefault="00360C23" w:rsidP="00360C23">
    <w:pPr>
      <w:pStyle w:val="Encabezado"/>
      <w:jc w:val="center"/>
      <w:rPr>
        <w:noProof/>
        <w:lang w:val="es-CO" w:eastAsia="es-CO"/>
      </w:rPr>
    </w:pPr>
  </w:p>
  <w:p w:rsidR="00360C23" w:rsidRDefault="00360C23" w:rsidP="00360C23">
    <w:pPr>
      <w:pStyle w:val="Encabezado"/>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904C4"/>
    <w:multiLevelType w:val="multilevel"/>
    <w:tmpl w:val="F4308E30"/>
    <w:lvl w:ilvl="0">
      <w:start w:val="2"/>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46D114D8"/>
    <w:multiLevelType w:val="hybridMultilevel"/>
    <w:tmpl w:val="ED8E0A88"/>
    <w:lvl w:ilvl="0" w:tplc="240A0001">
      <w:start w:val="1"/>
      <w:numFmt w:val="bullet"/>
      <w:lvlText w:val=""/>
      <w:lvlJc w:val="left"/>
      <w:pPr>
        <w:ind w:left="1992" w:hanging="360"/>
      </w:pPr>
      <w:rPr>
        <w:rFonts w:ascii="Symbol" w:hAnsi="Symbol" w:hint="default"/>
      </w:rPr>
    </w:lvl>
    <w:lvl w:ilvl="1" w:tplc="240A0003" w:tentative="1">
      <w:start w:val="1"/>
      <w:numFmt w:val="bullet"/>
      <w:lvlText w:val="o"/>
      <w:lvlJc w:val="left"/>
      <w:pPr>
        <w:ind w:left="2712" w:hanging="360"/>
      </w:pPr>
      <w:rPr>
        <w:rFonts w:ascii="Courier New" w:hAnsi="Courier New" w:cs="Courier New" w:hint="default"/>
      </w:rPr>
    </w:lvl>
    <w:lvl w:ilvl="2" w:tplc="240A0005" w:tentative="1">
      <w:start w:val="1"/>
      <w:numFmt w:val="bullet"/>
      <w:lvlText w:val=""/>
      <w:lvlJc w:val="left"/>
      <w:pPr>
        <w:ind w:left="3432" w:hanging="360"/>
      </w:pPr>
      <w:rPr>
        <w:rFonts w:ascii="Wingdings" w:hAnsi="Wingdings" w:hint="default"/>
      </w:rPr>
    </w:lvl>
    <w:lvl w:ilvl="3" w:tplc="240A0001" w:tentative="1">
      <w:start w:val="1"/>
      <w:numFmt w:val="bullet"/>
      <w:lvlText w:val=""/>
      <w:lvlJc w:val="left"/>
      <w:pPr>
        <w:ind w:left="4152" w:hanging="360"/>
      </w:pPr>
      <w:rPr>
        <w:rFonts w:ascii="Symbol" w:hAnsi="Symbol" w:hint="default"/>
      </w:rPr>
    </w:lvl>
    <w:lvl w:ilvl="4" w:tplc="240A0003" w:tentative="1">
      <w:start w:val="1"/>
      <w:numFmt w:val="bullet"/>
      <w:lvlText w:val="o"/>
      <w:lvlJc w:val="left"/>
      <w:pPr>
        <w:ind w:left="4872" w:hanging="360"/>
      </w:pPr>
      <w:rPr>
        <w:rFonts w:ascii="Courier New" w:hAnsi="Courier New" w:cs="Courier New" w:hint="default"/>
      </w:rPr>
    </w:lvl>
    <w:lvl w:ilvl="5" w:tplc="240A0005" w:tentative="1">
      <w:start w:val="1"/>
      <w:numFmt w:val="bullet"/>
      <w:lvlText w:val=""/>
      <w:lvlJc w:val="left"/>
      <w:pPr>
        <w:ind w:left="5592" w:hanging="360"/>
      </w:pPr>
      <w:rPr>
        <w:rFonts w:ascii="Wingdings" w:hAnsi="Wingdings" w:hint="default"/>
      </w:rPr>
    </w:lvl>
    <w:lvl w:ilvl="6" w:tplc="240A0001" w:tentative="1">
      <w:start w:val="1"/>
      <w:numFmt w:val="bullet"/>
      <w:lvlText w:val=""/>
      <w:lvlJc w:val="left"/>
      <w:pPr>
        <w:ind w:left="6312" w:hanging="360"/>
      </w:pPr>
      <w:rPr>
        <w:rFonts w:ascii="Symbol" w:hAnsi="Symbol" w:hint="default"/>
      </w:rPr>
    </w:lvl>
    <w:lvl w:ilvl="7" w:tplc="240A0003" w:tentative="1">
      <w:start w:val="1"/>
      <w:numFmt w:val="bullet"/>
      <w:lvlText w:val="o"/>
      <w:lvlJc w:val="left"/>
      <w:pPr>
        <w:ind w:left="7032" w:hanging="360"/>
      </w:pPr>
      <w:rPr>
        <w:rFonts w:ascii="Courier New" w:hAnsi="Courier New" w:cs="Courier New" w:hint="default"/>
      </w:rPr>
    </w:lvl>
    <w:lvl w:ilvl="8" w:tplc="240A0005" w:tentative="1">
      <w:start w:val="1"/>
      <w:numFmt w:val="bullet"/>
      <w:lvlText w:val=""/>
      <w:lvlJc w:val="left"/>
      <w:pPr>
        <w:ind w:left="7752" w:hanging="360"/>
      </w:pPr>
      <w:rPr>
        <w:rFonts w:ascii="Wingdings" w:hAnsi="Wingdings" w:hint="default"/>
      </w:rPr>
    </w:lvl>
  </w:abstractNum>
  <w:abstractNum w:abstractNumId="2" w15:restartNumberingAfterBreak="0">
    <w:nsid w:val="7C466B48"/>
    <w:multiLevelType w:val="hybridMultilevel"/>
    <w:tmpl w:val="C92EA002"/>
    <w:lvl w:ilvl="0" w:tplc="EBB2B51E">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A0D"/>
    <w:rsid w:val="00025A90"/>
    <w:rsid w:val="00042DD4"/>
    <w:rsid w:val="00126A74"/>
    <w:rsid w:val="0016607B"/>
    <w:rsid w:val="00360C23"/>
    <w:rsid w:val="003A314E"/>
    <w:rsid w:val="003E1EDD"/>
    <w:rsid w:val="00413124"/>
    <w:rsid w:val="004746B1"/>
    <w:rsid w:val="004E0952"/>
    <w:rsid w:val="004E11A2"/>
    <w:rsid w:val="004E3E3B"/>
    <w:rsid w:val="00566431"/>
    <w:rsid w:val="005E0664"/>
    <w:rsid w:val="00630546"/>
    <w:rsid w:val="00652340"/>
    <w:rsid w:val="00665127"/>
    <w:rsid w:val="006D7B91"/>
    <w:rsid w:val="006F79DA"/>
    <w:rsid w:val="007719D3"/>
    <w:rsid w:val="00870283"/>
    <w:rsid w:val="00896A0D"/>
    <w:rsid w:val="008A22B7"/>
    <w:rsid w:val="009063AD"/>
    <w:rsid w:val="00992939"/>
    <w:rsid w:val="00A050C6"/>
    <w:rsid w:val="00A27007"/>
    <w:rsid w:val="00A7057A"/>
    <w:rsid w:val="00A737B5"/>
    <w:rsid w:val="00A969C5"/>
    <w:rsid w:val="00AC45D0"/>
    <w:rsid w:val="00AC6BB5"/>
    <w:rsid w:val="00B20A1C"/>
    <w:rsid w:val="00B24FD0"/>
    <w:rsid w:val="00C41A3B"/>
    <w:rsid w:val="00D64D74"/>
    <w:rsid w:val="00D71D61"/>
    <w:rsid w:val="00DE6EE1"/>
    <w:rsid w:val="00E11511"/>
    <w:rsid w:val="00E323D2"/>
    <w:rsid w:val="00E50683"/>
    <w:rsid w:val="00F0171B"/>
    <w:rsid w:val="00F23C8B"/>
    <w:rsid w:val="00F6612C"/>
    <w:rsid w:val="00FA71F4"/>
    <w:rsid w:val="00FF5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4:docId w14:val="0BD639F8"/>
  <w15:chartTrackingRefBased/>
  <w15:docId w15:val="{A59D7FB1-F179-4872-8233-3F16B2E81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71F4"/>
    <w:rPr>
      <w:rFonts w:ascii="Calibri" w:hAnsi="Calibri"/>
      <w:sz w:val="22"/>
      <w:szCs w:val="22"/>
      <w:lang w:val="es-CO"/>
    </w:rPr>
  </w:style>
  <w:style w:type="paragraph" w:styleId="Ttulo1">
    <w:name w:val="heading 1"/>
    <w:basedOn w:val="Normal"/>
    <w:next w:val="Normal"/>
    <w:link w:val="Ttulo1Car"/>
    <w:qFormat/>
    <w:rsid w:val="00FA71F4"/>
    <w:pPr>
      <w:keepNext/>
      <w:spacing w:line="360" w:lineRule="auto"/>
      <w:jc w:val="center"/>
      <w:outlineLvl w:val="0"/>
    </w:pPr>
    <w:rPr>
      <w:rFonts w:ascii="Arial" w:eastAsia="Times New Roman" w:hAnsi="Arial"/>
      <w:b/>
      <w:bCs/>
      <w:sz w:val="24"/>
      <w:szCs w:val="24"/>
      <w:lang w:val="x-none"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FA71F4"/>
    <w:rPr>
      <w:rFonts w:eastAsia="Times New Roman"/>
      <w:b/>
      <w:bCs/>
      <w:sz w:val="24"/>
      <w:szCs w:val="24"/>
      <w:lang w:val="x-none" w:eastAsia="es-ES"/>
    </w:rPr>
  </w:style>
  <w:style w:type="paragraph" w:styleId="Encabezado">
    <w:name w:val="header"/>
    <w:basedOn w:val="Normal"/>
    <w:link w:val="EncabezadoCar"/>
    <w:rsid w:val="00FA71F4"/>
    <w:pPr>
      <w:tabs>
        <w:tab w:val="center" w:pos="4419"/>
        <w:tab w:val="right" w:pos="8838"/>
      </w:tabs>
    </w:pPr>
    <w:rPr>
      <w:rFonts w:ascii="Times New Roman" w:eastAsia="Times New Roman" w:hAnsi="Times New Roman"/>
      <w:sz w:val="24"/>
      <w:szCs w:val="24"/>
      <w:lang w:val="x-none" w:eastAsia="es-ES"/>
    </w:rPr>
  </w:style>
  <w:style w:type="character" w:customStyle="1" w:styleId="EncabezadoCar">
    <w:name w:val="Encabezado Car"/>
    <w:link w:val="Encabezado"/>
    <w:rsid w:val="00FA71F4"/>
    <w:rPr>
      <w:rFonts w:ascii="Times New Roman" w:eastAsia="Times New Roman" w:hAnsi="Times New Roman"/>
      <w:sz w:val="24"/>
      <w:szCs w:val="24"/>
      <w:lang w:val="x-none" w:eastAsia="es-ES"/>
    </w:rPr>
  </w:style>
  <w:style w:type="character" w:styleId="Nmerodepgina">
    <w:name w:val="page number"/>
    <w:rsid w:val="00FA71F4"/>
  </w:style>
  <w:style w:type="paragraph" w:styleId="Textonotapie">
    <w:name w:val="footnote text"/>
    <w:aliases w:val="Footnote Text Char Char Char Char Char,Footnote Text Char Char Char Char,Footnote reference,FA Fu,Footnote Text Char Char Char,texto de nota al pie,Footnote Text,Footnote Text Char Char Char Car Car,f,texto de nota al pie Car Car,ft,F,Car"/>
    <w:basedOn w:val="Normal"/>
    <w:link w:val="TextonotapieCar"/>
    <w:qFormat/>
    <w:rsid w:val="00FA71F4"/>
    <w:rPr>
      <w:rFonts w:ascii="Times New Roman" w:eastAsia="Times New Roman" w:hAnsi="Times New Roman"/>
      <w:sz w:val="20"/>
      <w:szCs w:val="20"/>
      <w:lang w:val="x-none" w:eastAsia="es-ES"/>
    </w:rPr>
  </w:style>
  <w:style w:type="character" w:customStyle="1" w:styleId="TextonotapieCar">
    <w:name w:val="Texto nota pie Car"/>
    <w:aliases w:val="Footnote Text Char Char Char Char Char Car,Footnote Text Char Char Char Char Car,Footnote reference Car,FA Fu Car,Footnote Text Char Char Char Car,texto de nota al pie Car,Footnote Text Car,Footnote Text Char Char Char Car Car Car"/>
    <w:link w:val="Textonotapie"/>
    <w:rsid w:val="00FA71F4"/>
    <w:rPr>
      <w:rFonts w:ascii="Times New Roman" w:eastAsia="Times New Roman" w:hAnsi="Times New Roman"/>
      <w:lang w:val="x-none" w:eastAsia="es-ES"/>
    </w:rPr>
  </w:style>
  <w:style w:type="character" w:styleId="Refdenotaalpie">
    <w:name w:val="footnote reference"/>
    <w:aliases w:val="Texto de nota al pie,Footnotes refss,Appel note de bas de page,referencia nota al pie,Ref. de nota al pie 2,Pie de Página,FC,Texto de nota al pi,Footnote number,BVI fnr,4_G,16 Point,Superscript 6 Point,Texto nota al pie,Pie de Pàgi,R"/>
    <w:qFormat/>
    <w:rsid w:val="00FA71F4"/>
    <w:rPr>
      <w:vertAlign w:val="superscript"/>
    </w:rPr>
  </w:style>
  <w:style w:type="paragraph" w:styleId="Prrafodelista">
    <w:name w:val="List Paragraph"/>
    <w:basedOn w:val="Normal"/>
    <w:qFormat/>
    <w:rsid w:val="00FA71F4"/>
    <w:pPr>
      <w:ind w:left="708"/>
    </w:pPr>
    <w:rPr>
      <w:lang w:val="es-ES"/>
    </w:rPr>
  </w:style>
  <w:style w:type="paragraph" w:styleId="Piedepgina">
    <w:name w:val="footer"/>
    <w:basedOn w:val="Normal"/>
    <w:link w:val="PiedepginaCar"/>
    <w:uiPriority w:val="99"/>
    <w:unhideWhenUsed/>
    <w:rsid w:val="00FA71F4"/>
    <w:pPr>
      <w:tabs>
        <w:tab w:val="center" w:pos="4419"/>
        <w:tab w:val="right" w:pos="8838"/>
      </w:tabs>
      <w:spacing w:after="200" w:line="276" w:lineRule="auto"/>
    </w:pPr>
  </w:style>
  <w:style w:type="character" w:customStyle="1" w:styleId="PiedepginaCar">
    <w:name w:val="Pie de página Car"/>
    <w:link w:val="Piedepgina"/>
    <w:uiPriority w:val="99"/>
    <w:rsid w:val="00FA71F4"/>
    <w:rPr>
      <w:rFonts w:ascii="Calibri" w:hAnsi="Calibri"/>
      <w:sz w:val="22"/>
      <w:szCs w:val="22"/>
      <w:lang w:eastAsia="en-US"/>
    </w:rPr>
  </w:style>
  <w:style w:type="paragraph" w:customStyle="1" w:styleId="Style22">
    <w:name w:val="Style 22"/>
    <w:basedOn w:val="Normal"/>
    <w:uiPriority w:val="99"/>
    <w:rsid w:val="00FA71F4"/>
    <w:pPr>
      <w:widowControl w:val="0"/>
      <w:autoSpaceDE w:val="0"/>
      <w:autoSpaceDN w:val="0"/>
      <w:ind w:left="1944"/>
      <w:jc w:val="both"/>
    </w:pPr>
    <w:rPr>
      <w:rFonts w:ascii="Arial Narrow" w:eastAsia="Times New Roman" w:hAnsi="Arial Narrow" w:cs="Arial Narrow"/>
      <w:b/>
      <w:bCs/>
      <w:sz w:val="25"/>
      <w:szCs w:val="25"/>
      <w:lang w:val="en-US" w:eastAsia="es-ES"/>
    </w:rPr>
  </w:style>
  <w:style w:type="paragraph" w:styleId="Sangra2detindependiente">
    <w:name w:val="Body Text Indent 2"/>
    <w:basedOn w:val="Normal"/>
    <w:link w:val="Sangra2detindependienteCar"/>
    <w:uiPriority w:val="99"/>
    <w:semiHidden/>
    <w:unhideWhenUsed/>
    <w:rsid w:val="00FA71F4"/>
    <w:pPr>
      <w:spacing w:after="120" w:line="480" w:lineRule="auto"/>
      <w:ind w:left="283"/>
    </w:pPr>
  </w:style>
  <w:style w:type="character" w:customStyle="1" w:styleId="Sangra2detindependienteCar">
    <w:name w:val="Sangría 2 de t. independiente Car"/>
    <w:link w:val="Sangra2detindependiente"/>
    <w:uiPriority w:val="99"/>
    <w:semiHidden/>
    <w:rsid w:val="00FA71F4"/>
    <w:rPr>
      <w:rFonts w:ascii="Calibri" w:hAnsi="Calibri"/>
      <w:sz w:val="22"/>
      <w:szCs w:val="22"/>
      <w:lang w:eastAsia="en-US"/>
    </w:rPr>
  </w:style>
  <w:style w:type="paragraph" w:customStyle="1" w:styleId="Textodebloque1">
    <w:name w:val="Texto de bloque1"/>
    <w:basedOn w:val="Normal"/>
    <w:rsid w:val="00FA71F4"/>
    <w:pPr>
      <w:overflowPunct w:val="0"/>
      <w:autoSpaceDE w:val="0"/>
      <w:autoSpaceDN w:val="0"/>
      <w:adjustRightInd w:val="0"/>
      <w:ind w:left="720" w:firstLine="706"/>
      <w:jc w:val="both"/>
      <w:textAlignment w:val="baseline"/>
    </w:pPr>
    <w:rPr>
      <w:rFonts w:ascii="Times New Roman" w:eastAsia="Times New Roman" w:hAnsi="Times New Roman"/>
      <w:i/>
      <w:sz w:val="24"/>
      <w:szCs w:val="20"/>
      <w:lang w:val="es-ES_tradnl" w:eastAsia="es-ES"/>
    </w:rPr>
  </w:style>
  <w:style w:type="paragraph" w:styleId="Textodeglobo">
    <w:name w:val="Balloon Text"/>
    <w:basedOn w:val="Normal"/>
    <w:link w:val="TextodegloboCar"/>
    <w:uiPriority w:val="99"/>
    <w:semiHidden/>
    <w:unhideWhenUsed/>
    <w:rsid w:val="00F0171B"/>
    <w:rPr>
      <w:rFonts w:ascii="Segoe UI" w:hAnsi="Segoe UI" w:cs="Segoe UI"/>
      <w:sz w:val="18"/>
      <w:szCs w:val="18"/>
    </w:rPr>
  </w:style>
  <w:style w:type="character" w:customStyle="1" w:styleId="TextodegloboCar">
    <w:name w:val="Texto de globo Car"/>
    <w:link w:val="Textodeglobo"/>
    <w:uiPriority w:val="99"/>
    <w:semiHidden/>
    <w:rsid w:val="00F0171B"/>
    <w:rPr>
      <w:rFonts w:ascii="Segoe UI" w:hAnsi="Segoe UI" w:cs="Segoe UI"/>
      <w:sz w:val="18"/>
      <w:szCs w:val="18"/>
      <w:lang w:eastAsia="en-US"/>
    </w:rPr>
  </w:style>
  <w:style w:type="paragraph" w:styleId="Sangra3detindependiente">
    <w:name w:val="Body Text Indent 3"/>
    <w:basedOn w:val="Normal"/>
    <w:link w:val="Sangra3detindependienteCar"/>
    <w:uiPriority w:val="99"/>
    <w:unhideWhenUsed/>
    <w:rsid w:val="00870283"/>
    <w:pPr>
      <w:spacing w:after="120" w:line="276" w:lineRule="auto"/>
      <w:ind w:left="283"/>
    </w:pPr>
    <w:rPr>
      <w:sz w:val="16"/>
      <w:szCs w:val="16"/>
    </w:rPr>
  </w:style>
  <w:style w:type="character" w:customStyle="1" w:styleId="Sangra3detindependienteCar">
    <w:name w:val="Sangría 3 de t. independiente Car"/>
    <w:link w:val="Sangra3detindependiente"/>
    <w:uiPriority w:val="99"/>
    <w:rsid w:val="00870283"/>
    <w:rPr>
      <w:rFonts w:ascii="Calibri" w:hAnsi="Calibri"/>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4330BF-2327-499F-8A91-AA68B24E691C}">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7D4367C2-0449-488D-96EC-E9240EA6C0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F4D6A1-BDB3-4AA8-9EA7-C72A81B93E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10688</Words>
  <Characters>60927</Characters>
  <Application>Microsoft Office Word</Application>
  <DocSecurity>0</DocSecurity>
  <Lines>507</Lines>
  <Paragraphs>142</Paragraphs>
  <ScaleCrop>false</ScaleCrop>
  <HeadingPairs>
    <vt:vector size="2" baseType="variant">
      <vt:variant>
        <vt:lpstr>Título</vt:lpstr>
      </vt:variant>
      <vt:variant>
        <vt:i4>1</vt:i4>
      </vt:variant>
    </vt:vector>
  </HeadingPairs>
  <TitlesOfParts>
    <vt:vector size="1" baseType="lpstr">
      <vt:lpstr/>
    </vt:vector>
  </TitlesOfParts>
  <Company>CONSEJO SUPERIOR DE LA JUDICATURA</Company>
  <LinksUpToDate>false</LinksUpToDate>
  <CharactersWithSpaces>71473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 Jair Correa Barragán</dc:creator>
  <cp:keywords/>
  <dc:description/>
  <cp:lastModifiedBy>Nina María Padrón</cp:lastModifiedBy>
  <cp:revision>2</cp:revision>
  <cp:lastPrinted>2016-08-25T20:42:00Z</cp:lastPrinted>
  <dcterms:created xsi:type="dcterms:W3CDTF">2020-06-05T20:15:00Z</dcterms:created>
  <dcterms:modified xsi:type="dcterms:W3CDTF">2020-06-05T20:15:00Z</dcterms:modified>
</cp:coreProperties>
</file>