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46A8" w:rsidRPr="00F92CA0" w:rsidRDefault="00F92CA0" w:rsidP="008B69DD">
      <w:pPr>
        <w:tabs>
          <w:tab w:val="center" w:pos="5412"/>
          <w:tab w:val="right" w:pos="8840"/>
        </w:tabs>
        <w:spacing w:after="0" w:line="240" w:lineRule="auto"/>
        <w:jc w:val="both"/>
        <w:rPr>
          <w:rFonts w:ascii="Arial" w:hAnsi="Arial" w:cs="Arial"/>
          <w:b/>
          <w:spacing w:val="4"/>
        </w:rPr>
      </w:pPr>
      <w:r>
        <w:rPr>
          <w:rFonts w:ascii="Arial" w:hAnsi="Arial" w:cs="Arial"/>
          <w:b/>
          <w:spacing w:val="4"/>
        </w:rPr>
        <w:t>CONTROVERSIAS CONTRACTUALES</w:t>
      </w:r>
      <w:r w:rsidR="008B69DD" w:rsidRPr="00F92CA0">
        <w:rPr>
          <w:rFonts w:ascii="Arial" w:hAnsi="Arial" w:cs="Arial"/>
          <w:b/>
          <w:spacing w:val="4"/>
        </w:rPr>
        <w:t xml:space="preserve"> </w:t>
      </w:r>
      <w:r w:rsidRPr="00F92CA0">
        <w:rPr>
          <w:rFonts w:ascii="Arial" w:hAnsi="Arial" w:cs="Arial"/>
          <w:b/>
          <w:spacing w:val="4"/>
          <w:lang w:val="es-ES"/>
        </w:rPr>
        <w:t>–</w:t>
      </w:r>
      <w:r w:rsidR="00782E8D" w:rsidRPr="00F92CA0">
        <w:rPr>
          <w:rFonts w:ascii="Arial" w:hAnsi="Arial" w:cs="Arial"/>
          <w:spacing w:val="4"/>
        </w:rPr>
        <w:t xml:space="preserve"> </w:t>
      </w:r>
      <w:r w:rsidR="008B69DD" w:rsidRPr="00F92CA0">
        <w:rPr>
          <w:rFonts w:ascii="Arial" w:hAnsi="Arial" w:cs="Arial"/>
          <w:b/>
          <w:spacing w:val="4"/>
        </w:rPr>
        <w:t>L</w:t>
      </w:r>
      <w:r w:rsidR="00782E8D" w:rsidRPr="00F92CA0">
        <w:rPr>
          <w:rFonts w:ascii="Arial" w:hAnsi="Arial" w:cs="Arial"/>
          <w:b/>
          <w:spacing w:val="4"/>
        </w:rPr>
        <w:t xml:space="preserve">egislación </w:t>
      </w:r>
      <w:r w:rsidR="008B69DD" w:rsidRPr="00F92CA0">
        <w:rPr>
          <w:rFonts w:ascii="Arial" w:hAnsi="Arial" w:cs="Arial"/>
          <w:b/>
          <w:spacing w:val="4"/>
        </w:rPr>
        <w:t>aplicable</w:t>
      </w:r>
    </w:p>
    <w:p w:rsidR="00782E8D" w:rsidRPr="00F92CA0" w:rsidRDefault="00782E8D" w:rsidP="008B69DD">
      <w:pPr>
        <w:tabs>
          <w:tab w:val="center" w:pos="5412"/>
          <w:tab w:val="right" w:pos="8840"/>
        </w:tabs>
        <w:spacing w:after="0" w:line="240" w:lineRule="auto"/>
        <w:jc w:val="both"/>
        <w:rPr>
          <w:rFonts w:ascii="Arial" w:hAnsi="Arial" w:cs="Arial"/>
          <w:b/>
          <w:spacing w:val="4"/>
        </w:rPr>
      </w:pPr>
    </w:p>
    <w:p w:rsidR="00782E8D" w:rsidRPr="00F92CA0" w:rsidRDefault="00782E8D" w:rsidP="008B69DD">
      <w:pPr>
        <w:tabs>
          <w:tab w:val="center" w:pos="5412"/>
          <w:tab w:val="right" w:pos="8840"/>
        </w:tabs>
        <w:spacing w:after="0" w:line="240" w:lineRule="auto"/>
        <w:jc w:val="both"/>
        <w:rPr>
          <w:rFonts w:ascii="Arial" w:hAnsi="Arial" w:cs="Arial"/>
          <w:spacing w:val="4"/>
        </w:rPr>
      </w:pPr>
      <w:r w:rsidRPr="00F92CA0">
        <w:rPr>
          <w:rFonts w:ascii="Arial" w:hAnsi="Arial" w:cs="Arial"/>
          <w:spacing w:val="4"/>
        </w:rPr>
        <w:t xml:space="preserve">Previo a pronunciarse de fondo respecto del recurso de apelación interpuesto por la parte demandante contra el auto de 27 de octubre de 2016, proferido por el Tribunal Administrativo de Bolívar, </w:t>
      </w:r>
      <w:r w:rsidRPr="00F92CA0">
        <w:rPr>
          <w:rFonts w:ascii="Arial" w:hAnsi="Arial" w:cs="Arial"/>
          <w:bCs/>
          <w:spacing w:val="4"/>
        </w:rPr>
        <w:t xml:space="preserve">estima el Despacho pertinente señalar que la demanda se presentó el 12 de enero de </w:t>
      </w:r>
      <w:r w:rsidRPr="00F92CA0">
        <w:rPr>
          <w:rFonts w:ascii="Arial" w:hAnsi="Arial" w:cs="Arial"/>
          <w:spacing w:val="4"/>
        </w:rPr>
        <w:t>2016</w:t>
      </w:r>
      <w:r w:rsidRPr="00F92CA0">
        <w:rPr>
          <w:rFonts w:ascii="Arial" w:hAnsi="Arial" w:cs="Arial"/>
          <w:bCs/>
          <w:spacing w:val="4"/>
        </w:rPr>
        <w:t xml:space="preserve">, por lo que al presente asunto le resulta aplicable el Código de Procedimiento Administrativo y de lo Contencioso Administrativo </w:t>
      </w:r>
      <w:r w:rsidRPr="00F92CA0">
        <w:rPr>
          <w:rFonts w:ascii="Arial" w:hAnsi="Arial" w:cs="Arial"/>
          <w:bCs/>
          <w:i/>
          <w:spacing w:val="4"/>
        </w:rPr>
        <w:t xml:space="preserve">- Ley 1437 de 2011-, </w:t>
      </w:r>
      <w:r w:rsidRPr="00F92CA0">
        <w:rPr>
          <w:rFonts w:ascii="Arial" w:hAnsi="Arial" w:cs="Arial"/>
          <w:bCs/>
          <w:spacing w:val="4"/>
        </w:rPr>
        <w:t xml:space="preserve">así como </w:t>
      </w:r>
      <w:r w:rsidRPr="00F92CA0">
        <w:rPr>
          <w:rFonts w:ascii="Arial" w:hAnsi="Arial" w:cs="Arial"/>
          <w:spacing w:val="4"/>
        </w:rPr>
        <w:t>las disposiciones del Código General del Proceso, en virtud de la integración normativa dispuesta por el artículo 306 del estatuto procesal en materia de lo contencioso administrativo.</w:t>
      </w:r>
    </w:p>
    <w:p w:rsidR="008B69DD" w:rsidRPr="00F92CA0" w:rsidRDefault="008B69DD" w:rsidP="008B69DD">
      <w:pPr>
        <w:tabs>
          <w:tab w:val="center" w:pos="5412"/>
          <w:tab w:val="right" w:pos="8840"/>
        </w:tabs>
        <w:spacing w:after="0" w:line="240" w:lineRule="auto"/>
        <w:jc w:val="both"/>
        <w:rPr>
          <w:rFonts w:ascii="Arial" w:hAnsi="Arial" w:cs="Arial"/>
          <w:spacing w:val="4"/>
        </w:rPr>
      </w:pPr>
    </w:p>
    <w:p w:rsidR="00782E8D" w:rsidRPr="00F92CA0" w:rsidRDefault="00F92CA0" w:rsidP="008B69DD">
      <w:pPr>
        <w:tabs>
          <w:tab w:val="center" w:pos="5412"/>
          <w:tab w:val="right" w:pos="8840"/>
        </w:tabs>
        <w:spacing w:after="0" w:line="240" w:lineRule="auto"/>
        <w:jc w:val="both"/>
        <w:rPr>
          <w:rFonts w:ascii="Arial" w:hAnsi="Arial" w:cs="Arial"/>
          <w:b/>
          <w:spacing w:val="4"/>
        </w:rPr>
      </w:pPr>
      <w:r>
        <w:rPr>
          <w:rFonts w:ascii="Arial" w:hAnsi="Arial" w:cs="Arial"/>
          <w:b/>
          <w:spacing w:val="4"/>
        </w:rPr>
        <w:t>CONTROVERSIAS CONTRACTUALES</w:t>
      </w:r>
      <w:r w:rsidR="008B69DD" w:rsidRPr="00F92CA0">
        <w:rPr>
          <w:rFonts w:ascii="Arial" w:hAnsi="Arial" w:cs="Arial"/>
          <w:b/>
          <w:spacing w:val="4"/>
        </w:rPr>
        <w:t xml:space="preserve"> </w:t>
      </w:r>
      <w:r w:rsidRPr="00F92CA0">
        <w:rPr>
          <w:rFonts w:ascii="Arial" w:hAnsi="Arial" w:cs="Arial"/>
          <w:b/>
          <w:spacing w:val="4"/>
          <w:lang w:val="es-ES"/>
        </w:rPr>
        <w:t>–</w:t>
      </w:r>
      <w:r w:rsidR="00782E8D" w:rsidRPr="00F92CA0">
        <w:rPr>
          <w:rFonts w:ascii="Arial" w:hAnsi="Arial" w:cs="Arial"/>
          <w:spacing w:val="4"/>
        </w:rPr>
        <w:t xml:space="preserve"> </w:t>
      </w:r>
      <w:r w:rsidR="008B69DD" w:rsidRPr="00F92CA0">
        <w:rPr>
          <w:rFonts w:ascii="Arial" w:hAnsi="Arial" w:cs="Arial"/>
          <w:b/>
          <w:spacing w:val="4"/>
        </w:rPr>
        <w:t>P</w:t>
      </w:r>
      <w:r w:rsidR="00782E8D" w:rsidRPr="00F92CA0">
        <w:rPr>
          <w:rFonts w:ascii="Arial" w:hAnsi="Arial" w:cs="Arial"/>
          <w:b/>
          <w:spacing w:val="4"/>
        </w:rPr>
        <w:t xml:space="preserve">rocedencia </w:t>
      </w:r>
      <w:r w:rsidR="008B69DD" w:rsidRPr="00F92CA0">
        <w:rPr>
          <w:rFonts w:ascii="Arial" w:hAnsi="Arial" w:cs="Arial"/>
          <w:b/>
          <w:spacing w:val="4"/>
        </w:rPr>
        <w:t>recurso de apelación</w:t>
      </w:r>
      <w:r w:rsidR="00782E8D" w:rsidRPr="00F92CA0">
        <w:rPr>
          <w:rFonts w:ascii="Arial" w:hAnsi="Arial" w:cs="Arial"/>
          <w:b/>
          <w:spacing w:val="4"/>
        </w:rPr>
        <w:t xml:space="preserve"> </w:t>
      </w:r>
    </w:p>
    <w:p w:rsidR="00782E8D" w:rsidRPr="00F92CA0" w:rsidRDefault="00782E8D" w:rsidP="008B69DD">
      <w:pPr>
        <w:tabs>
          <w:tab w:val="center" w:pos="5412"/>
          <w:tab w:val="right" w:pos="8840"/>
        </w:tabs>
        <w:spacing w:after="0" w:line="240" w:lineRule="auto"/>
        <w:jc w:val="both"/>
        <w:rPr>
          <w:rFonts w:ascii="Arial" w:hAnsi="Arial" w:cs="Arial"/>
          <w:spacing w:val="4"/>
        </w:rPr>
      </w:pPr>
    </w:p>
    <w:p w:rsidR="00782E8D" w:rsidRPr="00F92CA0" w:rsidRDefault="00782E8D" w:rsidP="008B69DD">
      <w:pPr>
        <w:tabs>
          <w:tab w:val="center" w:pos="5412"/>
          <w:tab w:val="right" w:pos="8840"/>
        </w:tabs>
        <w:spacing w:after="0" w:line="240" w:lineRule="auto"/>
        <w:jc w:val="both"/>
        <w:rPr>
          <w:rFonts w:ascii="Arial" w:hAnsi="Arial" w:cs="Arial"/>
          <w:spacing w:val="4"/>
          <w:lang w:val="es-ES"/>
        </w:rPr>
      </w:pPr>
      <w:r w:rsidRPr="00F92CA0">
        <w:rPr>
          <w:rFonts w:ascii="Arial" w:hAnsi="Arial" w:cs="Arial"/>
          <w:spacing w:val="4"/>
          <w:lang w:val="es-ES"/>
        </w:rPr>
        <w:t>En lo que hace a la procedencia del recurso de apelación establecida en los artículos 243 y 244 del Código de Procedimiento Administrativo y de lo Contencioso Administrativo</w:t>
      </w:r>
      <w:r w:rsidRPr="00F92CA0">
        <w:rPr>
          <w:rFonts w:ascii="Arial" w:hAnsi="Arial" w:cs="Arial"/>
          <w:i/>
          <w:spacing w:val="4"/>
          <w:lang w:val="es-ES"/>
        </w:rPr>
        <w:t xml:space="preserve">, </w:t>
      </w:r>
      <w:r w:rsidRPr="00F92CA0">
        <w:rPr>
          <w:rFonts w:ascii="Arial" w:hAnsi="Arial" w:cs="Arial"/>
          <w:spacing w:val="4"/>
          <w:lang w:val="es-ES"/>
        </w:rPr>
        <w:t>se encuentra que el auto recurrido corresponde a los enunciados por la norma como apelable, toda vez que se trata de una providencia que rechazó la demanda por haber operado el fenómeno de la caducidad; así mismo, se evidencia que el recurso fue interpuesto de manera oportuna y debidamente sustentado</w:t>
      </w:r>
      <w:r w:rsidR="008B69DD" w:rsidRPr="00F92CA0">
        <w:rPr>
          <w:rFonts w:ascii="Arial" w:hAnsi="Arial" w:cs="Arial"/>
          <w:spacing w:val="4"/>
          <w:lang w:val="es-ES"/>
        </w:rPr>
        <w:t>.</w:t>
      </w:r>
    </w:p>
    <w:p w:rsidR="0081241B" w:rsidRPr="00F92CA0" w:rsidRDefault="0081241B" w:rsidP="008B69DD">
      <w:pPr>
        <w:tabs>
          <w:tab w:val="center" w:pos="5412"/>
          <w:tab w:val="right" w:pos="8840"/>
        </w:tabs>
        <w:spacing w:after="0" w:line="240" w:lineRule="auto"/>
        <w:jc w:val="both"/>
        <w:rPr>
          <w:rFonts w:ascii="Arial" w:hAnsi="Arial" w:cs="Arial"/>
          <w:spacing w:val="4"/>
          <w:lang w:val="es-ES"/>
        </w:rPr>
      </w:pPr>
    </w:p>
    <w:p w:rsidR="00782E8D" w:rsidRPr="00F92CA0" w:rsidRDefault="0081241B" w:rsidP="008B69DD">
      <w:pPr>
        <w:tabs>
          <w:tab w:val="center" w:pos="5412"/>
          <w:tab w:val="right" w:pos="8840"/>
        </w:tabs>
        <w:spacing w:after="0" w:line="240" w:lineRule="auto"/>
        <w:jc w:val="both"/>
        <w:rPr>
          <w:rFonts w:ascii="Arial" w:hAnsi="Arial" w:cs="Arial"/>
          <w:spacing w:val="4"/>
          <w:lang w:val="es-ES"/>
        </w:rPr>
      </w:pPr>
      <w:r w:rsidRPr="00F92CA0">
        <w:rPr>
          <w:rFonts w:ascii="Arial" w:hAnsi="Arial" w:cs="Arial"/>
          <w:b/>
          <w:spacing w:val="4"/>
          <w:lang w:val="es-ES"/>
        </w:rPr>
        <w:t xml:space="preserve">CADUCIDAD </w:t>
      </w:r>
      <w:r w:rsidR="00F92CA0">
        <w:rPr>
          <w:rFonts w:ascii="Arial" w:hAnsi="Arial" w:cs="Arial"/>
          <w:b/>
          <w:spacing w:val="4"/>
          <w:lang w:val="es-ES"/>
        </w:rPr>
        <w:t>DE LA ACCIÓN</w:t>
      </w:r>
      <w:r w:rsidRPr="00F92CA0">
        <w:rPr>
          <w:rFonts w:ascii="Arial" w:hAnsi="Arial" w:cs="Arial"/>
          <w:b/>
          <w:spacing w:val="4"/>
          <w:lang w:val="es-ES"/>
        </w:rPr>
        <w:t xml:space="preserve"> –</w:t>
      </w:r>
      <w:r w:rsidR="00782E8D" w:rsidRPr="00F92CA0">
        <w:rPr>
          <w:rFonts w:ascii="Arial" w:hAnsi="Arial" w:cs="Arial"/>
          <w:b/>
          <w:spacing w:val="4"/>
          <w:lang w:val="es-ES"/>
        </w:rPr>
        <w:t xml:space="preserve"> </w:t>
      </w:r>
      <w:r w:rsidRPr="00F92CA0">
        <w:rPr>
          <w:rFonts w:ascii="Arial" w:hAnsi="Arial" w:cs="Arial"/>
          <w:b/>
          <w:spacing w:val="4"/>
          <w:lang w:val="es-ES"/>
        </w:rPr>
        <w:t>Definición</w:t>
      </w:r>
      <w:r w:rsidR="00782E8D" w:rsidRPr="00F92CA0">
        <w:rPr>
          <w:rFonts w:ascii="Arial" w:hAnsi="Arial" w:cs="Arial"/>
          <w:b/>
          <w:spacing w:val="4"/>
          <w:lang w:val="es-ES"/>
        </w:rPr>
        <w:t xml:space="preserve"> </w:t>
      </w:r>
    </w:p>
    <w:p w:rsidR="00782E8D" w:rsidRPr="00F92CA0" w:rsidRDefault="00782E8D" w:rsidP="008B69DD">
      <w:pPr>
        <w:tabs>
          <w:tab w:val="center" w:pos="5412"/>
          <w:tab w:val="right" w:pos="8840"/>
        </w:tabs>
        <w:spacing w:after="0" w:line="240" w:lineRule="auto"/>
        <w:jc w:val="both"/>
        <w:rPr>
          <w:rFonts w:ascii="Arial" w:hAnsi="Arial" w:cs="Arial"/>
          <w:spacing w:val="4"/>
          <w:lang w:val="es-ES"/>
        </w:rPr>
      </w:pPr>
    </w:p>
    <w:p w:rsidR="0081241B" w:rsidRPr="00F92CA0" w:rsidRDefault="00006D94" w:rsidP="008B69DD">
      <w:pPr>
        <w:tabs>
          <w:tab w:val="center" w:pos="5412"/>
          <w:tab w:val="right" w:pos="8840"/>
        </w:tabs>
        <w:spacing w:after="0" w:line="240" w:lineRule="auto"/>
        <w:jc w:val="both"/>
        <w:rPr>
          <w:rFonts w:ascii="Arial" w:hAnsi="Arial" w:cs="Arial"/>
          <w:spacing w:val="4"/>
        </w:rPr>
      </w:pPr>
      <w:r w:rsidRPr="00F92CA0">
        <w:rPr>
          <w:rFonts w:ascii="Arial" w:hAnsi="Arial" w:cs="Arial"/>
          <w:spacing w:val="4"/>
        </w:rPr>
        <w:t xml:space="preserve">Sea lo primero señalar </w:t>
      </w:r>
      <w:r w:rsidR="00F92CA0" w:rsidRPr="00F92CA0">
        <w:rPr>
          <w:rFonts w:ascii="Arial" w:hAnsi="Arial" w:cs="Arial"/>
          <w:spacing w:val="4"/>
        </w:rPr>
        <w:t>que,</w:t>
      </w:r>
      <w:bookmarkStart w:id="0" w:name="_GoBack"/>
      <w:bookmarkEnd w:id="0"/>
      <w:r w:rsidRPr="00F92CA0">
        <w:rPr>
          <w:rFonts w:ascii="Arial" w:hAnsi="Arial" w:cs="Arial"/>
          <w:spacing w:val="4"/>
        </w:rPr>
        <w:t xml:space="preserve"> para garantizar la seguridad jurídica de los sujetos procesales, el legislador instituyó la figura de la caducidad como un término dentro del cual, las partes tienen la carga procesal de impulsar el litigio dentro del plazo fijado por la Ley y de no hacerlo en tiempo pierden la posibilidad de accionar ante la jurisdicción para hacer efectivo su derecho. Así, entonces, no cabe duda en cuanto a que el término de caducidad resulta ser un plazo improrrogable y, por ello, ajeno por completo al arbitrio o voluntad de las partes y a cualquier consideración personal o subjetiva. </w:t>
      </w:r>
    </w:p>
    <w:p w:rsidR="0081241B" w:rsidRPr="00F92CA0" w:rsidRDefault="0081241B" w:rsidP="008B69DD">
      <w:pPr>
        <w:tabs>
          <w:tab w:val="center" w:pos="5412"/>
          <w:tab w:val="right" w:pos="8840"/>
        </w:tabs>
        <w:spacing w:after="0" w:line="240" w:lineRule="auto"/>
        <w:jc w:val="both"/>
        <w:rPr>
          <w:rFonts w:ascii="Arial" w:hAnsi="Arial" w:cs="Arial"/>
          <w:spacing w:val="4"/>
        </w:rPr>
      </w:pPr>
    </w:p>
    <w:p w:rsidR="0081241B" w:rsidRPr="00F92CA0" w:rsidRDefault="0081241B" w:rsidP="008B69DD">
      <w:pPr>
        <w:tabs>
          <w:tab w:val="center" w:pos="5412"/>
          <w:tab w:val="right" w:pos="8840"/>
        </w:tabs>
        <w:spacing w:after="0" w:line="240" w:lineRule="auto"/>
        <w:jc w:val="both"/>
        <w:rPr>
          <w:rFonts w:ascii="Arial" w:hAnsi="Arial" w:cs="Arial"/>
          <w:b/>
          <w:spacing w:val="4"/>
          <w:lang w:val="es-ES"/>
        </w:rPr>
      </w:pPr>
      <w:r w:rsidRPr="00F92CA0">
        <w:rPr>
          <w:rFonts w:ascii="Arial" w:hAnsi="Arial" w:cs="Arial"/>
          <w:b/>
          <w:spacing w:val="4"/>
          <w:lang w:val="es-ES"/>
        </w:rPr>
        <w:t xml:space="preserve">CADUCIDAD </w:t>
      </w:r>
      <w:r w:rsidR="00F92CA0">
        <w:rPr>
          <w:rFonts w:ascii="Arial" w:hAnsi="Arial" w:cs="Arial"/>
          <w:b/>
          <w:spacing w:val="4"/>
          <w:lang w:val="es-ES"/>
        </w:rPr>
        <w:t>DE LA ACCIÓN</w:t>
      </w:r>
      <w:r w:rsidRPr="00F92CA0">
        <w:rPr>
          <w:rFonts w:ascii="Arial" w:hAnsi="Arial" w:cs="Arial"/>
          <w:b/>
          <w:spacing w:val="4"/>
          <w:lang w:val="es-ES"/>
        </w:rPr>
        <w:t xml:space="preserve"> – Término de contabilización</w:t>
      </w:r>
    </w:p>
    <w:p w:rsidR="0081241B" w:rsidRPr="00F92CA0" w:rsidRDefault="0081241B" w:rsidP="008B69DD">
      <w:pPr>
        <w:tabs>
          <w:tab w:val="center" w:pos="5412"/>
          <w:tab w:val="right" w:pos="8840"/>
        </w:tabs>
        <w:spacing w:after="0" w:line="240" w:lineRule="auto"/>
        <w:jc w:val="both"/>
        <w:rPr>
          <w:rFonts w:ascii="Arial" w:hAnsi="Arial" w:cs="Arial"/>
          <w:spacing w:val="4"/>
          <w:lang w:val="es-ES"/>
        </w:rPr>
      </w:pPr>
    </w:p>
    <w:p w:rsidR="00782E8D" w:rsidRPr="00F92CA0" w:rsidRDefault="00006D94" w:rsidP="008B69DD">
      <w:pPr>
        <w:tabs>
          <w:tab w:val="center" w:pos="5412"/>
          <w:tab w:val="right" w:pos="8840"/>
        </w:tabs>
        <w:spacing w:after="0" w:line="240" w:lineRule="auto"/>
        <w:jc w:val="both"/>
        <w:rPr>
          <w:rFonts w:ascii="Arial" w:hAnsi="Arial" w:cs="Arial"/>
          <w:spacing w:val="4"/>
        </w:rPr>
      </w:pPr>
      <w:r w:rsidRPr="00F92CA0">
        <w:rPr>
          <w:rFonts w:ascii="Arial" w:hAnsi="Arial" w:cs="Arial"/>
          <w:spacing w:val="4"/>
        </w:rPr>
        <w:t xml:space="preserve">De conformidad con lo dicho, para definir si el medio de control y/o pretensión ejercitada se encuentra caducada, o no, es necesario determinar el momento exacto a partir del cual se debe iniciar el cómputo del término señalado legalmente para ejercer el derecho de acción. Para tal efecto, debe señalarse que el contrato nro. SAP 914-2011 fue liquidado de común acuerdo mediante acta del 3 de octubre de 2013, situación particular que de conformidad con el art. 164 del Código de Procedimiento Administrativo y de lo Contencioso Administrativo, permite concluir que el término de caducidad inició al día siguiente de la firma del acta antes mencionada, esto es, el 4 de octubre de 2013, y aquél concluyó el 4 de octubre de 2015.Al respecto, debe aclarar la Sala que el plazo máximo para presentar la demanda, tal y como lo sostuvo el impugnante, acaeció un domingo -4 de octubre de 2015-, situación particular por la que de conformidad con el art. 62 de la Ley 4 de 1913 y el art. 118 del Código General del Proceso, dicho término debía ser extendido al día hábil siguiente, es decir, el 5 de octubre de 2015. En este punto conviene precisar que el Tribunal </w:t>
      </w:r>
      <w:r w:rsidRPr="00F92CA0">
        <w:rPr>
          <w:rFonts w:ascii="Arial" w:hAnsi="Arial" w:cs="Arial"/>
          <w:i/>
          <w:spacing w:val="4"/>
        </w:rPr>
        <w:t>a quo</w:t>
      </w:r>
      <w:r w:rsidRPr="00F92CA0">
        <w:rPr>
          <w:rFonts w:ascii="Arial" w:hAnsi="Arial" w:cs="Arial"/>
          <w:spacing w:val="4"/>
        </w:rPr>
        <w:t xml:space="preserve"> consideró que la solicitud de conciliación prejudicial presentada el 5 de octubre de 2015, no tenía el alcance de suspender el término de caducidad pues supuestamente aquella fue presentada un día después del plazo que tenía el demandante para acceder a la jurisdicción; no obstante lo cual, para la Sala, la mencionada solicitud sí lo suspendió, </w:t>
      </w:r>
      <w:r w:rsidRPr="00F92CA0">
        <w:rPr>
          <w:rFonts w:ascii="Arial" w:hAnsi="Arial" w:cs="Arial"/>
          <w:spacing w:val="4"/>
        </w:rPr>
        <w:lastRenderedPageBreak/>
        <w:t>habida cuenta que fue presentada cuando aquél aún estaba vigente, ello de conformidad con lo expresamente señalado en punto a las normas que regulan el acaecimiento de un término en un día inhábil. En ese orden de ideas, de acuerdo con lo previsto expresamente en las Leyes 446 de 1998 y 640 de 2001, el término de caducidad fue suspendido con la presentación de la solicitud de conciliación extrajudicial, es decir, cuando faltaba 1 día para que expirara el plazo para demandar. Ahora bien, comoquiera que transcurrieron 3 meses desde la presentación de la solicitud sin que, en ese término, se hubiere realizado la audiencia de conciliación extrajudicial, de conformidad con el art. 21 de la Ley 640 de 2001, deberá tenerse el 5 de enero de 2015 como el último día en el que estuvo suspendido el término de caducidad. No obstante lo anterior, si bien el término de caducidad se reanuda al día siguiente del vencimiento de los 3 meses para celebrar la diligencia conciliatoria, esto sería, en principio, el 6 de enero de 2015, lo cierto es que esta fecha coincidió con el periodo de vacancia judicial, circunstancia por la que ha de concluirse que aquél se reanudó el día hábil siguiente –judicialmente hablando-, esto es, el 12 de enero de 2016.Así las cosas, una vez revisado el plenario, comoquiera que la demanda fue presentada el 12 de enero de 2016, forzoso es concluir que la misma fue oportuna, por lo que se revocará la providencia impugnada y se enviará el proceso al Tribunal de origen para que le dé el trámite que corresponda.</w:t>
      </w:r>
    </w:p>
    <w:p w:rsidR="00782E8D" w:rsidRDefault="00782E8D" w:rsidP="001846A8">
      <w:pPr>
        <w:tabs>
          <w:tab w:val="center" w:pos="5412"/>
          <w:tab w:val="right" w:pos="8840"/>
        </w:tabs>
        <w:spacing w:after="0" w:line="240" w:lineRule="auto"/>
        <w:rPr>
          <w:rFonts w:ascii="Arial" w:hAnsi="Arial" w:cs="Arial"/>
          <w:b/>
          <w:spacing w:val="4"/>
          <w:sz w:val="24"/>
          <w:szCs w:val="24"/>
        </w:rPr>
      </w:pPr>
    </w:p>
    <w:p w:rsidR="00FA12A4" w:rsidRDefault="00FA12A4" w:rsidP="001846A8">
      <w:pPr>
        <w:tabs>
          <w:tab w:val="center" w:pos="5412"/>
          <w:tab w:val="right" w:pos="8840"/>
        </w:tabs>
        <w:spacing w:after="0" w:line="240" w:lineRule="auto"/>
        <w:rPr>
          <w:rFonts w:ascii="Arial" w:hAnsi="Arial" w:cs="Arial"/>
          <w:b/>
          <w:spacing w:val="4"/>
          <w:sz w:val="24"/>
          <w:szCs w:val="24"/>
        </w:rPr>
      </w:pPr>
    </w:p>
    <w:p w:rsidR="0085193C" w:rsidRDefault="001846A8" w:rsidP="001846A8">
      <w:pPr>
        <w:tabs>
          <w:tab w:val="center" w:pos="5412"/>
          <w:tab w:val="right" w:pos="8840"/>
        </w:tabs>
        <w:spacing w:after="0" w:line="240" w:lineRule="auto"/>
        <w:jc w:val="center"/>
        <w:rPr>
          <w:rFonts w:ascii="Arial" w:hAnsi="Arial" w:cs="Arial"/>
          <w:b/>
          <w:spacing w:val="4"/>
          <w:sz w:val="24"/>
          <w:szCs w:val="24"/>
        </w:rPr>
      </w:pPr>
      <w:r w:rsidRPr="00B54073">
        <w:rPr>
          <w:rFonts w:ascii="Arial" w:hAnsi="Arial" w:cs="Arial"/>
          <w:b/>
          <w:spacing w:val="4"/>
          <w:sz w:val="24"/>
          <w:szCs w:val="24"/>
        </w:rPr>
        <w:t>CONSEJO DE ESTADO</w:t>
      </w:r>
    </w:p>
    <w:p w:rsidR="0085193C" w:rsidRPr="00B54073" w:rsidRDefault="0085193C" w:rsidP="0085193C">
      <w:pPr>
        <w:tabs>
          <w:tab w:val="center" w:pos="5412"/>
          <w:tab w:val="right" w:pos="8840"/>
        </w:tabs>
        <w:spacing w:after="0" w:line="240" w:lineRule="auto"/>
        <w:jc w:val="center"/>
        <w:rPr>
          <w:rFonts w:ascii="Arial" w:hAnsi="Arial" w:cs="Arial"/>
          <w:b/>
          <w:spacing w:val="4"/>
          <w:sz w:val="24"/>
          <w:szCs w:val="24"/>
        </w:rPr>
      </w:pPr>
    </w:p>
    <w:p w:rsidR="0085193C" w:rsidRDefault="0085193C" w:rsidP="0085193C">
      <w:pPr>
        <w:spacing w:after="0" w:line="240" w:lineRule="auto"/>
        <w:jc w:val="center"/>
        <w:rPr>
          <w:rFonts w:ascii="Arial" w:hAnsi="Arial" w:cs="Arial"/>
          <w:b/>
          <w:spacing w:val="4"/>
          <w:sz w:val="24"/>
          <w:szCs w:val="24"/>
        </w:rPr>
      </w:pPr>
      <w:r w:rsidRPr="00B54073">
        <w:rPr>
          <w:rFonts w:ascii="Arial" w:hAnsi="Arial" w:cs="Arial"/>
          <w:b/>
          <w:spacing w:val="4"/>
          <w:sz w:val="24"/>
          <w:szCs w:val="24"/>
        </w:rPr>
        <w:t>SALA DE LO CONTENCIOSO ADMINISTRATIVO</w:t>
      </w:r>
    </w:p>
    <w:p w:rsidR="0085193C" w:rsidRPr="00B54073" w:rsidRDefault="0085193C" w:rsidP="0085193C">
      <w:pPr>
        <w:spacing w:after="0" w:line="240" w:lineRule="auto"/>
        <w:jc w:val="center"/>
        <w:rPr>
          <w:rFonts w:ascii="Arial" w:hAnsi="Arial" w:cs="Arial"/>
          <w:b/>
          <w:spacing w:val="4"/>
          <w:sz w:val="24"/>
          <w:szCs w:val="24"/>
        </w:rPr>
      </w:pPr>
    </w:p>
    <w:p w:rsidR="0085193C" w:rsidRDefault="0085193C" w:rsidP="0085193C">
      <w:pPr>
        <w:spacing w:after="0" w:line="240" w:lineRule="auto"/>
        <w:jc w:val="center"/>
        <w:rPr>
          <w:rFonts w:ascii="Arial" w:hAnsi="Arial" w:cs="Arial"/>
          <w:b/>
          <w:spacing w:val="4"/>
          <w:sz w:val="24"/>
          <w:szCs w:val="24"/>
        </w:rPr>
      </w:pPr>
      <w:r>
        <w:rPr>
          <w:rFonts w:ascii="Arial" w:hAnsi="Arial" w:cs="Arial"/>
          <w:b/>
          <w:spacing w:val="4"/>
          <w:sz w:val="24"/>
          <w:szCs w:val="24"/>
        </w:rPr>
        <w:t>SECCIÓN TERCERA</w:t>
      </w:r>
    </w:p>
    <w:p w:rsidR="0085193C" w:rsidRDefault="0085193C" w:rsidP="0085193C">
      <w:pPr>
        <w:spacing w:after="0" w:line="240" w:lineRule="auto"/>
        <w:jc w:val="center"/>
        <w:rPr>
          <w:rFonts w:ascii="Arial" w:hAnsi="Arial" w:cs="Arial"/>
          <w:b/>
          <w:spacing w:val="4"/>
          <w:sz w:val="24"/>
          <w:szCs w:val="24"/>
        </w:rPr>
      </w:pPr>
    </w:p>
    <w:p w:rsidR="0085193C" w:rsidRPr="00B54073" w:rsidRDefault="0085193C" w:rsidP="0085193C">
      <w:pPr>
        <w:spacing w:after="0" w:line="240" w:lineRule="auto"/>
        <w:jc w:val="center"/>
        <w:rPr>
          <w:rFonts w:ascii="Arial" w:hAnsi="Arial" w:cs="Arial"/>
          <w:b/>
          <w:spacing w:val="4"/>
          <w:sz w:val="24"/>
          <w:szCs w:val="24"/>
        </w:rPr>
      </w:pPr>
      <w:r w:rsidRPr="00B54073">
        <w:rPr>
          <w:rFonts w:ascii="Arial" w:hAnsi="Arial" w:cs="Arial"/>
          <w:b/>
          <w:spacing w:val="4"/>
          <w:sz w:val="24"/>
          <w:szCs w:val="24"/>
        </w:rPr>
        <w:t>SUBSECCIÓN A</w:t>
      </w:r>
    </w:p>
    <w:p w:rsidR="0085193C" w:rsidRPr="00B54073" w:rsidRDefault="0085193C" w:rsidP="0085193C">
      <w:pPr>
        <w:spacing w:after="0" w:line="240" w:lineRule="auto"/>
        <w:jc w:val="center"/>
        <w:rPr>
          <w:rFonts w:ascii="Arial" w:hAnsi="Arial" w:cs="Arial"/>
          <w:b/>
          <w:spacing w:val="4"/>
          <w:sz w:val="24"/>
          <w:szCs w:val="24"/>
        </w:rPr>
      </w:pPr>
    </w:p>
    <w:p w:rsidR="0085193C" w:rsidRPr="00B54073" w:rsidRDefault="0085193C" w:rsidP="0085193C">
      <w:pPr>
        <w:spacing w:after="0" w:line="240" w:lineRule="auto"/>
        <w:jc w:val="center"/>
        <w:rPr>
          <w:rFonts w:ascii="Arial" w:hAnsi="Arial" w:cs="Arial"/>
          <w:b/>
          <w:spacing w:val="4"/>
          <w:sz w:val="24"/>
          <w:szCs w:val="24"/>
        </w:rPr>
      </w:pPr>
      <w:r>
        <w:rPr>
          <w:rFonts w:ascii="Arial" w:hAnsi="Arial" w:cs="Arial"/>
          <w:b/>
          <w:spacing w:val="4"/>
          <w:sz w:val="24"/>
          <w:szCs w:val="24"/>
        </w:rPr>
        <w:t>Consejero p</w:t>
      </w:r>
      <w:r w:rsidRPr="00B54073">
        <w:rPr>
          <w:rFonts w:ascii="Arial" w:hAnsi="Arial" w:cs="Arial"/>
          <w:b/>
          <w:spacing w:val="4"/>
          <w:sz w:val="24"/>
          <w:szCs w:val="24"/>
        </w:rPr>
        <w:t xml:space="preserve">onente: </w:t>
      </w:r>
      <w:r>
        <w:rPr>
          <w:rFonts w:ascii="Arial" w:hAnsi="Arial" w:cs="Arial"/>
          <w:b/>
          <w:spacing w:val="4"/>
          <w:sz w:val="24"/>
          <w:szCs w:val="24"/>
        </w:rPr>
        <w:t xml:space="preserve">HERNÁN ANDRADE RINCÓN </w:t>
      </w:r>
    </w:p>
    <w:p w:rsidR="0085193C" w:rsidRPr="00B54073" w:rsidRDefault="0085193C" w:rsidP="0085193C">
      <w:pPr>
        <w:spacing w:after="0" w:line="240" w:lineRule="auto"/>
        <w:jc w:val="both"/>
        <w:rPr>
          <w:rFonts w:ascii="Arial" w:hAnsi="Arial" w:cs="Arial"/>
          <w:b/>
          <w:spacing w:val="4"/>
          <w:sz w:val="24"/>
          <w:szCs w:val="24"/>
        </w:rPr>
      </w:pPr>
    </w:p>
    <w:p w:rsidR="0085193C" w:rsidRDefault="0085193C" w:rsidP="0085193C">
      <w:pPr>
        <w:tabs>
          <w:tab w:val="left" w:pos="0"/>
          <w:tab w:val="left" w:pos="720"/>
          <w:tab w:val="left" w:pos="1440"/>
          <w:tab w:val="left" w:pos="2127"/>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pacing w:val="4"/>
          <w:sz w:val="24"/>
          <w:szCs w:val="24"/>
        </w:rPr>
      </w:pPr>
      <w:r w:rsidRPr="0085193C">
        <w:rPr>
          <w:rFonts w:ascii="Arial" w:hAnsi="Arial" w:cs="Arial"/>
          <w:spacing w:val="4"/>
          <w:sz w:val="24"/>
          <w:szCs w:val="24"/>
        </w:rPr>
        <w:t>Bogotá D.C., primero (1°) de jun</w:t>
      </w:r>
      <w:r>
        <w:rPr>
          <w:rFonts w:ascii="Arial" w:hAnsi="Arial" w:cs="Arial"/>
          <w:spacing w:val="4"/>
          <w:sz w:val="24"/>
          <w:szCs w:val="24"/>
        </w:rPr>
        <w:t>io de dos mil diecisiete (2017)</w:t>
      </w:r>
    </w:p>
    <w:p w:rsidR="0085193C" w:rsidRDefault="0085193C" w:rsidP="0085193C">
      <w:pPr>
        <w:tabs>
          <w:tab w:val="left" w:pos="0"/>
          <w:tab w:val="left" w:pos="720"/>
          <w:tab w:val="left" w:pos="1440"/>
          <w:tab w:val="left" w:pos="2127"/>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pacing w:val="4"/>
          <w:sz w:val="24"/>
          <w:szCs w:val="24"/>
        </w:rPr>
      </w:pPr>
    </w:p>
    <w:p w:rsidR="0085193C" w:rsidRPr="00B54073" w:rsidRDefault="0085193C" w:rsidP="0085193C">
      <w:pPr>
        <w:tabs>
          <w:tab w:val="left" w:pos="0"/>
          <w:tab w:val="left" w:pos="720"/>
          <w:tab w:val="left" w:pos="1440"/>
          <w:tab w:val="left" w:pos="2127"/>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rPr>
      </w:pPr>
      <w:r w:rsidRPr="00B54073">
        <w:rPr>
          <w:rFonts w:ascii="Arial" w:hAnsi="Arial" w:cs="Arial"/>
          <w:b/>
          <w:spacing w:val="4"/>
          <w:sz w:val="24"/>
          <w:szCs w:val="24"/>
        </w:rPr>
        <w:t xml:space="preserve">Radicación número: </w:t>
      </w:r>
      <w:r>
        <w:rPr>
          <w:rFonts w:ascii="Arial" w:hAnsi="Arial" w:cs="Arial"/>
          <w:b/>
          <w:spacing w:val="4"/>
          <w:sz w:val="24"/>
          <w:szCs w:val="24"/>
        </w:rPr>
        <w:t>13001-23-33-000-2016-00008-01(58</w:t>
      </w:r>
      <w:r w:rsidRPr="0085193C">
        <w:rPr>
          <w:rFonts w:ascii="Arial" w:hAnsi="Arial" w:cs="Arial"/>
          <w:b/>
          <w:spacing w:val="4"/>
          <w:sz w:val="24"/>
          <w:szCs w:val="24"/>
        </w:rPr>
        <w:t>866)</w:t>
      </w:r>
    </w:p>
    <w:p w:rsidR="0085193C" w:rsidRPr="00B54073" w:rsidRDefault="0085193C" w:rsidP="0085193C">
      <w:pPr>
        <w:tabs>
          <w:tab w:val="left" w:pos="0"/>
          <w:tab w:val="left" w:pos="720"/>
          <w:tab w:val="left" w:pos="1440"/>
          <w:tab w:val="left" w:pos="2127"/>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rPr>
      </w:pPr>
    </w:p>
    <w:p w:rsidR="0085193C" w:rsidRPr="00B54073" w:rsidRDefault="0085193C" w:rsidP="0085193C">
      <w:pPr>
        <w:tabs>
          <w:tab w:val="left" w:pos="0"/>
          <w:tab w:val="left" w:pos="720"/>
          <w:tab w:val="left" w:pos="1440"/>
          <w:tab w:val="left" w:pos="2127"/>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rPr>
      </w:pPr>
      <w:r w:rsidRPr="00B54073">
        <w:rPr>
          <w:rFonts w:ascii="Arial" w:hAnsi="Arial" w:cs="Arial"/>
          <w:b/>
          <w:spacing w:val="4"/>
          <w:sz w:val="24"/>
          <w:szCs w:val="24"/>
        </w:rPr>
        <w:t xml:space="preserve">Actor: </w:t>
      </w:r>
      <w:r w:rsidRPr="0085193C">
        <w:rPr>
          <w:rFonts w:ascii="Arial" w:hAnsi="Arial" w:cs="Arial"/>
          <w:b/>
          <w:spacing w:val="4"/>
          <w:sz w:val="24"/>
          <w:szCs w:val="24"/>
        </w:rPr>
        <w:t>INGEMAZ DEL CARIBE LTDA</w:t>
      </w:r>
    </w:p>
    <w:p w:rsidR="0085193C" w:rsidRPr="00B54073" w:rsidRDefault="0085193C" w:rsidP="0085193C">
      <w:pPr>
        <w:tabs>
          <w:tab w:val="left" w:pos="0"/>
          <w:tab w:val="left" w:pos="720"/>
          <w:tab w:val="left" w:pos="1440"/>
          <w:tab w:val="left" w:pos="2127"/>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rPr>
      </w:pPr>
    </w:p>
    <w:p w:rsidR="0085193C" w:rsidRPr="00B54073" w:rsidRDefault="0085193C" w:rsidP="0085193C">
      <w:pPr>
        <w:widowControl w:val="0"/>
        <w:tabs>
          <w:tab w:val="left" w:pos="2127"/>
          <w:tab w:val="left" w:pos="2268"/>
          <w:tab w:val="left" w:pos="2880"/>
          <w:tab w:val="left" w:pos="3600"/>
          <w:tab w:val="left" w:pos="4320"/>
          <w:tab w:val="left" w:pos="5040"/>
          <w:tab w:val="left" w:pos="5760"/>
          <w:tab w:val="left" w:pos="6480"/>
          <w:tab w:val="left" w:pos="7200"/>
          <w:tab w:val="left" w:pos="7920"/>
          <w:tab w:val="left" w:pos="8640"/>
        </w:tabs>
        <w:autoSpaceDE w:val="0"/>
        <w:autoSpaceDN w:val="0"/>
        <w:spacing w:after="0" w:line="240" w:lineRule="auto"/>
        <w:jc w:val="both"/>
        <w:rPr>
          <w:rFonts w:ascii="Arial" w:eastAsia="Times New Roman" w:hAnsi="Arial" w:cs="Arial"/>
          <w:b/>
          <w:bCs/>
          <w:spacing w:val="4"/>
          <w:sz w:val="24"/>
          <w:szCs w:val="24"/>
          <w:lang w:eastAsia="es-ES"/>
        </w:rPr>
      </w:pPr>
      <w:r w:rsidRPr="00B54073">
        <w:rPr>
          <w:rFonts w:ascii="Arial" w:eastAsia="Times New Roman" w:hAnsi="Arial" w:cs="Arial"/>
          <w:b/>
          <w:bCs/>
          <w:spacing w:val="4"/>
          <w:sz w:val="24"/>
          <w:szCs w:val="24"/>
          <w:lang w:eastAsia="es-ES"/>
        </w:rPr>
        <w:t xml:space="preserve">Demandado: </w:t>
      </w:r>
      <w:r w:rsidRPr="0085193C">
        <w:rPr>
          <w:rFonts w:ascii="Arial" w:eastAsia="Times New Roman" w:hAnsi="Arial" w:cs="Arial"/>
          <w:b/>
          <w:bCs/>
          <w:spacing w:val="4"/>
          <w:sz w:val="24"/>
          <w:szCs w:val="24"/>
          <w:lang w:eastAsia="es-ES"/>
        </w:rPr>
        <w:t>DEPARTAMENTO DE BOLÍVAR</w:t>
      </w:r>
    </w:p>
    <w:p w:rsidR="0085193C" w:rsidRPr="00B54073" w:rsidRDefault="0085193C" w:rsidP="0085193C">
      <w:pPr>
        <w:widowControl w:val="0"/>
        <w:tabs>
          <w:tab w:val="left" w:pos="2127"/>
          <w:tab w:val="left" w:pos="2268"/>
          <w:tab w:val="left" w:pos="2880"/>
          <w:tab w:val="left" w:pos="3600"/>
          <w:tab w:val="left" w:pos="4320"/>
          <w:tab w:val="left" w:pos="5040"/>
          <w:tab w:val="left" w:pos="5760"/>
          <w:tab w:val="left" w:pos="6480"/>
          <w:tab w:val="left" w:pos="7200"/>
          <w:tab w:val="left" w:pos="7920"/>
          <w:tab w:val="left" w:pos="8640"/>
        </w:tabs>
        <w:autoSpaceDE w:val="0"/>
        <w:autoSpaceDN w:val="0"/>
        <w:spacing w:after="0" w:line="240" w:lineRule="auto"/>
        <w:jc w:val="both"/>
        <w:rPr>
          <w:rFonts w:ascii="Arial" w:eastAsia="Times New Roman" w:hAnsi="Arial" w:cs="Arial"/>
          <w:b/>
          <w:bCs/>
          <w:spacing w:val="4"/>
          <w:sz w:val="24"/>
          <w:szCs w:val="24"/>
          <w:lang w:eastAsia="es-ES"/>
        </w:rPr>
      </w:pPr>
    </w:p>
    <w:p w:rsidR="0085193C" w:rsidRPr="00B54073" w:rsidRDefault="0085193C" w:rsidP="0085193C">
      <w:pPr>
        <w:widowControl w:val="0"/>
        <w:tabs>
          <w:tab w:val="left" w:pos="2127"/>
          <w:tab w:val="left" w:pos="2268"/>
          <w:tab w:val="left" w:pos="2880"/>
          <w:tab w:val="left" w:pos="3600"/>
          <w:tab w:val="left" w:pos="4320"/>
          <w:tab w:val="left" w:pos="5040"/>
          <w:tab w:val="left" w:pos="5760"/>
          <w:tab w:val="left" w:pos="6480"/>
          <w:tab w:val="left" w:pos="7200"/>
          <w:tab w:val="left" w:pos="7920"/>
          <w:tab w:val="left" w:pos="8640"/>
        </w:tabs>
        <w:autoSpaceDE w:val="0"/>
        <w:autoSpaceDN w:val="0"/>
        <w:spacing w:after="0" w:line="240" w:lineRule="auto"/>
        <w:jc w:val="both"/>
        <w:rPr>
          <w:rFonts w:ascii="Arial" w:eastAsia="Times New Roman" w:hAnsi="Arial" w:cs="Arial"/>
          <w:b/>
          <w:bCs/>
          <w:spacing w:val="4"/>
          <w:sz w:val="24"/>
          <w:szCs w:val="24"/>
          <w:lang w:eastAsia="es-ES"/>
        </w:rPr>
      </w:pPr>
    </w:p>
    <w:p w:rsidR="0085193C" w:rsidRPr="00B54073" w:rsidRDefault="0085193C" w:rsidP="0085193C">
      <w:pPr>
        <w:widowControl w:val="0"/>
        <w:tabs>
          <w:tab w:val="left" w:pos="2127"/>
          <w:tab w:val="left" w:pos="2268"/>
          <w:tab w:val="left" w:pos="2880"/>
          <w:tab w:val="left" w:pos="3600"/>
          <w:tab w:val="left" w:pos="4320"/>
          <w:tab w:val="left" w:pos="5040"/>
          <w:tab w:val="left" w:pos="5760"/>
          <w:tab w:val="left" w:pos="6480"/>
          <w:tab w:val="left" w:pos="7200"/>
          <w:tab w:val="left" w:pos="7920"/>
          <w:tab w:val="left" w:pos="8640"/>
        </w:tabs>
        <w:autoSpaceDE w:val="0"/>
        <w:autoSpaceDN w:val="0"/>
        <w:spacing w:after="0" w:line="240" w:lineRule="auto"/>
        <w:jc w:val="both"/>
        <w:rPr>
          <w:rFonts w:ascii="Arial" w:eastAsia="Times New Roman" w:hAnsi="Arial" w:cs="Arial"/>
          <w:b/>
          <w:bCs/>
          <w:spacing w:val="4"/>
          <w:sz w:val="24"/>
          <w:szCs w:val="24"/>
          <w:lang w:eastAsia="es-ES"/>
        </w:rPr>
      </w:pPr>
    </w:p>
    <w:p w:rsidR="0085193C" w:rsidRDefault="0085193C" w:rsidP="0085193C">
      <w:pPr>
        <w:tabs>
          <w:tab w:val="left" w:pos="0"/>
          <w:tab w:val="left" w:pos="720"/>
          <w:tab w:val="left" w:pos="1440"/>
          <w:tab w:val="left" w:pos="2127"/>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rPr>
      </w:pPr>
      <w:r w:rsidRPr="00B54073">
        <w:rPr>
          <w:rFonts w:ascii="Arial" w:hAnsi="Arial" w:cs="Arial"/>
          <w:b/>
          <w:spacing w:val="4"/>
          <w:sz w:val="24"/>
          <w:szCs w:val="24"/>
        </w:rPr>
        <w:t xml:space="preserve">Referencia: </w:t>
      </w:r>
      <w:r w:rsidRPr="0085193C">
        <w:rPr>
          <w:rFonts w:ascii="Arial" w:hAnsi="Arial" w:cs="Arial"/>
          <w:b/>
          <w:spacing w:val="4"/>
          <w:sz w:val="24"/>
          <w:szCs w:val="24"/>
        </w:rPr>
        <w:t>CONTROVERSIAS CONTRACTUALES</w:t>
      </w:r>
    </w:p>
    <w:p w:rsidR="0085193C" w:rsidRDefault="0085193C" w:rsidP="0085193C">
      <w:pPr>
        <w:tabs>
          <w:tab w:val="left" w:pos="0"/>
          <w:tab w:val="left" w:pos="720"/>
          <w:tab w:val="left" w:pos="1440"/>
          <w:tab w:val="left" w:pos="2127"/>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rPr>
      </w:pPr>
    </w:p>
    <w:p w:rsidR="0085193C" w:rsidRPr="00B54073" w:rsidRDefault="0085193C" w:rsidP="0085193C">
      <w:pPr>
        <w:tabs>
          <w:tab w:val="left" w:pos="0"/>
          <w:tab w:val="left" w:pos="720"/>
          <w:tab w:val="left" w:pos="1440"/>
          <w:tab w:val="left" w:pos="2127"/>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rPr>
      </w:pPr>
    </w:p>
    <w:p w:rsidR="0085193C" w:rsidRDefault="0085193C" w:rsidP="0085193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b/>
          <w:spacing w:val="4"/>
          <w:sz w:val="24"/>
          <w:szCs w:val="24"/>
        </w:rPr>
      </w:pPr>
    </w:p>
    <w:p w:rsidR="00464712" w:rsidRPr="00BC1D6B" w:rsidRDefault="00045F2A" w:rsidP="00D35D8B">
      <w:pPr>
        <w:overflowPunct w:val="0"/>
        <w:autoSpaceDE w:val="0"/>
        <w:autoSpaceDN w:val="0"/>
        <w:adjustRightInd w:val="0"/>
        <w:spacing w:after="0"/>
        <w:jc w:val="both"/>
        <w:rPr>
          <w:rFonts w:ascii="Arial" w:eastAsia="Times New Roman" w:hAnsi="Arial" w:cs="Arial"/>
          <w:i/>
          <w:sz w:val="24"/>
          <w:szCs w:val="24"/>
          <w:lang w:val="es-ES" w:eastAsia="es-ES"/>
        </w:rPr>
      </w:pPr>
      <w:r w:rsidRPr="00463E20">
        <w:rPr>
          <w:rFonts w:ascii="Arial" w:hAnsi="Arial" w:cs="Arial"/>
          <w:b/>
          <w:color w:val="000000"/>
          <w:spacing w:val="2"/>
          <w:sz w:val="24"/>
          <w:szCs w:val="24"/>
        </w:rPr>
        <w:t>Tema:</w:t>
      </w:r>
      <w:r w:rsidR="00AF56AC" w:rsidRPr="00463E20">
        <w:rPr>
          <w:rFonts w:ascii="Arial" w:hAnsi="Arial" w:cs="Arial"/>
          <w:b/>
          <w:color w:val="000000"/>
          <w:spacing w:val="2"/>
          <w:sz w:val="24"/>
          <w:szCs w:val="24"/>
        </w:rPr>
        <w:t xml:space="preserve"> </w:t>
      </w:r>
      <w:r w:rsidR="00FA7FA7" w:rsidRPr="00FA7FA7">
        <w:rPr>
          <w:rFonts w:ascii="Arial" w:hAnsi="Arial" w:cs="Arial"/>
          <w:i/>
          <w:color w:val="000000"/>
          <w:spacing w:val="2"/>
          <w:sz w:val="24"/>
          <w:szCs w:val="24"/>
        </w:rPr>
        <w:t>Caducidad</w:t>
      </w:r>
      <w:r w:rsidR="00484925">
        <w:rPr>
          <w:rFonts w:ascii="Arial" w:hAnsi="Arial" w:cs="Arial"/>
          <w:i/>
          <w:color w:val="000000"/>
          <w:spacing w:val="2"/>
          <w:sz w:val="24"/>
          <w:szCs w:val="24"/>
        </w:rPr>
        <w:t xml:space="preserve"> </w:t>
      </w:r>
      <w:r w:rsidR="00FA7FA7" w:rsidRPr="00FA7FA7">
        <w:rPr>
          <w:rFonts w:ascii="Arial" w:hAnsi="Arial" w:cs="Arial"/>
          <w:i/>
          <w:color w:val="000000"/>
          <w:spacing w:val="2"/>
          <w:sz w:val="24"/>
          <w:szCs w:val="24"/>
        </w:rPr>
        <w:t>-</w:t>
      </w:r>
      <w:r w:rsidR="00484925">
        <w:rPr>
          <w:rFonts w:ascii="Arial" w:hAnsi="Arial" w:cs="Arial"/>
          <w:i/>
          <w:color w:val="000000"/>
          <w:spacing w:val="2"/>
          <w:sz w:val="24"/>
          <w:szCs w:val="24"/>
        </w:rPr>
        <w:t xml:space="preserve"> </w:t>
      </w:r>
      <w:r w:rsidR="00DE76FA">
        <w:rPr>
          <w:rFonts w:ascii="Arial" w:hAnsi="Arial" w:cs="Arial"/>
          <w:i/>
          <w:color w:val="000000"/>
          <w:spacing w:val="2"/>
          <w:sz w:val="24"/>
          <w:szCs w:val="24"/>
        </w:rPr>
        <w:t>C</w:t>
      </w:r>
      <w:r w:rsidR="00463E20" w:rsidRPr="00463E20">
        <w:rPr>
          <w:rFonts w:ascii="Arial" w:eastAsia="Times New Roman" w:hAnsi="Arial" w:cs="Arial"/>
          <w:i/>
          <w:sz w:val="24"/>
          <w:szCs w:val="24"/>
          <w:lang w:val="es-ES" w:eastAsia="es-ES"/>
        </w:rPr>
        <w:t xml:space="preserve">uando el término de caducidad fenece un día inhábil deberá extenderse hasta </w:t>
      </w:r>
      <w:r w:rsidR="00C97294">
        <w:rPr>
          <w:rFonts w:ascii="Arial" w:eastAsia="Times New Roman" w:hAnsi="Arial" w:cs="Arial"/>
          <w:i/>
          <w:sz w:val="24"/>
          <w:szCs w:val="24"/>
          <w:lang w:val="es-ES" w:eastAsia="es-ES"/>
        </w:rPr>
        <w:t>e</w:t>
      </w:r>
      <w:r w:rsidR="00463E20" w:rsidRPr="00463E20">
        <w:rPr>
          <w:rFonts w:ascii="Arial" w:eastAsia="Times New Roman" w:hAnsi="Arial" w:cs="Arial"/>
          <w:i/>
          <w:sz w:val="24"/>
          <w:szCs w:val="24"/>
          <w:lang w:val="es-ES" w:eastAsia="es-ES"/>
        </w:rPr>
        <w:t>l día hábil siguiente</w:t>
      </w:r>
      <w:r w:rsidR="00CA47CF" w:rsidRPr="00463E20">
        <w:rPr>
          <w:rFonts w:ascii="Arial" w:eastAsia="Times New Roman" w:hAnsi="Arial" w:cs="Arial"/>
          <w:i/>
          <w:sz w:val="24"/>
          <w:szCs w:val="24"/>
          <w:lang w:val="es-ES" w:eastAsia="es-ES"/>
        </w:rPr>
        <w:t xml:space="preserve"> / </w:t>
      </w:r>
      <w:r w:rsidR="00463E20" w:rsidRPr="00463E20">
        <w:rPr>
          <w:rFonts w:ascii="Arial" w:eastAsia="Times New Roman" w:hAnsi="Arial" w:cs="Arial"/>
          <w:i/>
          <w:sz w:val="24"/>
          <w:szCs w:val="24"/>
          <w:lang w:val="es-ES" w:eastAsia="es-ES"/>
        </w:rPr>
        <w:t>revoca decisión de primera instancia.</w:t>
      </w:r>
      <w:r w:rsidR="00CF0DD2" w:rsidRPr="00406F43">
        <w:rPr>
          <w:rFonts w:ascii="Arial" w:eastAsia="Times New Roman" w:hAnsi="Arial" w:cs="Arial"/>
          <w:i/>
          <w:sz w:val="24"/>
          <w:szCs w:val="24"/>
          <w:lang w:val="es-ES" w:eastAsia="es-ES"/>
        </w:rPr>
        <w:t xml:space="preserve"> </w:t>
      </w:r>
    </w:p>
    <w:p w:rsidR="00354428" w:rsidRPr="0090634A" w:rsidRDefault="00354428" w:rsidP="0090634A">
      <w:pPr>
        <w:pStyle w:val="Sinespaciado"/>
      </w:pPr>
    </w:p>
    <w:p w:rsidR="00045F2A" w:rsidRDefault="00045F2A" w:rsidP="009F3740">
      <w:pPr>
        <w:spacing w:after="0" w:line="360" w:lineRule="auto"/>
        <w:jc w:val="both"/>
        <w:rPr>
          <w:rFonts w:ascii="Arial" w:hAnsi="Arial" w:cs="Arial"/>
          <w:sz w:val="24"/>
          <w:szCs w:val="24"/>
        </w:rPr>
      </w:pPr>
      <w:r w:rsidRPr="00045F2A">
        <w:rPr>
          <w:rFonts w:ascii="Arial" w:hAnsi="Arial" w:cs="Arial"/>
          <w:sz w:val="24"/>
          <w:szCs w:val="24"/>
        </w:rPr>
        <w:t xml:space="preserve">Procede </w:t>
      </w:r>
      <w:r w:rsidR="0003340B">
        <w:rPr>
          <w:rFonts w:ascii="Arial" w:hAnsi="Arial" w:cs="Arial"/>
          <w:sz w:val="24"/>
          <w:szCs w:val="24"/>
        </w:rPr>
        <w:t>el Despacho</w:t>
      </w:r>
      <w:r w:rsidRPr="00045F2A">
        <w:rPr>
          <w:rFonts w:ascii="Arial" w:hAnsi="Arial" w:cs="Arial"/>
          <w:sz w:val="24"/>
          <w:szCs w:val="24"/>
        </w:rPr>
        <w:t xml:space="preserve"> a resolver el recurso de apelación interpuesto por la parte demandante en contra del auto de </w:t>
      </w:r>
      <w:r w:rsidR="00BA2191">
        <w:rPr>
          <w:rFonts w:ascii="Arial" w:hAnsi="Arial" w:cs="Arial"/>
          <w:sz w:val="24"/>
          <w:szCs w:val="24"/>
        </w:rPr>
        <w:t>27</w:t>
      </w:r>
      <w:r w:rsidR="00DA6392">
        <w:rPr>
          <w:rFonts w:ascii="Arial" w:hAnsi="Arial" w:cs="Arial"/>
          <w:sz w:val="24"/>
          <w:szCs w:val="24"/>
        </w:rPr>
        <w:t xml:space="preserve"> de </w:t>
      </w:r>
      <w:r w:rsidR="00BA2191">
        <w:rPr>
          <w:rFonts w:ascii="Arial" w:hAnsi="Arial" w:cs="Arial"/>
          <w:sz w:val="24"/>
          <w:szCs w:val="24"/>
        </w:rPr>
        <w:t>octubre</w:t>
      </w:r>
      <w:r w:rsidR="00DA6392">
        <w:rPr>
          <w:rFonts w:ascii="Arial" w:hAnsi="Arial" w:cs="Arial"/>
          <w:sz w:val="24"/>
          <w:szCs w:val="24"/>
        </w:rPr>
        <w:t xml:space="preserve"> </w:t>
      </w:r>
      <w:r w:rsidR="002139C5">
        <w:rPr>
          <w:rFonts w:ascii="Arial" w:hAnsi="Arial" w:cs="Arial"/>
          <w:sz w:val="24"/>
          <w:szCs w:val="24"/>
        </w:rPr>
        <w:t xml:space="preserve">de </w:t>
      </w:r>
      <w:r w:rsidR="00CC0EAE">
        <w:rPr>
          <w:rFonts w:ascii="Arial" w:hAnsi="Arial" w:cs="Arial"/>
          <w:sz w:val="24"/>
          <w:szCs w:val="24"/>
        </w:rPr>
        <w:t>201</w:t>
      </w:r>
      <w:r w:rsidR="00D35D8B">
        <w:rPr>
          <w:rFonts w:ascii="Arial" w:hAnsi="Arial" w:cs="Arial"/>
          <w:sz w:val="24"/>
          <w:szCs w:val="24"/>
        </w:rPr>
        <w:t>6</w:t>
      </w:r>
      <w:r w:rsidRPr="00045F2A">
        <w:rPr>
          <w:rFonts w:ascii="Arial" w:hAnsi="Arial" w:cs="Arial"/>
          <w:sz w:val="24"/>
          <w:szCs w:val="24"/>
        </w:rPr>
        <w:t>, proferido por el Tribunal Administrativo de</w:t>
      </w:r>
      <w:r w:rsidR="00E247C2">
        <w:rPr>
          <w:rFonts w:ascii="Arial" w:hAnsi="Arial" w:cs="Arial"/>
          <w:sz w:val="24"/>
          <w:szCs w:val="24"/>
        </w:rPr>
        <w:t xml:space="preserve"> </w:t>
      </w:r>
      <w:r w:rsidR="00BA2191">
        <w:rPr>
          <w:rFonts w:ascii="Arial" w:hAnsi="Arial" w:cs="Arial"/>
          <w:sz w:val="24"/>
          <w:szCs w:val="24"/>
        </w:rPr>
        <w:t>Bolívar</w:t>
      </w:r>
      <w:r w:rsidRPr="00045F2A">
        <w:rPr>
          <w:rFonts w:ascii="Arial" w:hAnsi="Arial" w:cs="Arial"/>
          <w:sz w:val="24"/>
          <w:szCs w:val="24"/>
        </w:rPr>
        <w:t>, mediante el cual se resolvió rechazar la demanda instaurada en eje</w:t>
      </w:r>
      <w:r w:rsidR="003066F8">
        <w:rPr>
          <w:rFonts w:ascii="Arial" w:hAnsi="Arial" w:cs="Arial"/>
          <w:sz w:val="24"/>
          <w:szCs w:val="24"/>
        </w:rPr>
        <w:t>rcicio de</w:t>
      </w:r>
      <w:r w:rsidR="004E2613">
        <w:rPr>
          <w:rFonts w:ascii="Arial" w:hAnsi="Arial" w:cs="Arial"/>
          <w:sz w:val="24"/>
          <w:szCs w:val="24"/>
        </w:rPr>
        <w:t xml:space="preserve"> </w:t>
      </w:r>
      <w:r w:rsidR="003066F8">
        <w:rPr>
          <w:rFonts w:ascii="Arial" w:hAnsi="Arial" w:cs="Arial"/>
          <w:sz w:val="24"/>
          <w:szCs w:val="24"/>
        </w:rPr>
        <w:t>l</w:t>
      </w:r>
      <w:r w:rsidR="004E2613">
        <w:rPr>
          <w:rFonts w:ascii="Arial" w:hAnsi="Arial" w:cs="Arial"/>
          <w:sz w:val="24"/>
          <w:szCs w:val="24"/>
        </w:rPr>
        <w:t>a</w:t>
      </w:r>
      <w:r w:rsidR="003066F8">
        <w:rPr>
          <w:rFonts w:ascii="Arial" w:hAnsi="Arial" w:cs="Arial"/>
          <w:sz w:val="24"/>
          <w:szCs w:val="24"/>
        </w:rPr>
        <w:t xml:space="preserve"> </w:t>
      </w:r>
      <w:r w:rsidR="004E2613">
        <w:rPr>
          <w:rFonts w:ascii="Arial" w:hAnsi="Arial" w:cs="Arial"/>
          <w:sz w:val="24"/>
          <w:szCs w:val="24"/>
        </w:rPr>
        <w:t>pretensión</w:t>
      </w:r>
      <w:r w:rsidR="003066F8">
        <w:rPr>
          <w:rFonts w:ascii="Arial" w:hAnsi="Arial" w:cs="Arial"/>
          <w:sz w:val="24"/>
          <w:szCs w:val="24"/>
        </w:rPr>
        <w:t xml:space="preserve"> de </w:t>
      </w:r>
      <w:r w:rsidR="00E247C2">
        <w:rPr>
          <w:rFonts w:ascii="Arial" w:hAnsi="Arial" w:cs="Arial"/>
          <w:sz w:val="24"/>
          <w:szCs w:val="24"/>
        </w:rPr>
        <w:t>controversias contractuales</w:t>
      </w:r>
      <w:r w:rsidR="00D86EDE">
        <w:rPr>
          <w:rFonts w:ascii="Arial" w:hAnsi="Arial" w:cs="Arial"/>
          <w:sz w:val="24"/>
          <w:szCs w:val="24"/>
        </w:rPr>
        <w:t xml:space="preserve"> por haber operado el fenómeno de la caducidad.</w:t>
      </w:r>
    </w:p>
    <w:p w:rsidR="00354428" w:rsidRDefault="00354428" w:rsidP="0090634A">
      <w:pPr>
        <w:pStyle w:val="Sinespaciado"/>
      </w:pPr>
    </w:p>
    <w:p w:rsidR="00484925" w:rsidRPr="0090634A" w:rsidRDefault="00484925" w:rsidP="0090634A">
      <w:pPr>
        <w:pStyle w:val="Sinespaciado"/>
      </w:pPr>
    </w:p>
    <w:p w:rsidR="00061087" w:rsidRPr="005E6BF8" w:rsidRDefault="005E6BF8" w:rsidP="005E6BF8">
      <w:pPr>
        <w:overflowPunct w:val="0"/>
        <w:autoSpaceDE w:val="0"/>
        <w:autoSpaceDN w:val="0"/>
        <w:adjustRightInd w:val="0"/>
        <w:spacing w:after="0" w:line="360" w:lineRule="auto"/>
        <w:ind w:left="360"/>
        <w:jc w:val="center"/>
        <w:textAlignment w:val="baseline"/>
        <w:rPr>
          <w:rFonts w:ascii="Arial" w:hAnsi="Arial" w:cs="Arial"/>
          <w:b/>
          <w:sz w:val="24"/>
          <w:szCs w:val="24"/>
          <w:u w:val="single"/>
        </w:rPr>
      </w:pPr>
      <w:r w:rsidRPr="005E6BF8">
        <w:rPr>
          <w:rFonts w:ascii="Arial" w:hAnsi="Arial" w:cs="Arial"/>
          <w:b/>
          <w:sz w:val="24"/>
          <w:szCs w:val="24"/>
          <w:u w:val="single"/>
        </w:rPr>
        <w:t xml:space="preserve">I. </w:t>
      </w:r>
      <w:r w:rsidR="00061087" w:rsidRPr="005E6BF8">
        <w:rPr>
          <w:rFonts w:ascii="Arial" w:hAnsi="Arial" w:cs="Arial"/>
          <w:b/>
          <w:sz w:val="24"/>
          <w:szCs w:val="24"/>
          <w:u w:val="single"/>
        </w:rPr>
        <w:t>ANTECEDENTES</w:t>
      </w:r>
    </w:p>
    <w:p w:rsidR="00A757C3" w:rsidRPr="00A757C3" w:rsidRDefault="00A757C3" w:rsidP="00A757C3">
      <w:pPr>
        <w:spacing w:after="0" w:line="360" w:lineRule="auto"/>
        <w:jc w:val="both"/>
        <w:rPr>
          <w:rFonts w:ascii="Arial" w:hAnsi="Arial" w:cs="Arial"/>
          <w:b/>
          <w:sz w:val="24"/>
          <w:szCs w:val="24"/>
        </w:rPr>
      </w:pPr>
      <w:r w:rsidRPr="00A757C3">
        <w:rPr>
          <w:rFonts w:ascii="Arial" w:hAnsi="Arial" w:cs="Arial"/>
          <w:b/>
          <w:sz w:val="24"/>
          <w:szCs w:val="24"/>
        </w:rPr>
        <w:t>1. La demanda</w:t>
      </w:r>
    </w:p>
    <w:p w:rsidR="00D70113" w:rsidRPr="0090634A" w:rsidRDefault="00D70113" w:rsidP="001F37F5">
      <w:pPr>
        <w:pStyle w:val="Sinespaciado"/>
        <w:rPr>
          <w:rStyle w:val="Refdenotaalpie"/>
        </w:rPr>
      </w:pPr>
    </w:p>
    <w:p w:rsidR="00D70113" w:rsidRDefault="00D70113" w:rsidP="00F25AD8">
      <w:pPr>
        <w:spacing w:after="0" w:line="360" w:lineRule="auto"/>
        <w:jc w:val="both"/>
        <w:rPr>
          <w:rFonts w:ascii="Arial" w:hAnsi="Arial" w:cs="Arial"/>
          <w:i/>
          <w:spacing w:val="-3"/>
          <w:sz w:val="24"/>
          <w:lang w:eastAsia="es-CO"/>
        </w:rPr>
      </w:pPr>
      <w:r w:rsidRPr="00D70113">
        <w:rPr>
          <w:rFonts w:ascii="Arial" w:hAnsi="Arial" w:cs="Arial"/>
          <w:sz w:val="24"/>
        </w:rPr>
        <w:t xml:space="preserve">En escrito presentado el </w:t>
      </w:r>
      <w:r w:rsidR="00447C96">
        <w:rPr>
          <w:rFonts w:ascii="Arial" w:hAnsi="Arial" w:cs="Arial"/>
          <w:sz w:val="24"/>
        </w:rPr>
        <w:t xml:space="preserve">12 de enero de </w:t>
      </w:r>
      <w:r>
        <w:rPr>
          <w:rFonts w:ascii="Arial" w:hAnsi="Arial" w:cs="Arial"/>
          <w:sz w:val="24"/>
        </w:rPr>
        <w:t>2016</w:t>
      </w:r>
      <w:r w:rsidR="00361A7D">
        <w:rPr>
          <w:rStyle w:val="Refdenotaalpie"/>
          <w:rFonts w:ascii="Arial" w:hAnsi="Arial" w:cs="Arial"/>
          <w:sz w:val="24"/>
        </w:rPr>
        <w:footnoteReference w:id="1"/>
      </w:r>
      <w:r w:rsidRPr="00D70113">
        <w:rPr>
          <w:rFonts w:ascii="Arial" w:hAnsi="Arial" w:cs="Arial"/>
          <w:sz w:val="24"/>
        </w:rPr>
        <w:t xml:space="preserve">, </w:t>
      </w:r>
      <w:r w:rsidR="00447C96">
        <w:rPr>
          <w:rFonts w:ascii="Arial" w:hAnsi="Arial" w:cs="Arial"/>
          <w:sz w:val="24"/>
        </w:rPr>
        <w:t>la sociedad INGEMAZ del Caribe Ltda.</w:t>
      </w:r>
      <w:r w:rsidRPr="00D70113">
        <w:rPr>
          <w:rFonts w:ascii="Arial" w:hAnsi="Arial" w:cs="Arial"/>
          <w:sz w:val="24"/>
        </w:rPr>
        <w:t>, por conducto de apoderado judicial d</w:t>
      </w:r>
      <w:r w:rsidR="001F37F5">
        <w:rPr>
          <w:rFonts w:ascii="Arial" w:hAnsi="Arial" w:cs="Arial"/>
          <w:sz w:val="24"/>
        </w:rPr>
        <w:t>ebi</w:t>
      </w:r>
      <w:r w:rsidR="00447C96">
        <w:rPr>
          <w:rFonts w:ascii="Arial" w:hAnsi="Arial" w:cs="Arial"/>
          <w:sz w:val="24"/>
        </w:rPr>
        <w:t>damente constituido, instauró</w:t>
      </w:r>
      <w:r w:rsidRPr="00D70113">
        <w:rPr>
          <w:rFonts w:ascii="Arial" w:hAnsi="Arial" w:cs="Arial"/>
          <w:sz w:val="24"/>
        </w:rPr>
        <w:t xml:space="preserve"> demanda de </w:t>
      </w:r>
      <w:r>
        <w:rPr>
          <w:rFonts w:ascii="Arial" w:hAnsi="Arial" w:cs="Arial"/>
          <w:sz w:val="24"/>
        </w:rPr>
        <w:t>controversias contractuales</w:t>
      </w:r>
      <w:r w:rsidRPr="00D70113">
        <w:rPr>
          <w:rFonts w:ascii="Arial" w:hAnsi="Arial" w:cs="Arial"/>
          <w:sz w:val="24"/>
        </w:rPr>
        <w:t xml:space="preserve"> en contra de</w:t>
      </w:r>
      <w:r w:rsidR="00447C96">
        <w:rPr>
          <w:rFonts w:ascii="Arial" w:hAnsi="Arial" w:cs="Arial"/>
          <w:sz w:val="24"/>
        </w:rPr>
        <w:t>l Departamento de Bolívar</w:t>
      </w:r>
      <w:r w:rsidRPr="00D70113">
        <w:rPr>
          <w:rFonts w:ascii="Arial" w:hAnsi="Arial" w:cs="Arial"/>
          <w:sz w:val="24"/>
        </w:rPr>
        <w:t xml:space="preserve">, con el fin de que se le declare administrativa y patrimonialmente responsable por los </w:t>
      </w:r>
      <w:r w:rsidRPr="00D70113">
        <w:rPr>
          <w:rFonts w:ascii="Arial" w:hAnsi="Arial" w:cs="Arial"/>
          <w:spacing w:val="-3"/>
          <w:sz w:val="24"/>
          <w:lang w:eastAsia="es-CO"/>
        </w:rPr>
        <w:t>perjuicios</w:t>
      </w:r>
      <w:r w:rsidR="00C7184C">
        <w:rPr>
          <w:rFonts w:ascii="Arial" w:hAnsi="Arial" w:cs="Arial"/>
          <w:spacing w:val="-3"/>
          <w:sz w:val="24"/>
          <w:lang w:eastAsia="es-CO"/>
        </w:rPr>
        <w:t xml:space="preserve"> causados como consecuencia</w:t>
      </w:r>
      <w:r w:rsidR="003A5F94">
        <w:rPr>
          <w:rFonts w:ascii="Arial" w:hAnsi="Arial" w:cs="Arial"/>
          <w:spacing w:val="-3"/>
          <w:sz w:val="24"/>
          <w:lang w:eastAsia="es-CO"/>
        </w:rPr>
        <w:t xml:space="preserve"> del incumplimiento del contrato nro. </w:t>
      </w:r>
      <w:r w:rsidR="00E207E3">
        <w:rPr>
          <w:rFonts w:ascii="Arial" w:hAnsi="Arial" w:cs="Arial"/>
          <w:spacing w:val="-3"/>
          <w:sz w:val="24"/>
          <w:lang w:eastAsia="es-CO"/>
        </w:rPr>
        <w:t xml:space="preserve">SAP </w:t>
      </w:r>
      <w:r w:rsidR="003A5F94">
        <w:rPr>
          <w:rFonts w:ascii="Arial" w:hAnsi="Arial" w:cs="Arial"/>
          <w:spacing w:val="-3"/>
          <w:sz w:val="24"/>
          <w:lang w:eastAsia="es-CO"/>
        </w:rPr>
        <w:t>914-2011 cuyo objeto consistió</w:t>
      </w:r>
      <w:r w:rsidR="00BD1312">
        <w:rPr>
          <w:rFonts w:ascii="Arial" w:hAnsi="Arial" w:cs="Arial"/>
          <w:spacing w:val="-3"/>
          <w:sz w:val="24"/>
          <w:lang w:eastAsia="es-CO"/>
        </w:rPr>
        <w:t xml:space="preserve"> en</w:t>
      </w:r>
      <w:r>
        <w:rPr>
          <w:rFonts w:ascii="Arial" w:hAnsi="Arial" w:cs="Arial"/>
          <w:spacing w:val="-3"/>
          <w:sz w:val="24"/>
          <w:lang w:eastAsia="es-CO"/>
        </w:rPr>
        <w:t xml:space="preserve"> </w:t>
      </w:r>
      <w:r w:rsidR="003A5F94">
        <w:rPr>
          <w:rFonts w:ascii="Arial" w:hAnsi="Arial" w:cs="Arial"/>
          <w:spacing w:val="-3"/>
          <w:sz w:val="24"/>
          <w:lang w:eastAsia="es-CO"/>
        </w:rPr>
        <w:t>la</w:t>
      </w:r>
      <w:r w:rsidR="001F37F5">
        <w:rPr>
          <w:rFonts w:ascii="Arial" w:hAnsi="Arial" w:cs="Arial"/>
          <w:spacing w:val="-3"/>
          <w:sz w:val="24"/>
          <w:lang w:eastAsia="es-CO"/>
        </w:rPr>
        <w:t xml:space="preserve"> </w:t>
      </w:r>
      <w:r w:rsidRPr="001F37F5">
        <w:rPr>
          <w:rFonts w:ascii="Arial" w:hAnsi="Arial" w:cs="Arial"/>
          <w:i/>
          <w:spacing w:val="-3"/>
          <w:sz w:val="24"/>
          <w:lang w:eastAsia="es-CO"/>
        </w:rPr>
        <w:t>“</w:t>
      </w:r>
      <w:r w:rsidR="003A5F94">
        <w:rPr>
          <w:rFonts w:ascii="Arial" w:hAnsi="Arial" w:cs="Arial"/>
          <w:i/>
          <w:spacing w:val="-3"/>
          <w:sz w:val="24"/>
          <w:lang w:eastAsia="es-CO"/>
        </w:rPr>
        <w:t>recuperación de la estructura colapsada del acueducto del corregimiento de cuatro bocas, municipio de San Fernando (Bolívar)”.</w:t>
      </w:r>
    </w:p>
    <w:p w:rsidR="00940CC2" w:rsidRDefault="00940CC2" w:rsidP="00940CC2">
      <w:pPr>
        <w:pStyle w:val="Sinespaciado"/>
      </w:pPr>
    </w:p>
    <w:p w:rsidR="00E207E3" w:rsidRPr="00A26F72" w:rsidRDefault="00517134" w:rsidP="00A26F72">
      <w:pPr>
        <w:spacing w:after="0" w:line="360" w:lineRule="auto"/>
        <w:jc w:val="both"/>
        <w:rPr>
          <w:rFonts w:ascii="Arial" w:hAnsi="Arial" w:cs="Arial"/>
          <w:color w:val="000000"/>
          <w:spacing w:val="2"/>
          <w:sz w:val="24"/>
        </w:rPr>
      </w:pPr>
      <w:r w:rsidRPr="0049653E">
        <w:rPr>
          <w:rFonts w:ascii="Arial" w:hAnsi="Arial" w:cs="Arial"/>
          <w:color w:val="000000"/>
          <w:spacing w:val="4"/>
          <w:sz w:val="24"/>
          <w:szCs w:val="24"/>
        </w:rPr>
        <w:t xml:space="preserve">Como </w:t>
      </w:r>
      <w:r w:rsidR="000D6FBF" w:rsidRPr="0049653E">
        <w:rPr>
          <w:rFonts w:ascii="Arial" w:hAnsi="Arial" w:cs="Arial"/>
          <w:color w:val="000000"/>
          <w:spacing w:val="4"/>
          <w:sz w:val="24"/>
          <w:szCs w:val="24"/>
        </w:rPr>
        <w:t>fundamento fáctico de las</w:t>
      </w:r>
      <w:r w:rsidRPr="0049653E">
        <w:rPr>
          <w:rFonts w:ascii="Arial" w:hAnsi="Arial" w:cs="Arial"/>
          <w:color w:val="000000"/>
          <w:spacing w:val="4"/>
          <w:sz w:val="24"/>
          <w:szCs w:val="24"/>
        </w:rPr>
        <w:t xml:space="preserve"> pretensiones se narró, en síntesis, que</w:t>
      </w:r>
      <w:r w:rsidR="008836A7" w:rsidRPr="0049653E">
        <w:rPr>
          <w:rFonts w:ascii="Arial" w:hAnsi="Arial" w:cs="Arial"/>
          <w:color w:val="000000"/>
          <w:spacing w:val="4"/>
          <w:sz w:val="24"/>
          <w:szCs w:val="24"/>
        </w:rPr>
        <w:t xml:space="preserve"> </w:t>
      </w:r>
      <w:r w:rsidR="00A26F72">
        <w:rPr>
          <w:rFonts w:ascii="Arial" w:hAnsi="Arial" w:cs="Arial"/>
          <w:color w:val="000000"/>
          <w:spacing w:val="4"/>
          <w:sz w:val="24"/>
          <w:szCs w:val="24"/>
        </w:rPr>
        <w:t>a pesar del fuerte invierno que azotaba la zona y a</w:t>
      </w:r>
      <w:r w:rsidR="006B1965">
        <w:rPr>
          <w:rFonts w:ascii="Arial" w:hAnsi="Arial" w:cs="Arial"/>
          <w:color w:val="000000"/>
          <w:spacing w:val="4"/>
          <w:sz w:val="24"/>
          <w:szCs w:val="24"/>
        </w:rPr>
        <w:t xml:space="preserve"> </w:t>
      </w:r>
      <w:r w:rsidR="00A26F72">
        <w:rPr>
          <w:rFonts w:ascii="Arial" w:hAnsi="Arial" w:cs="Arial"/>
          <w:color w:val="000000"/>
          <w:spacing w:val="4"/>
          <w:sz w:val="24"/>
          <w:szCs w:val="24"/>
        </w:rPr>
        <w:t>l</w:t>
      </w:r>
      <w:r w:rsidR="006B1965">
        <w:rPr>
          <w:rFonts w:ascii="Arial" w:hAnsi="Arial" w:cs="Arial"/>
          <w:color w:val="000000"/>
          <w:spacing w:val="4"/>
          <w:sz w:val="24"/>
          <w:szCs w:val="24"/>
        </w:rPr>
        <w:t>a</w:t>
      </w:r>
      <w:r w:rsidR="00A26F72">
        <w:rPr>
          <w:rFonts w:ascii="Arial" w:hAnsi="Arial" w:cs="Arial"/>
          <w:color w:val="000000"/>
          <w:spacing w:val="4"/>
          <w:sz w:val="24"/>
          <w:szCs w:val="24"/>
        </w:rPr>
        <w:t xml:space="preserve"> dificultad para acceder a ella</w:t>
      </w:r>
      <w:r w:rsidR="00AE653C">
        <w:rPr>
          <w:rFonts w:ascii="Arial" w:hAnsi="Arial" w:cs="Arial"/>
          <w:color w:val="000000"/>
          <w:spacing w:val="4"/>
          <w:sz w:val="24"/>
          <w:szCs w:val="24"/>
        </w:rPr>
        <w:t>, la parte demandante</w:t>
      </w:r>
      <w:r w:rsidR="00A26F72">
        <w:rPr>
          <w:rFonts w:ascii="Arial" w:hAnsi="Arial" w:cs="Arial"/>
          <w:color w:val="000000"/>
          <w:spacing w:val="4"/>
          <w:sz w:val="24"/>
          <w:szCs w:val="24"/>
        </w:rPr>
        <w:t xml:space="preserve"> cumplió con el objeto contratado, tanto así que </w:t>
      </w:r>
      <w:r w:rsidR="00E207E3" w:rsidRPr="00A26F72">
        <w:rPr>
          <w:rFonts w:ascii="Arial" w:hAnsi="Arial" w:cs="Arial"/>
          <w:color w:val="000000"/>
          <w:spacing w:val="2"/>
          <w:sz w:val="24"/>
        </w:rPr>
        <w:t xml:space="preserve">el 7 de marzo de 2012 </w:t>
      </w:r>
      <w:r w:rsidR="00DB26A2">
        <w:rPr>
          <w:rFonts w:ascii="Arial" w:hAnsi="Arial" w:cs="Arial"/>
          <w:color w:val="000000"/>
          <w:spacing w:val="2"/>
          <w:sz w:val="24"/>
        </w:rPr>
        <w:t>fue suscrita</w:t>
      </w:r>
      <w:r w:rsidR="00E207E3" w:rsidRPr="00A26F72">
        <w:rPr>
          <w:rFonts w:ascii="Arial" w:hAnsi="Arial" w:cs="Arial"/>
          <w:color w:val="000000"/>
          <w:spacing w:val="2"/>
          <w:sz w:val="24"/>
        </w:rPr>
        <w:t xml:space="preserve"> el ac</w:t>
      </w:r>
      <w:r w:rsidR="00AE653C">
        <w:rPr>
          <w:rFonts w:ascii="Arial" w:hAnsi="Arial" w:cs="Arial"/>
          <w:color w:val="000000"/>
          <w:spacing w:val="2"/>
          <w:sz w:val="24"/>
        </w:rPr>
        <w:t>ta de recibo final de las obras, las que, según se aseguró, fueron recibidas a satisfacción</w:t>
      </w:r>
      <w:r w:rsidR="00A26F72">
        <w:rPr>
          <w:rFonts w:ascii="Arial" w:hAnsi="Arial" w:cs="Arial"/>
          <w:color w:val="000000"/>
          <w:spacing w:val="2"/>
          <w:sz w:val="24"/>
        </w:rPr>
        <w:t>;</w:t>
      </w:r>
      <w:r w:rsidR="00E207E3" w:rsidRPr="00A26F72">
        <w:rPr>
          <w:rFonts w:ascii="Arial" w:hAnsi="Arial" w:cs="Arial"/>
          <w:color w:val="000000"/>
          <w:spacing w:val="2"/>
          <w:sz w:val="24"/>
        </w:rPr>
        <w:t xml:space="preserve"> no obstante lo cual, posteriormente, la interventoría m</w:t>
      </w:r>
      <w:r w:rsidR="00936ED8" w:rsidRPr="00A26F72">
        <w:rPr>
          <w:rFonts w:ascii="Arial" w:hAnsi="Arial" w:cs="Arial"/>
          <w:color w:val="000000"/>
          <w:spacing w:val="2"/>
          <w:sz w:val="24"/>
        </w:rPr>
        <w:t>anifestó que no fue ejecutado</w:t>
      </w:r>
      <w:r w:rsidR="00E207E3" w:rsidRPr="00A26F72">
        <w:rPr>
          <w:rFonts w:ascii="Arial" w:hAnsi="Arial" w:cs="Arial"/>
          <w:color w:val="000000"/>
          <w:spacing w:val="2"/>
          <w:sz w:val="24"/>
        </w:rPr>
        <w:t xml:space="preserve"> </w:t>
      </w:r>
      <w:r w:rsidR="00DB26A2">
        <w:rPr>
          <w:rFonts w:ascii="Arial" w:hAnsi="Arial" w:cs="Arial"/>
          <w:color w:val="000000"/>
          <w:spacing w:val="2"/>
          <w:sz w:val="24"/>
        </w:rPr>
        <w:t xml:space="preserve">la </w:t>
      </w:r>
      <w:r w:rsidR="00E207E3" w:rsidRPr="00A26F72">
        <w:rPr>
          <w:rFonts w:ascii="Arial" w:hAnsi="Arial" w:cs="Arial"/>
          <w:color w:val="000000"/>
          <w:spacing w:val="2"/>
          <w:sz w:val="24"/>
        </w:rPr>
        <w:t xml:space="preserve">totalidad </w:t>
      </w:r>
      <w:r w:rsidR="00DB26A2">
        <w:rPr>
          <w:rFonts w:ascii="Arial" w:hAnsi="Arial" w:cs="Arial"/>
          <w:color w:val="000000"/>
          <w:spacing w:val="2"/>
          <w:sz w:val="24"/>
        </w:rPr>
        <w:t>d</w:t>
      </w:r>
      <w:r w:rsidR="00E207E3" w:rsidRPr="00A26F72">
        <w:rPr>
          <w:rFonts w:ascii="Arial" w:hAnsi="Arial" w:cs="Arial"/>
          <w:color w:val="000000"/>
          <w:spacing w:val="2"/>
          <w:sz w:val="24"/>
        </w:rPr>
        <w:t xml:space="preserve">el </w:t>
      </w:r>
      <w:r w:rsidR="00936ED8" w:rsidRPr="00A26F72">
        <w:rPr>
          <w:rFonts w:ascii="Arial" w:hAnsi="Arial" w:cs="Arial"/>
          <w:color w:val="000000"/>
          <w:spacing w:val="2"/>
          <w:sz w:val="24"/>
        </w:rPr>
        <w:t>objeto contractual</w:t>
      </w:r>
      <w:r w:rsidR="00DB26A2">
        <w:rPr>
          <w:rFonts w:ascii="Arial" w:hAnsi="Arial" w:cs="Arial"/>
          <w:color w:val="000000"/>
          <w:spacing w:val="2"/>
          <w:sz w:val="24"/>
        </w:rPr>
        <w:t xml:space="preserve">, por lo que </w:t>
      </w:r>
      <w:r w:rsidR="00936ED8" w:rsidRPr="00A26F72">
        <w:rPr>
          <w:rFonts w:ascii="Arial" w:hAnsi="Arial" w:cs="Arial"/>
          <w:color w:val="000000"/>
          <w:spacing w:val="2"/>
          <w:sz w:val="24"/>
        </w:rPr>
        <w:t>se retractó</w:t>
      </w:r>
      <w:r w:rsidR="00E207E3" w:rsidRPr="00A26F72">
        <w:rPr>
          <w:rFonts w:ascii="Arial" w:hAnsi="Arial" w:cs="Arial"/>
          <w:color w:val="000000"/>
          <w:spacing w:val="2"/>
          <w:sz w:val="24"/>
        </w:rPr>
        <w:t xml:space="preserve"> del acta </w:t>
      </w:r>
      <w:r w:rsidR="00E3313C">
        <w:rPr>
          <w:rFonts w:ascii="Arial" w:hAnsi="Arial" w:cs="Arial"/>
          <w:color w:val="000000"/>
          <w:spacing w:val="2"/>
          <w:sz w:val="24"/>
        </w:rPr>
        <w:t>antes enunciada.</w:t>
      </w:r>
    </w:p>
    <w:p w:rsidR="00E207E3" w:rsidRPr="003B1C17" w:rsidRDefault="00E207E3" w:rsidP="003B1C17">
      <w:pPr>
        <w:pStyle w:val="Sinespaciado"/>
      </w:pPr>
    </w:p>
    <w:p w:rsidR="00E207E3" w:rsidRDefault="00667657" w:rsidP="00F25AD8">
      <w:pPr>
        <w:pStyle w:val="Sinespaciado"/>
        <w:spacing w:line="360" w:lineRule="auto"/>
        <w:jc w:val="both"/>
        <w:rPr>
          <w:rFonts w:ascii="Arial" w:hAnsi="Arial" w:cs="Arial"/>
          <w:spacing w:val="-3"/>
          <w:lang w:eastAsia="es-CO"/>
        </w:rPr>
      </w:pPr>
      <w:r>
        <w:rPr>
          <w:rFonts w:ascii="Arial" w:hAnsi="Arial" w:cs="Arial"/>
          <w:color w:val="000000"/>
          <w:spacing w:val="2"/>
        </w:rPr>
        <w:t>Se agregó que el 30 de septiembre de 2012, el Director de la interventoría remitió al contratante un informe en donde indicó que la eje</w:t>
      </w:r>
      <w:r w:rsidR="007E1E3B">
        <w:rPr>
          <w:rFonts w:ascii="Arial" w:hAnsi="Arial" w:cs="Arial"/>
          <w:color w:val="000000"/>
          <w:spacing w:val="2"/>
        </w:rPr>
        <w:t>cución del contrato fue del 50%.</w:t>
      </w:r>
      <w:r>
        <w:rPr>
          <w:rFonts w:ascii="Arial" w:hAnsi="Arial" w:cs="Arial"/>
          <w:color w:val="000000"/>
          <w:spacing w:val="2"/>
        </w:rPr>
        <w:t xml:space="preserve"> </w:t>
      </w:r>
      <w:r w:rsidR="007E1E3B">
        <w:rPr>
          <w:rFonts w:ascii="Arial" w:hAnsi="Arial" w:cs="Arial"/>
          <w:color w:val="000000"/>
          <w:spacing w:val="2"/>
        </w:rPr>
        <w:t>D</w:t>
      </w:r>
      <w:r w:rsidR="00DB26A2">
        <w:rPr>
          <w:rFonts w:ascii="Arial" w:hAnsi="Arial" w:cs="Arial"/>
          <w:color w:val="000000"/>
          <w:spacing w:val="2"/>
        </w:rPr>
        <w:t>e ahí que</w:t>
      </w:r>
      <w:r w:rsidR="00E207E3">
        <w:rPr>
          <w:rFonts w:ascii="Arial" w:hAnsi="Arial" w:cs="Arial"/>
          <w:color w:val="000000"/>
          <w:spacing w:val="2"/>
        </w:rPr>
        <w:t xml:space="preserve"> la Gobernación de Bolívar, a través de la resolución 07 </w:t>
      </w:r>
      <w:r w:rsidR="007F59EA">
        <w:rPr>
          <w:rFonts w:ascii="Arial" w:hAnsi="Arial" w:cs="Arial"/>
          <w:color w:val="000000"/>
          <w:spacing w:val="2"/>
        </w:rPr>
        <w:t>del 23 de julio de 2013, decidiera</w:t>
      </w:r>
      <w:r w:rsidR="00E207E3">
        <w:rPr>
          <w:rFonts w:ascii="Arial" w:hAnsi="Arial" w:cs="Arial"/>
          <w:color w:val="000000"/>
          <w:spacing w:val="2"/>
        </w:rPr>
        <w:t xml:space="preserve"> declarar el incumplimiento parcial del contrato nro. </w:t>
      </w:r>
      <w:r w:rsidR="00E207E3">
        <w:rPr>
          <w:rFonts w:ascii="Arial" w:hAnsi="Arial" w:cs="Arial"/>
          <w:spacing w:val="-3"/>
          <w:lang w:eastAsia="es-CO"/>
        </w:rPr>
        <w:t xml:space="preserve">SAP 914-2011. De igual forma, mediante resolución nro. 7 del 23 de julio de 2013, </w:t>
      </w:r>
      <w:r w:rsidR="00DB26A2">
        <w:rPr>
          <w:rFonts w:ascii="Arial" w:hAnsi="Arial" w:cs="Arial"/>
          <w:spacing w:val="-3"/>
          <w:lang w:eastAsia="es-CO"/>
        </w:rPr>
        <w:t xml:space="preserve">se </w:t>
      </w:r>
      <w:r>
        <w:rPr>
          <w:rFonts w:ascii="Arial" w:hAnsi="Arial" w:cs="Arial"/>
          <w:spacing w:val="-3"/>
          <w:lang w:eastAsia="es-CO"/>
        </w:rPr>
        <w:t xml:space="preserve">declaró </w:t>
      </w:r>
      <w:r w:rsidR="00E207E3">
        <w:rPr>
          <w:rFonts w:ascii="Arial" w:hAnsi="Arial" w:cs="Arial"/>
          <w:spacing w:val="-3"/>
          <w:lang w:eastAsia="es-CO"/>
        </w:rPr>
        <w:t>el siniestro del contrato en</w:t>
      </w:r>
      <w:r w:rsidR="00936ED8">
        <w:rPr>
          <w:rFonts w:ascii="Arial" w:hAnsi="Arial" w:cs="Arial"/>
          <w:spacing w:val="-3"/>
          <w:lang w:eastAsia="es-CO"/>
        </w:rPr>
        <w:t xml:space="preserve"> el equivalente a</w:t>
      </w:r>
      <w:r w:rsidR="00DB26A2">
        <w:rPr>
          <w:rFonts w:ascii="Arial" w:hAnsi="Arial" w:cs="Arial"/>
          <w:spacing w:val="-3"/>
          <w:lang w:eastAsia="es-CO"/>
        </w:rPr>
        <w:t xml:space="preserve"> la suma de</w:t>
      </w:r>
      <w:r w:rsidR="00936ED8">
        <w:rPr>
          <w:rFonts w:ascii="Arial" w:hAnsi="Arial" w:cs="Arial"/>
          <w:spacing w:val="-3"/>
          <w:lang w:eastAsia="es-CO"/>
        </w:rPr>
        <w:t xml:space="preserve"> </w:t>
      </w:r>
      <w:r w:rsidR="00E207E3">
        <w:rPr>
          <w:rFonts w:ascii="Arial" w:hAnsi="Arial" w:cs="Arial"/>
          <w:spacing w:val="-3"/>
          <w:lang w:eastAsia="es-CO"/>
        </w:rPr>
        <w:t>$12.361.662.</w:t>
      </w:r>
    </w:p>
    <w:p w:rsidR="00E207E3" w:rsidRPr="003B1C17" w:rsidRDefault="00E207E3" w:rsidP="003B1C17">
      <w:pPr>
        <w:pStyle w:val="Sinespaciado"/>
      </w:pPr>
    </w:p>
    <w:p w:rsidR="00E207E3" w:rsidRDefault="00E207E3" w:rsidP="00940CC2">
      <w:pPr>
        <w:pStyle w:val="Sinespaciado"/>
        <w:spacing w:line="360" w:lineRule="auto"/>
        <w:jc w:val="both"/>
        <w:rPr>
          <w:rFonts w:ascii="Arial" w:hAnsi="Arial" w:cs="Arial"/>
          <w:color w:val="000000"/>
          <w:spacing w:val="2"/>
        </w:rPr>
      </w:pPr>
      <w:r>
        <w:rPr>
          <w:rFonts w:ascii="Arial" w:hAnsi="Arial" w:cs="Arial"/>
          <w:spacing w:val="-3"/>
          <w:lang w:eastAsia="es-CO"/>
        </w:rPr>
        <w:t>Finalmente, en acta suscrita el 3 de octubre de 2013, se liquidó bilateralmente el contrato de obra y se dejó constancia que no había concepto a pagar a favor de la hoy demandante.</w:t>
      </w:r>
    </w:p>
    <w:p w:rsidR="00BA13AA" w:rsidRPr="003B1C17" w:rsidRDefault="00BA13AA" w:rsidP="003B1C17">
      <w:pPr>
        <w:pStyle w:val="Sinespaciado"/>
      </w:pPr>
    </w:p>
    <w:p w:rsidR="00061087" w:rsidRPr="00AB1C13" w:rsidRDefault="00B63583" w:rsidP="00F25AD8">
      <w:pPr>
        <w:tabs>
          <w:tab w:val="left" w:pos="5970"/>
        </w:tabs>
        <w:spacing w:after="0" w:line="360" w:lineRule="auto"/>
        <w:jc w:val="both"/>
        <w:rPr>
          <w:rFonts w:ascii="Arial" w:hAnsi="Arial" w:cs="Arial"/>
          <w:b/>
          <w:sz w:val="24"/>
          <w:szCs w:val="24"/>
        </w:rPr>
      </w:pPr>
      <w:r w:rsidRPr="004E7AED">
        <w:rPr>
          <w:rFonts w:ascii="Arial" w:hAnsi="Arial" w:cs="Arial"/>
          <w:b/>
          <w:sz w:val="24"/>
          <w:szCs w:val="24"/>
        </w:rPr>
        <w:t xml:space="preserve">2. </w:t>
      </w:r>
      <w:r w:rsidR="00061087" w:rsidRPr="004E7AED">
        <w:rPr>
          <w:rFonts w:ascii="Arial" w:hAnsi="Arial" w:cs="Arial"/>
          <w:b/>
          <w:sz w:val="24"/>
          <w:szCs w:val="24"/>
        </w:rPr>
        <w:t>La providencia recurrida</w:t>
      </w:r>
    </w:p>
    <w:p w:rsidR="00061087" w:rsidRPr="003B1C17" w:rsidRDefault="0043091E" w:rsidP="003B1C17">
      <w:pPr>
        <w:pStyle w:val="Sinespaciado"/>
      </w:pPr>
      <w:r w:rsidRPr="00AB1C13">
        <w:t xml:space="preserve">                                                 </w:t>
      </w:r>
      <w:r w:rsidRPr="003B1C17">
        <w:t xml:space="preserve">                                                                                                                                                                                                                                                                                                                                                                                                                                                                                                                                                                                                                                                                                                                                                        </w:t>
      </w:r>
    </w:p>
    <w:p w:rsidR="00204D09" w:rsidRPr="0020133B" w:rsidRDefault="00C047FC" w:rsidP="00F25AD8">
      <w:pPr>
        <w:overflowPunct w:val="0"/>
        <w:autoSpaceDE w:val="0"/>
        <w:autoSpaceDN w:val="0"/>
        <w:adjustRightInd w:val="0"/>
        <w:spacing w:after="0" w:line="360" w:lineRule="auto"/>
        <w:jc w:val="both"/>
        <w:textAlignment w:val="baseline"/>
        <w:rPr>
          <w:rFonts w:ascii="Arial" w:hAnsi="Arial" w:cs="Arial"/>
          <w:sz w:val="24"/>
          <w:szCs w:val="24"/>
        </w:rPr>
      </w:pPr>
      <w:r w:rsidRPr="00936ED8">
        <w:rPr>
          <w:rFonts w:ascii="Arial" w:eastAsia="Times New Roman" w:hAnsi="Arial" w:cs="Arial"/>
          <w:sz w:val="24"/>
          <w:szCs w:val="24"/>
          <w:lang w:val="es-ES" w:eastAsia="es-ES"/>
        </w:rPr>
        <w:t>E</w:t>
      </w:r>
      <w:r w:rsidR="004E7AED" w:rsidRPr="00936ED8">
        <w:rPr>
          <w:rFonts w:ascii="Arial" w:eastAsia="Times New Roman" w:hAnsi="Arial" w:cs="Arial"/>
          <w:sz w:val="24"/>
          <w:szCs w:val="24"/>
          <w:lang w:val="es-ES" w:eastAsia="es-ES"/>
        </w:rPr>
        <w:t>l Tribunal Administrativo de</w:t>
      </w:r>
      <w:r w:rsidR="008D37AD" w:rsidRPr="00936ED8">
        <w:rPr>
          <w:rFonts w:ascii="Arial" w:eastAsia="Times New Roman" w:hAnsi="Arial" w:cs="Arial"/>
          <w:sz w:val="24"/>
          <w:szCs w:val="24"/>
          <w:lang w:val="es-ES" w:eastAsia="es-ES"/>
        </w:rPr>
        <w:t xml:space="preserve"> Bolívar</w:t>
      </w:r>
      <w:r w:rsidR="00D04664" w:rsidRPr="00936ED8">
        <w:rPr>
          <w:rFonts w:ascii="Arial" w:eastAsia="Times New Roman" w:hAnsi="Arial" w:cs="Arial"/>
          <w:sz w:val="24"/>
          <w:szCs w:val="24"/>
          <w:lang w:val="es-ES" w:eastAsia="es-ES"/>
        </w:rPr>
        <w:t>,</w:t>
      </w:r>
      <w:r w:rsidR="00204D09" w:rsidRPr="00936ED8">
        <w:rPr>
          <w:rFonts w:ascii="Arial" w:eastAsia="Times New Roman" w:hAnsi="Arial" w:cs="Arial"/>
          <w:sz w:val="24"/>
          <w:szCs w:val="24"/>
          <w:lang w:val="es-ES" w:eastAsia="es-ES"/>
        </w:rPr>
        <w:t xml:space="preserve"> </w:t>
      </w:r>
      <w:r w:rsidRPr="00936ED8">
        <w:rPr>
          <w:rFonts w:ascii="Arial" w:eastAsia="Times New Roman" w:hAnsi="Arial" w:cs="Arial"/>
          <w:sz w:val="24"/>
          <w:szCs w:val="24"/>
          <w:lang w:val="es-ES" w:eastAsia="es-ES"/>
        </w:rPr>
        <w:t>mediante auto de</w:t>
      </w:r>
      <w:r w:rsidR="00D86375" w:rsidRPr="00936ED8">
        <w:rPr>
          <w:rFonts w:ascii="Arial" w:eastAsia="Times New Roman" w:hAnsi="Arial" w:cs="Arial"/>
          <w:sz w:val="24"/>
          <w:szCs w:val="24"/>
          <w:lang w:val="es-ES" w:eastAsia="es-ES"/>
        </w:rPr>
        <w:t>l</w:t>
      </w:r>
      <w:r w:rsidRPr="00936ED8">
        <w:rPr>
          <w:rFonts w:ascii="Arial" w:eastAsia="Times New Roman" w:hAnsi="Arial" w:cs="Arial"/>
          <w:sz w:val="24"/>
          <w:szCs w:val="24"/>
          <w:lang w:val="es-ES" w:eastAsia="es-ES"/>
        </w:rPr>
        <w:t xml:space="preserve"> </w:t>
      </w:r>
      <w:r w:rsidR="008D37AD" w:rsidRPr="00936ED8">
        <w:rPr>
          <w:rFonts w:ascii="Arial" w:eastAsia="Times New Roman" w:hAnsi="Arial" w:cs="Arial"/>
          <w:sz w:val="24"/>
          <w:szCs w:val="24"/>
          <w:lang w:val="es-ES" w:eastAsia="es-ES"/>
        </w:rPr>
        <w:t>27</w:t>
      </w:r>
      <w:r w:rsidR="009A3E70" w:rsidRPr="00936ED8">
        <w:rPr>
          <w:rFonts w:ascii="Arial" w:eastAsia="Times New Roman" w:hAnsi="Arial" w:cs="Arial"/>
          <w:sz w:val="24"/>
          <w:szCs w:val="24"/>
          <w:lang w:val="es-ES" w:eastAsia="es-ES"/>
        </w:rPr>
        <w:t xml:space="preserve"> de </w:t>
      </w:r>
      <w:r w:rsidR="008D37AD" w:rsidRPr="00936ED8">
        <w:rPr>
          <w:rFonts w:ascii="Arial" w:eastAsia="Times New Roman" w:hAnsi="Arial" w:cs="Arial"/>
          <w:sz w:val="24"/>
          <w:szCs w:val="24"/>
          <w:lang w:val="es-ES" w:eastAsia="es-ES"/>
        </w:rPr>
        <w:t>octubre</w:t>
      </w:r>
      <w:r w:rsidR="009A3E70" w:rsidRPr="00936ED8">
        <w:rPr>
          <w:rFonts w:ascii="Arial" w:eastAsia="Times New Roman" w:hAnsi="Arial" w:cs="Arial"/>
          <w:sz w:val="24"/>
          <w:szCs w:val="24"/>
          <w:lang w:val="es-ES" w:eastAsia="es-ES"/>
        </w:rPr>
        <w:t xml:space="preserve"> de 2016</w:t>
      </w:r>
      <w:r w:rsidRPr="00936ED8">
        <w:rPr>
          <w:rStyle w:val="Refdenotaalpie"/>
          <w:rFonts w:ascii="Arial" w:eastAsia="Times New Roman" w:hAnsi="Arial" w:cs="Arial"/>
          <w:sz w:val="24"/>
          <w:szCs w:val="24"/>
          <w:lang w:val="es-ES" w:eastAsia="es-ES"/>
        </w:rPr>
        <w:footnoteReference w:id="2"/>
      </w:r>
      <w:r w:rsidR="00887905" w:rsidRPr="00936ED8">
        <w:rPr>
          <w:rFonts w:ascii="Arial" w:eastAsia="Times New Roman" w:hAnsi="Arial" w:cs="Arial"/>
          <w:sz w:val="24"/>
          <w:szCs w:val="24"/>
          <w:lang w:val="es-ES" w:eastAsia="es-ES"/>
        </w:rPr>
        <w:t>,</w:t>
      </w:r>
      <w:r w:rsidRPr="00936ED8">
        <w:rPr>
          <w:rFonts w:ascii="Arial" w:eastAsia="Times New Roman" w:hAnsi="Arial" w:cs="Arial"/>
          <w:sz w:val="24"/>
          <w:szCs w:val="24"/>
          <w:lang w:val="es-ES" w:eastAsia="es-ES"/>
        </w:rPr>
        <w:t xml:space="preserve"> rechazó l</w:t>
      </w:r>
      <w:r w:rsidR="00204D09" w:rsidRPr="00936ED8">
        <w:rPr>
          <w:rFonts w:ascii="Arial" w:eastAsia="Times New Roman" w:hAnsi="Arial" w:cs="Arial"/>
          <w:sz w:val="24"/>
          <w:szCs w:val="24"/>
          <w:lang w:val="es-ES" w:eastAsia="es-ES"/>
        </w:rPr>
        <w:t xml:space="preserve">a demanda </w:t>
      </w:r>
      <w:r w:rsidRPr="00936ED8">
        <w:rPr>
          <w:rFonts w:ascii="Arial" w:hAnsi="Arial" w:cs="Arial"/>
          <w:sz w:val="24"/>
          <w:szCs w:val="24"/>
        </w:rPr>
        <w:t>al estimar que</w:t>
      </w:r>
      <w:r w:rsidR="00973B94" w:rsidRPr="00936ED8">
        <w:rPr>
          <w:rFonts w:ascii="Arial" w:hAnsi="Arial" w:cs="Arial"/>
          <w:sz w:val="24"/>
          <w:szCs w:val="24"/>
        </w:rPr>
        <w:t xml:space="preserve"> había operado el fenómeno de la caducidad de</w:t>
      </w:r>
      <w:r w:rsidR="00475724" w:rsidRPr="00936ED8">
        <w:rPr>
          <w:rFonts w:ascii="Arial" w:hAnsi="Arial" w:cs="Arial"/>
          <w:sz w:val="24"/>
          <w:szCs w:val="24"/>
        </w:rPr>
        <w:t xml:space="preserve"> </w:t>
      </w:r>
      <w:r w:rsidR="00973B94" w:rsidRPr="00936ED8">
        <w:rPr>
          <w:rFonts w:ascii="Arial" w:hAnsi="Arial" w:cs="Arial"/>
          <w:sz w:val="24"/>
          <w:szCs w:val="24"/>
        </w:rPr>
        <w:t>l</w:t>
      </w:r>
      <w:r w:rsidR="00475724" w:rsidRPr="00936ED8">
        <w:rPr>
          <w:rFonts w:ascii="Arial" w:hAnsi="Arial" w:cs="Arial"/>
          <w:sz w:val="24"/>
          <w:szCs w:val="24"/>
        </w:rPr>
        <w:t>a</w:t>
      </w:r>
      <w:r w:rsidR="00973B94" w:rsidRPr="00936ED8">
        <w:rPr>
          <w:rFonts w:ascii="Arial" w:hAnsi="Arial" w:cs="Arial"/>
          <w:sz w:val="24"/>
          <w:szCs w:val="24"/>
        </w:rPr>
        <w:t xml:space="preserve"> </w:t>
      </w:r>
      <w:r w:rsidR="00475724" w:rsidRPr="00936ED8">
        <w:rPr>
          <w:rFonts w:ascii="Arial" w:hAnsi="Arial" w:cs="Arial"/>
          <w:sz w:val="24"/>
          <w:szCs w:val="24"/>
        </w:rPr>
        <w:t>pretensión de</w:t>
      </w:r>
      <w:r w:rsidR="00973B94" w:rsidRPr="00936ED8">
        <w:rPr>
          <w:rFonts w:ascii="Arial" w:hAnsi="Arial" w:cs="Arial"/>
          <w:sz w:val="24"/>
          <w:szCs w:val="24"/>
        </w:rPr>
        <w:t xml:space="preserve"> </w:t>
      </w:r>
      <w:r w:rsidR="009A3E70" w:rsidRPr="00936ED8">
        <w:rPr>
          <w:rFonts w:ascii="Arial" w:hAnsi="Arial" w:cs="Arial"/>
          <w:sz w:val="24"/>
          <w:szCs w:val="24"/>
        </w:rPr>
        <w:t>controversias contractuales</w:t>
      </w:r>
      <w:r w:rsidR="00140AB0" w:rsidRPr="00936ED8">
        <w:rPr>
          <w:rFonts w:ascii="Arial" w:hAnsi="Arial" w:cs="Arial"/>
          <w:sz w:val="24"/>
          <w:szCs w:val="24"/>
        </w:rPr>
        <w:t>,</w:t>
      </w:r>
      <w:r w:rsidR="009A3E70" w:rsidRPr="00936ED8">
        <w:rPr>
          <w:rFonts w:ascii="Arial" w:hAnsi="Arial" w:cs="Arial"/>
          <w:sz w:val="24"/>
          <w:szCs w:val="24"/>
        </w:rPr>
        <w:t xml:space="preserve"> en tanto consideró que</w:t>
      </w:r>
      <w:r w:rsidR="00936ED8">
        <w:rPr>
          <w:rFonts w:ascii="Arial" w:hAnsi="Arial" w:cs="Arial"/>
          <w:sz w:val="24"/>
          <w:szCs w:val="24"/>
        </w:rPr>
        <w:t xml:space="preserve"> la solicitud de conciliación presentada el 5 de octu</w:t>
      </w:r>
      <w:r w:rsidR="00546583">
        <w:rPr>
          <w:rFonts w:ascii="Arial" w:hAnsi="Arial" w:cs="Arial"/>
          <w:sz w:val="24"/>
          <w:szCs w:val="24"/>
        </w:rPr>
        <w:t>bre de 2015 no tenía el</w:t>
      </w:r>
      <w:r w:rsidR="00936ED8">
        <w:rPr>
          <w:rFonts w:ascii="Arial" w:hAnsi="Arial" w:cs="Arial"/>
          <w:sz w:val="24"/>
          <w:szCs w:val="24"/>
        </w:rPr>
        <w:t xml:space="preserve"> alcance de suspender el plazo para presentar la demanda, comoquiera que aquél había expirado el día 4 de ese mismo mes y año. </w:t>
      </w:r>
      <w:r w:rsidR="00936ED8" w:rsidRPr="0020133B">
        <w:rPr>
          <w:rFonts w:ascii="Arial" w:hAnsi="Arial" w:cs="Arial"/>
          <w:spacing w:val="2"/>
          <w:sz w:val="24"/>
          <w:szCs w:val="24"/>
        </w:rPr>
        <w:t>Como fundamento de su decisión expuso los siguientes argumentos</w:t>
      </w:r>
      <w:r w:rsidR="009A3E70" w:rsidRPr="0020133B">
        <w:rPr>
          <w:rFonts w:ascii="Arial" w:hAnsi="Arial" w:cs="Arial"/>
          <w:sz w:val="24"/>
          <w:szCs w:val="24"/>
        </w:rPr>
        <w:t xml:space="preserve">: </w:t>
      </w:r>
      <w:r w:rsidR="00A35862" w:rsidRPr="0020133B">
        <w:rPr>
          <w:rFonts w:ascii="Arial" w:eastAsia="Times New Roman" w:hAnsi="Arial" w:cs="Arial"/>
          <w:sz w:val="24"/>
          <w:szCs w:val="24"/>
          <w:lang w:val="es-ES" w:eastAsia="es-ES"/>
        </w:rPr>
        <w:t>(se transcribe de forma literal)</w:t>
      </w:r>
      <w:r w:rsidR="00204D09" w:rsidRPr="0020133B">
        <w:rPr>
          <w:rFonts w:ascii="Arial" w:eastAsia="Times New Roman" w:hAnsi="Arial" w:cs="Arial"/>
          <w:sz w:val="24"/>
          <w:szCs w:val="24"/>
          <w:lang w:val="es-ES" w:eastAsia="es-ES"/>
        </w:rPr>
        <w:t>:</w:t>
      </w:r>
    </w:p>
    <w:p w:rsidR="00204D09" w:rsidRPr="003B1C17" w:rsidRDefault="00204D09" w:rsidP="003B1C17">
      <w:pPr>
        <w:pStyle w:val="Sinespaciado"/>
      </w:pPr>
    </w:p>
    <w:p w:rsidR="00905276" w:rsidRDefault="009A3E70" w:rsidP="00F25AD8">
      <w:pPr>
        <w:overflowPunct w:val="0"/>
        <w:autoSpaceDE w:val="0"/>
        <w:autoSpaceDN w:val="0"/>
        <w:adjustRightInd w:val="0"/>
        <w:spacing w:after="0" w:line="240" w:lineRule="auto"/>
        <w:ind w:left="567" w:right="567"/>
        <w:jc w:val="both"/>
        <w:textAlignment w:val="baseline"/>
        <w:rPr>
          <w:rFonts w:ascii="Arial" w:eastAsia="Times New Roman" w:hAnsi="Arial" w:cs="Arial"/>
          <w:i/>
          <w:lang w:val="es-ES" w:eastAsia="es-ES"/>
        </w:rPr>
      </w:pPr>
      <w:r>
        <w:rPr>
          <w:rFonts w:ascii="Arial" w:eastAsia="Times New Roman" w:hAnsi="Arial" w:cs="Arial"/>
          <w:i/>
          <w:lang w:val="es-ES" w:eastAsia="es-ES"/>
        </w:rPr>
        <w:t>“</w:t>
      </w:r>
      <w:r w:rsidR="00936ED8">
        <w:rPr>
          <w:rFonts w:ascii="Arial" w:eastAsia="Times New Roman" w:hAnsi="Arial" w:cs="Arial"/>
          <w:i/>
          <w:lang w:val="es-ES" w:eastAsia="es-ES"/>
        </w:rPr>
        <w:t>.. se advierte que el contrato fue liquidado de común acuerdo, y el acta de liquidación se suscribió el 3 de octubre de 2013 (fls. 130-176) por lo que el término de caducidad de los dos años se debe contar a partir del 4 del mismo mes y año, y venciéndose el 4 de octubre de 2015. El demandante presentó solicitud de conciliación el 5 de octubre de 2015, es decir por fuera del término de caducidad. Cierto es que de conformidad con el art. 21 de la Ley 640 de 2001, la presentación de la solicitud de conciliación suspende el término de caducidad de la acción, pero siempre que la solicitud se presente antes d</w:t>
      </w:r>
      <w:r w:rsidR="0020133B">
        <w:rPr>
          <w:rFonts w:ascii="Arial" w:eastAsia="Times New Roman" w:hAnsi="Arial" w:cs="Arial"/>
          <w:i/>
          <w:lang w:val="es-ES" w:eastAsia="es-ES"/>
        </w:rPr>
        <w:t>e que haya operado la caducidad</w:t>
      </w:r>
      <w:r>
        <w:rPr>
          <w:rFonts w:ascii="Arial" w:eastAsia="Times New Roman" w:hAnsi="Arial" w:cs="Arial"/>
          <w:i/>
          <w:lang w:val="es-ES" w:eastAsia="es-ES"/>
        </w:rPr>
        <w:t>”</w:t>
      </w:r>
      <w:r w:rsidR="00203130">
        <w:rPr>
          <w:rFonts w:ascii="Arial" w:eastAsia="Times New Roman" w:hAnsi="Arial" w:cs="Arial"/>
          <w:i/>
          <w:lang w:val="es-ES" w:eastAsia="es-ES"/>
        </w:rPr>
        <w:t>.</w:t>
      </w:r>
    </w:p>
    <w:p w:rsidR="00475724" w:rsidRDefault="00475724" w:rsidP="003B1C17">
      <w:pPr>
        <w:pStyle w:val="Sinespaciado"/>
      </w:pPr>
    </w:p>
    <w:p w:rsidR="003B1C17" w:rsidRDefault="003B1C17" w:rsidP="003B1C17">
      <w:pPr>
        <w:pStyle w:val="Sinespaciado"/>
      </w:pPr>
    </w:p>
    <w:p w:rsidR="003B1C17" w:rsidRPr="005A4755" w:rsidRDefault="003B1C17" w:rsidP="003B1C17">
      <w:pPr>
        <w:pStyle w:val="Sinespaciado"/>
      </w:pPr>
    </w:p>
    <w:p w:rsidR="005A4755" w:rsidRPr="005A4755" w:rsidRDefault="005A4755" w:rsidP="00F25AD8">
      <w:pPr>
        <w:pStyle w:val="Sinespaciado"/>
        <w:spacing w:line="360" w:lineRule="auto"/>
        <w:rPr>
          <w:rFonts w:ascii="Arial" w:hAnsi="Arial" w:cs="Arial"/>
        </w:rPr>
      </w:pPr>
      <w:r w:rsidRPr="00A3514E">
        <w:rPr>
          <w:rFonts w:ascii="Arial" w:hAnsi="Arial" w:cs="Arial"/>
          <w:b/>
        </w:rPr>
        <w:t>3. El recurso de apelación</w:t>
      </w:r>
    </w:p>
    <w:p w:rsidR="00AE54D4" w:rsidRPr="003B1C17" w:rsidRDefault="00AE54D4" w:rsidP="003B1C17">
      <w:pPr>
        <w:pStyle w:val="Sinespaciado"/>
        <w:rPr>
          <w:sz w:val="20"/>
        </w:rPr>
      </w:pPr>
    </w:p>
    <w:p w:rsidR="00A919F9" w:rsidRDefault="00F02E99" w:rsidP="00F25AD8">
      <w:pPr>
        <w:spacing w:after="0" w:line="360" w:lineRule="auto"/>
        <w:jc w:val="both"/>
        <w:rPr>
          <w:rFonts w:ascii="Arial" w:hAnsi="Arial" w:cs="Arial"/>
          <w:sz w:val="24"/>
        </w:rPr>
      </w:pPr>
      <w:r w:rsidRPr="00EF034C">
        <w:rPr>
          <w:rFonts w:ascii="Arial" w:hAnsi="Arial" w:cs="Arial"/>
          <w:sz w:val="24"/>
        </w:rPr>
        <w:t xml:space="preserve">La decisión anterior fue apelada oportunamente por la parte actora, </w:t>
      </w:r>
      <w:r w:rsidR="00EF034C">
        <w:rPr>
          <w:rFonts w:ascii="Arial" w:hAnsi="Arial" w:cs="Arial"/>
          <w:sz w:val="24"/>
        </w:rPr>
        <w:t>al estimar</w:t>
      </w:r>
      <w:r w:rsidRPr="00EF034C">
        <w:rPr>
          <w:rFonts w:ascii="Arial" w:hAnsi="Arial" w:cs="Arial"/>
          <w:sz w:val="24"/>
        </w:rPr>
        <w:t xml:space="preserve"> que el fenómeno de la caducidad</w:t>
      </w:r>
      <w:r w:rsidR="00FA51DF">
        <w:rPr>
          <w:rFonts w:ascii="Arial" w:hAnsi="Arial" w:cs="Arial"/>
          <w:sz w:val="24"/>
        </w:rPr>
        <w:t xml:space="preserve"> </w:t>
      </w:r>
      <w:r w:rsidRPr="00EF034C">
        <w:rPr>
          <w:rFonts w:ascii="Arial" w:hAnsi="Arial" w:cs="Arial"/>
          <w:sz w:val="24"/>
        </w:rPr>
        <w:t xml:space="preserve">no había operado en el </w:t>
      </w:r>
      <w:r w:rsidRPr="00EF034C">
        <w:rPr>
          <w:rFonts w:ascii="Arial" w:hAnsi="Arial" w:cs="Arial"/>
          <w:i/>
          <w:sz w:val="24"/>
        </w:rPr>
        <w:t>sub lite</w:t>
      </w:r>
      <w:r w:rsidR="00524220" w:rsidRPr="00EF034C">
        <w:rPr>
          <w:rFonts w:ascii="Arial" w:hAnsi="Arial" w:cs="Arial"/>
          <w:sz w:val="24"/>
        </w:rPr>
        <w:t xml:space="preserve">. </w:t>
      </w:r>
      <w:r w:rsidRPr="00EF034C">
        <w:rPr>
          <w:rFonts w:ascii="Arial" w:hAnsi="Arial" w:cs="Arial"/>
          <w:sz w:val="24"/>
        </w:rPr>
        <w:t xml:space="preserve">Para </w:t>
      </w:r>
      <w:r w:rsidR="00C25153">
        <w:rPr>
          <w:rFonts w:ascii="Arial" w:hAnsi="Arial" w:cs="Arial"/>
          <w:sz w:val="24"/>
        </w:rPr>
        <w:t xml:space="preserve">tal </w:t>
      </w:r>
      <w:r w:rsidRPr="00EF034C">
        <w:rPr>
          <w:rFonts w:ascii="Arial" w:hAnsi="Arial" w:cs="Arial"/>
          <w:sz w:val="24"/>
        </w:rPr>
        <w:t>efecto</w:t>
      </w:r>
      <w:r w:rsidR="00C25153">
        <w:rPr>
          <w:rFonts w:ascii="Arial" w:hAnsi="Arial" w:cs="Arial"/>
          <w:sz w:val="24"/>
        </w:rPr>
        <w:t>,</w:t>
      </w:r>
      <w:r w:rsidRPr="00EF034C">
        <w:rPr>
          <w:rFonts w:ascii="Arial" w:hAnsi="Arial" w:cs="Arial"/>
          <w:sz w:val="24"/>
        </w:rPr>
        <w:t xml:space="preserve"> señaló que</w:t>
      </w:r>
      <w:r w:rsidR="00475724">
        <w:rPr>
          <w:rFonts w:ascii="Arial" w:hAnsi="Arial" w:cs="Arial"/>
          <w:sz w:val="24"/>
        </w:rPr>
        <w:t xml:space="preserve"> </w:t>
      </w:r>
      <w:r w:rsidR="008C45F4">
        <w:rPr>
          <w:rFonts w:ascii="Arial" w:hAnsi="Arial" w:cs="Arial"/>
          <w:sz w:val="24"/>
        </w:rPr>
        <w:t>el</w:t>
      </w:r>
      <w:r w:rsidR="008C45F4" w:rsidRPr="008C45F4">
        <w:rPr>
          <w:rFonts w:ascii="Arial" w:hAnsi="Arial" w:cs="Arial"/>
          <w:i/>
          <w:sz w:val="24"/>
        </w:rPr>
        <w:t xml:space="preserve"> a quo </w:t>
      </w:r>
      <w:r w:rsidR="008C45F4">
        <w:rPr>
          <w:rFonts w:ascii="Arial" w:hAnsi="Arial" w:cs="Arial"/>
          <w:sz w:val="24"/>
        </w:rPr>
        <w:t xml:space="preserve">erró al computar el término para acceder a la jurisdicción, ello comoquiera que </w:t>
      </w:r>
      <w:r w:rsidR="00612B4A">
        <w:rPr>
          <w:rFonts w:ascii="Arial" w:hAnsi="Arial" w:cs="Arial"/>
          <w:sz w:val="24"/>
        </w:rPr>
        <w:t>la solicitud de conciliación prejudicial s</w:t>
      </w:r>
      <w:r w:rsidR="00AE54D4">
        <w:rPr>
          <w:rFonts w:ascii="Arial" w:hAnsi="Arial" w:cs="Arial"/>
          <w:sz w:val="24"/>
        </w:rPr>
        <w:t>í</w:t>
      </w:r>
      <w:r w:rsidR="00612B4A">
        <w:rPr>
          <w:rFonts w:ascii="Arial" w:hAnsi="Arial" w:cs="Arial"/>
          <w:sz w:val="24"/>
        </w:rPr>
        <w:t xml:space="preserve"> había suspendido el término de caducidad, pues este último, por disposición del artículo 118 del Código General del Proceso, </w:t>
      </w:r>
      <w:r w:rsidR="00AE54D4">
        <w:rPr>
          <w:rFonts w:ascii="Arial" w:hAnsi="Arial" w:cs="Arial"/>
          <w:sz w:val="24"/>
        </w:rPr>
        <w:t xml:space="preserve">debía extenderse </w:t>
      </w:r>
      <w:r w:rsidR="00AE653C">
        <w:rPr>
          <w:rFonts w:ascii="Arial" w:hAnsi="Arial" w:cs="Arial"/>
          <w:sz w:val="24"/>
        </w:rPr>
        <w:t>hasta el</w:t>
      </w:r>
      <w:r w:rsidR="00AE54D4">
        <w:rPr>
          <w:rFonts w:ascii="Arial" w:hAnsi="Arial" w:cs="Arial"/>
          <w:sz w:val="24"/>
        </w:rPr>
        <w:t xml:space="preserve"> </w:t>
      </w:r>
      <w:r w:rsidR="00612B4A">
        <w:rPr>
          <w:rFonts w:ascii="Arial" w:hAnsi="Arial" w:cs="Arial"/>
          <w:sz w:val="24"/>
        </w:rPr>
        <w:t>día h</w:t>
      </w:r>
      <w:r w:rsidR="00AE54D4">
        <w:rPr>
          <w:rFonts w:ascii="Arial" w:hAnsi="Arial" w:cs="Arial"/>
          <w:sz w:val="24"/>
        </w:rPr>
        <w:t xml:space="preserve">ábil siguiente, </w:t>
      </w:r>
      <w:r w:rsidR="003B1C17">
        <w:rPr>
          <w:rFonts w:ascii="Arial" w:hAnsi="Arial" w:cs="Arial"/>
          <w:sz w:val="24"/>
        </w:rPr>
        <w:t xml:space="preserve">habida cuenta </w:t>
      </w:r>
      <w:r w:rsidR="00612B4A">
        <w:rPr>
          <w:rFonts w:ascii="Arial" w:hAnsi="Arial" w:cs="Arial"/>
          <w:sz w:val="24"/>
        </w:rPr>
        <w:t>que el 4 de</w:t>
      </w:r>
      <w:r w:rsidR="00AE54D4">
        <w:rPr>
          <w:rFonts w:ascii="Arial" w:hAnsi="Arial" w:cs="Arial"/>
          <w:sz w:val="24"/>
        </w:rPr>
        <w:t xml:space="preserve"> octubre de 2015</w:t>
      </w:r>
      <w:r w:rsidR="003B1C17">
        <w:rPr>
          <w:rFonts w:ascii="Arial" w:hAnsi="Arial" w:cs="Arial"/>
          <w:sz w:val="24"/>
        </w:rPr>
        <w:t xml:space="preserve">, como fecha máxima para presentar la demanda, </w:t>
      </w:r>
      <w:r w:rsidR="00612B4A">
        <w:rPr>
          <w:rFonts w:ascii="Arial" w:hAnsi="Arial" w:cs="Arial"/>
          <w:sz w:val="24"/>
        </w:rPr>
        <w:t>era</w:t>
      </w:r>
      <w:r w:rsidR="00AE54D4">
        <w:rPr>
          <w:rFonts w:ascii="Arial" w:hAnsi="Arial" w:cs="Arial"/>
          <w:sz w:val="24"/>
        </w:rPr>
        <w:t xml:space="preserve"> un</w:t>
      </w:r>
      <w:r w:rsidR="00357DB9">
        <w:rPr>
          <w:rFonts w:ascii="Arial" w:hAnsi="Arial" w:cs="Arial"/>
          <w:sz w:val="24"/>
        </w:rPr>
        <w:t xml:space="preserve"> domingo</w:t>
      </w:r>
      <w:r w:rsidR="00A919F9">
        <w:rPr>
          <w:rStyle w:val="Refdenotaalpie"/>
          <w:rFonts w:ascii="Arial" w:hAnsi="Arial" w:cs="Arial"/>
          <w:sz w:val="24"/>
          <w:szCs w:val="24"/>
        </w:rPr>
        <w:footnoteReference w:id="3"/>
      </w:r>
      <w:r w:rsidR="00A919F9">
        <w:rPr>
          <w:rFonts w:ascii="Arial" w:hAnsi="Arial" w:cs="Arial"/>
          <w:sz w:val="24"/>
        </w:rPr>
        <w:t xml:space="preserve">. </w:t>
      </w:r>
    </w:p>
    <w:p w:rsidR="00724DCA" w:rsidRPr="000677B6" w:rsidRDefault="00724DCA" w:rsidP="000677B6">
      <w:pPr>
        <w:pStyle w:val="Sinespaciado"/>
      </w:pPr>
    </w:p>
    <w:p w:rsidR="007830E0" w:rsidRDefault="00A75577" w:rsidP="00F25AD8">
      <w:pPr>
        <w:spacing w:after="0" w:line="360" w:lineRule="auto"/>
        <w:jc w:val="both"/>
        <w:rPr>
          <w:rFonts w:ascii="Arial" w:hAnsi="Arial" w:cs="Arial"/>
          <w:sz w:val="24"/>
          <w:szCs w:val="24"/>
        </w:rPr>
      </w:pPr>
      <w:r w:rsidRPr="002A6F39">
        <w:rPr>
          <w:rFonts w:ascii="Arial" w:hAnsi="Arial" w:cs="Arial"/>
          <w:sz w:val="24"/>
          <w:szCs w:val="24"/>
        </w:rPr>
        <w:t xml:space="preserve">Mediante proveído del </w:t>
      </w:r>
      <w:r w:rsidR="000677B6">
        <w:rPr>
          <w:rFonts w:ascii="Arial" w:hAnsi="Arial" w:cs="Arial"/>
          <w:sz w:val="24"/>
          <w:szCs w:val="24"/>
        </w:rPr>
        <w:t>9</w:t>
      </w:r>
      <w:r w:rsidR="009A379D">
        <w:rPr>
          <w:rFonts w:ascii="Arial" w:hAnsi="Arial" w:cs="Arial"/>
          <w:sz w:val="24"/>
          <w:szCs w:val="24"/>
        </w:rPr>
        <w:t xml:space="preserve"> de </w:t>
      </w:r>
      <w:r w:rsidR="000677B6">
        <w:rPr>
          <w:rFonts w:ascii="Arial" w:hAnsi="Arial" w:cs="Arial"/>
          <w:sz w:val="24"/>
          <w:szCs w:val="24"/>
        </w:rPr>
        <w:t>febrero</w:t>
      </w:r>
      <w:r w:rsidR="009A379D">
        <w:rPr>
          <w:rFonts w:ascii="Arial" w:hAnsi="Arial" w:cs="Arial"/>
          <w:sz w:val="24"/>
          <w:szCs w:val="24"/>
        </w:rPr>
        <w:t xml:space="preserve"> d</w:t>
      </w:r>
      <w:r w:rsidR="00724DCA">
        <w:rPr>
          <w:rFonts w:ascii="Arial" w:hAnsi="Arial" w:cs="Arial"/>
          <w:sz w:val="24"/>
          <w:szCs w:val="24"/>
        </w:rPr>
        <w:t xml:space="preserve">e </w:t>
      </w:r>
      <w:r w:rsidR="00524E81">
        <w:rPr>
          <w:rFonts w:ascii="Arial" w:hAnsi="Arial" w:cs="Arial"/>
          <w:sz w:val="24"/>
          <w:szCs w:val="24"/>
        </w:rPr>
        <w:t>201</w:t>
      </w:r>
      <w:r w:rsidR="000677B6">
        <w:rPr>
          <w:rFonts w:ascii="Arial" w:hAnsi="Arial" w:cs="Arial"/>
          <w:sz w:val="24"/>
          <w:szCs w:val="24"/>
        </w:rPr>
        <w:t>7</w:t>
      </w:r>
      <w:r w:rsidR="00EF2B50">
        <w:rPr>
          <w:rFonts w:ascii="Arial" w:hAnsi="Arial" w:cs="Arial"/>
          <w:sz w:val="24"/>
          <w:szCs w:val="24"/>
        </w:rPr>
        <w:t xml:space="preserve">, </w:t>
      </w:r>
      <w:r w:rsidRPr="002A6F39">
        <w:rPr>
          <w:rFonts w:ascii="Arial" w:hAnsi="Arial" w:cs="Arial"/>
          <w:sz w:val="24"/>
          <w:szCs w:val="24"/>
        </w:rPr>
        <w:t xml:space="preserve">el Tribunal </w:t>
      </w:r>
      <w:r w:rsidR="00EF2B50">
        <w:rPr>
          <w:rFonts w:ascii="Arial" w:hAnsi="Arial" w:cs="Arial"/>
          <w:sz w:val="24"/>
          <w:szCs w:val="24"/>
        </w:rPr>
        <w:t>Administrativo de</w:t>
      </w:r>
      <w:r w:rsidR="00724DCA">
        <w:rPr>
          <w:rFonts w:ascii="Arial" w:hAnsi="Arial" w:cs="Arial"/>
          <w:sz w:val="24"/>
          <w:szCs w:val="24"/>
        </w:rPr>
        <w:t xml:space="preserve"> </w:t>
      </w:r>
      <w:r w:rsidR="000677B6">
        <w:rPr>
          <w:rFonts w:ascii="Arial" w:hAnsi="Arial" w:cs="Arial"/>
          <w:sz w:val="24"/>
          <w:szCs w:val="24"/>
        </w:rPr>
        <w:t xml:space="preserve">Bolívar </w:t>
      </w:r>
      <w:r w:rsidRPr="002A6F39">
        <w:rPr>
          <w:rFonts w:ascii="Arial" w:hAnsi="Arial" w:cs="Arial"/>
          <w:sz w:val="24"/>
          <w:szCs w:val="24"/>
        </w:rPr>
        <w:t>concedió la apelación en el efecto suspensivo</w:t>
      </w:r>
      <w:r w:rsidR="00EF2B50" w:rsidRPr="002A6F39">
        <w:rPr>
          <w:rStyle w:val="Refdenotaalpie"/>
          <w:rFonts w:ascii="Arial" w:hAnsi="Arial" w:cs="Arial"/>
          <w:sz w:val="24"/>
          <w:szCs w:val="24"/>
        </w:rPr>
        <w:footnoteReference w:id="4"/>
      </w:r>
      <w:r w:rsidRPr="002A6F39">
        <w:rPr>
          <w:rFonts w:ascii="Arial" w:hAnsi="Arial" w:cs="Arial"/>
          <w:sz w:val="24"/>
          <w:szCs w:val="24"/>
        </w:rPr>
        <w:t>.</w:t>
      </w:r>
    </w:p>
    <w:p w:rsidR="00501521" w:rsidRPr="005E6BF8" w:rsidRDefault="0043091E" w:rsidP="001E431F">
      <w:pPr>
        <w:pStyle w:val="Sinespaciado"/>
      </w:pPr>
      <w:r w:rsidRPr="005E6BF8">
        <w:rPr>
          <w:rFonts w:ascii="Arial" w:hAnsi="Arial" w:cs="Arial"/>
        </w:rPr>
        <w:t xml:space="preserve">                                                               </w:t>
      </w:r>
      <w:r w:rsidRPr="005E6BF8">
        <w:t xml:space="preserve">                                                                                                                                                                                                                                                                                                                                                                                                                                                                                                                                                                                                                                                                                                                                                                                                                                                                                                                                                                                                                                                                                                                                                                                                                                                                                                                                                                                                                                                                                                                                                                                                                                                                                                                                                                                                                                                                                                                                                                                                                                                                                                                                                                                                                                                                                                                                                                                                                                                                                                                                                                                                                                                                                                                                                                                                                                                                                                                                                                                                                                                                                                                                                                                                                                                                                                                                                                                                                                            </w:t>
      </w:r>
      <w:r w:rsidR="00905276" w:rsidRPr="005E6BF8">
        <w:t xml:space="preserve">                              </w:t>
      </w:r>
    </w:p>
    <w:p w:rsidR="00061087" w:rsidRPr="005E6BF8" w:rsidRDefault="00061087" w:rsidP="00F25AD8">
      <w:pPr>
        <w:spacing w:after="0" w:line="360" w:lineRule="auto"/>
        <w:jc w:val="center"/>
        <w:rPr>
          <w:rFonts w:ascii="Arial" w:hAnsi="Arial" w:cs="Arial"/>
          <w:b/>
          <w:sz w:val="24"/>
          <w:szCs w:val="24"/>
          <w:u w:val="single"/>
        </w:rPr>
      </w:pPr>
      <w:r w:rsidRPr="005E6BF8">
        <w:rPr>
          <w:rFonts w:ascii="Arial" w:hAnsi="Arial" w:cs="Arial"/>
          <w:b/>
          <w:sz w:val="24"/>
          <w:szCs w:val="24"/>
          <w:u w:val="single"/>
        </w:rPr>
        <w:t>II. CONSIDERACIONES</w:t>
      </w:r>
      <w:r w:rsidR="005E6BF8" w:rsidRPr="005E6BF8">
        <w:rPr>
          <w:rFonts w:ascii="Arial" w:hAnsi="Arial" w:cs="Arial"/>
          <w:b/>
          <w:sz w:val="24"/>
          <w:szCs w:val="24"/>
          <w:u w:val="single"/>
        </w:rPr>
        <w:t xml:space="preserve"> </w:t>
      </w:r>
    </w:p>
    <w:p w:rsidR="00061087" w:rsidRDefault="00061087" w:rsidP="001E06B1">
      <w:pPr>
        <w:pStyle w:val="Sinespaciado"/>
      </w:pPr>
    </w:p>
    <w:p w:rsidR="00061087" w:rsidRPr="007830E0" w:rsidRDefault="007830E0" w:rsidP="001E06B1">
      <w:pPr>
        <w:spacing w:after="0" w:line="360" w:lineRule="auto"/>
        <w:jc w:val="both"/>
        <w:rPr>
          <w:rFonts w:ascii="Arial" w:hAnsi="Arial" w:cs="Arial"/>
          <w:sz w:val="24"/>
          <w:szCs w:val="24"/>
          <w:lang w:val="es-ES"/>
        </w:rPr>
      </w:pPr>
      <w:r w:rsidRPr="007830E0">
        <w:rPr>
          <w:rFonts w:ascii="Arial" w:eastAsia="Times New Roman" w:hAnsi="Arial" w:cs="Arial"/>
          <w:b/>
          <w:bCs/>
          <w:sz w:val="24"/>
          <w:szCs w:val="24"/>
          <w:lang w:val="es-ES" w:eastAsia="es-ES"/>
        </w:rPr>
        <w:t>1. Legislación aplicable al presente asunto</w:t>
      </w:r>
    </w:p>
    <w:p w:rsidR="007830E0" w:rsidRPr="007830E0" w:rsidRDefault="007830E0" w:rsidP="001E06B1">
      <w:pPr>
        <w:pStyle w:val="Sinespaciado"/>
      </w:pPr>
    </w:p>
    <w:p w:rsidR="007830E0" w:rsidRDefault="007830E0" w:rsidP="001E06B1">
      <w:pPr>
        <w:spacing w:after="0" w:line="360" w:lineRule="auto"/>
        <w:jc w:val="both"/>
        <w:rPr>
          <w:rFonts w:ascii="Arial" w:hAnsi="Arial" w:cs="Arial"/>
          <w:sz w:val="24"/>
          <w:szCs w:val="24"/>
        </w:rPr>
      </w:pPr>
      <w:r w:rsidRPr="007830E0">
        <w:rPr>
          <w:rFonts w:ascii="Arial" w:hAnsi="Arial" w:cs="Arial"/>
          <w:sz w:val="24"/>
          <w:szCs w:val="24"/>
        </w:rPr>
        <w:t xml:space="preserve">Previo a pronunciarse de fondo respecto del recurso de apelación interpuesto por la </w:t>
      </w:r>
      <w:r>
        <w:rPr>
          <w:rFonts w:ascii="Arial" w:hAnsi="Arial" w:cs="Arial"/>
          <w:sz w:val="24"/>
          <w:szCs w:val="24"/>
        </w:rPr>
        <w:t>parte demandante</w:t>
      </w:r>
      <w:r w:rsidRPr="007830E0">
        <w:rPr>
          <w:rFonts w:ascii="Arial" w:hAnsi="Arial" w:cs="Arial"/>
          <w:sz w:val="24"/>
          <w:szCs w:val="24"/>
        </w:rPr>
        <w:t xml:space="preserve"> contra el auto de </w:t>
      </w:r>
      <w:r w:rsidR="001E06B1">
        <w:rPr>
          <w:rFonts w:ascii="Arial" w:hAnsi="Arial" w:cs="Arial"/>
          <w:sz w:val="24"/>
          <w:szCs w:val="24"/>
        </w:rPr>
        <w:t xml:space="preserve">27 de octubre de </w:t>
      </w:r>
      <w:r w:rsidR="00BC5381">
        <w:rPr>
          <w:rFonts w:ascii="Arial" w:hAnsi="Arial" w:cs="Arial"/>
          <w:sz w:val="24"/>
          <w:szCs w:val="24"/>
        </w:rPr>
        <w:t>2016</w:t>
      </w:r>
      <w:r w:rsidRPr="007830E0">
        <w:rPr>
          <w:rFonts w:ascii="Arial" w:hAnsi="Arial" w:cs="Arial"/>
          <w:sz w:val="24"/>
          <w:szCs w:val="24"/>
        </w:rPr>
        <w:t xml:space="preserve">, proferido </w:t>
      </w:r>
      <w:r w:rsidR="00FA51DF">
        <w:rPr>
          <w:rFonts w:ascii="Arial" w:hAnsi="Arial" w:cs="Arial"/>
          <w:sz w:val="24"/>
          <w:szCs w:val="24"/>
        </w:rPr>
        <w:t xml:space="preserve">por </w:t>
      </w:r>
      <w:r w:rsidRPr="007830E0">
        <w:rPr>
          <w:rFonts w:ascii="Arial" w:hAnsi="Arial" w:cs="Arial"/>
          <w:sz w:val="24"/>
          <w:szCs w:val="24"/>
        </w:rPr>
        <w:t>el Tribunal Administrativo de</w:t>
      </w:r>
      <w:r w:rsidR="001E06B1">
        <w:rPr>
          <w:rFonts w:ascii="Arial" w:hAnsi="Arial" w:cs="Arial"/>
          <w:sz w:val="24"/>
          <w:szCs w:val="24"/>
        </w:rPr>
        <w:t xml:space="preserve"> Bolívar</w:t>
      </w:r>
      <w:r>
        <w:rPr>
          <w:rFonts w:ascii="Arial" w:hAnsi="Arial" w:cs="Arial"/>
          <w:sz w:val="24"/>
          <w:szCs w:val="24"/>
        </w:rPr>
        <w:t>,</w:t>
      </w:r>
      <w:r w:rsidRPr="007830E0">
        <w:rPr>
          <w:rFonts w:ascii="Arial" w:hAnsi="Arial" w:cs="Arial"/>
          <w:sz w:val="24"/>
          <w:szCs w:val="24"/>
        </w:rPr>
        <w:t xml:space="preserve"> </w:t>
      </w:r>
      <w:r w:rsidRPr="007830E0">
        <w:rPr>
          <w:rFonts w:ascii="Arial" w:hAnsi="Arial" w:cs="Arial"/>
          <w:bCs/>
          <w:sz w:val="24"/>
          <w:szCs w:val="24"/>
        </w:rPr>
        <w:t xml:space="preserve">estima </w:t>
      </w:r>
      <w:r w:rsidR="007F3806">
        <w:rPr>
          <w:rFonts w:ascii="Arial" w:hAnsi="Arial" w:cs="Arial"/>
          <w:bCs/>
          <w:sz w:val="24"/>
          <w:szCs w:val="24"/>
        </w:rPr>
        <w:t xml:space="preserve">el Despacho </w:t>
      </w:r>
      <w:r w:rsidRPr="007830E0">
        <w:rPr>
          <w:rFonts w:ascii="Arial" w:hAnsi="Arial" w:cs="Arial"/>
          <w:bCs/>
          <w:sz w:val="24"/>
          <w:szCs w:val="24"/>
        </w:rPr>
        <w:t xml:space="preserve">pertinente señalar que la demanda se presentó el </w:t>
      </w:r>
      <w:r w:rsidR="001E06B1">
        <w:rPr>
          <w:rFonts w:ascii="Arial" w:hAnsi="Arial" w:cs="Arial"/>
          <w:bCs/>
          <w:sz w:val="24"/>
          <w:szCs w:val="24"/>
        </w:rPr>
        <w:t xml:space="preserve">12 de enero de </w:t>
      </w:r>
      <w:r w:rsidR="00BC5381">
        <w:rPr>
          <w:rFonts w:ascii="Arial" w:hAnsi="Arial" w:cs="Arial"/>
          <w:sz w:val="24"/>
          <w:szCs w:val="24"/>
        </w:rPr>
        <w:t>2016</w:t>
      </w:r>
      <w:r w:rsidRPr="007830E0">
        <w:rPr>
          <w:rFonts w:ascii="Arial" w:hAnsi="Arial" w:cs="Arial"/>
          <w:bCs/>
          <w:sz w:val="24"/>
          <w:szCs w:val="24"/>
        </w:rPr>
        <w:t xml:space="preserve">, </w:t>
      </w:r>
      <w:r w:rsidR="00E641CD">
        <w:rPr>
          <w:rFonts w:ascii="Arial" w:hAnsi="Arial" w:cs="Arial"/>
          <w:bCs/>
          <w:sz w:val="24"/>
          <w:szCs w:val="24"/>
        </w:rPr>
        <w:t>por lo</w:t>
      </w:r>
      <w:r w:rsidRPr="007830E0">
        <w:rPr>
          <w:rFonts w:ascii="Arial" w:hAnsi="Arial" w:cs="Arial"/>
          <w:bCs/>
          <w:sz w:val="24"/>
          <w:szCs w:val="24"/>
        </w:rPr>
        <w:t xml:space="preserve"> que al presente asunto le resulta aplicable el Código de Procedimiento Administrativo y de lo Contencioso Administrativ</w:t>
      </w:r>
      <w:r w:rsidR="00E641CD">
        <w:rPr>
          <w:rFonts w:ascii="Arial" w:hAnsi="Arial" w:cs="Arial"/>
          <w:bCs/>
          <w:sz w:val="24"/>
          <w:szCs w:val="24"/>
        </w:rPr>
        <w:t>o</w:t>
      </w:r>
      <w:r w:rsidRPr="007830E0">
        <w:rPr>
          <w:rFonts w:ascii="Arial" w:hAnsi="Arial" w:cs="Arial"/>
          <w:bCs/>
          <w:sz w:val="24"/>
          <w:szCs w:val="24"/>
        </w:rPr>
        <w:t xml:space="preserve"> </w:t>
      </w:r>
      <w:r w:rsidRPr="007830E0">
        <w:rPr>
          <w:rFonts w:ascii="Arial" w:hAnsi="Arial" w:cs="Arial"/>
          <w:bCs/>
          <w:i/>
          <w:sz w:val="24"/>
          <w:szCs w:val="24"/>
        </w:rPr>
        <w:t xml:space="preserve">- Ley 1437 de 2011-, </w:t>
      </w:r>
      <w:r w:rsidRPr="007830E0">
        <w:rPr>
          <w:rFonts w:ascii="Arial" w:hAnsi="Arial" w:cs="Arial"/>
          <w:bCs/>
          <w:sz w:val="24"/>
          <w:szCs w:val="24"/>
        </w:rPr>
        <w:t xml:space="preserve">así como </w:t>
      </w:r>
      <w:r w:rsidRPr="007830E0">
        <w:rPr>
          <w:rFonts w:ascii="Arial" w:hAnsi="Arial" w:cs="Arial"/>
          <w:sz w:val="24"/>
          <w:szCs w:val="24"/>
        </w:rPr>
        <w:t>las disposiciones del Código General del Proceso</w:t>
      </w:r>
      <w:r w:rsidRPr="007830E0">
        <w:rPr>
          <w:rStyle w:val="Refdenotaalpie"/>
          <w:rFonts w:ascii="Arial" w:hAnsi="Arial" w:cs="Arial"/>
          <w:sz w:val="24"/>
          <w:szCs w:val="24"/>
        </w:rPr>
        <w:footnoteReference w:id="5"/>
      </w:r>
      <w:r w:rsidRPr="007830E0">
        <w:rPr>
          <w:rFonts w:ascii="Arial" w:hAnsi="Arial" w:cs="Arial"/>
          <w:sz w:val="24"/>
          <w:szCs w:val="24"/>
        </w:rPr>
        <w:t>, en virtud de la integración normativa dispuesta por el artículo 306 del estatuto procesal en materia de lo contencioso administrativo.</w:t>
      </w:r>
    </w:p>
    <w:p w:rsidR="001E06B1" w:rsidRPr="00BC5381" w:rsidRDefault="001E06B1" w:rsidP="00981032">
      <w:pPr>
        <w:pStyle w:val="Sinespaciado"/>
        <w:rPr>
          <w:lang w:val="es-CO"/>
        </w:rPr>
      </w:pPr>
    </w:p>
    <w:p w:rsidR="007830E0" w:rsidRPr="007830E0" w:rsidRDefault="007830E0" w:rsidP="007830E0">
      <w:pPr>
        <w:pStyle w:val="Sinespaciado"/>
        <w:spacing w:line="360" w:lineRule="auto"/>
        <w:jc w:val="both"/>
        <w:rPr>
          <w:rFonts w:ascii="Arial" w:hAnsi="Arial" w:cs="Arial"/>
          <w:b/>
        </w:rPr>
      </w:pPr>
      <w:r w:rsidRPr="007830E0">
        <w:rPr>
          <w:rFonts w:ascii="Arial" w:hAnsi="Arial" w:cs="Arial"/>
          <w:b/>
          <w:spacing w:val="2"/>
          <w:lang w:val="es-CO"/>
        </w:rPr>
        <w:t xml:space="preserve">2. </w:t>
      </w:r>
      <w:r w:rsidRPr="007830E0">
        <w:rPr>
          <w:rFonts w:ascii="Arial" w:hAnsi="Arial" w:cs="Arial"/>
          <w:b/>
        </w:rPr>
        <w:t xml:space="preserve">La procedencia del recurso de apelación </w:t>
      </w:r>
      <w:r w:rsidR="00940CC2">
        <w:rPr>
          <w:rFonts w:ascii="Arial" w:hAnsi="Arial" w:cs="Arial"/>
          <w:b/>
        </w:rPr>
        <w:t>y la competencia para conocerlo</w:t>
      </w:r>
    </w:p>
    <w:p w:rsidR="007830E0" w:rsidRPr="007830E0" w:rsidRDefault="007830E0" w:rsidP="007830E0">
      <w:pPr>
        <w:pStyle w:val="Sinespaciado"/>
      </w:pPr>
    </w:p>
    <w:p w:rsidR="00E641CD" w:rsidRDefault="007830E0" w:rsidP="00E641CD">
      <w:pPr>
        <w:pStyle w:val="Sinespaciado"/>
        <w:spacing w:line="360" w:lineRule="auto"/>
        <w:jc w:val="both"/>
        <w:rPr>
          <w:rFonts w:ascii="Arial" w:hAnsi="Arial" w:cs="Arial"/>
        </w:rPr>
      </w:pPr>
      <w:r w:rsidRPr="007830E0">
        <w:rPr>
          <w:rFonts w:ascii="Arial" w:hAnsi="Arial" w:cs="Arial"/>
        </w:rPr>
        <w:t>En lo que hace a la procedencia del recurso de apelación establecid</w:t>
      </w:r>
      <w:r w:rsidR="00E30124">
        <w:rPr>
          <w:rFonts w:ascii="Arial" w:hAnsi="Arial" w:cs="Arial"/>
        </w:rPr>
        <w:t>a</w:t>
      </w:r>
      <w:r w:rsidRPr="007830E0">
        <w:rPr>
          <w:rFonts w:ascii="Arial" w:hAnsi="Arial" w:cs="Arial"/>
        </w:rPr>
        <w:t xml:space="preserve"> en los artículos  243 y 244 del Código de Procedimiento Administrativo y de lo Contencioso Administrativo</w:t>
      </w:r>
      <w:r w:rsidRPr="007830E0">
        <w:rPr>
          <w:rFonts w:ascii="Arial" w:hAnsi="Arial" w:cs="Arial"/>
          <w:i/>
        </w:rPr>
        <w:t xml:space="preserve">, </w:t>
      </w:r>
      <w:r w:rsidR="003339AE">
        <w:rPr>
          <w:rFonts w:ascii="Arial" w:hAnsi="Arial" w:cs="Arial"/>
        </w:rPr>
        <w:t>se</w:t>
      </w:r>
      <w:r w:rsidRPr="007830E0">
        <w:rPr>
          <w:rFonts w:ascii="Arial" w:hAnsi="Arial" w:cs="Arial"/>
        </w:rPr>
        <w:t xml:space="preserve"> encuentra que el auto recurrido corresponde a los enunciados por la norma como apelable, toda vez que se trata de una providencia que </w:t>
      </w:r>
      <w:r w:rsidR="002A50EC">
        <w:rPr>
          <w:rFonts w:ascii="Arial" w:hAnsi="Arial" w:cs="Arial"/>
        </w:rPr>
        <w:t>rechazó la demanda por haber operado el fenómeno de la caducidad</w:t>
      </w:r>
      <w:r w:rsidRPr="007830E0">
        <w:rPr>
          <w:rFonts w:ascii="Arial" w:hAnsi="Arial" w:cs="Arial"/>
        </w:rPr>
        <w:t xml:space="preserve">; así mismo, se </w:t>
      </w:r>
      <w:r w:rsidR="00E03ED7">
        <w:rPr>
          <w:rFonts w:ascii="Arial" w:hAnsi="Arial" w:cs="Arial"/>
        </w:rPr>
        <w:t>evidencia</w:t>
      </w:r>
      <w:r w:rsidRPr="007830E0">
        <w:rPr>
          <w:rFonts w:ascii="Arial" w:hAnsi="Arial" w:cs="Arial"/>
        </w:rPr>
        <w:t xml:space="preserve"> que</w:t>
      </w:r>
      <w:r w:rsidR="005F52F2">
        <w:rPr>
          <w:rFonts w:ascii="Arial" w:hAnsi="Arial" w:cs="Arial"/>
        </w:rPr>
        <w:t xml:space="preserve"> el recurso</w:t>
      </w:r>
      <w:r w:rsidRPr="007830E0">
        <w:rPr>
          <w:rFonts w:ascii="Arial" w:hAnsi="Arial" w:cs="Arial"/>
        </w:rPr>
        <w:t xml:space="preserve"> fue interpuesto de manera oportuna y debidamente sustentado</w:t>
      </w:r>
      <w:r w:rsidR="00453BDA">
        <w:rPr>
          <w:rFonts w:ascii="Arial" w:hAnsi="Arial" w:cs="Arial"/>
        </w:rPr>
        <w:t>.</w:t>
      </w:r>
    </w:p>
    <w:p w:rsidR="00940CC2" w:rsidRPr="00940CC2" w:rsidRDefault="00940CC2" w:rsidP="00940CC2">
      <w:pPr>
        <w:pStyle w:val="Sinespaciado"/>
      </w:pPr>
    </w:p>
    <w:p w:rsidR="00940CC2" w:rsidRPr="00940CC2" w:rsidRDefault="00940CC2" w:rsidP="00940CC2">
      <w:pPr>
        <w:pStyle w:val="Sangradetextonormal"/>
        <w:spacing w:after="0" w:line="360" w:lineRule="auto"/>
        <w:ind w:left="0"/>
        <w:jc w:val="both"/>
        <w:rPr>
          <w:rFonts w:ascii="Arial" w:hAnsi="Arial" w:cs="Arial"/>
          <w:sz w:val="24"/>
        </w:rPr>
      </w:pPr>
      <w:r w:rsidRPr="00940CC2">
        <w:rPr>
          <w:rFonts w:ascii="Arial" w:hAnsi="Arial" w:cs="Arial"/>
          <w:sz w:val="24"/>
        </w:rPr>
        <w:t>Ahora bien, en relación con la competencia funcional para resolver la impugnación, se deberá tener en cuenta el pronunciamiento de la Sala Plena del Consejo de Estado en auto de 25 de junio de 2014</w:t>
      </w:r>
      <w:r w:rsidRPr="00940CC2">
        <w:rPr>
          <w:rStyle w:val="Refdenotaalpie"/>
          <w:rFonts w:ascii="Arial" w:hAnsi="Arial" w:cs="Arial"/>
          <w:sz w:val="24"/>
        </w:rPr>
        <w:footnoteReference w:id="6"/>
      </w:r>
      <w:r w:rsidRPr="00940CC2">
        <w:rPr>
          <w:rFonts w:ascii="Arial" w:hAnsi="Arial" w:cs="Arial"/>
          <w:sz w:val="24"/>
        </w:rPr>
        <w:t xml:space="preserve"> que determinó lo siguiente: </w:t>
      </w:r>
    </w:p>
    <w:p w:rsidR="00940CC2" w:rsidRPr="00940CC2" w:rsidRDefault="00940CC2" w:rsidP="00940CC2">
      <w:pPr>
        <w:pStyle w:val="Sinespaciado"/>
      </w:pPr>
    </w:p>
    <w:p w:rsidR="00940CC2" w:rsidRPr="00084AC6" w:rsidRDefault="00940CC2" w:rsidP="00940CC2">
      <w:pPr>
        <w:pStyle w:val="Sangra2detindependiente1"/>
        <w:tabs>
          <w:tab w:val="left" w:pos="851"/>
        </w:tabs>
        <w:spacing w:line="240" w:lineRule="auto"/>
        <w:ind w:left="567" w:right="567" w:firstLine="0"/>
        <w:rPr>
          <w:rFonts w:cs="Arial"/>
          <w:i/>
          <w:sz w:val="22"/>
          <w:szCs w:val="22"/>
        </w:rPr>
      </w:pPr>
      <w:r w:rsidRPr="00084AC6">
        <w:rPr>
          <w:rFonts w:cs="Arial"/>
          <w:i/>
          <w:sz w:val="22"/>
          <w:szCs w:val="22"/>
          <w:lang w:val="es-CO"/>
        </w:rPr>
        <w:t>“</w:t>
      </w:r>
      <w:r>
        <w:rPr>
          <w:rFonts w:cs="Arial"/>
          <w:i/>
          <w:sz w:val="22"/>
          <w:szCs w:val="22"/>
          <w:u w:val="single"/>
        </w:rPr>
        <w:t>…</w:t>
      </w:r>
      <w:r w:rsidRPr="00084AC6">
        <w:rPr>
          <w:rFonts w:cs="Arial"/>
          <w:i/>
          <w:sz w:val="22"/>
          <w:szCs w:val="22"/>
          <w:u w:val="single"/>
        </w:rPr>
        <w:t xml:space="preserve"> no acertó el Tribunal en la decisión de no conceder el recurso de apelación contra la decisión que no declaró probada una excepción previa, toda vez que en los términos del artículo 180 del CPACA –norma especial– esa decisión es pasible o susceptible del recurso de apelación</w:t>
      </w:r>
      <w:r w:rsidRPr="00084AC6">
        <w:rPr>
          <w:rFonts w:cs="Arial"/>
          <w:i/>
          <w:sz w:val="22"/>
          <w:szCs w:val="22"/>
        </w:rPr>
        <w:t xml:space="preserve">. Y, para efectos de competencia funcional, habrá que recurrir a lo dispuesto en el artículo 125 ibídem, es decir, que </w:t>
      </w:r>
      <w:r w:rsidRPr="0081704F">
        <w:rPr>
          <w:rFonts w:cs="Arial"/>
          <w:b/>
          <w:i/>
          <w:sz w:val="22"/>
          <w:szCs w:val="22"/>
          <w:u w:val="single"/>
        </w:rPr>
        <w:t>si la excepción que se declara probada da por terminado el proceso –por tratarse de una de aquellas decisiones a que se refieren los numerales 1 a 4 del artículo 243 de la misma codificación– tendrá que ser proferida por la respectiva sala de decisión del Tribunal Administrativo en primera instancia</w:t>
      </w:r>
      <w:r w:rsidRPr="00084AC6">
        <w:rPr>
          <w:rFonts w:cs="Arial"/>
          <w:i/>
          <w:sz w:val="22"/>
          <w:szCs w:val="22"/>
        </w:rPr>
        <w:t>; a contrario sensu,</w:t>
      </w:r>
      <w:r w:rsidRPr="00084AC6">
        <w:rPr>
          <w:rFonts w:cs="Arial"/>
          <w:b/>
          <w:i/>
          <w:sz w:val="22"/>
          <w:szCs w:val="22"/>
        </w:rPr>
        <w:t xml:space="preserve"> </w:t>
      </w:r>
      <w:r w:rsidRPr="0081704F">
        <w:rPr>
          <w:rFonts w:cs="Arial"/>
          <w:i/>
          <w:sz w:val="22"/>
          <w:szCs w:val="22"/>
        </w:rPr>
        <w:t xml:space="preserve">si la providencia no declara probada la excepción y, por lo tanto, no se desprende la finalización del plenario, entonces será competencia exclusiva del ponente, y en ambos casos será procedente el recurso de apelación, </w:t>
      </w:r>
      <w:r w:rsidRPr="00FB1BF8">
        <w:rPr>
          <w:rFonts w:cs="Arial"/>
          <w:i/>
          <w:sz w:val="22"/>
          <w:szCs w:val="22"/>
        </w:rPr>
        <w:t>en el primer caso resuelto por la respectiva sala de decisión del Consejo de Estado</w:t>
      </w:r>
      <w:r w:rsidRPr="0081704F">
        <w:rPr>
          <w:rFonts w:cs="Arial"/>
          <w:i/>
          <w:sz w:val="22"/>
          <w:szCs w:val="22"/>
        </w:rPr>
        <w:t>,</w:t>
      </w:r>
      <w:r w:rsidRPr="00084AC6">
        <w:rPr>
          <w:rFonts w:cs="Arial"/>
          <w:i/>
          <w:sz w:val="22"/>
          <w:szCs w:val="22"/>
        </w:rPr>
        <w:t xml:space="preserve"> </w:t>
      </w:r>
      <w:r w:rsidRPr="00FB1BF8">
        <w:rPr>
          <w:rFonts w:cs="Arial"/>
          <w:b/>
          <w:i/>
          <w:sz w:val="22"/>
          <w:szCs w:val="22"/>
          <w:u w:val="single"/>
        </w:rPr>
        <w:t>y en el segundo por el Consejero Ponente</w:t>
      </w:r>
      <w:r w:rsidRPr="00CA1902">
        <w:rPr>
          <w:rFonts w:cs="Arial"/>
          <w:i/>
          <w:sz w:val="22"/>
          <w:szCs w:val="22"/>
        </w:rPr>
        <w:t xml:space="preserve"> </w:t>
      </w:r>
      <w:r w:rsidRPr="00084AC6">
        <w:rPr>
          <w:rFonts w:cs="Arial"/>
          <w:i/>
          <w:sz w:val="22"/>
          <w:szCs w:val="22"/>
        </w:rPr>
        <w:t xml:space="preserve">a quien le corresponda el conocimiento del asunto en segunda instancia” </w:t>
      </w:r>
      <w:r w:rsidRPr="00084AC6">
        <w:rPr>
          <w:rFonts w:cs="Arial"/>
          <w:sz w:val="22"/>
          <w:szCs w:val="22"/>
          <w:lang w:val="es-CO"/>
        </w:rPr>
        <w:t>(</w:t>
      </w:r>
      <w:r>
        <w:rPr>
          <w:rFonts w:cs="Arial"/>
          <w:sz w:val="22"/>
          <w:szCs w:val="22"/>
          <w:lang w:val="es-CO"/>
        </w:rPr>
        <w:t>s</w:t>
      </w:r>
      <w:r w:rsidRPr="00084AC6">
        <w:rPr>
          <w:rFonts w:cs="Arial"/>
          <w:sz w:val="22"/>
          <w:szCs w:val="22"/>
          <w:lang w:val="es-CO"/>
        </w:rPr>
        <w:t xml:space="preserve">e destaca). </w:t>
      </w:r>
    </w:p>
    <w:p w:rsidR="00613186" w:rsidRDefault="00613186" w:rsidP="00613186">
      <w:pPr>
        <w:pStyle w:val="Sinespaciado"/>
      </w:pPr>
    </w:p>
    <w:p w:rsidR="00B84B28" w:rsidRPr="00372019" w:rsidRDefault="00B84B28" w:rsidP="00AF00AC">
      <w:pPr>
        <w:overflowPunct w:val="0"/>
        <w:autoSpaceDE w:val="0"/>
        <w:autoSpaceDN w:val="0"/>
        <w:adjustRightInd w:val="0"/>
        <w:spacing w:after="0" w:line="360" w:lineRule="auto"/>
        <w:jc w:val="both"/>
        <w:rPr>
          <w:rFonts w:ascii="Arial" w:eastAsia="Times New Roman" w:hAnsi="Arial" w:cs="Arial"/>
          <w:b/>
          <w:sz w:val="24"/>
          <w:szCs w:val="24"/>
          <w:lang w:val="es-ES" w:eastAsia="es-ES"/>
        </w:rPr>
      </w:pPr>
      <w:r w:rsidRPr="00372019">
        <w:rPr>
          <w:rFonts w:ascii="Arial" w:eastAsia="Times New Roman" w:hAnsi="Arial" w:cs="Arial"/>
          <w:b/>
          <w:sz w:val="24"/>
          <w:szCs w:val="24"/>
          <w:lang w:val="es-ES" w:eastAsia="es-ES"/>
        </w:rPr>
        <w:t>3. Caso concreto</w:t>
      </w:r>
    </w:p>
    <w:p w:rsidR="00DF057E" w:rsidRPr="00247023" w:rsidRDefault="00DF057E" w:rsidP="00247023">
      <w:pPr>
        <w:pStyle w:val="Sinespaciado"/>
      </w:pPr>
    </w:p>
    <w:p w:rsidR="00DA730A" w:rsidRPr="00DA730A" w:rsidRDefault="00DA730A" w:rsidP="00DA730A">
      <w:pPr>
        <w:spacing w:after="0" w:line="360" w:lineRule="auto"/>
        <w:jc w:val="both"/>
        <w:rPr>
          <w:rFonts w:ascii="Arial" w:hAnsi="Arial" w:cs="Arial"/>
          <w:sz w:val="24"/>
        </w:rPr>
      </w:pPr>
      <w:r w:rsidRPr="00232BF3">
        <w:rPr>
          <w:rFonts w:ascii="Arial" w:hAnsi="Arial" w:cs="Arial"/>
          <w:sz w:val="24"/>
          <w:szCs w:val="24"/>
        </w:rPr>
        <w:t xml:space="preserve">Sea lo primero señalar </w:t>
      </w:r>
      <w:r>
        <w:rPr>
          <w:rFonts w:ascii="Arial" w:hAnsi="Arial" w:cs="Arial"/>
          <w:sz w:val="24"/>
          <w:szCs w:val="24"/>
        </w:rPr>
        <w:t>que p</w:t>
      </w:r>
      <w:r w:rsidRPr="00DA730A">
        <w:rPr>
          <w:rFonts w:ascii="Arial" w:hAnsi="Arial" w:cs="Arial"/>
          <w:sz w:val="24"/>
        </w:rPr>
        <w:t xml:space="preserve">ara garantizar la seguridad jurídica de los sujetos procesales, el legislador  instituyó la figura de la caducidad como un término dentro del cual, las partes tienen la carga procesal de impulsar el litigio </w:t>
      </w:r>
      <w:r>
        <w:rPr>
          <w:rFonts w:ascii="Arial" w:hAnsi="Arial" w:cs="Arial"/>
          <w:sz w:val="24"/>
        </w:rPr>
        <w:t>dentro del plazo fijado por la L</w:t>
      </w:r>
      <w:r w:rsidRPr="00DA730A">
        <w:rPr>
          <w:rFonts w:ascii="Arial" w:hAnsi="Arial" w:cs="Arial"/>
          <w:sz w:val="24"/>
        </w:rPr>
        <w:t>ey y de no hacerlo en tiempo pierden la posibilidad de accionar ante la jurisdicción para hacer efectivo su derecho.</w:t>
      </w:r>
      <w:r w:rsidR="00C72F56">
        <w:rPr>
          <w:rFonts w:ascii="Arial" w:hAnsi="Arial" w:cs="Arial"/>
          <w:sz w:val="24"/>
        </w:rPr>
        <w:t xml:space="preserve"> Así, entonces, </w:t>
      </w:r>
      <w:r w:rsidR="00B15EF1">
        <w:rPr>
          <w:rFonts w:ascii="Arial" w:hAnsi="Arial" w:cs="Arial"/>
          <w:sz w:val="24"/>
        </w:rPr>
        <w:t xml:space="preserve">no cabe duda </w:t>
      </w:r>
      <w:r w:rsidRPr="00DA730A">
        <w:rPr>
          <w:rFonts w:ascii="Arial" w:hAnsi="Arial" w:cs="Arial"/>
          <w:sz w:val="24"/>
        </w:rPr>
        <w:t>en cuanto a que el término de caducidad resulta ser un plazo improrrogable y, por ello, ajeno por completo al arbitrio o voluntad de las partes y a cualquier consideración personal o subjetiva.</w:t>
      </w:r>
    </w:p>
    <w:p w:rsidR="00DA730A" w:rsidRPr="00247023" w:rsidRDefault="00DA730A" w:rsidP="00247023">
      <w:pPr>
        <w:pStyle w:val="Sinespaciado"/>
      </w:pPr>
    </w:p>
    <w:p w:rsidR="000D212E" w:rsidRDefault="00DA730A" w:rsidP="00DA730A">
      <w:pPr>
        <w:spacing w:after="0" w:line="360" w:lineRule="auto"/>
        <w:jc w:val="both"/>
        <w:rPr>
          <w:rFonts w:ascii="Arial" w:hAnsi="Arial" w:cs="Arial"/>
          <w:sz w:val="24"/>
          <w:szCs w:val="24"/>
        </w:rPr>
      </w:pPr>
      <w:r>
        <w:rPr>
          <w:rFonts w:ascii="Arial" w:hAnsi="Arial" w:cs="Arial"/>
          <w:sz w:val="24"/>
          <w:szCs w:val="24"/>
        </w:rPr>
        <w:t xml:space="preserve">De conformidad con lo dicho, </w:t>
      </w:r>
      <w:r w:rsidR="000D212E" w:rsidRPr="00232BF3">
        <w:rPr>
          <w:rFonts w:ascii="Arial" w:hAnsi="Arial" w:cs="Arial"/>
          <w:sz w:val="24"/>
          <w:szCs w:val="24"/>
        </w:rPr>
        <w:t>para definir si el medio de control</w:t>
      </w:r>
      <w:r w:rsidR="0021553C">
        <w:rPr>
          <w:rFonts w:ascii="Arial" w:hAnsi="Arial" w:cs="Arial"/>
          <w:sz w:val="24"/>
          <w:szCs w:val="24"/>
        </w:rPr>
        <w:t xml:space="preserve"> y/o pretensión ejercitada se encuentra caducada</w:t>
      </w:r>
      <w:r w:rsidR="000D212E" w:rsidRPr="00232BF3">
        <w:rPr>
          <w:rFonts w:ascii="Arial" w:hAnsi="Arial" w:cs="Arial"/>
          <w:sz w:val="24"/>
          <w:szCs w:val="24"/>
        </w:rPr>
        <w:t>, o no, es necesario determinar el momento exacto a partir del cual se debe iniciar el cómputo del término señalado legalmente para ejercer el derecho de acción</w:t>
      </w:r>
      <w:r w:rsidR="008C5B8F">
        <w:rPr>
          <w:rFonts w:ascii="Arial" w:hAnsi="Arial" w:cs="Arial"/>
          <w:sz w:val="24"/>
          <w:szCs w:val="24"/>
        </w:rPr>
        <w:t>.</w:t>
      </w:r>
    </w:p>
    <w:p w:rsidR="008C5B8F" w:rsidRPr="00247023" w:rsidRDefault="008C5B8F" w:rsidP="00247023">
      <w:pPr>
        <w:pStyle w:val="Sinespaciado"/>
      </w:pPr>
    </w:p>
    <w:p w:rsidR="00B15EF1" w:rsidRDefault="0021553C" w:rsidP="000D212E">
      <w:pPr>
        <w:spacing w:after="0" w:line="360" w:lineRule="auto"/>
        <w:jc w:val="both"/>
        <w:rPr>
          <w:rFonts w:ascii="Arial" w:hAnsi="Arial" w:cs="Arial"/>
          <w:sz w:val="24"/>
          <w:szCs w:val="24"/>
        </w:rPr>
      </w:pPr>
      <w:r>
        <w:rPr>
          <w:rFonts w:ascii="Arial" w:hAnsi="Arial" w:cs="Arial"/>
          <w:sz w:val="24"/>
          <w:szCs w:val="24"/>
        </w:rPr>
        <w:t>Para tal efecto</w:t>
      </w:r>
      <w:r w:rsidR="008C5B8F">
        <w:rPr>
          <w:rFonts w:ascii="Arial" w:hAnsi="Arial" w:cs="Arial"/>
          <w:sz w:val="24"/>
          <w:szCs w:val="24"/>
        </w:rPr>
        <w:t xml:space="preserve">, debe señalarse que </w:t>
      </w:r>
      <w:r>
        <w:rPr>
          <w:rFonts w:ascii="Arial" w:hAnsi="Arial" w:cs="Arial"/>
          <w:sz w:val="24"/>
          <w:szCs w:val="24"/>
        </w:rPr>
        <w:t xml:space="preserve">el contrato </w:t>
      </w:r>
      <w:r>
        <w:rPr>
          <w:rFonts w:ascii="Arial" w:hAnsi="Arial" w:cs="Arial"/>
          <w:spacing w:val="-3"/>
          <w:sz w:val="24"/>
          <w:lang w:eastAsia="es-CO"/>
        </w:rPr>
        <w:t xml:space="preserve">nro. SAP 914-2011 fue liquidado de común acuerdo mediante acta </w:t>
      </w:r>
      <w:r w:rsidR="008C5B8F">
        <w:rPr>
          <w:rFonts w:ascii="Arial" w:hAnsi="Arial" w:cs="Arial"/>
          <w:sz w:val="24"/>
          <w:szCs w:val="24"/>
        </w:rPr>
        <w:t>del 3 de octubre de 2013</w:t>
      </w:r>
      <w:r>
        <w:rPr>
          <w:rStyle w:val="Refdenotaalpie"/>
          <w:rFonts w:ascii="Arial" w:hAnsi="Arial" w:cs="Arial"/>
          <w:sz w:val="24"/>
          <w:szCs w:val="24"/>
        </w:rPr>
        <w:footnoteReference w:id="7"/>
      </w:r>
      <w:r w:rsidR="00B15EF1">
        <w:rPr>
          <w:rFonts w:ascii="Arial" w:hAnsi="Arial" w:cs="Arial"/>
          <w:sz w:val="24"/>
          <w:szCs w:val="24"/>
        </w:rPr>
        <w:t xml:space="preserve">, situación particular que de conformidad con el art. 164 </w:t>
      </w:r>
      <w:r w:rsidR="008C5B8F">
        <w:rPr>
          <w:rFonts w:ascii="Arial" w:hAnsi="Arial" w:cs="Arial"/>
          <w:sz w:val="24"/>
          <w:szCs w:val="24"/>
        </w:rPr>
        <w:t>del Código de Procedimiento Administrativo y d</w:t>
      </w:r>
      <w:r w:rsidR="00B15EF1">
        <w:rPr>
          <w:rFonts w:ascii="Arial" w:hAnsi="Arial" w:cs="Arial"/>
          <w:sz w:val="24"/>
          <w:szCs w:val="24"/>
        </w:rPr>
        <w:t xml:space="preserve">e lo Contencioso Administrativo, permite concluir que el término de caducidad inició al día siguiente de la firma del acta antes mencionada, esto es, el </w:t>
      </w:r>
      <w:r w:rsidR="00BA06D0">
        <w:rPr>
          <w:rFonts w:ascii="Arial" w:hAnsi="Arial" w:cs="Arial"/>
          <w:sz w:val="24"/>
          <w:szCs w:val="24"/>
        </w:rPr>
        <w:t>4 de octubre de 2013</w:t>
      </w:r>
      <w:r w:rsidR="00B732B1">
        <w:rPr>
          <w:rFonts w:ascii="Arial" w:hAnsi="Arial" w:cs="Arial"/>
          <w:sz w:val="24"/>
          <w:szCs w:val="24"/>
        </w:rPr>
        <w:t>,</w:t>
      </w:r>
      <w:r w:rsidR="00BA06D0">
        <w:rPr>
          <w:rFonts w:ascii="Arial" w:hAnsi="Arial" w:cs="Arial"/>
          <w:sz w:val="24"/>
          <w:szCs w:val="24"/>
        </w:rPr>
        <w:t xml:space="preserve"> y </w:t>
      </w:r>
      <w:r w:rsidR="00B732B1">
        <w:rPr>
          <w:rFonts w:ascii="Arial" w:hAnsi="Arial" w:cs="Arial"/>
          <w:sz w:val="24"/>
          <w:szCs w:val="24"/>
        </w:rPr>
        <w:t xml:space="preserve">aquél concluyó </w:t>
      </w:r>
      <w:r w:rsidR="00BA06D0">
        <w:rPr>
          <w:rFonts w:ascii="Arial" w:hAnsi="Arial" w:cs="Arial"/>
          <w:sz w:val="24"/>
          <w:szCs w:val="24"/>
        </w:rPr>
        <w:t>el 4 de octubre de 2015.</w:t>
      </w:r>
    </w:p>
    <w:p w:rsidR="00BA06D0" w:rsidRPr="00247023" w:rsidRDefault="00BA06D0" w:rsidP="00247023">
      <w:pPr>
        <w:pStyle w:val="Sinespaciado"/>
      </w:pPr>
    </w:p>
    <w:p w:rsidR="008C5B8F" w:rsidRDefault="00BA06D0" w:rsidP="000D212E">
      <w:pPr>
        <w:spacing w:after="0" w:line="360" w:lineRule="auto"/>
        <w:jc w:val="both"/>
        <w:rPr>
          <w:rFonts w:ascii="Arial" w:hAnsi="Arial" w:cs="Arial"/>
          <w:sz w:val="24"/>
          <w:szCs w:val="24"/>
        </w:rPr>
      </w:pPr>
      <w:r>
        <w:rPr>
          <w:rFonts w:ascii="Arial" w:hAnsi="Arial" w:cs="Arial"/>
          <w:sz w:val="24"/>
          <w:szCs w:val="24"/>
        </w:rPr>
        <w:t>Al respecto, debe aclarar la Sala que el plazo máximo para presentar la demanda, tal y como lo sostuvo el impugnante, acaeció un domingo</w:t>
      </w:r>
      <w:r w:rsidR="00B732B1">
        <w:rPr>
          <w:rFonts w:ascii="Arial" w:hAnsi="Arial" w:cs="Arial"/>
          <w:sz w:val="24"/>
          <w:szCs w:val="24"/>
        </w:rPr>
        <w:t xml:space="preserve"> -4 de octubre de 2015-</w:t>
      </w:r>
      <w:r>
        <w:rPr>
          <w:rFonts w:ascii="Arial" w:hAnsi="Arial" w:cs="Arial"/>
          <w:sz w:val="24"/>
          <w:szCs w:val="24"/>
        </w:rPr>
        <w:t xml:space="preserve">, situación particular por la que </w:t>
      </w:r>
      <w:r w:rsidR="008C5B8F" w:rsidRPr="008C5B8F">
        <w:rPr>
          <w:rFonts w:ascii="Arial" w:hAnsi="Arial" w:cs="Arial"/>
          <w:sz w:val="24"/>
          <w:szCs w:val="24"/>
        </w:rPr>
        <w:t>de conformidad con el art. 62 de la Ley 4 de 1913</w:t>
      </w:r>
      <w:r w:rsidR="008C5B8F" w:rsidRPr="008C5B8F">
        <w:rPr>
          <w:rStyle w:val="Refdenotaalpie"/>
          <w:rFonts w:ascii="Arial" w:hAnsi="Arial" w:cs="Arial"/>
          <w:sz w:val="24"/>
          <w:szCs w:val="24"/>
        </w:rPr>
        <w:footnoteReference w:id="8"/>
      </w:r>
      <w:r w:rsidR="008C5B8F" w:rsidRPr="008C5B8F">
        <w:rPr>
          <w:rFonts w:ascii="Arial" w:hAnsi="Arial" w:cs="Arial"/>
          <w:sz w:val="24"/>
          <w:szCs w:val="24"/>
        </w:rPr>
        <w:t xml:space="preserve"> y el art. 118 del Código General del Proceso</w:t>
      </w:r>
      <w:r w:rsidR="0057720C">
        <w:rPr>
          <w:rStyle w:val="Refdenotaalpie"/>
          <w:rFonts w:ascii="Arial" w:hAnsi="Arial" w:cs="Arial"/>
          <w:sz w:val="24"/>
          <w:szCs w:val="24"/>
        </w:rPr>
        <w:footnoteReference w:id="9"/>
      </w:r>
      <w:r>
        <w:rPr>
          <w:rFonts w:ascii="Arial" w:hAnsi="Arial" w:cs="Arial"/>
          <w:sz w:val="24"/>
          <w:szCs w:val="24"/>
        </w:rPr>
        <w:t xml:space="preserve">, dicho término debía ser extendido al día hábil siguiente, </w:t>
      </w:r>
      <w:r w:rsidR="008C5B8F">
        <w:rPr>
          <w:rFonts w:ascii="Arial" w:hAnsi="Arial" w:cs="Arial"/>
          <w:sz w:val="24"/>
          <w:szCs w:val="24"/>
        </w:rPr>
        <w:t xml:space="preserve">es decir, el 5 de octubre de 2015. </w:t>
      </w:r>
    </w:p>
    <w:p w:rsidR="00BA06D0" w:rsidRPr="00247023" w:rsidRDefault="00BA06D0" w:rsidP="00247023">
      <w:pPr>
        <w:pStyle w:val="Sinespaciado"/>
      </w:pPr>
    </w:p>
    <w:p w:rsidR="00BA06D0" w:rsidRDefault="00BA06D0" w:rsidP="000D212E">
      <w:pPr>
        <w:spacing w:after="0" w:line="360" w:lineRule="auto"/>
        <w:jc w:val="both"/>
        <w:rPr>
          <w:rFonts w:ascii="Arial" w:hAnsi="Arial" w:cs="Arial"/>
          <w:sz w:val="24"/>
          <w:szCs w:val="24"/>
        </w:rPr>
      </w:pPr>
      <w:r>
        <w:rPr>
          <w:rFonts w:ascii="Arial" w:hAnsi="Arial" w:cs="Arial"/>
          <w:sz w:val="24"/>
          <w:szCs w:val="24"/>
        </w:rPr>
        <w:t xml:space="preserve">En este punto conviene precisar que el Tribunal </w:t>
      </w:r>
      <w:r w:rsidRPr="002D2CC9">
        <w:rPr>
          <w:rFonts w:ascii="Arial" w:hAnsi="Arial" w:cs="Arial"/>
          <w:i/>
          <w:sz w:val="24"/>
          <w:szCs w:val="24"/>
        </w:rPr>
        <w:t>a quo</w:t>
      </w:r>
      <w:r>
        <w:rPr>
          <w:rFonts w:ascii="Arial" w:hAnsi="Arial" w:cs="Arial"/>
          <w:sz w:val="24"/>
          <w:szCs w:val="24"/>
        </w:rPr>
        <w:t xml:space="preserve"> consideró </w:t>
      </w:r>
      <w:r w:rsidR="002D2CC9">
        <w:rPr>
          <w:rFonts w:ascii="Arial" w:hAnsi="Arial" w:cs="Arial"/>
          <w:sz w:val="24"/>
          <w:szCs w:val="24"/>
        </w:rPr>
        <w:t xml:space="preserve">que </w:t>
      </w:r>
      <w:r>
        <w:rPr>
          <w:rFonts w:ascii="Arial" w:hAnsi="Arial" w:cs="Arial"/>
          <w:sz w:val="24"/>
          <w:szCs w:val="24"/>
        </w:rPr>
        <w:t>la solicitud de conciliación prejudicial presentada el 5 de octubre de 2015</w:t>
      </w:r>
      <w:r>
        <w:rPr>
          <w:rStyle w:val="Refdenotaalpie"/>
          <w:rFonts w:ascii="Arial" w:hAnsi="Arial" w:cs="Arial"/>
          <w:sz w:val="24"/>
          <w:szCs w:val="24"/>
        </w:rPr>
        <w:footnoteReference w:id="10"/>
      </w:r>
      <w:r w:rsidR="002D2CC9">
        <w:rPr>
          <w:rFonts w:ascii="Arial" w:hAnsi="Arial" w:cs="Arial"/>
          <w:sz w:val="24"/>
          <w:szCs w:val="24"/>
        </w:rPr>
        <w:t>, no tenía el alcance de suspender el t</w:t>
      </w:r>
      <w:r w:rsidR="00F60EAA">
        <w:rPr>
          <w:rFonts w:ascii="Arial" w:hAnsi="Arial" w:cs="Arial"/>
          <w:sz w:val="24"/>
          <w:szCs w:val="24"/>
        </w:rPr>
        <w:t>é</w:t>
      </w:r>
      <w:r w:rsidR="002D2CC9">
        <w:rPr>
          <w:rFonts w:ascii="Arial" w:hAnsi="Arial" w:cs="Arial"/>
          <w:sz w:val="24"/>
          <w:szCs w:val="24"/>
        </w:rPr>
        <w:t xml:space="preserve">rmino de caducidad pues </w:t>
      </w:r>
      <w:r w:rsidR="00D5088B">
        <w:rPr>
          <w:rFonts w:ascii="Arial" w:hAnsi="Arial" w:cs="Arial"/>
          <w:sz w:val="24"/>
          <w:szCs w:val="24"/>
        </w:rPr>
        <w:t xml:space="preserve">supuestamente </w:t>
      </w:r>
      <w:r w:rsidR="002D2CC9">
        <w:rPr>
          <w:rFonts w:ascii="Arial" w:hAnsi="Arial" w:cs="Arial"/>
          <w:sz w:val="24"/>
          <w:szCs w:val="24"/>
        </w:rPr>
        <w:t>aquella fue presentada un día después del plazo que tenía el demandante para acceder a la jurisdicción; no obstante lo cual, para la Sala</w:t>
      </w:r>
      <w:r w:rsidR="003815ED">
        <w:rPr>
          <w:rFonts w:ascii="Arial" w:hAnsi="Arial" w:cs="Arial"/>
          <w:sz w:val="24"/>
          <w:szCs w:val="24"/>
        </w:rPr>
        <w:t>,</w:t>
      </w:r>
      <w:r w:rsidR="002D2CC9">
        <w:rPr>
          <w:rFonts w:ascii="Arial" w:hAnsi="Arial" w:cs="Arial"/>
          <w:sz w:val="24"/>
          <w:szCs w:val="24"/>
        </w:rPr>
        <w:t xml:space="preserve"> la menci</w:t>
      </w:r>
      <w:r w:rsidR="00545EE6">
        <w:rPr>
          <w:rFonts w:ascii="Arial" w:hAnsi="Arial" w:cs="Arial"/>
          <w:sz w:val="24"/>
          <w:szCs w:val="24"/>
        </w:rPr>
        <w:t xml:space="preserve">onada solicitud sí lo suspendió, </w:t>
      </w:r>
      <w:r w:rsidR="00AC31A0">
        <w:rPr>
          <w:rFonts w:ascii="Arial" w:hAnsi="Arial" w:cs="Arial"/>
          <w:sz w:val="24"/>
          <w:szCs w:val="24"/>
        </w:rPr>
        <w:t>habida</w:t>
      </w:r>
      <w:r w:rsidR="002D2CC9">
        <w:rPr>
          <w:rFonts w:ascii="Arial" w:hAnsi="Arial" w:cs="Arial"/>
          <w:sz w:val="24"/>
          <w:szCs w:val="24"/>
        </w:rPr>
        <w:t xml:space="preserve"> cuenta que fue presentada cuando aquél aún estaba vigente, ello de conformidad con lo expresamente señalado en </w:t>
      </w:r>
      <w:r w:rsidR="003E2156">
        <w:rPr>
          <w:rFonts w:ascii="Arial" w:hAnsi="Arial" w:cs="Arial"/>
          <w:sz w:val="24"/>
          <w:szCs w:val="24"/>
        </w:rPr>
        <w:t>punto a</w:t>
      </w:r>
      <w:r w:rsidR="00D5088B">
        <w:rPr>
          <w:rFonts w:ascii="Arial" w:hAnsi="Arial" w:cs="Arial"/>
          <w:sz w:val="24"/>
          <w:szCs w:val="24"/>
        </w:rPr>
        <w:t xml:space="preserve"> las normas que regulan el acaecimiento de un</w:t>
      </w:r>
      <w:r w:rsidR="003E2156">
        <w:rPr>
          <w:rFonts w:ascii="Arial" w:hAnsi="Arial" w:cs="Arial"/>
          <w:sz w:val="24"/>
          <w:szCs w:val="24"/>
        </w:rPr>
        <w:t xml:space="preserve"> término </w:t>
      </w:r>
      <w:r w:rsidR="00D5088B">
        <w:rPr>
          <w:rFonts w:ascii="Arial" w:hAnsi="Arial" w:cs="Arial"/>
          <w:sz w:val="24"/>
          <w:szCs w:val="24"/>
        </w:rPr>
        <w:t xml:space="preserve">en </w:t>
      </w:r>
      <w:r w:rsidR="003E2156">
        <w:rPr>
          <w:rFonts w:ascii="Arial" w:hAnsi="Arial" w:cs="Arial"/>
          <w:sz w:val="24"/>
          <w:szCs w:val="24"/>
        </w:rPr>
        <w:t>un día inhábil</w:t>
      </w:r>
      <w:r w:rsidR="00281699">
        <w:rPr>
          <w:rFonts w:ascii="Arial" w:hAnsi="Arial" w:cs="Arial"/>
          <w:sz w:val="24"/>
          <w:szCs w:val="24"/>
        </w:rPr>
        <w:t>.</w:t>
      </w:r>
    </w:p>
    <w:p w:rsidR="003815ED" w:rsidRPr="00D5088B" w:rsidRDefault="003815ED" w:rsidP="003815ED">
      <w:pPr>
        <w:pStyle w:val="Sinespaciado"/>
        <w:rPr>
          <w:lang w:val="es-CO"/>
        </w:rPr>
      </w:pPr>
    </w:p>
    <w:p w:rsidR="00AC31A0" w:rsidRDefault="00AC31A0" w:rsidP="008C5B8F">
      <w:pPr>
        <w:overflowPunct w:val="0"/>
        <w:autoSpaceDE w:val="0"/>
        <w:autoSpaceDN w:val="0"/>
        <w:adjustRightInd w:val="0"/>
        <w:spacing w:after="0" w:line="360" w:lineRule="auto"/>
        <w:jc w:val="both"/>
        <w:textAlignment w:val="baseline"/>
        <w:rPr>
          <w:rFonts w:ascii="Arial" w:hAnsi="Arial" w:cs="Arial"/>
          <w:sz w:val="24"/>
        </w:rPr>
      </w:pPr>
      <w:r>
        <w:rPr>
          <w:rFonts w:ascii="Arial" w:hAnsi="Arial" w:cs="Arial"/>
          <w:sz w:val="24"/>
        </w:rPr>
        <w:t>En ese orden de ideas</w:t>
      </w:r>
      <w:r w:rsidR="008C5B8F" w:rsidRPr="00105F6C">
        <w:rPr>
          <w:rFonts w:ascii="Arial" w:hAnsi="Arial" w:cs="Arial"/>
          <w:sz w:val="24"/>
        </w:rPr>
        <w:t>, de acuerdo con lo previsto expresamente en las Leyes 446 de 1998 y 640 de 2001</w:t>
      </w:r>
      <w:r w:rsidR="008C5B8F" w:rsidRPr="00105F6C">
        <w:rPr>
          <w:rStyle w:val="Refdenotaalpie"/>
          <w:rFonts w:ascii="Arial" w:hAnsi="Arial" w:cs="Arial"/>
          <w:sz w:val="24"/>
        </w:rPr>
        <w:footnoteReference w:id="11"/>
      </w:r>
      <w:r w:rsidR="008C5B8F" w:rsidRPr="00105F6C">
        <w:rPr>
          <w:rFonts w:ascii="Arial" w:hAnsi="Arial" w:cs="Arial"/>
          <w:sz w:val="24"/>
        </w:rPr>
        <w:t xml:space="preserve">, el término de caducidad </w:t>
      </w:r>
      <w:r>
        <w:rPr>
          <w:rFonts w:ascii="Arial" w:hAnsi="Arial" w:cs="Arial"/>
          <w:sz w:val="24"/>
        </w:rPr>
        <w:t>fue suspendido con la presentación de la solicitud de conciliación extrajudicial, es decir, cuando faltaba 1 día para que expirara el plazo para demandar.</w:t>
      </w:r>
    </w:p>
    <w:p w:rsidR="006C55E5" w:rsidRDefault="006C55E5" w:rsidP="003B7A66">
      <w:pPr>
        <w:pStyle w:val="Sinespaciado"/>
      </w:pPr>
    </w:p>
    <w:p w:rsidR="00AC31A0" w:rsidRDefault="003E2156" w:rsidP="000D212E">
      <w:pPr>
        <w:spacing w:after="0" w:line="360" w:lineRule="auto"/>
        <w:jc w:val="both"/>
        <w:rPr>
          <w:rFonts w:ascii="Arial" w:hAnsi="Arial" w:cs="Arial"/>
          <w:sz w:val="24"/>
          <w:szCs w:val="24"/>
        </w:rPr>
      </w:pPr>
      <w:r>
        <w:rPr>
          <w:rFonts w:ascii="Arial" w:hAnsi="Arial" w:cs="Arial"/>
          <w:sz w:val="24"/>
          <w:szCs w:val="24"/>
        </w:rPr>
        <w:t>Ahora bien</w:t>
      </w:r>
      <w:r w:rsidR="006C55E5">
        <w:rPr>
          <w:rFonts w:ascii="Arial" w:hAnsi="Arial" w:cs="Arial"/>
          <w:sz w:val="24"/>
          <w:szCs w:val="24"/>
        </w:rPr>
        <w:t xml:space="preserve">, </w:t>
      </w:r>
      <w:r w:rsidR="00AC31A0">
        <w:rPr>
          <w:rFonts w:ascii="Arial" w:hAnsi="Arial" w:cs="Arial"/>
          <w:sz w:val="24"/>
          <w:szCs w:val="24"/>
        </w:rPr>
        <w:t>c</w:t>
      </w:r>
      <w:r w:rsidR="006C55E5">
        <w:rPr>
          <w:rFonts w:ascii="Arial" w:hAnsi="Arial" w:cs="Arial"/>
          <w:sz w:val="24"/>
          <w:szCs w:val="24"/>
        </w:rPr>
        <w:t xml:space="preserve">omoquiera que </w:t>
      </w:r>
      <w:r>
        <w:rPr>
          <w:rFonts w:ascii="Arial" w:hAnsi="Arial" w:cs="Arial"/>
          <w:sz w:val="24"/>
          <w:szCs w:val="24"/>
        </w:rPr>
        <w:t xml:space="preserve">transcurrieron 3 meses desde la presentación de la solicitud sin que, en ese término, se hubiere realizado la audiencia de conciliación extrajudicial, de conformidad con </w:t>
      </w:r>
      <w:r w:rsidR="00AC31A0">
        <w:rPr>
          <w:rFonts w:ascii="Arial" w:hAnsi="Arial" w:cs="Arial"/>
          <w:sz w:val="24"/>
          <w:szCs w:val="24"/>
        </w:rPr>
        <w:t>el art. 21 de la Ley 640 de 2001, deberá tenerse el 5 de enero de 2015</w:t>
      </w:r>
      <w:r w:rsidR="00015976">
        <w:rPr>
          <w:rFonts w:ascii="Arial" w:hAnsi="Arial" w:cs="Arial"/>
          <w:sz w:val="24"/>
          <w:szCs w:val="24"/>
        </w:rPr>
        <w:t xml:space="preserve"> como el</w:t>
      </w:r>
      <w:r w:rsidR="00AC31A0">
        <w:rPr>
          <w:rFonts w:ascii="Arial" w:hAnsi="Arial" w:cs="Arial"/>
          <w:sz w:val="24"/>
          <w:szCs w:val="24"/>
        </w:rPr>
        <w:t xml:space="preserve"> último día en</w:t>
      </w:r>
      <w:r w:rsidR="005E6543">
        <w:rPr>
          <w:rFonts w:ascii="Arial" w:hAnsi="Arial" w:cs="Arial"/>
          <w:sz w:val="24"/>
          <w:szCs w:val="24"/>
        </w:rPr>
        <w:t xml:space="preserve"> el</w:t>
      </w:r>
      <w:r w:rsidR="00AC31A0">
        <w:rPr>
          <w:rFonts w:ascii="Arial" w:hAnsi="Arial" w:cs="Arial"/>
          <w:sz w:val="24"/>
          <w:szCs w:val="24"/>
        </w:rPr>
        <w:t xml:space="preserve"> que estuvo suspendido el término de caducidad. </w:t>
      </w:r>
    </w:p>
    <w:p w:rsidR="00AC31A0" w:rsidRDefault="00AC31A0" w:rsidP="00AC31A0">
      <w:pPr>
        <w:pStyle w:val="Sinespaciado"/>
      </w:pPr>
    </w:p>
    <w:p w:rsidR="00BD6FBA" w:rsidRDefault="00BD6FBA" w:rsidP="000D212E">
      <w:pPr>
        <w:spacing w:after="0" w:line="360" w:lineRule="auto"/>
        <w:jc w:val="both"/>
        <w:rPr>
          <w:rFonts w:ascii="Arial" w:hAnsi="Arial" w:cs="Arial"/>
          <w:sz w:val="24"/>
          <w:szCs w:val="24"/>
        </w:rPr>
      </w:pPr>
      <w:r>
        <w:rPr>
          <w:rFonts w:ascii="Arial" w:hAnsi="Arial" w:cs="Arial"/>
          <w:sz w:val="24"/>
          <w:szCs w:val="24"/>
        </w:rPr>
        <w:t>No obstante lo a</w:t>
      </w:r>
      <w:r w:rsidR="003E2156">
        <w:rPr>
          <w:rFonts w:ascii="Arial" w:hAnsi="Arial" w:cs="Arial"/>
          <w:sz w:val="24"/>
          <w:szCs w:val="24"/>
        </w:rPr>
        <w:t>nterior</w:t>
      </w:r>
      <w:r w:rsidR="006C55E5">
        <w:rPr>
          <w:rFonts w:ascii="Arial" w:hAnsi="Arial" w:cs="Arial"/>
          <w:sz w:val="24"/>
          <w:szCs w:val="24"/>
        </w:rPr>
        <w:t xml:space="preserve">, </w:t>
      </w:r>
      <w:r w:rsidR="003E2156">
        <w:rPr>
          <w:rFonts w:ascii="Arial" w:hAnsi="Arial" w:cs="Arial"/>
          <w:sz w:val="24"/>
          <w:szCs w:val="24"/>
        </w:rPr>
        <w:t>si bien el término de caducidad se reanud</w:t>
      </w:r>
      <w:r>
        <w:rPr>
          <w:rFonts w:ascii="Arial" w:hAnsi="Arial" w:cs="Arial"/>
          <w:sz w:val="24"/>
          <w:szCs w:val="24"/>
        </w:rPr>
        <w:t>a</w:t>
      </w:r>
      <w:r w:rsidR="003E2156">
        <w:rPr>
          <w:rFonts w:ascii="Arial" w:hAnsi="Arial" w:cs="Arial"/>
          <w:sz w:val="24"/>
          <w:szCs w:val="24"/>
        </w:rPr>
        <w:t xml:space="preserve"> al día siguiente del vencimiento de los 3 meses para celebrar la diligencia conciliatoria, </w:t>
      </w:r>
      <w:r>
        <w:rPr>
          <w:rFonts w:ascii="Arial" w:hAnsi="Arial" w:cs="Arial"/>
          <w:sz w:val="24"/>
          <w:szCs w:val="24"/>
        </w:rPr>
        <w:t>esto sería, en principio</w:t>
      </w:r>
      <w:r w:rsidR="003E2156">
        <w:rPr>
          <w:rFonts w:ascii="Arial" w:hAnsi="Arial" w:cs="Arial"/>
          <w:sz w:val="24"/>
          <w:szCs w:val="24"/>
        </w:rPr>
        <w:t xml:space="preserve">, </w:t>
      </w:r>
      <w:r w:rsidR="00E94E75">
        <w:rPr>
          <w:rFonts w:ascii="Arial" w:hAnsi="Arial" w:cs="Arial"/>
          <w:sz w:val="24"/>
          <w:szCs w:val="24"/>
        </w:rPr>
        <w:t>el 6 de enero de 2015</w:t>
      </w:r>
      <w:r w:rsidR="003E2156">
        <w:rPr>
          <w:rFonts w:ascii="Arial" w:hAnsi="Arial" w:cs="Arial"/>
          <w:sz w:val="24"/>
          <w:szCs w:val="24"/>
        </w:rPr>
        <w:t xml:space="preserve">, lo cierto es que esta fecha </w:t>
      </w:r>
      <w:r w:rsidR="00E94E75">
        <w:rPr>
          <w:rFonts w:ascii="Arial" w:hAnsi="Arial" w:cs="Arial"/>
          <w:sz w:val="24"/>
          <w:szCs w:val="24"/>
        </w:rPr>
        <w:t xml:space="preserve">coincidió con el periodo de vacancia judicial, </w:t>
      </w:r>
      <w:r w:rsidR="003E2156">
        <w:rPr>
          <w:rFonts w:ascii="Arial" w:hAnsi="Arial" w:cs="Arial"/>
          <w:sz w:val="24"/>
          <w:szCs w:val="24"/>
        </w:rPr>
        <w:t xml:space="preserve">circunstancia por la que </w:t>
      </w:r>
      <w:r>
        <w:rPr>
          <w:rFonts w:ascii="Arial" w:hAnsi="Arial" w:cs="Arial"/>
          <w:sz w:val="24"/>
          <w:szCs w:val="24"/>
        </w:rPr>
        <w:t>ha de concluirse que aquél se</w:t>
      </w:r>
      <w:r w:rsidR="00D5088B">
        <w:rPr>
          <w:rFonts w:ascii="Arial" w:hAnsi="Arial" w:cs="Arial"/>
          <w:sz w:val="24"/>
          <w:szCs w:val="24"/>
        </w:rPr>
        <w:t xml:space="preserve"> reanudó el</w:t>
      </w:r>
      <w:r w:rsidR="00E94E75">
        <w:rPr>
          <w:rFonts w:ascii="Arial" w:hAnsi="Arial" w:cs="Arial"/>
          <w:sz w:val="24"/>
          <w:szCs w:val="24"/>
        </w:rPr>
        <w:t xml:space="preserve"> día hábil siguiente</w:t>
      </w:r>
      <w:r w:rsidR="00C71168">
        <w:rPr>
          <w:rFonts w:ascii="Arial" w:hAnsi="Arial" w:cs="Arial"/>
          <w:sz w:val="24"/>
          <w:szCs w:val="24"/>
        </w:rPr>
        <w:t xml:space="preserve"> –judicialmente hablando-</w:t>
      </w:r>
      <w:r w:rsidR="00582497">
        <w:rPr>
          <w:rStyle w:val="Refdenotaalpie"/>
          <w:rFonts w:ascii="Arial" w:hAnsi="Arial" w:cs="Arial"/>
          <w:sz w:val="24"/>
          <w:szCs w:val="24"/>
        </w:rPr>
        <w:footnoteReference w:id="12"/>
      </w:r>
      <w:r w:rsidR="00E94E75">
        <w:rPr>
          <w:rFonts w:ascii="Arial" w:hAnsi="Arial" w:cs="Arial"/>
          <w:sz w:val="24"/>
          <w:szCs w:val="24"/>
        </w:rPr>
        <w:t xml:space="preserve">, </w:t>
      </w:r>
      <w:r>
        <w:rPr>
          <w:rFonts w:ascii="Arial" w:hAnsi="Arial" w:cs="Arial"/>
          <w:sz w:val="24"/>
          <w:szCs w:val="24"/>
        </w:rPr>
        <w:t>esto es</w:t>
      </w:r>
      <w:r w:rsidR="00E94E75">
        <w:rPr>
          <w:rFonts w:ascii="Arial" w:hAnsi="Arial" w:cs="Arial"/>
          <w:sz w:val="24"/>
          <w:szCs w:val="24"/>
        </w:rPr>
        <w:t xml:space="preserve">, </w:t>
      </w:r>
      <w:r w:rsidR="006C55E5">
        <w:rPr>
          <w:rFonts w:ascii="Arial" w:hAnsi="Arial" w:cs="Arial"/>
          <w:sz w:val="24"/>
          <w:szCs w:val="24"/>
        </w:rPr>
        <w:t>el 12 de enero de 2016</w:t>
      </w:r>
      <w:r>
        <w:rPr>
          <w:rFonts w:ascii="Arial" w:hAnsi="Arial" w:cs="Arial"/>
          <w:sz w:val="24"/>
          <w:szCs w:val="24"/>
        </w:rPr>
        <w:t>.</w:t>
      </w:r>
    </w:p>
    <w:p w:rsidR="00BD6FBA" w:rsidRPr="00582497" w:rsidRDefault="00BD6FBA" w:rsidP="00BD6FBA">
      <w:pPr>
        <w:pStyle w:val="Sinespaciado"/>
        <w:rPr>
          <w:lang w:val="es-CO"/>
        </w:rPr>
      </w:pPr>
    </w:p>
    <w:p w:rsidR="006C55E5" w:rsidRPr="008C5B8F" w:rsidRDefault="00BD6FBA" w:rsidP="000D212E">
      <w:pPr>
        <w:spacing w:after="0" w:line="360" w:lineRule="auto"/>
        <w:jc w:val="both"/>
        <w:rPr>
          <w:rFonts w:ascii="Arial" w:hAnsi="Arial" w:cs="Arial"/>
          <w:sz w:val="24"/>
          <w:szCs w:val="24"/>
        </w:rPr>
      </w:pPr>
      <w:r>
        <w:rPr>
          <w:rFonts w:ascii="Arial" w:hAnsi="Arial" w:cs="Arial"/>
          <w:sz w:val="24"/>
          <w:szCs w:val="24"/>
        </w:rPr>
        <w:t>Así las cosas, una vez revisado el plenario, comoquiera que la demanda fue presentada</w:t>
      </w:r>
      <w:r w:rsidR="006C55E5">
        <w:rPr>
          <w:rFonts w:ascii="Arial" w:hAnsi="Arial" w:cs="Arial"/>
          <w:sz w:val="24"/>
          <w:szCs w:val="24"/>
        </w:rPr>
        <w:t xml:space="preserve"> </w:t>
      </w:r>
      <w:r w:rsidR="00E94E75">
        <w:rPr>
          <w:rFonts w:ascii="Arial" w:hAnsi="Arial" w:cs="Arial"/>
          <w:sz w:val="24"/>
          <w:szCs w:val="24"/>
        </w:rPr>
        <w:t>el 12 de enero de 2016</w:t>
      </w:r>
      <w:r w:rsidR="00E94E75">
        <w:rPr>
          <w:rStyle w:val="Refdenotaalpie"/>
          <w:rFonts w:ascii="Arial" w:hAnsi="Arial" w:cs="Arial"/>
          <w:sz w:val="24"/>
          <w:szCs w:val="24"/>
        </w:rPr>
        <w:footnoteReference w:id="13"/>
      </w:r>
      <w:r>
        <w:rPr>
          <w:rFonts w:ascii="Arial" w:hAnsi="Arial" w:cs="Arial"/>
          <w:sz w:val="24"/>
          <w:szCs w:val="24"/>
        </w:rPr>
        <w:t xml:space="preserve"> , forzoso es concluir que </w:t>
      </w:r>
      <w:r w:rsidR="003B4CE5">
        <w:rPr>
          <w:rFonts w:ascii="Arial" w:hAnsi="Arial" w:cs="Arial"/>
          <w:sz w:val="24"/>
          <w:szCs w:val="24"/>
        </w:rPr>
        <w:t xml:space="preserve">la misma fue oportuna, por lo que se revocará la providencia impugnada y se enviará </w:t>
      </w:r>
      <w:r>
        <w:rPr>
          <w:rFonts w:ascii="Arial" w:hAnsi="Arial" w:cs="Arial"/>
          <w:sz w:val="24"/>
          <w:szCs w:val="24"/>
        </w:rPr>
        <w:t xml:space="preserve">el proceso </w:t>
      </w:r>
      <w:r w:rsidR="003B4CE5">
        <w:rPr>
          <w:rFonts w:ascii="Arial" w:hAnsi="Arial" w:cs="Arial"/>
          <w:sz w:val="24"/>
          <w:szCs w:val="24"/>
        </w:rPr>
        <w:t xml:space="preserve">al </w:t>
      </w:r>
      <w:r w:rsidR="006C55E5">
        <w:rPr>
          <w:rFonts w:ascii="Arial" w:hAnsi="Arial" w:cs="Arial"/>
          <w:sz w:val="24"/>
          <w:szCs w:val="24"/>
        </w:rPr>
        <w:t xml:space="preserve">Tribunal de origen </w:t>
      </w:r>
      <w:r w:rsidR="003B4CE5">
        <w:rPr>
          <w:rFonts w:ascii="Arial" w:hAnsi="Arial" w:cs="Arial"/>
          <w:sz w:val="24"/>
          <w:szCs w:val="24"/>
        </w:rPr>
        <w:t xml:space="preserve">para que </w:t>
      </w:r>
      <w:r w:rsidR="006C55E5">
        <w:rPr>
          <w:rFonts w:ascii="Arial" w:hAnsi="Arial" w:cs="Arial"/>
          <w:sz w:val="24"/>
          <w:szCs w:val="24"/>
        </w:rPr>
        <w:t>le dé el trámite que corresponda.</w:t>
      </w:r>
    </w:p>
    <w:p w:rsidR="00707016" w:rsidRDefault="00707016" w:rsidP="00D525C6">
      <w:pPr>
        <w:pStyle w:val="Sinespaciado"/>
        <w:rPr>
          <w:lang w:val="es-CO"/>
        </w:rPr>
      </w:pPr>
    </w:p>
    <w:p w:rsidR="00940CC2" w:rsidRPr="00B01CB8" w:rsidRDefault="00940CC2" w:rsidP="00940CC2">
      <w:pPr>
        <w:pStyle w:val="Sinespaciado"/>
        <w:rPr>
          <w:rFonts w:ascii="Arial" w:hAnsi="Arial" w:cs="Arial"/>
          <w:b/>
        </w:rPr>
      </w:pPr>
      <w:r>
        <w:rPr>
          <w:rFonts w:ascii="Arial" w:hAnsi="Arial" w:cs="Arial"/>
          <w:b/>
        </w:rPr>
        <w:t>4</w:t>
      </w:r>
      <w:r w:rsidRPr="00B01CB8">
        <w:rPr>
          <w:rFonts w:ascii="Arial" w:hAnsi="Arial" w:cs="Arial"/>
          <w:b/>
        </w:rPr>
        <w:t>. Anotación final</w:t>
      </w:r>
    </w:p>
    <w:p w:rsidR="00940CC2" w:rsidRDefault="00940CC2" w:rsidP="00940CC2">
      <w:pPr>
        <w:pStyle w:val="Sinespaciado"/>
      </w:pPr>
    </w:p>
    <w:p w:rsidR="00940CC2" w:rsidRPr="00940CC2" w:rsidRDefault="00940CC2" w:rsidP="00940CC2">
      <w:pPr>
        <w:pStyle w:val="Sangradetextonormal"/>
        <w:spacing w:after="0" w:line="360" w:lineRule="auto"/>
        <w:ind w:left="0"/>
        <w:jc w:val="both"/>
        <w:rPr>
          <w:rFonts w:ascii="Arial" w:hAnsi="Arial" w:cs="Arial"/>
          <w:sz w:val="24"/>
        </w:rPr>
      </w:pPr>
      <w:r w:rsidRPr="00940CC2">
        <w:rPr>
          <w:rFonts w:ascii="Arial" w:hAnsi="Arial" w:cs="Arial"/>
          <w:sz w:val="24"/>
        </w:rPr>
        <w:t xml:space="preserve">Por último, comoquiera que </w:t>
      </w:r>
      <w:r w:rsidR="0015247D">
        <w:rPr>
          <w:rFonts w:ascii="Arial" w:hAnsi="Arial" w:cs="Arial"/>
          <w:sz w:val="24"/>
        </w:rPr>
        <w:t>se revoca</w:t>
      </w:r>
      <w:r w:rsidRPr="00940CC2">
        <w:rPr>
          <w:rFonts w:ascii="Arial" w:hAnsi="Arial" w:cs="Arial"/>
          <w:sz w:val="24"/>
        </w:rPr>
        <w:t>rá la provide</w:t>
      </w:r>
      <w:r w:rsidR="00D14BE9">
        <w:rPr>
          <w:rFonts w:ascii="Arial" w:hAnsi="Arial" w:cs="Arial"/>
          <w:sz w:val="24"/>
        </w:rPr>
        <w:t>ncia de primera instancia que rechazó la demanda por haber operado el fenómeno de la caducidad</w:t>
      </w:r>
      <w:r w:rsidRPr="00940CC2">
        <w:rPr>
          <w:rFonts w:ascii="Arial" w:hAnsi="Arial" w:cs="Arial"/>
          <w:sz w:val="24"/>
        </w:rPr>
        <w:t>, a la luz del pronunciamiento jurisprudencial relatado en el acápite de competencia</w:t>
      </w:r>
      <w:r w:rsidRPr="00940CC2">
        <w:rPr>
          <w:rStyle w:val="Refdenotaalpie"/>
          <w:rFonts w:ascii="Arial" w:hAnsi="Arial" w:cs="Arial"/>
          <w:sz w:val="24"/>
        </w:rPr>
        <w:footnoteReference w:id="14"/>
      </w:r>
      <w:r w:rsidRPr="00940CC2">
        <w:rPr>
          <w:rFonts w:ascii="Arial" w:hAnsi="Arial" w:cs="Arial"/>
          <w:sz w:val="24"/>
        </w:rPr>
        <w:t xml:space="preserve">, forzoso viene a ser que la decisión que resuelva el recurso de apelación deba ser adoptada por </w:t>
      </w:r>
      <w:r w:rsidR="00A255B6">
        <w:rPr>
          <w:rFonts w:ascii="Arial" w:hAnsi="Arial" w:cs="Arial"/>
          <w:sz w:val="24"/>
        </w:rPr>
        <w:t>el Despacho.</w:t>
      </w:r>
    </w:p>
    <w:p w:rsidR="00940CC2" w:rsidRPr="00A36270" w:rsidRDefault="00940CC2" w:rsidP="00940CC2">
      <w:pPr>
        <w:pStyle w:val="Sinespaciado"/>
      </w:pPr>
    </w:p>
    <w:p w:rsidR="0015247D" w:rsidRPr="0015247D" w:rsidRDefault="00940CC2" w:rsidP="0015247D">
      <w:pPr>
        <w:pStyle w:val="Sinespaciado"/>
        <w:spacing w:line="360" w:lineRule="auto"/>
        <w:jc w:val="both"/>
        <w:rPr>
          <w:rFonts w:ascii="Arial" w:hAnsi="Arial" w:cs="Arial"/>
          <w:color w:val="000000"/>
        </w:rPr>
      </w:pPr>
      <w:r>
        <w:rPr>
          <w:rFonts w:ascii="Arial" w:hAnsi="Arial" w:cs="Arial"/>
          <w:bCs/>
        </w:rPr>
        <w:t xml:space="preserve">No obstante lo anterior, </w:t>
      </w:r>
      <w:r w:rsidR="0015247D" w:rsidRPr="0015247D">
        <w:rPr>
          <w:rFonts w:ascii="Arial" w:hAnsi="Arial" w:cs="Arial"/>
        </w:rPr>
        <w:t xml:space="preserve">El Consejero Ponente aclara el voto en relación con la hermenéutica que se ha desprendido de un </w:t>
      </w:r>
      <w:r w:rsidR="0015247D" w:rsidRPr="0015247D">
        <w:rPr>
          <w:rFonts w:ascii="Arial" w:hAnsi="Arial" w:cs="Arial"/>
          <w:i/>
        </w:rPr>
        <w:t xml:space="preserve">obiter dictum </w:t>
      </w:r>
      <w:r w:rsidR="0015247D" w:rsidRPr="0015247D">
        <w:rPr>
          <w:rFonts w:ascii="Arial" w:hAnsi="Arial" w:cs="Arial"/>
        </w:rPr>
        <w:t xml:space="preserve">contenido en la providencia del 25 de junio de 2014 de Sala Plena (Rad. 49.299) </w:t>
      </w:r>
      <w:r w:rsidR="0015247D" w:rsidRPr="0015247D">
        <w:rPr>
          <w:rFonts w:ascii="Arial" w:hAnsi="Arial" w:cs="Arial"/>
          <w:color w:val="000000"/>
        </w:rPr>
        <w:t>que hace</w:t>
      </w:r>
      <w:r w:rsidR="0015247D">
        <w:rPr>
          <w:rFonts w:ascii="Arial" w:hAnsi="Arial" w:cs="Arial"/>
          <w:color w:val="000000"/>
        </w:rPr>
        <w:t xml:space="preserve"> </w:t>
      </w:r>
      <w:r w:rsidR="0015247D" w:rsidRPr="0015247D">
        <w:rPr>
          <w:rFonts w:ascii="Arial" w:hAnsi="Arial" w:cs="Arial"/>
          <w:color w:val="000000"/>
        </w:rPr>
        <w:t>depender la competencia para resolver la apelación de autos (nume</w:t>
      </w:r>
      <w:r w:rsidR="0015247D">
        <w:rPr>
          <w:rFonts w:ascii="Arial" w:hAnsi="Arial" w:cs="Arial"/>
          <w:color w:val="000000"/>
        </w:rPr>
        <w:t>rales 1</w:t>
      </w:r>
      <w:r w:rsidR="00D14BE9">
        <w:rPr>
          <w:rFonts w:ascii="Arial" w:hAnsi="Arial" w:cs="Arial"/>
          <w:color w:val="000000"/>
        </w:rPr>
        <w:t>°</w:t>
      </w:r>
      <w:r w:rsidR="0015247D">
        <w:rPr>
          <w:rFonts w:ascii="Arial" w:hAnsi="Arial" w:cs="Arial"/>
          <w:color w:val="000000"/>
        </w:rPr>
        <w:t xml:space="preserve"> a 4</w:t>
      </w:r>
      <w:r w:rsidR="00D14BE9">
        <w:rPr>
          <w:rFonts w:ascii="Arial" w:hAnsi="Arial" w:cs="Arial"/>
          <w:color w:val="000000"/>
        </w:rPr>
        <w:t>°</w:t>
      </w:r>
      <w:r w:rsidR="0015247D">
        <w:rPr>
          <w:rFonts w:ascii="Arial" w:hAnsi="Arial" w:cs="Arial"/>
          <w:color w:val="000000"/>
        </w:rPr>
        <w:t xml:space="preserve"> del artículo 243 de la Ley 1437 de 2011</w:t>
      </w:r>
      <w:r w:rsidR="0015247D" w:rsidRPr="0015247D">
        <w:rPr>
          <w:rFonts w:ascii="Arial" w:hAnsi="Arial" w:cs="Arial"/>
          <w:color w:val="000000"/>
        </w:rPr>
        <w:t>) de la decisión que se adopte –si pone fin o no al proceso–.</w:t>
      </w:r>
    </w:p>
    <w:p w:rsidR="0015247D" w:rsidRPr="0015247D" w:rsidRDefault="0015247D" w:rsidP="0015247D">
      <w:pPr>
        <w:pStyle w:val="Sinespaciado"/>
      </w:pPr>
    </w:p>
    <w:p w:rsidR="0015247D" w:rsidRPr="0015247D" w:rsidRDefault="0015247D" w:rsidP="00940CC2">
      <w:pPr>
        <w:pStyle w:val="Sinespaciado"/>
        <w:spacing w:line="360" w:lineRule="auto"/>
        <w:jc w:val="both"/>
        <w:rPr>
          <w:rFonts w:ascii="Arial" w:hAnsi="Arial" w:cs="Arial"/>
          <w:bCs/>
          <w:sz w:val="22"/>
        </w:rPr>
      </w:pPr>
      <w:r w:rsidRPr="0015247D">
        <w:rPr>
          <w:rFonts w:ascii="Arial" w:hAnsi="Arial" w:cs="Arial"/>
          <w:color w:val="000000"/>
          <w:szCs w:val="27"/>
        </w:rPr>
        <w:t>Esta hermenéutica genera una distorsión de las normas de competencia que son de orden público, inmutables e improrrogables por el juez o por las partes. En efecto, la competencia viene dada por la ley y, por tanto, el sentido de la decisión del fallador de segunda instancia no tiene la virtualidad de alterarla. Una lectura articulada</w:t>
      </w:r>
      <w:r>
        <w:rPr>
          <w:rFonts w:ascii="Arial" w:hAnsi="Arial" w:cs="Arial"/>
          <w:color w:val="000000"/>
          <w:szCs w:val="27"/>
        </w:rPr>
        <w:t xml:space="preserve"> de los artículos 125 y 243 de la Ley 1437 de 2011 </w:t>
      </w:r>
      <w:r w:rsidRPr="0015247D">
        <w:rPr>
          <w:rFonts w:ascii="Arial" w:hAnsi="Arial" w:cs="Arial"/>
          <w:color w:val="000000"/>
          <w:szCs w:val="27"/>
        </w:rPr>
        <w:t>lleva a concluir que los autos de que tratan los numerales 1</w:t>
      </w:r>
      <w:r w:rsidR="00FA7FA7">
        <w:rPr>
          <w:rFonts w:ascii="Arial" w:hAnsi="Arial" w:cs="Arial"/>
          <w:color w:val="000000"/>
          <w:szCs w:val="27"/>
        </w:rPr>
        <w:t>°</w:t>
      </w:r>
      <w:r w:rsidRPr="0015247D">
        <w:rPr>
          <w:rFonts w:ascii="Arial" w:hAnsi="Arial" w:cs="Arial"/>
          <w:color w:val="000000"/>
          <w:szCs w:val="27"/>
        </w:rPr>
        <w:t xml:space="preserve"> a 4</w:t>
      </w:r>
      <w:r w:rsidR="00FA7FA7">
        <w:rPr>
          <w:rFonts w:ascii="Arial" w:hAnsi="Arial" w:cs="Arial"/>
          <w:color w:val="000000"/>
          <w:szCs w:val="27"/>
        </w:rPr>
        <w:t>°</w:t>
      </w:r>
      <w:r w:rsidRPr="0015247D">
        <w:rPr>
          <w:rFonts w:ascii="Arial" w:hAnsi="Arial" w:cs="Arial"/>
          <w:color w:val="000000"/>
          <w:szCs w:val="27"/>
        </w:rPr>
        <w:t xml:space="preserve"> de la última disposición deben ser proferidos por la respectiva </w:t>
      </w:r>
      <w:r w:rsidR="00FA7FA7">
        <w:rPr>
          <w:rFonts w:ascii="Arial" w:hAnsi="Arial" w:cs="Arial"/>
          <w:color w:val="000000"/>
          <w:szCs w:val="27"/>
        </w:rPr>
        <w:t>Sala de D</w:t>
      </w:r>
      <w:r w:rsidRPr="0015247D">
        <w:rPr>
          <w:rFonts w:ascii="Arial" w:hAnsi="Arial" w:cs="Arial"/>
          <w:color w:val="000000"/>
          <w:szCs w:val="27"/>
        </w:rPr>
        <w:t>ecisión en primera y en segunda instancia, en todos los casos, con independencia de si se pone o no fin al proceso.</w:t>
      </w:r>
    </w:p>
    <w:p w:rsidR="0015247D" w:rsidRPr="0015247D" w:rsidRDefault="0015247D" w:rsidP="0015247D">
      <w:pPr>
        <w:pStyle w:val="Sinespaciado"/>
      </w:pPr>
    </w:p>
    <w:p w:rsidR="0015247D" w:rsidRDefault="0015247D" w:rsidP="0015247D">
      <w:pPr>
        <w:pStyle w:val="xmsobodytextindent"/>
        <w:shd w:val="clear" w:color="auto" w:fill="FFFFFF"/>
        <w:spacing w:before="0" w:beforeAutospacing="0" w:after="0" w:afterAutospacing="0" w:line="360" w:lineRule="auto"/>
        <w:jc w:val="both"/>
        <w:rPr>
          <w:rFonts w:ascii="Arial" w:hAnsi="Arial" w:cs="Arial"/>
          <w:color w:val="000000"/>
        </w:rPr>
      </w:pPr>
      <w:r>
        <w:rPr>
          <w:rFonts w:ascii="Arial" w:hAnsi="Arial" w:cs="Arial"/>
          <w:color w:val="000000"/>
        </w:rPr>
        <w:t xml:space="preserve">En ese sentido, es menester resaltar que la competencia para la resolución de los autos interlocutorios, comoquiera que se define </w:t>
      </w:r>
      <w:r w:rsidRPr="00BE1A68">
        <w:rPr>
          <w:rFonts w:ascii="Arial" w:hAnsi="Arial" w:cs="Arial"/>
          <w:i/>
          <w:color w:val="000000"/>
        </w:rPr>
        <w:t xml:space="preserve">a priori </w:t>
      </w:r>
      <w:r>
        <w:rPr>
          <w:rFonts w:ascii="Arial" w:hAnsi="Arial" w:cs="Arial"/>
          <w:color w:val="000000"/>
        </w:rPr>
        <w:t>por la Ley, debe supeditarse, para la segunda instancia, a la que fuera adoptada en la primera, sin que ella, como norma de orden público, pueda ser modificada en torno al contenido de la providencia que se emane.</w:t>
      </w:r>
    </w:p>
    <w:p w:rsidR="0015247D" w:rsidRDefault="0015247D" w:rsidP="0015247D">
      <w:pPr>
        <w:pStyle w:val="Sinespaciado"/>
      </w:pPr>
    </w:p>
    <w:p w:rsidR="00DB487A" w:rsidRPr="00DB487A" w:rsidRDefault="00DB487A" w:rsidP="00707016">
      <w:pPr>
        <w:overflowPunct w:val="0"/>
        <w:autoSpaceDE w:val="0"/>
        <w:autoSpaceDN w:val="0"/>
        <w:adjustRightInd w:val="0"/>
        <w:spacing w:after="0" w:line="360" w:lineRule="auto"/>
        <w:jc w:val="both"/>
        <w:rPr>
          <w:rFonts w:ascii="Arial" w:hAnsi="Arial" w:cs="Arial"/>
          <w:sz w:val="24"/>
        </w:rPr>
      </w:pPr>
      <w:r w:rsidRPr="00DB487A">
        <w:rPr>
          <w:rFonts w:ascii="Arial" w:hAnsi="Arial" w:cs="Arial"/>
          <w:sz w:val="24"/>
        </w:rPr>
        <w:t xml:space="preserve">En mérito de lo expuesto, </w:t>
      </w:r>
      <w:r w:rsidR="006E20DB">
        <w:rPr>
          <w:rFonts w:ascii="Arial" w:hAnsi="Arial" w:cs="Arial"/>
          <w:sz w:val="24"/>
        </w:rPr>
        <w:t>se</w:t>
      </w:r>
    </w:p>
    <w:p w:rsidR="00613186" w:rsidRDefault="00613186" w:rsidP="00247023">
      <w:pPr>
        <w:pStyle w:val="Sinespaciado"/>
      </w:pPr>
    </w:p>
    <w:p w:rsidR="00061087" w:rsidRPr="005E6BF8" w:rsidRDefault="00061087" w:rsidP="00D25FC4">
      <w:pPr>
        <w:spacing w:after="0" w:line="360" w:lineRule="auto"/>
        <w:jc w:val="center"/>
        <w:rPr>
          <w:rFonts w:ascii="Arial" w:hAnsi="Arial" w:cs="Arial"/>
          <w:b/>
          <w:sz w:val="24"/>
          <w:szCs w:val="24"/>
        </w:rPr>
      </w:pPr>
      <w:r w:rsidRPr="005E6BF8">
        <w:rPr>
          <w:rFonts w:ascii="Arial" w:hAnsi="Arial" w:cs="Arial"/>
          <w:b/>
          <w:sz w:val="24"/>
          <w:szCs w:val="24"/>
        </w:rPr>
        <w:t>R</w:t>
      </w:r>
      <w:r w:rsidR="004B73AC">
        <w:rPr>
          <w:rFonts w:ascii="Arial" w:hAnsi="Arial" w:cs="Arial"/>
          <w:b/>
          <w:sz w:val="24"/>
          <w:szCs w:val="24"/>
        </w:rPr>
        <w:t xml:space="preserve"> </w:t>
      </w:r>
      <w:r w:rsidRPr="005E6BF8">
        <w:rPr>
          <w:rFonts w:ascii="Arial" w:hAnsi="Arial" w:cs="Arial"/>
          <w:b/>
          <w:sz w:val="24"/>
          <w:szCs w:val="24"/>
        </w:rPr>
        <w:t>E</w:t>
      </w:r>
      <w:r w:rsidR="004B73AC">
        <w:rPr>
          <w:rFonts w:ascii="Arial" w:hAnsi="Arial" w:cs="Arial"/>
          <w:b/>
          <w:sz w:val="24"/>
          <w:szCs w:val="24"/>
        </w:rPr>
        <w:t xml:space="preserve"> </w:t>
      </w:r>
      <w:r w:rsidRPr="005E6BF8">
        <w:rPr>
          <w:rFonts w:ascii="Arial" w:hAnsi="Arial" w:cs="Arial"/>
          <w:b/>
          <w:sz w:val="24"/>
          <w:szCs w:val="24"/>
        </w:rPr>
        <w:t>S</w:t>
      </w:r>
      <w:r w:rsidR="004B73AC">
        <w:rPr>
          <w:rFonts w:ascii="Arial" w:hAnsi="Arial" w:cs="Arial"/>
          <w:b/>
          <w:sz w:val="24"/>
          <w:szCs w:val="24"/>
        </w:rPr>
        <w:t xml:space="preserve"> </w:t>
      </w:r>
      <w:r w:rsidRPr="005E6BF8">
        <w:rPr>
          <w:rFonts w:ascii="Arial" w:hAnsi="Arial" w:cs="Arial"/>
          <w:b/>
          <w:sz w:val="24"/>
          <w:szCs w:val="24"/>
        </w:rPr>
        <w:t>U</w:t>
      </w:r>
      <w:r w:rsidR="004B73AC">
        <w:rPr>
          <w:rFonts w:ascii="Arial" w:hAnsi="Arial" w:cs="Arial"/>
          <w:b/>
          <w:sz w:val="24"/>
          <w:szCs w:val="24"/>
        </w:rPr>
        <w:t xml:space="preserve"> </w:t>
      </w:r>
      <w:r w:rsidRPr="005E6BF8">
        <w:rPr>
          <w:rFonts w:ascii="Arial" w:hAnsi="Arial" w:cs="Arial"/>
          <w:b/>
          <w:sz w:val="24"/>
          <w:szCs w:val="24"/>
        </w:rPr>
        <w:t>E</w:t>
      </w:r>
      <w:r w:rsidR="004B73AC">
        <w:rPr>
          <w:rFonts w:ascii="Arial" w:hAnsi="Arial" w:cs="Arial"/>
          <w:b/>
          <w:sz w:val="24"/>
          <w:szCs w:val="24"/>
        </w:rPr>
        <w:t xml:space="preserve"> </w:t>
      </w:r>
      <w:r w:rsidRPr="005E6BF8">
        <w:rPr>
          <w:rFonts w:ascii="Arial" w:hAnsi="Arial" w:cs="Arial"/>
          <w:b/>
          <w:sz w:val="24"/>
          <w:szCs w:val="24"/>
        </w:rPr>
        <w:t>L</w:t>
      </w:r>
      <w:r w:rsidR="004B73AC">
        <w:rPr>
          <w:rFonts w:ascii="Arial" w:hAnsi="Arial" w:cs="Arial"/>
          <w:b/>
          <w:sz w:val="24"/>
          <w:szCs w:val="24"/>
        </w:rPr>
        <w:t xml:space="preserve"> </w:t>
      </w:r>
      <w:r w:rsidRPr="005E6BF8">
        <w:rPr>
          <w:rFonts w:ascii="Arial" w:hAnsi="Arial" w:cs="Arial"/>
          <w:b/>
          <w:sz w:val="24"/>
          <w:szCs w:val="24"/>
        </w:rPr>
        <w:t>V</w:t>
      </w:r>
      <w:r w:rsidR="004B73AC">
        <w:rPr>
          <w:rFonts w:ascii="Arial" w:hAnsi="Arial" w:cs="Arial"/>
          <w:b/>
          <w:sz w:val="24"/>
          <w:szCs w:val="24"/>
        </w:rPr>
        <w:t xml:space="preserve"> </w:t>
      </w:r>
      <w:r w:rsidRPr="005E6BF8">
        <w:rPr>
          <w:rFonts w:ascii="Arial" w:hAnsi="Arial" w:cs="Arial"/>
          <w:b/>
          <w:sz w:val="24"/>
          <w:szCs w:val="24"/>
        </w:rPr>
        <w:t>E:</w:t>
      </w:r>
    </w:p>
    <w:p w:rsidR="00FA7FA7" w:rsidRPr="00D25FC4" w:rsidRDefault="00FA7FA7" w:rsidP="00D25FC4">
      <w:pPr>
        <w:pStyle w:val="Sinespaciado"/>
      </w:pPr>
    </w:p>
    <w:p w:rsidR="00C01DBB" w:rsidRDefault="00061087" w:rsidP="00C01DBB">
      <w:pPr>
        <w:spacing w:after="0" w:line="360" w:lineRule="auto"/>
        <w:jc w:val="both"/>
        <w:rPr>
          <w:rFonts w:ascii="Arial" w:hAnsi="Arial" w:cs="Arial"/>
          <w:sz w:val="24"/>
          <w:szCs w:val="24"/>
        </w:rPr>
      </w:pPr>
      <w:r w:rsidRPr="005E6BF8">
        <w:rPr>
          <w:rFonts w:ascii="Arial" w:hAnsi="Arial" w:cs="Arial"/>
          <w:b/>
          <w:sz w:val="24"/>
          <w:szCs w:val="24"/>
        </w:rPr>
        <w:t xml:space="preserve">PRIMERO: </w:t>
      </w:r>
      <w:r w:rsidR="003B4CE5">
        <w:rPr>
          <w:rFonts w:ascii="Arial" w:hAnsi="Arial" w:cs="Arial"/>
          <w:b/>
          <w:sz w:val="24"/>
          <w:szCs w:val="24"/>
        </w:rPr>
        <w:t>REVOCAR</w:t>
      </w:r>
      <w:r w:rsidR="00C01DBB">
        <w:rPr>
          <w:rFonts w:ascii="Arial" w:hAnsi="Arial" w:cs="Arial"/>
          <w:b/>
          <w:sz w:val="24"/>
          <w:szCs w:val="24"/>
        </w:rPr>
        <w:t xml:space="preserve"> </w:t>
      </w:r>
      <w:r w:rsidR="00C01DBB" w:rsidRPr="00C01DBB">
        <w:rPr>
          <w:rFonts w:ascii="Arial" w:hAnsi="Arial" w:cs="Arial"/>
          <w:spacing w:val="2"/>
          <w:sz w:val="24"/>
          <w:szCs w:val="24"/>
        </w:rPr>
        <w:t xml:space="preserve">la providencia </w:t>
      </w:r>
      <w:r w:rsidR="00C01DBB">
        <w:rPr>
          <w:rFonts w:ascii="Arial" w:hAnsi="Arial" w:cs="Arial"/>
          <w:spacing w:val="2"/>
          <w:sz w:val="24"/>
          <w:szCs w:val="24"/>
        </w:rPr>
        <w:t>recurrida</w:t>
      </w:r>
      <w:r w:rsidR="00C01DBB">
        <w:rPr>
          <w:rFonts w:ascii="Arial" w:hAnsi="Arial" w:cs="Arial"/>
          <w:sz w:val="24"/>
          <w:szCs w:val="24"/>
        </w:rPr>
        <w:t xml:space="preserve">, esto es, la </w:t>
      </w:r>
      <w:r w:rsidR="00C01DBB" w:rsidRPr="00C01DBB">
        <w:rPr>
          <w:rFonts w:ascii="Arial" w:hAnsi="Arial" w:cs="Arial"/>
          <w:spacing w:val="2"/>
          <w:sz w:val="24"/>
          <w:szCs w:val="24"/>
        </w:rPr>
        <w:t>proferida</w:t>
      </w:r>
      <w:r w:rsidR="00C01DBB">
        <w:rPr>
          <w:rFonts w:ascii="Arial" w:hAnsi="Arial" w:cs="Arial"/>
          <w:spacing w:val="2"/>
          <w:sz w:val="24"/>
          <w:szCs w:val="24"/>
        </w:rPr>
        <w:t xml:space="preserve"> el </w:t>
      </w:r>
      <w:r w:rsidR="003B4CE5">
        <w:rPr>
          <w:rFonts w:ascii="Arial" w:hAnsi="Arial" w:cs="Arial"/>
          <w:sz w:val="24"/>
          <w:szCs w:val="24"/>
        </w:rPr>
        <w:t>27 de octubre de 2016</w:t>
      </w:r>
      <w:r w:rsidR="004B73AC">
        <w:rPr>
          <w:rFonts w:ascii="Arial" w:hAnsi="Arial" w:cs="Arial"/>
          <w:sz w:val="24"/>
          <w:szCs w:val="24"/>
        </w:rPr>
        <w:t xml:space="preserve"> </w:t>
      </w:r>
      <w:r w:rsidR="00C01DBB" w:rsidRPr="00C01DBB">
        <w:rPr>
          <w:rFonts w:ascii="Arial" w:hAnsi="Arial" w:cs="Arial"/>
          <w:sz w:val="24"/>
          <w:szCs w:val="24"/>
        </w:rPr>
        <w:t xml:space="preserve">por el Tribunal Administrativo </w:t>
      </w:r>
      <w:r w:rsidR="00C01DBB" w:rsidRPr="00C01DBB">
        <w:rPr>
          <w:rFonts w:ascii="Arial" w:hAnsi="Arial" w:cs="Arial"/>
          <w:spacing w:val="2"/>
          <w:sz w:val="24"/>
          <w:szCs w:val="24"/>
        </w:rPr>
        <w:t>de</w:t>
      </w:r>
      <w:r w:rsidR="003B4CE5">
        <w:rPr>
          <w:rFonts w:ascii="Arial" w:hAnsi="Arial" w:cs="Arial"/>
          <w:spacing w:val="2"/>
          <w:sz w:val="24"/>
          <w:szCs w:val="24"/>
        </w:rPr>
        <w:t xml:space="preserve"> Bolívar</w:t>
      </w:r>
      <w:r w:rsidR="00C01DBB">
        <w:rPr>
          <w:rFonts w:ascii="Arial" w:hAnsi="Arial" w:cs="Arial"/>
          <w:sz w:val="24"/>
          <w:szCs w:val="24"/>
        </w:rPr>
        <w:t xml:space="preserve">, </w:t>
      </w:r>
      <w:r w:rsidR="00C01DBB" w:rsidRPr="00C01DBB">
        <w:rPr>
          <w:rFonts w:ascii="Arial" w:hAnsi="Arial" w:cs="Arial"/>
          <w:sz w:val="24"/>
          <w:szCs w:val="24"/>
        </w:rPr>
        <w:t>de conformidad con las consideraciones expuestas en la parte motiva de esta providencia.</w:t>
      </w:r>
    </w:p>
    <w:p w:rsidR="005F2D4F" w:rsidRPr="004B73AC" w:rsidRDefault="005F2D4F" w:rsidP="005F2D4F">
      <w:pPr>
        <w:pStyle w:val="Sinespaciado"/>
        <w:rPr>
          <w:lang w:val="es-CO"/>
        </w:rPr>
      </w:pPr>
    </w:p>
    <w:p w:rsidR="00061087" w:rsidRPr="005E6BF8" w:rsidRDefault="00061087" w:rsidP="001868E1">
      <w:pPr>
        <w:pStyle w:val="Sinespaciado"/>
        <w:spacing w:line="360" w:lineRule="auto"/>
        <w:jc w:val="both"/>
        <w:rPr>
          <w:rFonts w:ascii="Arial" w:hAnsi="Arial" w:cs="Arial"/>
          <w:bCs/>
          <w:szCs w:val="22"/>
          <w:lang w:val="es-CO"/>
        </w:rPr>
      </w:pPr>
      <w:r w:rsidRPr="005E6BF8">
        <w:rPr>
          <w:rFonts w:ascii="Arial" w:hAnsi="Arial" w:cs="Arial"/>
          <w:b/>
          <w:bCs/>
        </w:rPr>
        <w:t xml:space="preserve">SEGUNDO: </w:t>
      </w:r>
      <w:r w:rsidR="00DD46DF" w:rsidRPr="005E6BF8">
        <w:rPr>
          <w:rFonts w:ascii="Arial" w:hAnsi="Arial" w:cs="Arial"/>
          <w:bCs/>
          <w:szCs w:val="22"/>
          <w:lang w:val="es-CO"/>
        </w:rPr>
        <w:t xml:space="preserve">Por secretaría, luego de ejecutoriado este proveído, </w:t>
      </w:r>
      <w:r w:rsidR="00DD46DF" w:rsidRPr="005E6BF8">
        <w:rPr>
          <w:rFonts w:ascii="Arial" w:hAnsi="Arial" w:cs="Arial"/>
          <w:b/>
          <w:bCs/>
          <w:szCs w:val="22"/>
          <w:lang w:val="es-CO"/>
        </w:rPr>
        <w:t>DEVU</w:t>
      </w:r>
      <w:r w:rsidR="006D511F">
        <w:rPr>
          <w:rFonts w:ascii="Arial" w:hAnsi="Arial" w:cs="Arial"/>
          <w:b/>
          <w:bCs/>
          <w:szCs w:val="22"/>
          <w:lang w:val="es-CO"/>
        </w:rPr>
        <w:t>É</w:t>
      </w:r>
      <w:r w:rsidR="00DD46DF" w:rsidRPr="005E6BF8">
        <w:rPr>
          <w:rFonts w:ascii="Arial" w:hAnsi="Arial" w:cs="Arial"/>
          <w:b/>
          <w:bCs/>
          <w:szCs w:val="22"/>
          <w:lang w:val="es-CO"/>
        </w:rPr>
        <w:t>LVASE</w:t>
      </w:r>
      <w:r w:rsidR="00DD46DF" w:rsidRPr="005E6BF8">
        <w:rPr>
          <w:rFonts w:ascii="Arial" w:hAnsi="Arial" w:cs="Arial"/>
          <w:bCs/>
          <w:szCs w:val="22"/>
          <w:lang w:val="es-CO"/>
        </w:rPr>
        <w:t xml:space="preserve"> el e</w:t>
      </w:r>
      <w:r w:rsidR="003B4CE5">
        <w:rPr>
          <w:rFonts w:ascii="Arial" w:hAnsi="Arial" w:cs="Arial"/>
          <w:bCs/>
          <w:szCs w:val="22"/>
          <w:lang w:val="es-CO"/>
        </w:rPr>
        <w:t>xpediente al Tribunal de origen para que le dé el trámite correspondiente.</w:t>
      </w:r>
    </w:p>
    <w:p w:rsidR="00A4091E" w:rsidRDefault="00A4091E" w:rsidP="00AF00AC">
      <w:pPr>
        <w:spacing w:after="0" w:line="360" w:lineRule="auto"/>
        <w:jc w:val="center"/>
        <w:rPr>
          <w:rFonts w:ascii="Arial" w:eastAsia="Times New Roman" w:hAnsi="Arial" w:cs="Arial"/>
          <w:b/>
          <w:bCs/>
          <w:sz w:val="24"/>
          <w:szCs w:val="24"/>
          <w:lang w:eastAsia="es-ES"/>
        </w:rPr>
      </w:pPr>
    </w:p>
    <w:p w:rsidR="004A00EA" w:rsidRPr="00C01DBB" w:rsidRDefault="004A00EA" w:rsidP="00AF00AC">
      <w:pPr>
        <w:spacing w:after="0" w:line="360" w:lineRule="auto"/>
        <w:jc w:val="center"/>
        <w:rPr>
          <w:rFonts w:ascii="Arial" w:eastAsia="Times New Roman" w:hAnsi="Arial" w:cs="Arial"/>
          <w:b/>
          <w:bCs/>
          <w:sz w:val="24"/>
          <w:szCs w:val="24"/>
          <w:lang w:eastAsia="es-ES"/>
        </w:rPr>
      </w:pPr>
    </w:p>
    <w:p w:rsidR="00061087" w:rsidRDefault="00E112FE" w:rsidP="008C6734">
      <w:pPr>
        <w:spacing w:after="0" w:line="360" w:lineRule="auto"/>
        <w:jc w:val="center"/>
        <w:rPr>
          <w:rFonts w:ascii="Arial" w:eastAsia="Times New Roman" w:hAnsi="Arial" w:cs="Arial"/>
          <w:b/>
          <w:bCs/>
          <w:sz w:val="24"/>
          <w:szCs w:val="24"/>
          <w:lang w:val="es-ES" w:eastAsia="es-ES"/>
        </w:rPr>
      </w:pPr>
      <w:r w:rsidRPr="005E6BF8">
        <w:rPr>
          <w:rFonts w:ascii="Arial" w:eastAsia="Times New Roman" w:hAnsi="Arial" w:cs="Arial"/>
          <w:b/>
          <w:bCs/>
          <w:sz w:val="24"/>
          <w:szCs w:val="24"/>
          <w:lang w:val="es-ES" w:eastAsia="es-ES"/>
        </w:rPr>
        <w:t>CÓPIESE</w:t>
      </w:r>
      <w:r w:rsidR="00061087" w:rsidRPr="005E6BF8">
        <w:rPr>
          <w:rFonts w:ascii="Arial" w:eastAsia="Times New Roman" w:hAnsi="Arial" w:cs="Arial"/>
          <w:b/>
          <w:bCs/>
          <w:sz w:val="24"/>
          <w:szCs w:val="24"/>
          <w:lang w:val="es-ES" w:eastAsia="es-ES"/>
        </w:rPr>
        <w:t xml:space="preserve">, </w:t>
      </w:r>
      <w:r w:rsidRPr="005E6BF8">
        <w:rPr>
          <w:rFonts w:ascii="Arial" w:eastAsia="Times New Roman" w:hAnsi="Arial" w:cs="Arial"/>
          <w:b/>
          <w:bCs/>
          <w:sz w:val="24"/>
          <w:szCs w:val="24"/>
          <w:lang w:val="es-ES" w:eastAsia="es-ES"/>
        </w:rPr>
        <w:t>NOTIFÍQUESE</w:t>
      </w:r>
      <w:r w:rsidR="00061087" w:rsidRPr="005E6BF8">
        <w:rPr>
          <w:rFonts w:ascii="Arial" w:eastAsia="Times New Roman" w:hAnsi="Arial" w:cs="Arial"/>
          <w:b/>
          <w:bCs/>
          <w:sz w:val="24"/>
          <w:szCs w:val="24"/>
          <w:lang w:val="es-ES" w:eastAsia="es-ES"/>
        </w:rPr>
        <w:t xml:space="preserve"> Y </w:t>
      </w:r>
      <w:r w:rsidRPr="005E6BF8">
        <w:rPr>
          <w:rFonts w:ascii="Arial" w:eastAsia="Times New Roman" w:hAnsi="Arial" w:cs="Arial"/>
          <w:b/>
          <w:bCs/>
          <w:sz w:val="24"/>
          <w:szCs w:val="24"/>
          <w:lang w:val="es-ES" w:eastAsia="es-ES"/>
        </w:rPr>
        <w:t>CÚMPLASE</w:t>
      </w:r>
    </w:p>
    <w:p w:rsidR="00D85174" w:rsidRDefault="00D85174" w:rsidP="008C6734">
      <w:pPr>
        <w:spacing w:after="0"/>
        <w:jc w:val="center"/>
        <w:rPr>
          <w:rFonts w:ascii="Arial" w:hAnsi="Arial" w:cs="Arial"/>
          <w:b/>
          <w:color w:val="000000"/>
          <w:sz w:val="24"/>
          <w:szCs w:val="24"/>
        </w:rPr>
      </w:pPr>
    </w:p>
    <w:p w:rsidR="00D85174" w:rsidRDefault="00D85174" w:rsidP="008C6734">
      <w:pPr>
        <w:spacing w:after="0"/>
        <w:jc w:val="center"/>
        <w:rPr>
          <w:rFonts w:ascii="Arial" w:hAnsi="Arial" w:cs="Arial"/>
          <w:b/>
          <w:color w:val="000000"/>
          <w:sz w:val="24"/>
          <w:szCs w:val="24"/>
        </w:rPr>
      </w:pPr>
    </w:p>
    <w:p w:rsidR="00D85174" w:rsidRDefault="00D85174" w:rsidP="008C6734">
      <w:pPr>
        <w:spacing w:after="0"/>
        <w:jc w:val="center"/>
        <w:rPr>
          <w:rFonts w:ascii="Arial" w:hAnsi="Arial" w:cs="Arial"/>
          <w:b/>
          <w:color w:val="000000"/>
          <w:sz w:val="24"/>
          <w:szCs w:val="24"/>
        </w:rPr>
      </w:pPr>
    </w:p>
    <w:p w:rsidR="00922095" w:rsidRDefault="00922095" w:rsidP="008C6734">
      <w:pPr>
        <w:spacing w:after="0"/>
        <w:jc w:val="center"/>
        <w:rPr>
          <w:rFonts w:ascii="Arial" w:hAnsi="Arial" w:cs="Arial"/>
          <w:b/>
          <w:color w:val="000000"/>
          <w:sz w:val="24"/>
          <w:szCs w:val="24"/>
        </w:rPr>
      </w:pPr>
    </w:p>
    <w:p w:rsidR="004B48D6" w:rsidRDefault="004B48D6" w:rsidP="008C6734">
      <w:pPr>
        <w:spacing w:after="0"/>
        <w:jc w:val="center"/>
        <w:rPr>
          <w:rFonts w:ascii="Arial" w:hAnsi="Arial" w:cs="Arial"/>
          <w:b/>
          <w:color w:val="000000"/>
          <w:sz w:val="24"/>
          <w:szCs w:val="24"/>
        </w:rPr>
      </w:pPr>
    </w:p>
    <w:p w:rsidR="00D85174" w:rsidRDefault="00D85174" w:rsidP="008C6734">
      <w:pPr>
        <w:spacing w:after="0"/>
        <w:jc w:val="center"/>
        <w:rPr>
          <w:rFonts w:ascii="Arial" w:hAnsi="Arial" w:cs="Arial"/>
          <w:b/>
          <w:color w:val="000000"/>
          <w:sz w:val="24"/>
          <w:szCs w:val="24"/>
        </w:rPr>
      </w:pPr>
    </w:p>
    <w:p w:rsidR="00D85174" w:rsidRDefault="00A4091E" w:rsidP="00922095">
      <w:pPr>
        <w:spacing w:after="0"/>
        <w:jc w:val="center"/>
        <w:rPr>
          <w:rFonts w:ascii="Arial" w:hAnsi="Arial" w:cs="Arial"/>
          <w:color w:val="000000"/>
          <w:sz w:val="24"/>
          <w:szCs w:val="24"/>
        </w:rPr>
      </w:pPr>
      <w:r w:rsidRPr="00A4091E">
        <w:rPr>
          <w:rFonts w:ascii="Arial" w:hAnsi="Arial" w:cs="Arial"/>
          <w:b/>
          <w:color w:val="000000"/>
          <w:sz w:val="24"/>
          <w:szCs w:val="24"/>
        </w:rPr>
        <w:t xml:space="preserve">HERNÁN ANDRADE RINCÓN                               </w:t>
      </w:r>
    </w:p>
    <w:p w:rsidR="00D85174" w:rsidRDefault="00D85174" w:rsidP="008C6734">
      <w:pPr>
        <w:pStyle w:val="Ttulo3"/>
        <w:spacing w:before="0" w:after="0" w:line="360" w:lineRule="auto"/>
        <w:jc w:val="center"/>
        <w:rPr>
          <w:rFonts w:ascii="Arial" w:hAnsi="Arial" w:cs="Arial"/>
          <w:color w:val="000000"/>
          <w:sz w:val="24"/>
          <w:szCs w:val="24"/>
        </w:rPr>
      </w:pPr>
    </w:p>
    <w:p w:rsidR="00D85174" w:rsidRPr="00D85174" w:rsidRDefault="00D85174" w:rsidP="00D85174"/>
    <w:p w:rsidR="00061087" w:rsidRPr="00A4091E" w:rsidRDefault="00061087" w:rsidP="00AF00AC">
      <w:pPr>
        <w:spacing w:after="0" w:line="360" w:lineRule="auto"/>
        <w:jc w:val="center"/>
        <w:rPr>
          <w:rFonts w:ascii="Arial" w:eastAsia="Times New Roman" w:hAnsi="Arial" w:cs="Arial"/>
          <w:b/>
          <w:bCs/>
          <w:sz w:val="24"/>
          <w:szCs w:val="24"/>
          <w:lang w:val="es-ES" w:eastAsia="es-ES"/>
        </w:rPr>
      </w:pPr>
    </w:p>
    <w:p w:rsidR="00F25AD8" w:rsidRDefault="00F25AD8" w:rsidP="00AF00AC">
      <w:pPr>
        <w:overflowPunct w:val="0"/>
        <w:autoSpaceDE w:val="0"/>
        <w:autoSpaceDN w:val="0"/>
        <w:adjustRightInd w:val="0"/>
        <w:spacing w:after="0" w:line="360" w:lineRule="auto"/>
        <w:textAlignment w:val="baseline"/>
        <w:rPr>
          <w:rFonts w:ascii="Arial" w:hAnsi="Arial" w:cs="Arial"/>
          <w:sz w:val="16"/>
          <w:szCs w:val="16"/>
        </w:rPr>
      </w:pPr>
    </w:p>
    <w:p w:rsidR="00242964" w:rsidRDefault="00242964" w:rsidP="00AF00AC">
      <w:pPr>
        <w:overflowPunct w:val="0"/>
        <w:autoSpaceDE w:val="0"/>
        <w:autoSpaceDN w:val="0"/>
        <w:adjustRightInd w:val="0"/>
        <w:spacing w:after="0" w:line="360" w:lineRule="auto"/>
        <w:textAlignment w:val="baseline"/>
        <w:rPr>
          <w:rFonts w:ascii="Arial" w:hAnsi="Arial" w:cs="Arial"/>
          <w:sz w:val="16"/>
          <w:szCs w:val="16"/>
        </w:rPr>
      </w:pPr>
    </w:p>
    <w:p w:rsidR="001202F5" w:rsidRDefault="001202F5" w:rsidP="00AF00AC">
      <w:pPr>
        <w:overflowPunct w:val="0"/>
        <w:autoSpaceDE w:val="0"/>
        <w:autoSpaceDN w:val="0"/>
        <w:adjustRightInd w:val="0"/>
        <w:spacing w:after="0" w:line="360" w:lineRule="auto"/>
        <w:textAlignment w:val="baseline"/>
        <w:rPr>
          <w:rFonts w:ascii="Arial" w:hAnsi="Arial" w:cs="Arial"/>
          <w:sz w:val="16"/>
          <w:szCs w:val="16"/>
        </w:rPr>
      </w:pPr>
    </w:p>
    <w:p w:rsidR="00922095" w:rsidRDefault="00922095" w:rsidP="00AF00AC">
      <w:pPr>
        <w:overflowPunct w:val="0"/>
        <w:autoSpaceDE w:val="0"/>
        <w:autoSpaceDN w:val="0"/>
        <w:adjustRightInd w:val="0"/>
        <w:spacing w:after="0" w:line="360" w:lineRule="auto"/>
        <w:textAlignment w:val="baseline"/>
        <w:rPr>
          <w:rFonts w:ascii="Arial" w:hAnsi="Arial" w:cs="Arial"/>
          <w:sz w:val="16"/>
          <w:szCs w:val="16"/>
        </w:rPr>
      </w:pPr>
    </w:p>
    <w:p w:rsidR="00922095" w:rsidRDefault="00922095" w:rsidP="00AF00AC">
      <w:pPr>
        <w:overflowPunct w:val="0"/>
        <w:autoSpaceDE w:val="0"/>
        <w:autoSpaceDN w:val="0"/>
        <w:adjustRightInd w:val="0"/>
        <w:spacing w:after="0" w:line="360" w:lineRule="auto"/>
        <w:textAlignment w:val="baseline"/>
        <w:rPr>
          <w:rFonts w:ascii="Arial" w:hAnsi="Arial" w:cs="Arial"/>
          <w:sz w:val="16"/>
          <w:szCs w:val="16"/>
        </w:rPr>
      </w:pPr>
    </w:p>
    <w:p w:rsidR="001202F5" w:rsidRDefault="001202F5" w:rsidP="00AF00AC">
      <w:pPr>
        <w:overflowPunct w:val="0"/>
        <w:autoSpaceDE w:val="0"/>
        <w:autoSpaceDN w:val="0"/>
        <w:adjustRightInd w:val="0"/>
        <w:spacing w:after="0" w:line="360" w:lineRule="auto"/>
        <w:textAlignment w:val="baseline"/>
        <w:rPr>
          <w:rFonts w:ascii="Arial" w:hAnsi="Arial" w:cs="Arial"/>
          <w:sz w:val="16"/>
          <w:szCs w:val="16"/>
        </w:rPr>
      </w:pPr>
    </w:p>
    <w:p w:rsidR="004B73AC" w:rsidRDefault="004B73AC" w:rsidP="00AF00AC">
      <w:pPr>
        <w:overflowPunct w:val="0"/>
        <w:autoSpaceDE w:val="0"/>
        <w:autoSpaceDN w:val="0"/>
        <w:adjustRightInd w:val="0"/>
        <w:spacing w:after="0" w:line="360" w:lineRule="auto"/>
        <w:textAlignment w:val="baseline"/>
        <w:rPr>
          <w:rFonts w:ascii="Arial" w:hAnsi="Arial" w:cs="Arial"/>
          <w:sz w:val="16"/>
          <w:szCs w:val="16"/>
        </w:rPr>
      </w:pPr>
    </w:p>
    <w:p w:rsidR="004B73AC" w:rsidRDefault="004B73AC" w:rsidP="00AF00AC">
      <w:pPr>
        <w:overflowPunct w:val="0"/>
        <w:autoSpaceDE w:val="0"/>
        <w:autoSpaceDN w:val="0"/>
        <w:adjustRightInd w:val="0"/>
        <w:spacing w:after="0" w:line="360" w:lineRule="auto"/>
        <w:textAlignment w:val="baseline"/>
        <w:rPr>
          <w:rFonts w:ascii="Arial" w:hAnsi="Arial" w:cs="Arial"/>
          <w:sz w:val="16"/>
          <w:szCs w:val="16"/>
        </w:rPr>
      </w:pPr>
    </w:p>
    <w:p w:rsidR="00472A4B" w:rsidRPr="00DD13E0" w:rsidRDefault="0068565B" w:rsidP="00AF00AC">
      <w:pPr>
        <w:overflowPunct w:val="0"/>
        <w:autoSpaceDE w:val="0"/>
        <w:autoSpaceDN w:val="0"/>
        <w:adjustRightInd w:val="0"/>
        <w:spacing w:after="0" w:line="360" w:lineRule="auto"/>
        <w:textAlignment w:val="baseline"/>
        <w:rPr>
          <w:rFonts w:ascii="Arial" w:eastAsia="Times New Roman" w:hAnsi="Arial" w:cs="Arial"/>
          <w:b/>
          <w:bCs/>
          <w:sz w:val="16"/>
          <w:szCs w:val="16"/>
          <w:lang w:val="es-ES" w:eastAsia="es-ES"/>
        </w:rPr>
      </w:pPr>
      <w:r w:rsidRPr="00DD13E0">
        <w:rPr>
          <w:rFonts w:ascii="Arial" w:hAnsi="Arial" w:cs="Arial"/>
          <w:sz w:val="16"/>
          <w:szCs w:val="16"/>
        </w:rPr>
        <w:t>NDCC</w:t>
      </w:r>
      <w:r w:rsidR="00DD46DF" w:rsidRPr="00DD13E0">
        <w:rPr>
          <w:rFonts w:ascii="Arial" w:hAnsi="Arial" w:cs="Arial"/>
          <w:sz w:val="16"/>
          <w:szCs w:val="16"/>
        </w:rPr>
        <w:t xml:space="preserve"> / C.</w:t>
      </w:r>
      <w:r w:rsidR="0050694A" w:rsidRPr="00DD13E0">
        <w:rPr>
          <w:rFonts w:ascii="Arial" w:hAnsi="Arial" w:cs="Arial"/>
          <w:sz w:val="16"/>
          <w:szCs w:val="16"/>
        </w:rPr>
        <w:t xml:space="preserve"> </w:t>
      </w:r>
      <w:r w:rsidR="00DD46DF" w:rsidRPr="00DD13E0">
        <w:rPr>
          <w:rFonts w:ascii="Arial" w:hAnsi="Arial" w:cs="Arial"/>
          <w:sz w:val="16"/>
          <w:szCs w:val="16"/>
        </w:rPr>
        <w:t>2</w:t>
      </w:r>
      <w:r w:rsidR="00457D9A">
        <w:rPr>
          <w:rFonts w:ascii="Arial" w:hAnsi="Arial" w:cs="Arial"/>
          <w:sz w:val="16"/>
          <w:szCs w:val="16"/>
        </w:rPr>
        <w:t xml:space="preserve"> </w:t>
      </w:r>
      <w:r w:rsidR="00061087" w:rsidRPr="00DD13E0">
        <w:rPr>
          <w:rFonts w:ascii="Arial" w:hAnsi="Arial" w:cs="Arial"/>
          <w:sz w:val="16"/>
          <w:szCs w:val="16"/>
        </w:rPr>
        <w:t xml:space="preserve">/ </w:t>
      </w:r>
      <w:r w:rsidR="003316C4" w:rsidRPr="00DD13E0">
        <w:rPr>
          <w:rFonts w:ascii="Arial" w:hAnsi="Arial" w:cs="Arial"/>
          <w:sz w:val="16"/>
          <w:szCs w:val="16"/>
        </w:rPr>
        <w:t xml:space="preserve">FLS. </w:t>
      </w:r>
      <w:r w:rsidR="004B73AC" w:rsidRPr="00DD13E0">
        <w:rPr>
          <w:rFonts w:ascii="Arial" w:hAnsi="Arial" w:cs="Arial"/>
          <w:sz w:val="16"/>
          <w:szCs w:val="16"/>
        </w:rPr>
        <w:t>1</w:t>
      </w:r>
      <w:r w:rsidR="00457D9A">
        <w:rPr>
          <w:rFonts w:ascii="Arial" w:hAnsi="Arial" w:cs="Arial"/>
          <w:sz w:val="16"/>
          <w:szCs w:val="16"/>
        </w:rPr>
        <w:t>88</w:t>
      </w:r>
      <w:r w:rsidR="004B73AC" w:rsidRPr="00DD13E0">
        <w:rPr>
          <w:rFonts w:ascii="Arial" w:hAnsi="Arial" w:cs="Arial"/>
          <w:sz w:val="16"/>
          <w:szCs w:val="16"/>
        </w:rPr>
        <w:t xml:space="preserve"> </w:t>
      </w:r>
      <w:r w:rsidR="002321DA" w:rsidRPr="00DD13E0">
        <w:rPr>
          <w:rFonts w:ascii="Arial" w:hAnsi="Arial" w:cs="Arial"/>
          <w:sz w:val="16"/>
          <w:szCs w:val="16"/>
        </w:rPr>
        <w:t xml:space="preserve">- </w:t>
      </w:r>
      <w:r w:rsidR="00922095">
        <w:rPr>
          <w:rFonts w:ascii="Arial" w:hAnsi="Arial" w:cs="Arial"/>
          <w:sz w:val="16"/>
          <w:szCs w:val="16"/>
        </w:rPr>
        <w:t>194</w:t>
      </w:r>
    </w:p>
    <w:sectPr w:rsidR="00472A4B" w:rsidRPr="00DD13E0" w:rsidSect="003B1C17">
      <w:headerReference w:type="default" r:id="rId11"/>
      <w:footerReference w:type="default" r:id="rId12"/>
      <w:pgSz w:w="12242" w:h="18722" w:code="119"/>
      <w:pgMar w:top="2268" w:right="1418" w:bottom="1418" w:left="1418" w:header="397"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0BA3" w:rsidRDefault="004E0BA3" w:rsidP="00061087">
      <w:pPr>
        <w:spacing w:after="0" w:line="240" w:lineRule="auto"/>
      </w:pPr>
      <w:r>
        <w:separator/>
      </w:r>
    </w:p>
  </w:endnote>
  <w:endnote w:type="continuationSeparator" w:id="0">
    <w:p w:rsidR="004E0BA3" w:rsidRDefault="004E0BA3" w:rsidP="000610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446" w:rsidRPr="00025394" w:rsidRDefault="00444446">
    <w:pPr>
      <w:pStyle w:val="Piedepgina"/>
      <w:jc w:val="center"/>
      <w:rPr>
        <w:rFonts w:ascii="Arial" w:hAnsi="Arial" w:cs="Arial"/>
        <w:sz w:val="24"/>
      </w:rPr>
    </w:pPr>
    <w:r w:rsidRPr="00025394">
      <w:rPr>
        <w:rFonts w:ascii="Arial" w:hAnsi="Arial" w:cs="Arial"/>
        <w:sz w:val="24"/>
      </w:rPr>
      <w:fldChar w:fldCharType="begin"/>
    </w:r>
    <w:r w:rsidRPr="00025394">
      <w:rPr>
        <w:rFonts w:ascii="Arial" w:hAnsi="Arial" w:cs="Arial"/>
        <w:sz w:val="24"/>
      </w:rPr>
      <w:instrText>PAGE   \* MERGEFORMAT</w:instrText>
    </w:r>
    <w:r w:rsidRPr="00025394">
      <w:rPr>
        <w:rFonts w:ascii="Arial" w:hAnsi="Arial" w:cs="Arial"/>
        <w:sz w:val="24"/>
      </w:rPr>
      <w:fldChar w:fldCharType="separate"/>
    </w:r>
    <w:r w:rsidR="00F92CA0" w:rsidRPr="00F92CA0">
      <w:rPr>
        <w:rFonts w:ascii="Arial" w:hAnsi="Arial" w:cs="Arial"/>
        <w:noProof/>
        <w:sz w:val="24"/>
        <w:lang w:val="es-ES"/>
      </w:rPr>
      <w:t>2</w:t>
    </w:r>
    <w:r w:rsidRPr="00025394">
      <w:rPr>
        <w:rFonts w:ascii="Arial" w:hAnsi="Arial" w:cs="Arial"/>
        <w:sz w:val="24"/>
      </w:rPr>
      <w:fldChar w:fldCharType="end"/>
    </w:r>
  </w:p>
  <w:p w:rsidR="00444446" w:rsidRDefault="0044444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0BA3" w:rsidRDefault="004E0BA3" w:rsidP="00061087">
      <w:pPr>
        <w:spacing w:after="0" w:line="240" w:lineRule="auto"/>
      </w:pPr>
      <w:r>
        <w:separator/>
      </w:r>
    </w:p>
  </w:footnote>
  <w:footnote w:type="continuationSeparator" w:id="0">
    <w:p w:rsidR="004E0BA3" w:rsidRDefault="004E0BA3" w:rsidP="00061087">
      <w:pPr>
        <w:spacing w:after="0" w:line="240" w:lineRule="auto"/>
      </w:pPr>
      <w:r>
        <w:continuationSeparator/>
      </w:r>
    </w:p>
  </w:footnote>
  <w:footnote w:id="1">
    <w:p w:rsidR="00361A7D" w:rsidRPr="00361A7D" w:rsidRDefault="00361A7D">
      <w:pPr>
        <w:pStyle w:val="Textonotapie"/>
        <w:rPr>
          <w:rFonts w:ascii="Arial" w:eastAsia="Batang" w:hAnsi="Arial" w:cs="Arial"/>
        </w:rPr>
      </w:pPr>
      <w:r w:rsidRPr="00361A7D">
        <w:rPr>
          <w:rStyle w:val="Refdenotaalpie"/>
          <w:rFonts w:ascii="Arial" w:eastAsia="Batang" w:hAnsi="Arial" w:cs="Arial"/>
        </w:rPr>
        <w:footnoteRef/>
      </w:r>
      <w:r w:rsidRPr="00361A7D">
        <w:rPr>
          <w:rFonts w:ascii="Arial" w:eastAsia="Batang" w:hAnsi="Arial" w:cs="Arial"/>
        </w:rPr>
        <w:t xml:space="preserve"> Folios 1 – 16 del cuaderno principal de primera instancia.</w:t>
      </w:r>
    </w:p>
  </w:footnote>
  <w:footnote w:id="2">
    <w:p w:rsidR="00444446" w:rsidRPr="00C047FC" w:rsidRDefault="00444446" w:rsidP="00C047FC">
      <w:pPr>
        <w:pStyle w:val="Textonotapie"/>
        <w:jc w:val="both"/>
        <w:rPr>
          <w:rFonts w:ascii="Arial" w:hAnsi="Arial" w:cs="Arial"/>
          <w:sz w:val="18"/>
          <w:szCs w:val="18"/>
        </w:rPr>
      </w:pPr>
      <w:r w:rsidRPr="00C047FC">
        <w:rPr>
          <w:rStyle w:val="Refdenotaalpie"/>
          <w:rFonts w:ascii="Arial" w:hAnsi="Arial" w:cs="Arial"/>
          <w:szCs w:val="18"/>
        </w:rPr>
        <w:footnoteRef/>
      </w:r>
      <w:r w:rsidRPr="00C047FC">
        <w:rPr>
          <w:rFonts w:ascii="Arial" w:hAnsi="Arial" w:cs="Arial"/>
          <w:szCs w:val="18"/>
        </w:rPr>
        <w:t xml:space="preserve"> F</w:t>
      </w:r>
      <w:r w:rsidR="008D37AD">
        <w:rPr>
          <w:rFonts w:ascii="Arial" w:hAnsi="Arial" w:cs="Arial"/>
          <w:szCs w:val="18"/>
        </w:rPr>
        <w:t>olio</w:t>
      </w:r>
      <w:r w:rsidR="0020133B">
        <w:rPr>
          <w:rFonts w:ascii="Arial" w:hAnsi="Arial" w:cs="Arial"/>
          <w:szCs w:val="18"/>
        </w:rPr>
        <w:t>s</w:t>
      </w:r>
      <w:r w:rsidR="008D37AD">
        <w:rPr>
          <w:rFonts w:ascii="Arial" w:hAnsi="Arial" w:cs="Arial"/>
          <w:szCs w:val="18"/>
        </w:rPr>
        <w:t xml:space="preserve"> 171</w:t>
      </w:r>
      <w:r w:rsidR="0020133B">
        <w:rPr>
          <w:rFonts w:ascii="Arial" w:hAnsi="Arial" w:cs="Arial"/>
          <w:szCs w:val="18"/>
        </w:rPr>
        <w:t xml:space="preserve"> - 172</w:t>
      </w:r>
      <w:r>
        <w:rPr>
          <w:rFonts w:ascii="Arial" w:hAnsi="Arial" w:cs="Arial"/>
          <w:szCs w:val="18"/>
        </w:rPr>
        <w:t xml:space="preserve"> </w:t>
      </w:r>
      <w:r w:rsidRPr="00C047FC">
        <w:rPr>
          <w:rFonts w:ascii="Arial" w:hAnsi="Arial" w:cs="Arial"/>
          <w:szCs w:val="18"/>
        </w:rPr>
        <w:t xml:space="preserve">del cuaderno </w:t>
      </w:r>
      <w:r>
        <w:rPr>
          <w:rFonts w:ascii="Arial" w:hAnsi="Arial" w:cs="Arial"/>
          <w:szCs w:val="18"/>
        </w:rPr>
        <w:t>de segunda instancia.</w:t>
      </w:r>
    </w:p>
  </w:footnote>
  <w:footnote w:id="3">
    <w:p w:rsidR="00444446" w:rsidRPr="009A379D" w:rsidRDefault="00444446" w:rsidP="009A379D">
      <w:pPr>
        <w:pStyle w:val="Sinespaciado"/>
        <w:jc w:val="both"/>
        <w:rPr>
          <w:rFonts w:ascii="Arial" w:hAnsi="Arial" w:cs="Arial"/>
          <w:sz w:val="20"/>
          <w:szCs w:val="20"/>
        </w:rPr>
      </w:pPr>
      <w:r w:rsidRPr="009A379D">
        <w:rPr>
          <w:rStyle w:val="Refdenotaalpie"/>
          <w:rFonts w:ascii="Arial" w:hAnsi="Arial" w:cs="Arial"/>
          <w:sz w:val="20"/>
          <w:szCs w:val="20"/>
        </w:rPr>
        <w:footnoteRef/>
      </w:r>
      <w:r w:rsidRPr="009A379D">
        <w:rPr>
          <w:rFonts w:ascii="Arial" w:hAnsi="Arial" w:cs="Arial"/>
          <w:sz w:val="20"/>
          <w:szCs w:val="20"/>
        </w:rPr>
        <w:t xml:space="preserve"> Folios 1</w:t>
      </w:r>
      <w:r w:rsidR="00357DB9">
        <w:rPr>
          <w:rFonts w:ascii="Arial" w:hAnsi="Arial" w:cs="Arial"/>
          <w:sz w:val="20"/>
          <w:szCs w:val="20"/>
        </w:rPr>
        <w:t>74</w:t>
      </w:r>
      <w:r w:rsidRPr="009A379D">
        <w:rPr>
          <w:rFonts w:ascii="Arial" w:hAnsi="Arial" w:cs="Arial"/>
          <w:sz w:val="20"/>
          <w:szCs w:val="20"/>
        </w:rPr>
        <w:t xml:space="preserve"> – </w:t>
      </w:r>
      <w:r w:rsidR="00357DB9">
        <w:rPr>
          <w:rFonts w:ascii="Arial" w:hAnsi="Arial" w:cs="Arial"/>
          <w:sz w:val="20"/>
          <w:szCs w:val="20"/>
        </w:rPr>
        <w:t>177</w:t>
      </w:r>
      <w:r w:rsidRPr="009A379D">
        <w:rPr>
          <w:rFonts w:ascii="Arial" w:hAnsi="Arial" w:cs="Arial"/>
          <w:sz w:val="20"/>
          <w:szCs w:val="20"/>
        </w:rPr>
        <w:t xml:space="preserve"> del cuaderno de segunda instancia.</w:t>
      </w:r>
    </w:p>
  </w:footnote>
  <w:footnote w:id="4">
    <w:p w:rsidR="00444446" w:rsidRPr="009A379D" w:rsidRDefault="00444446" w:rsidP="009A379D">
      <w:pPr>
        <w:pStyle w:val="Sinespaciado"/>
        <w:jc w:val="both"/>
        <w:rPr>
          <w:rFonts w:ascii="Arial" w:hAnsi="Arial" w:cs="Arial"/>
          <w:sz w:val="20"/>
          <w:szCs w:val="20"/>
        </w:rPr>
      </w:pPr>
      <w:r w:rsidRPr="009A379D">
        <w:rPr>
          <w:rStyle w:val="Refdenotaalpie"/>
          <w:rFonts w:ascii="Arial" w:hAnsi="Arial" w:cs="Arial"/>
          <w:sz w:val="20"/>
          <w:szCs w:val="20"/>
        </w:rPr>
        <w:footnoteRef/>
      </w:r>
      <w:r w:rsidR="000677B6">
        <w:rPr>
          <w:rFonts w:ascii="Arial" w:hAnsi="Arial" w:cs="Arial"/>
          <w:sz w:val="20"/>
          <w:szCs w:val="20"/>
        </w:rPr>
        <w:t xml:space="preserve"> Folio 184</w:t>
      </w:r>
      <w:r w:rsidRPr="009A379D">
        <w:rPr>
          <w:rFonts w:ascii="Arial" w:hAnsi="Arial" w:cs="Arial"/>
          <w:sz w:val="20"/>
          <w:szCs w:val="20"/>
        </w:rPr>
        <w:t xml:space="preserve"> del cuaderno de segunda instancia.</w:t>
      </w:r>
    </w:p>
  </w:footnote>
  <w:footnote w:id="5">
    <w:p w:rsidR="00444446" w:rsidRPr="007B09E8" w:rsidRDefault="00444446" w:rsidP="007B09E8">
      <w:pPr>
        <w:pStyle w:val="Sinespaciado"/>
        <w:jc w:val="both"/>
        <w:rPr>
          <w:rFonts w:ascii="Arial" w:hAnsi="Arial" w:cs="Arial"/>
          <w:sz w:val="20"/>
          <w:szCs w:val="20"/>
        </w:rPr>
      </w:pPr>
      <w:r w:rsidRPr="007B09E8">
        <w:rPr>
          <w:rStyle w:val="Refdenotaalpie"/>
          <w:rFonts w:ascii="Arial" w:hAnsi="Arial" w:cs="Arial"/>
          <w:sz w:val="20"/>
          <w:szCs w:val="20"/>
        </w:rPr>
        <w:footnoteRef/>
      </w:r>
      <w:r w:rsidRPr="007B09E8">
        <w:rPr>
          <w:rFonts w:ascii="Arial" w:hAnsi="Arial" w:cs="Arial"/>
          <w:sz w:val="20"/>
          <w:szCs w:val="20"/>
        </w:rPr>
        <w:t xml:space="preserve"> Ley 1564 de 2012, </w:t>
      </w:r>
      <w:r>
        <w:rPr>
          <w:rFonts w:ascii="Arial" w:hAnsi="Arial" w:cs="Arial"/>
          <w:sz w:val="20"/>
          <w:szCs w:val="20"/>
        </w:rPr>
        <w:t>s</w:t>
      </w:r>
      <w:r w:rsidRPr="007B09E8">
        <w:rPr>
          <w:rFonts w:ascii="Arial" w:hAnsi="Arial" w:cs="Arial"/>
          <w:sz w:val="20"/>
          <w:szCs w:val="20"/>
        </w:rPr>
        <w:t>egún el criterio hermenéutico fijado en auto de Sala Plena de la Sección Tercera de esta Corporación</w:t>
      </w:r>
      <w:r>
        <w:rPr>
          <w:rFonts w:ascii="Arial" w:hAnsi="Arial" w:cs="Arial"/>
          <w:sz w:val="20"/>
          <w:szCs w:val="20"/>
        </w:rPr>
        <w:t xml:space="preserve"> del pasado 25 de junio de 2014. C.P. Enrique Gil Botero, e</w:t>
      </w:r>
      <w:r w:rsidRPr="007B09E8">
        <w:rPr>
          <w:rFonts w:ascii="Arial" w:hAnsi="Arial" w:cs="Arial"/>
          <w:sz w:val="20"/>
          <w:szCs w:val="20"/>
        </w:rPr>
        <w:t>xpediente 49</w:t>
      </w:r>
      <w:r>
        <w:rPr>
          <w:rFonts w:ascii="Arial" w:hAnsi="Arial" w:cs="Arial"/>
          <w:sz w:val="20"/>
          <w:szCs w:val="20"/>
        </w:rPr>
        <w:t>.</w:t>
      </w:r>
      <w:r w:rsidRPr="007B09E8">
        <w:rPr>
          <w:rFonts w:ascii="Arial" w:hAnsi="Arial" w:cs="Arial"/>
          <w:sz w:val="20"/>
          <w:szCs w:val="20"/>
        </w:rPr>
        <w:t xml:space="preserve">299, en el cual, en virtud del principio del efecto útil de las normas, se llegó a la siguiente conclusión: </w:t>
      </w:r>
      <w:r w:rsidRPr="00352127">
        <w:rPr>
          <w:rFonts w:ascii="Arial" w:hAnsi="Arial" w:cs="Arial"/>
          <w:i/>
          <w:sz w:val="20"/>
          <w:szCs w:val="20"/>
        </w:rPr>
        <w:t>“En consecuencia, el Despacho fija su hermenéutica en relación con la entrada en vigencia de la Ley 1564 de 2012, para señalar que su aplicación plena en la jurisdicción de lo Contencioso Administrativo, así como en materia arbitral relacionada con temas estatales es a partir del 1° de enero de 2014”</w:t>
      </w:r>
      <w:r>
        <w:rPr>
          <w:rFonts w:ascii="Arial" w:hAnsi="Arial" w:cs="Arial"/>
          <w:sz w:val="20"/>
          <w:szCs w:val="20"/>
        </w:rPr>
        <w:t>, c</w:t>
      </w:r>
      <w:r w:rsidRPr="007B09E8">
        <w:rPr>
          <w:rFonts w:ascii="Arial" w:hAnsi="Arial" w:cs="Arial"/>
          <w:sz w:val="20"/>
          <w:szCs w:val="20"/>
        </w:rPr>
        <w:t>omoquiera que la juris</w:t>
      </w:r>
      <w:r>
        <w:rPr>
          <w:rFonts w:ascii="Arial" w:hAnsi="Arial" w:cs="Arial"/>
          <w:sz w:val="20"/>
          <w:szCs w:val="20"/>
        </w:rPr>
        <w:t>dicción de lo contencioso a</w:t>
      </w:r>
      <w:r w:rsidRPr="007B09E8">
        <w:rPr>
          <w:rFonts w:ascii="Arial" w:hAnsi="Arial" w:cs="Arial"/>
          <w:sz w:val="20"/>
          <w:szCs w:val="20"/>
        </w:rPr>
        <w:t>dministrativo desde la expedición de la Ley 1437 de 2011 cuenta con la implementación del sistema mixto –</w:t>
      </w:r>
      <w:r w:rsidRPr="007B09E8">
        <w:rPr>
          <w:rFonts w:ascii="Arial" w:hAnsi="Arial" w:cs="Arial"/>
          <w:i/>
          <w:sz w:val="20"/>
          <w:szCs w:val="20"/>
        </w:rPr>
        <w:t>principalmente oral</w:t>
      </w:r>
      <w:r w:rsidRPr="007B09E8">
        <w:rPr>
          <w:rFonts w:ascii="Arial" w:hAnsi="Arial" w:cs="Arial"/>
          <w:sz w:val="20"/>
          <w:szCs w:val="20"/>
        </w:rPr>
        <w:t>-, resultaría carente de armonía dejar de aplicar el Código General del Proceso desde su entrada en vigencia, esto es, el 1 de enero de 2014, dado que ya existen las condiciones físicas y logísticas para ello.</w:t>
      </w:r>
    </w:p>
  </w:footnote>
  <w:footnote w:id="6">
    <w:p w:rsidR="00940CC2" w:rsidRPr="00F40A68" w:rsidRDefault="00940CC2" w:rsidP="00940CC2">
      <w:pPr>
        <w:pStyle w:val="Textonotapie"/>
        <w:jc w:val="both"/>
        <w:rPr>
          <w:rFonts w:ascii="Arial" w:hAnsi="Arial" w:cs="Arial"/>
          <w:sz w:val="18"/>
          <w:szCs w:val="18"/>
        </w:rPr>
      </w:pPr>
      <w:r w:rsidRPr="00F40A68">
        <w:rPr>
          <w:rStyle w:val="Refdenotaalpie"/>
          <w:rFonts w:ascii="Arial" w:hAnsi="Arial" w:cs="Arial"/>
        </w:rPr>
        <w:footnoteRef/>
      </w:r>
      <w:r w:rsidRPr="00F40A68">
        <w:rPr>
          <w:rFonts w:ascii="Arial" w:hAnsi="Arial" w:cs="Arial"/>
        </w:rPr>
        <w:t xml:space="preserve"> Providencia de Sala Plena del Consejo de Estado de 25 de junio de 2014, número de radicación 250002336000201200395 01 (49</w:t>
      </w:r>
      <w:r>
        <w:rPr>
          <w:rFonts w:ascii="Arial" w:hAnsi="Arial" w:cs="Arial"/>
        </w:rPr>
        <w:t>.</w:t>
      </w:r>
      <w:r w:rsidRPr="00F40A68">
        <w:rPr>
          <w:rFonts w:ascii="Arial" w:hAnsi="Arial" w:cs="Arial"/>
        </w:rPr>
        <w:t>299)</w:t>
      </w:r>
      <w:r>
        <w:rPr>
          <w:rFonts w:ascii="Arial" w:hAnsi="Arial" w:cs="Arial"/>
        </w:rPr>
        <w:t>.</w:t>
      </w:r>
      <w:r w:rsidRPr="00F40A68">
        <w:rPr>
          <w:rFonts w:ascii="Arial" w:hAnsi="Arial" w:cs="Arial"/>
        </w:rPr>
        <w:t xml:space="preserve"> M.P. Doctor Enrique Gil Botero. Dte: Cafesalud EPS S.A. Ddo: Nación – Ministerio de Salud y de la Protección Social.</w:t>
      </w:r>
    </w:p>
  </w:footnote>
  <w:footnote w:id="7">
    <w:p w:rsidR="0021553C" w:rsidRPr="001F6022" w:rsidRDefault="0021553C" w:rsidP="001F6022">
      <w:pPr>
        <w:pStyle w:val="Sinespaciado"/>
        <w:jc w:val="both"/>
        <w:rPr>
          <w:rFonts w:ascii="Arial" w:hAnsi="Arial" w:cs="Arial"/>
          <w:sz w:val="20"/>
          <w:szCs w:val="20"/>
        </w:rPr>
      </w:pPr>
      <w:r w:rsidRPr="001F6022">
        <w:rPr>
          <w:rStyle w:val="Refdenotaalpie"/>
          <w:rFonts w:ascii="Arial" w:hAnsi="Arial" w:cs="Arial"/>
          <w:sz w:val="20"/>
          <w:szCs w:val="20"/>
        </w:rPr>
        <w:footnoteRef/>
      </w:r>
      <w:r w:rsidRPr="001F6022">
        <w:rPr>
          <w:rFonts w:ascii="Arial" w:hAnsi="Arial" w:cs="Arial"/>
          <w:sz w:val="20"/>
          <w:szCs w:val="20"/>
        </w:rPr>
        <w:t xml:space="preserve"> Folios 130 – 136 del cuaderno principal de primera instancia.</w:t>
      </w:r>
    </w:p>
  </w:footnote>
  <w:footnote w:id="8">
    <w:p w:rsidR="008C5B8F" w:rsidRPr="001F6022" w:rsidRDefault="008C5B8F" w:rsidP="001F6022">
      <w:pPr>
        <w:pStyle w:val="Sinespaciado"/>
        <w:jc w:val="both"/>
        <w:rPr>
          <w:rFonts w:ascii="Arial" w:hAnsi="Arial" w:cs="Arial"/>
          <w:i/>
          <w:sz w:val="20"/>
          <w:szCs w:val="20"/>
        </w:rPr>
      </w:pPr>
      <w:r w:rsidRPr="001F6022">
        <w:rPr>
          <w:rStyle w:val="Refdenotaalpie"/>
          <w:rFonts w:ascii="Arial" w:hAnsi="Arial" w:cs="Arial"/>
          <w:sz w:val="20"/>
          <w:szCs w:val="20"/>
        </w:rPr>
        <w:footnoteRef/>
      </w:r>
      <w:r w:rsidRPr="001F6022">
        <w:rPr>
          <w:rFonts w:ascii="Arial" w:hAnsi="Arial" w:cs="Arial"/>
          <w:sz w:val="20"/>
          <w:szCs w:val="20"/>
        </w:rPr>
        <w:t xml:space="preserve"> Ley 4 de 1913, Artículo 62. </w:t>
      </w:r>
      <w:r w:rsidRPr="001F6022">
        <w:rPr>
          <w:rFonts w:ascii="Arial" w:hAnsi="Arial" w:cs="Arial"/>
          <w:i/>
          <w:sz w:val="20"/>
          <w:szCs w:val="20"/>
        </w:rPr>
        <w:t>“</w:t>
      </w:r>
      <w:r w:rsidRPr="001F6022">
        <w:rPr>
          <w:rFonts w:ascii="Arial" w:hAnsi="Arial" w:cs="Arial"/>
          <w:i/>
          <w:sz w:val="20"/>
          <w:szCs w:val="20"/>
          <w:shd w:val="clear" w:color="auto" w:fill="FFFFFF"/>
        </w:rPr>
        <w:t xml:space="preserve">En los plazos de días que se señalen en las leyes y actos oficiales, se entienden suprimidos los feriados y de vacantes, a menos de expresarse lo contrario. Los de meses y años se computan según el calendario; </w:t>
      </w:r>
      <w:r w:rsidRPr="001F6022">
        <w:rPr>
          <w:rFonts w:ascii="Arial" w:hAnsi="Arial" w:cs="Arial"/>
          <w:b/>
          <w:i/>
          <w:sz w:val="20"/>
          <w:szCs w:val="20"/>
          <w:shd w:val="clear" w:color="auto" w:fill="FFFFFF"/>
        </w:rPr>
        <w:t>pero si el último día fuere feriado o de vacante, se extenderá el plazo hasta el primer día hábil</w:t>
      </w:r>
      <w:r w:rsidRPr="001F6022">
        <w:rPr>
          <w:rFonts w:ascii="Arial" w:hAnsi="Arial" w:cs="Arial"/>
          <w:i/>
          <w:sz w:val="20"/>
          <w:szCs w:val="20"/>
          <w:shd w:val="clear" w:color="auto" w:fill="FFFFFF"/>
        </w:rPr>
        <w:t>”.</w:t>
      </w:r>
    </w:p>
  </w:footnote>
  <w:footnote w:id="9">
    <w:p w:rsidR="0057720C" w:rsidRPr="0057720C" w:rsidRDefault="0057720C" w:rsidP="0057720C">
      <w:pPr>
        <w:pStyle w:val="Sinespaciado"/>
        <w:jc w:val="both"/>
        <w:rPr>
          <w:rFonts w:ascii="Arial" w:hAnsi="Arial" w:cs="Arial"/>
          <w:sz w:val="20"/>
          <w:szCs w:val="20"/>
        </w:rPr>
      </w:pPr>
      <w:r w:rsidRPr="0057720C">
        <w:rPr>
          <w:rStyle w:val="Refdenotaalpie"/>
          <w:rFonts w:ascii="Arial" w:hAnsi="Arial" w:cs="Arial"/>
          <w:sz w:val="20"/>
          <w:szCs w:val="20"/>
        </w:rPr>
        <w:footnoteRef/>
      </w:r>
      <w:r w:rsidRPr="0057720C">
        <w:rPr>
          <w:rFonts w:ascii="Arial" w:hAnsi="Arial" w:cs="Arial"/>
          <w:sz w:val="20"/>
          <w:szCs w:val="20"/>
        </w:rPr>
        <w:t xml:space="preserve"> “</w:t>
      </w:r>
      <w:r w:rsidRPr="0057720C">
        <w:rPr>
          <w:rFonts w:ascii="Arial" w:hAnsi="Arial" w:cs="Arial"/>
          <w:i/>
          <w:sz w:val="20"/>
          <w:szCs w:val="20"/>
        </w:rPr>
        <w:t xml:space="preserve">Cómputo de términos. (…) Cuando el término sea de meses o de años, su vencimiento tendrá lugar el mismo día que empezó a correr del correspondiente mes o año. Si este no tiene ese día, el término vencerá el último día del respectivo mes o año. </w:t>
      </w:r>
      <w:r w:rsidRPr="0057720C">
        <w:rPr>
          <w:rFonts w:ascii="Arial" w:hAnsi="Arial" w:cs="Arial"/>
          <w:b/>
          <w:i/>
          <w:sz w:val="20"/>
          <w:szCs w:val="20"/>
        </w:rPr>
        <w:t>Si su vencimiento ocurre en día inhábil se extenderá hasta el primer día hábil siguiente</w:t>
      </w:r>
      <w:r w:rsidRPr="0057720C">
        <w:rPr>
          <w:rFonts w:ascii="Arial" w:hAnsi="Arial" w:cs="Arial"/>
          <w:i/>
          <w:sz w:val="20"/>
          <w:szCs w:val="20"/>
        </w:rPr>
        <w:t>”.</w:t>
      </w:r>
    </w:p>
  </w:footnote>
  <w:footnote w:id="10">
    <w:p w:rsidR="00BA06D0" w:rsidRPr="00582497" w:rsidRDefault="00BA06D0" w:rsidP="00582497">
      <w:pPr>
        <w:pStyle w:val="Sinespaciado"/>
        <w:jc w:val="both"/>
        <w:rPr>
          <w:rFonts w:ascii="Arial" w:hAnsi="Arial" w:cs="Arial"/>
          <w:sz w:val="20"/>
          <w:szCs w:val="20"/>
        </w:rPr>
      </w:pPr>
      <w:r w:rsidRPr="00582497">
        <w:rPr>
          <w:rStyle w:val="Refdenotaalpie"/>
          <w:rFonts w:ascii="Arial" w:hAnsi="Arial" w:cs="Arial"/>
          <w:sz w:val="20"/>
          <w:szCs w:val="20"/>
        </w:rPr>
        <w:footnoteRef/>
      </w:r>
      <w:r w:rsidRPr="00582497">
        <w:rPr>
          <w:rFonts w:ascii="Arial" w:hAnsi="Arial" w:cs="Arial"/>
          <w:sz w:val="20"/>
          <w:szCs w:val="20"/>
        </w:rPr>
        <w:t xml:space="preserve"> Folio 17 del cuaderno principal de primera instancia.</w:t>
      </w:r>
    </w:p>
  </w:footnote>
  <w:footnote w:id="11">
    <w:p w:rsidR="008C5B8F" w:rsidRPr="00582497" w:rsidRDefault="008C5B8F" w:rsidP="00582497">
      <w:pPr>
        <w:pStyle w:val="Sinespaciado"/>
        <w:jc w:val="both"/>
        <w:rPr>
          <w:rFonts w:ascii="Arial" w:hAnsi="Arial" w:cs="Arial"/>
          <w:sz w:val="20"/>
          <w:szCs w:val="20"/>
        </w:rPr>
      </w:pPr>
      <w:r w:rsidRPr="00582497">
        <w:rPr>
          <w:rStyle w:val="Refdenotaalpie"/>
          <w:rFonts w:ascii="Arial" w:hAnsi="Arial" w:cs="Arial"/>
          <w:sz w:val="20"/>
          <w:szCs w:val="20"/>
        </w:rPr>
        <w:footnoteRef/>
      </w:r>
      <w:bookmarkStart w:id="1" w:name="21"/>
      <w:r w:rsidRPr="00582497">
        <w:rPr>
          <w:rFonts w:ascii="Arial" w:hAnsi="Arial" w:cs="Arial"/>
          <w:sz w:val="20"/>
          <w:szCs w:val="20"/>
        </w:rPr>
        <w:t>Artículo 21. Suspensión de la prescripción o de la caducidad.</w:t>
      </w:r>
      <w:bookmarkEnd w:id="1"/>
      <w:r w:rsidRPr="00582497">
        <w:rPr>
          <w:rStyle w:val="apple-converted-space"/>
          <w:rFonts w:ascii="Arial" w:hAnsi="Arial" w:cs="Arial"/>
          <w:sz w:val="20"/>
          <w:szCs w:val="20"/>
        </w:rPr>
        <w:t> </w:t>
      </w:r>
      <w:r w:rsidRPr="00582497">
        <w:rPr>
          <w:rFonts w:ascii="Arial" w:hAnsi="Arial" w:cs="Arial"/>
          <w:sz w:val="20"/>
          <w:szCs w:val="20"/>
        </w:rPr>
        <w:t>La presentación de la solicitud de conciliación extrajudicial en derecho ante el conciliador suspende el término de prescripción o de caducidad, según el caso, hasta que se logre el acuerdo conciliatorio o hasta que el acta de conciliación se haya registrado en los casos en que este trámite sea exigido por la ley o hasta que se expidan las constancias a que se refiere el artículo</w:t>
      </w:r>
      <w:r w:rsidRPr="00582497">
        <w:rPr>
          <w:rStyle w:val="apple-converted-space"/>
          <w:rFonts w:ascii="Arial" w:hAnsi="Arial" w:cs="Arial"/>
          <w:sz w:val="20"/>
          <w:szCs w:val="20"/>
        </w:rPr>
        <w:t> </w:t>
      </w:r>
      <w:hyperlink r:id="rId1" w:anchor="2" w:history="1">
        <w:r w:rsidRPr="00582497">
          <w:rPr>
            <w:rStyle w:val="Hipervnculo"/>
            <w:rFonts w:ascii="Arial" w:hAnsi="Arial" w:cs="Arial"/>
            <w:color w:val="auto"/>
            <w:sz w:val="20"/>
            <w:szCs w:val="20"/>
            <w:u w:val="none"/>
          </w:rPr>
          <w:t>2</w:t>
        </w:r>
      </w:hyperlink>
      <w:r w:rsidRPr="00582497">
        <w:rPr>
          <w:rFonts w:ascii="Arial" w:hAnsi="Arial" w:cs="Arial"/>
          <w:sz w:val="20"/>
          <w:szCs w:val="20"/>
        </w:rPr>
        <w:t>o. de la presente ley o hasta que se venza el término de tres (3) meses a que se refiere el artículo anterior, lo que ocurra primero. Esta suspensión operará por una sola vez y será improrrogable.</w:t>
      </w:r>
    </w:p>
  </w:footnote>
  <w:footnote w:id="12">
    <w:p w:rsidR="00582497" w:rsidRPr="00582497" w:rsidRDefault="00582497" w:rsidP="00582497">
      <w:pPr>
        <w:pStyle w:val="Sinespaciado"/>
        <w:jc w:val="both"/>
        <w:rPr>
          <w:rFonts w:ascii="Arial" w:hAnsi="Arial" w:cs="Arial"/>
          <w:sz w:val="20"/>
          <w:szCs w:val="20"/>
        </w:rPr>
      </w:pPr>
      <w:r w:rsidRPr="00582497">
        <w:rPr>
          <w:rStyle w:val="Refdenotaalpie"/>
          <w:rFonts w:ascii="Arial" w:hAnsi="Arial" w:cs="Arial"/>
          <w:sz w:val="20"/>
          <w:szCs w:val="20"/>
        </w:rPr>
        <w:footnoteRef/>
      </w:r>
      <w:r w:rsidRPr="00582497">
        <w:rPr>
          <w:rFonts w:ascii="Arial" w:hAnsi="Arial" w:cs="Arial"/>
          <w:sz w:val="20"/>
          <w:szCs w:val="20"/>
        </w:rPr>
        <w:t xml:space="preserve"> Se reitera, de conformidad con el art. 62 de la ley 4 de 1913.</w:t>
      </w:r>
    </w:p>
  </w:footnote>
  <w:footnote w:id="13">
    <w:p w:rsidR="00E94E75" w:rsidRPr="00E94E75" w:rsidRDefault="00E94E75" w:rsidP="00582497">
      <w:pPr>
        <w:pStyle w:val="Sinespaciado"/>
        <w:jc w:val="both"/>
      </w:pPr>
      <w:r w:rsidRPr="00582497">
        <w:rPr>
          <w:rStyle w:val="Refdenotaalpie"/>
          <w:rFonts w:ascii="Arial" w:hAnsi="Arial" w:cs="Arial"/>
          <w:sz w:val="20"/>
          <w:szCs w:val="20"/>
        </w:rPr>
        <w:footnoteRef/>
      </w:r>
      <w:r w:rsidRPr="00582497">
        <w:rPr>
          <w:rFonts w:ascii="Arial" w:hAnsi="Arial" w:cs="Arial"/>
          <w:sz w:val="20"/>
          <w:szCs w:val="20"/>
        </w:rPr>
        <w:t xml:space="preserve"> De conformidad con el sello de recibido del Tribunal a quo obrante a folio 16 del cuaderno principal de primera instancia.</w:t>
      </w:r>
    </w:p>
  </w:footnote>
  <w:footnote w:id="14">
    <w:p w:rsidR="00940CC2" w:rsidRPr="008D0280" w:rsidRDefault="00940CC2" w:rsidP="00940CC2">
      <w:pPr>
        <w:pStyle w:val="Textonotapie"/>
        <w:jc w:val="both"/>
        <w:rPr>
          <w:rFonts w:ascii="Arial" w:hAnsi="Arial" w:cs="Arial"/>
        </w:rPr>
      </w:pPr>
      <w:r w:rsidRPr="008D0280">
        <w:rPr>
          <w:rStyle w:val="Refdenotaalpie"/>
          <w:rFonts w:ascii="Arial" w:hAnsi="Arial" w:cs="Arial"/>
        </w:rPr>
        <w:footnoteRef/>
      </w:r>
      <w:r w:rsidRPr="008D0280">
        <w:rPr>
          <w:rFonts w:ascii="Arial" w:hAnsi="Arial" w:cs="Arial"/>
        </w:rPr>
        <w:t xml:space="preserve"> Providencia de Sala Plena del Consejo de Estado de 25 de junio de 2014, número de radicación 250002336000201200395 01 (49299), M.P. Doctor Enrique Gil Botero. Dte: Cafesalud EPS S.A. Ddo: Nación – Ministerio de Salud y de la Protección Social.</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446" w:rsidRDefault="00FA12A4" w:rsidP="00006D94">
    <w:pPr>
      <w:pStyle w:val="Encabezado"/>
      <w:tabs>
        <w:tab w:val="clear" w:pos="4419"/>
        <w:tab w:val="clear" w:pos="8838"/>
        <w:tab w:val="center" w:pos="4703"/>
      </w:tabs>
      <w:spacing w:line="240" w:lineRule="auto"/>
    </w:pPr>
    <w:r>
      <w:rPr>
        <w:noProof/>
        <w:lang w:val="en-US"/>
      </w:rPr>
      <mc:AlternateContent>
        <mc:Choice Requires="wps">
          <w:drawing>
            <wp:anchor distT="0" distB="0" distL="114300" distR="114300" simplePos="0" relativeHeight="251657728" behindDoc="0" locked="0" layoutInCell="1" allowOverlap="1">
              <wp:simplePos x="0" y="0"/>
              <wp:positionH relativeFrom="column">
                <wp:posOffset>2806065</wp:posOffset>
              </wp:positionH>
              <wp:positionV relativeFrom="paragraph">
                <wp:posOffset>214630</wp:posOffset>
              </wp:positionV>
              <wp:extent cx="3189605" cy="712470"/>
              <wp:effectExtent l="0" t="0" r="0" b="0"/>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9605" cy="7124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4446" w:rsidRPr="00C51521" w:rsidRDefault="00444446" w:rsidP="00DD46DF">
                          <w:pPr>
                            <w:pStyle w:val="Encabezado"/>
                            <w:spacing w:after="0" w:line="240" w:lineRule="auto"/>
                            <w:ind w:left="-142"/>
                            <w:rPr>
                              <w:rFonts w:ascii="Arial" w:hAnsi="Arial" w:cs="Arial"/>
                              <w:i/>
                              <w:spacing w:val="-3"/>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220.95pt;margin-top:16.9pt;width:251.15pt;height:56.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" stroked="f">
              <v:textbox>
                <w:txbxContent>
                  <w:p w:rsidR="00444446" w:rsidRPr="00C51521" w:rsidRDefault="00444446" w:rsidP="00DD46DF">
                    <w:pPr>
                      <w:pStyle w:val="Encabezado"/>
                      <w:spacing w:after="0" w:line="240" w:lineRule="auto"/>
                      <w:ind w:left="-142"/>
                      <w:rPr>
                        <w:rFonts w:ascii="Arial" w:hAnsi="Arial" w:cs="Arial"/>
                        <w:i/>
                        <w:spacing w:val="-3"/>
                        <w:sz w:val="16"/>
                        <w:szCs w:val="16"/>
                      </w:rPr>
                    </w:pPr>
                  </w:p>
                </w:txbxContent>
              </v:textbox>
            </v:shape>
          </w:pict>
        </mc:Fallback>
      </mc:AlternateContent>
    </w:r>
    <w:r w:rsidR="00006D94">
      <w:tab/>
    </w:r>
  </w:p>
  <w:p w:rsidR="00444446" w:rsidRDefault="00444446" w:rsidP="009161D2">
    <w:pPr>
      <w:pStyle w:val="Encabezado"/>
      <w:tabs>
        <w:tab w:val="clear" w:pos="8838"/>
        <w:tab w:val="right" w:pos="8840"/>
      </w:tabs>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393E7E"/>
    <w:multiLevelType w:val="hybridMultilevel"/>
    <w:tmpl w:val="EFAE72AC"/>
    <w:lvl w:ilvl="0" w:tplc="1EECBCF0">
      <w:start w:val="1"/>
      <w:numFmt w:val="upperRoman"/>
      <w:lvlText w:val="%1."/>
      <w:lvlJc w:val="left"/>
      <w:pPr>
        <w:ind w:left="1080" w:hanging="72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 w15:restartNumberingAfterBreak="0">
    <w:nsid w:val="59F024FA"/>
    <w:multiLevelType w:val="hybridMultilevel"/>
    <w:tmpl w:val="0150BCDC"/>
    <w:lvl w:ilvl="0" w:tplc="CA4EC188">
      <w:start w:val="1"/>
      <w:numFmt w:val="decimal"/>
      <w:lvlText w:val="%1."/>
      <w:lvlJc w:val="left"/>
      <w:pPr>
        <w:ind w:left="720" w:hanging="360"/>
      </w:pPr>
      <w:rPr>
        <w:rFonts w:eastAsia="Times New Roman"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62442466"/>
    <w:multiLevelType w:val="hybridMultilevel"/>
    <w:tmpl w:val="4E4ADB6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67E45D79"/>
    <w:multiLevelType w:val="hybridMultilevel"/>
    <w:tmpl w:val="12DE2FCC"/>
    <w:lvl w:ilvl="0" w:tplc="9DC295B6">
      <w:numFmt w:val="bullet"/>
      <w:lvlText w:val="-"/>
      <w:lvlJc w:val="left"/>
      <w:pPr>
        <w:ind w:left="720"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7D6967BC"/>
    <w:multiLevelType w:val="hybridMultilevel"/>
    <w:tmpl w:val="FC0AA96E"/>
    <w:lvl w:ilvl="0" w:tplc="FC5E2D44">
      <w:numFmt w:val="bullet"/>
      <w:lvlText w:val="-"/>
      <w:lvlJc w:val="left"/>
      <w:pPr>
        <w:ind w:left="720" w:hanging="360"/>
      </w:pPr>
      <w:rPr>
        <w:rFonts w:ascii="Century Gothic" w:eastAsia="Calibri" w:hAnsi="Century Gothic" w:cs="Tahoma"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087"/>
    <w:rsid w:val="000034B3"/>
    <w:rsid w:val="0000352F"/>
    <w:rsid w:val="00005FBA"/>
    <w:rsid w:val="000060E7"/>
    <w:rsid w:val="00006773"/>
    <w:rsid w:val="00006CB6"/>
    <w:rsid w:val="00006D94"/>
    <w:rsid w:val="00011EBF"/>
    <w:rsid w:val="0001273B"/>
    <w:rsid w:val="000128F2"/>
    <w:rsid w:val="00014A17"/>
    <w:rsid w:val="00015976"/>
    <w:rsid w:val="000171F2"/>
    <w:rsid w:val="00023E97"/>
    <w:rsid w:val="00025394"/>
    <w:rsid w:val="000253EC"/>
    <w:rsid w:val="00032201"/>
    <w:rsid w:val="00032C67"/>
    <w:rsid w:val="0003340B"/>
    <w:rsid w:val="0003591D"/>
    <w:rsid w:val="000363E7"/>
    <w:rsid w:val="00042D06"/>
    <w:rsid w:val="0004447B"/>
    <w:rsid w:val="00045F2A"/>
    <w:rsid w:val="00050847"/>
    <w:rsid w:val="00051B21"/>
    <w:rsid w:val="000532D3"/>
    <w:rsid w:val="00053DD1"/>
    <w:rsid w:val="00053F2D"/>
    <w:rsid w:val="000553A4"/>
    <w:rsid w:val="00060C3B"/>
    <w:rsid w:val="00061087"/>
    <w:rsid w:val="0006247C"/>
    <w:rsid w:val="00066030"/>
    <w:rsid w:val="000677B6"/>
    <w:rsid w:val="0007163A"/>
    <w:rsid w:val="00081902"/>
    <w:rsid w:val="00082865"/>
    <w:rsid w:val="000835CE"/>
    <w:rsid w:val="000878A4"/>
    <w:rsid w:val="00087A3A"/>
    <w:rsid w:val="00092BAF"/>
    <w:rsid w:val="000962DC"/>
    <w:rsid w:val="00096E7D"/>
    <w:rsid w:val="000A7D56"/>
    <w:rsid w:val="000B258D"/>
    <w:rsid w:val="000B3AEF"/>
    <w:rsid w:val="000C556C"/>
    <w:rsid w:val="000D0B41"/>
    <w:rsid w:val="000D212E"/>
    <w:rsid w:val="000D3006"/>
    <w:rsid w:val="000D6FBF"/>
    <w:rsid w:val="000E6209"/>
    <w:rsid w:val="000F374E"/>
    <w:rsid w:val="000F3FE9"/>
    <w:rsid w:val="000F64CA"/>
    <w:rsid w:val="00100D8B"/>
    <w:rsid w:val="00103634"/>
    <w:rsid w:val="001103BB"/>
    <w:rsid w:val="0011487D"/>
    <w:rsid w:val="001202F5"/>
    <w:rsid w:val="001205B2"/>
    <w:rsid w:val="00121B64"/>
    <w:rsid w:val="00125875"/>
    <w:rsid w:val="001279C5"/>
    <w:rsid w:val="0013362C"/>
    <w:rsid w:val="001346A7"/>
    <w:rsid w:val="00136CAE"/>
    <w:rsid w:val="00140AB0"/>
    <w:rsid w:val="00143798"/>
    <w:rsid w:val="00145002"/>
    <w:rsid w:val="00145BC5"/>
    <w:rsid w:val="0015247D"/>
    <w:rsid w:val="001544CA"/>
    <w:rsid w:val="00163EA0"/>
    <w:rsid w:val="00164AC6"/>
    <w:rsid w:val="00170218"/>
    <w:rsid w:val="00170D7E"/>
    <w:rsid w:val="00172A9B"/>
    <w:rsid w:val="00175445"/>
    <w:rsid w:val="001819F9"/>
    <w:rsid w:val="001841C8"/>
    <w:rsid w:val="001846A8"/>
    <w:rsid w:val="001868E1"/>
    <w:rsid w:val="00186D91"/>
    <w:rsid w:val="001871D1"/>
    <w:rsid w:val="00187607"/>
    <w:rsid w:val="001954CA"/>
    <w:rsid w:val="001A132D"/>
    <w:rsid w:val="001A413C"/>
    <w:rsid w:val="001A6ABA"/>
    <w:rsid w:val="001A7F77"/>
    <w:rsid w:val="001B015B"/>
    <w:rsid w:val="001B6EEA"/>
    <w:rsid w:val="001C19B8"/>
    <w:rsid w:val="001C7233"/>
    <w:rsid w:val="001D239B"/>
    <w:rsid w:val="001D3D9A"/>
    <w:rsid w:val="001D5881"/>
    <w:rsid w:val="001E06B1"/>
    <w:rsid w:val="001E14C0"/>
    <w:rsid w:val="001E22D2"/>
    <w:rsid w:val="001E2417"/>
    <w:rsid w:val="001E431F"/>
    <w:rsid w:val="001E571F"/>
    <w:rsid w:val="001F37F5"/>
    <w:rsid w:val="001F505E"/>
    <w:rsid w:val="001F6022"/>
    <w:rsid w:val="001F6B68"/>
    <w:rsid w:val="00200A42"/>
    <w:rsid w:val="0020133B"/>
    <w:rsid w:val="00203130"/>
    <w:rsid w:val="00204D09"/>
    <w:rsid w:val="00210785"/>
    <w:rsid w:val="002139C5"/>
    <w:rsid w:val="00214AE1"/>
    <w:rsid w:val="0021553C"/>
    <w:rsid w:val="0022117E"/>
    <w:rsid w:val="002221B5"/>
    <w:rsid w:val="0022264E"/>
    <w:rsid w:val="0023005C"/>
    <w:rsid w:val="002321DA"/>
    <w:rsid w:val="00232BF3"/>
    <w:rsid w:val="00242964"/>
    <w:rsid w:val="00244401"/>
    <w:rsid w:val="0024471D"/>
    <w:rsid w:val="00247023"/>
    <w:rsid w:val="00252471"/>
    <w:rsid w:val="002565BD"/>
    <w:rsid w:val="002632F1"/>
    <w:rsid w:val="00264B34"/>
    <w:rsid w:val="00267A2B"/>
    <w:rsid w:val="002721DB"/>
    <w:rsid w:val="0027293C"/>
    <w:rsid w:val="00281699"/>
    <w:rsid w:val="002827F3"/>
    <w:rsid w:val="00290786"/>
    <w:rsid w:val="0029409A"/>
    <w:rsid w:val="00297B97"/>
    <w:rsid w:val="002A4581"/>
    <w:rsid w:val="002A50EC"/>
    <w:rsid w:val="002A6BE2"/>
    <w:rsid w:val="002A6F39"/>
    <w:rsid w:val="002C0AF1"/>
    <w:rsid w:val="002C0FF0"/>
    <w:rsid w:val="002C3C2A"/>
    <w:rsid w:val="002C4E98"/>
    <w:rsid w:val="002D1541"/>
    <w:rsid w:val="002D2CC9"/>
    <w:rsid w:val="002D5535"/>
    <w:rsid w:val="002E0ED1"/>
    <w:rsid w:val="002E5B9F"/>
    <w:rsid w:val="002F3C7B"/>
    <w:rsid w:val="00302250"/>
    <w:rsid w:val="003066F8"/>
    <w:rsid w:val="0031242C"/>
    <w:rsid w:val="003131C6"/>
    <w:rsid w:val="00315B9F"/>
    <w:rsid w:val="00316265"/>
    <w:rsid w:val="00321884"/>
    <w:rsid w:val="003225D1"/>
    <w:rsid w:val="00324444"/>
    <w:rsid w:val="00325087"/>
    <w:rsid w:val="00327524"/>
    <w:rsid w:val="003316C4"/>
    <w:rsid w:val="003339AE"/>
    <w:rsid w:val="00335628"/>
    <w:rsid w:val="0034568E"/>
    <w:rsid w:val="00352127"/>
    <w:rsid w:val="00353F38"/>
    <w:rsid w:val="00354428"/>
    <w:rsid w:val="00357DB9"/>
    <w:rsid w:val="00361A7D"/>
    <w:rsid w:val="00362DC1"/>
    <w:rsid w:val="00364012"/>
    <w:rsid w:val="003642FB"/>
    <w:rsid w:val="003653FD"/>
    <w:rsid w:val="00367949"/>
    <w:rsid w:val="00367BC9"/>
    <w:rsid w:val="003717DD"/>
    <w:rsid w:val="00372019"/>
    <w:rsid w:val="003804C4"/>
    <w:rsid w:val="003815ED"/>
    <w:rsid w:val="00384E0B"/>
    <w:rsid w:val="00392E65"/>
    <w:rsid w:val="003943FA"/>
    <w:rsid w:val="003961F6"/>
    <w:rsid w:val="003A28D7"/>
    <w:rsid w:val="003A5F94"/>
    <w:rsid w:val="003B13B3"/>
    <w:rsid w:val="003B1C17"/>
    <w:rsid w:val="003B2AB7"/>
    <w:rsid w:val="003B4CE5"/>
    <w:rsid w:val="003B6073"/>
    <w:rsid w:val="003B7A66"/>
    <w:rsid w:val="003C1A83"/>
    <w:rsid w:val="003C239A"/>
    <w:rsid w:val="003D30B5"/>
    <w:rsid w:val="003D38C0"/>
    <w:rsid w:val="003D5735"/>
    <w:rsid w:val="003D6D5B"/>
    <w:rsid w:val="003D6F78"/>
    <w:rsid w:val="003E1D21"/>
    <w:rsid w:val="003E2156"/>
    <w:rsid w:val="003E4DF5"/>
    <w:rsid w:val="003E69ED"/>
    <w:rsid w:val="003F0A6B"/>
    <w:rsid w:val="003F28E0"/>
    <w:rsid w:val="003F7537"/>
    <w:rsid w:val="0040478E"/>
    <w:rsid w:val="00406F43"/>
    <w:rsid w:val="0041451D"/>
    <w:rsid w:val="00414A43"/>
    <w:rsid w:val="00423808"/>
    <w:rsid w:val="004254E9"/>
    <w:rsid w:val="004259CB"/>
    <w:rsid w:val="00426AF8"/>
    <w:rsid w:val="0043091E"/>
    <w:rsid w:val="00437A8F"/>
    <w:rsid w:val="00444446"/>
    <w:rsid w:val="0044756A"/>
    <w:rsid w:val="00447C96"/>
    <w:rsid w:val="00451DEE"/>
    <w:rsid w:val="00453BDA"/>
    <w:rsid w:val="00455FC8"/>
    <w:rsid w:val="00457D9A"/>
    <w:rsid w:val="004626B1"/>
    <w:rsid w:val="004638DE"/>
    <w:rsid w:val="00463E20"/>
    <w:rsid w:val="00464712"/>
    <w:rsid w:val="00466A8F"/>
    <w:rsid w:val="00467C79"/>
    <w:rsid w:val="00472A4B"/>
    <w:rsid w:val="00475724"/>
    <w:rsid w:val="004759A0"/>
    <w:rsid w:val="00480C35"/>
    <w:rsid w:val="00483CA3"/>
    <w:rsid w:val="00484925"/>
    <w:rsid w:val="00486E48"/>
    <w:rsid w:val="0049158A"/>
    <w:rsid w:val="00491FC6"/>
    <w:rsid w:val="0049653E"/>
    <w:rsid w:val="00496CA2"/>
    <w:rsid w:val="004A00EA"/>
    <w:rsid w:val="004A049E"/>
    <w:rsid w:val="004A2C1C"/>
    <w:rsid w:val="004A45DE"/>
    <w:rsid w:val="004A49AB"/>
    <w:rsid w:val="004A4DA8"/>
    <w:rsid w:val="004A5849"/>
    <w:rsid w:val="004A7CF7"/>
    <w:rsid w:val="004B4042"/>
    <w:rsid w:val="004B48D6"/>
    <w:rsid w:val="004B5830"/>
    <w:rsid w:val="004B6B0C"/>
    <w:rsid w:val="004B73AC"/>
    <w:rsid w:val="004B7AF0"/>
    <w:rsid w:val="004C7F4A"/>
    <w:rsid w:val="004D2519"/>
    <w:rsid w:val="004D5C5F"/>
    <w:rsid w:val="004E0B01"/>
    <w:rsid w:val="004E0BA3"/>
    <w:rsid w:val="004E2613"/>
    <w:rsid w:val="004E2A10"/>
    <w:rsid w:val="004E4587"/>
    <w:rsid w:val="004E7AED"/>
    <w:rsid w:val="004F0A77"/>
    <w:rsid w:val="004F2E43"/>
    <w:rsid w:val="004F34C1"/>
    <w:rsid w:val="00501521"/>
    <w:rsid w:val="005033A5"/>
    <w:rsid w:val="005034F2"/>
    <w:rsid w:val="00503F31"/>
    <w:rsid w:val="005049E6"/>
    <w:rsid w:val="0050694A"/>
    <w:rsid w:val="0051073A"/>
    <w:rsid w:val="0051516C"/>
    <w:rsid w:val="00517134"/>
    <w:rsid w:val="00523D29"/>
    <w:rsid w:val="00524220"/>
    <w:rsid w:val="00524E81"/>
    <w:rsid w:val="00530BB5"/>
    <w:rsid w:val="00531103"/>
    <w:rsid w:val="00533338"/>
    <w:rsid w:val="0053467D"/>
    <w:rsid w:val="005364A0"/>
    <w:rsid w:val="00536587"/>
    <w:rsid w:val="00537658"/>
    <w:rsid w:val="005433A3"/>
    <w:rsid w:val="00543DDE"/>
    <w:rsid w:val="00545EE6"/>
    <w:rsid w:val="00546583"/>
    <w:rsid w:val="00546B1E"/>
    <w:rsid w:val="00550F4A"/>
    <w:rsid w:val="00551FE7"/>
    <w:rsid w:val="00554AFA"/>
    <w:rsid w:val="00560D03"/>
    <w:rsid w:val="00567656"/>
    <w:rsid w:val="005725EB"/>
    <w:rsid w:val="0057266A"/>
    <w:rsid w:val="00573F42"/>
    <w:rsid w:val="005753A3"/>
    <w:rsid w:val="005756EA"/>
    <w:rsid w:val="0057720C"/>
    <w:rsid w:val="00581527"/>
    <w:rsid w:val="0058226B"/>
    <w:rsid w:val="00582497"/>
    <w:rsid w:val="00584AA7"/>
    <w:rsid w:val="005962BB"/>
    <w:rsid w:val="005A4755"/>
    <w:rsid w:val="005A7E16"/>
    <w:rsid w:val="005B4D02"/>
    <w:rsid w:val="005C3871"/>
    <w:rsid w:val="005C3CD1"/>
    <w:rsid w:val="005D3423"/>
    <w:rsid w:val="005D3644"/>
    <w:rsid w:val="005D36BA"/>
    <w:rsid w:val="005D4306"/>
    <w:rsid w:val="005D434A"/>
    <w:rsid w:val="005E0744"/>
    <w:rsid w:val="005E0EC9"/>
    <w:rsid w:val="005E5D0D"/>
    <w:rsid w:val="005E6543"/>
    <w:rsid w:val="005E6BF8"/>
    <w:rsid w:val="005F2250"/>
    <w:rsid w:val="005F2D4F"/>
    <w:rsid w:val="005F48E5"/>
    <w:rsid w:val="005F52F2"/>
    <w:rsid w:val="00601DCC"/>
    <w:rsid w:val="00603C73"/>
    <w:rsid w:val="006043F4"/>
    <w:rsid w:val="006069C5"/>
    <w:rsid w:val="00607A5F"/>
    <w:rsid w:val="00612B4A"/>
    <w:rsid w:val="00613186"/>
    <w:rsid w:val="00614E0C"/>
    <w:rsid w:val="00615F33"/>
    <w:rsid w:val="006272C5"/>
    <w:rsid w:val="00630BA2"/>
    <w:rsid w:val="00633585"/>
    <w:rsid w:val="00633A9B"/>
    <w:rsid w:val="0063613C"/>
    <w:rsid w:val="00666917"/>
    <w:rsid w:val="00667657"/>
    <w:rsid w:val="006748B2"/>
    <w:rsid w:val="00680CD3"/>
    <w:rsid w:val="00681739"/>
    <w:rsid w:val="00683BDF"/>
    <w:rsid w:val="00685496"/>
    <w:rsid w:val="006854A0"/>
    <w:rsid w:val="0068565B"/>
    <w:rsid w:val="00694D02"/>
    <w:rsid w:val="006969AD"/>
    <w:rsid w:val="00696CC8"/>
    <w:rsid w:val="006A3C53"/>
    <w:rsid w:val="006A460D"/>
    <w:rsid w:val="006A4FFE"/>
    <w:rsid w:val="006A515B"/>
    <w:rsid w:val="006A6458"/>
    <w:rsid w:val="006A7DA3"/>
    <w:rsid w:val="006B1965"/>
    <w:rsid w:val="006B6DB5"/>
    <w:rsid w:val="006C07E3"/>
    <w:rsid w:val="006C55E5"/>
    <w:rsid w:val="006C6097"/>
    <w:rsid w:val="006C6B44"/>
    <w:rsid w:val="006D511F"/>
    <w:rsid w:val="006D72F9"/>
    <w:rsid w:val="006D7775"/>
    <w:rsid w:val="006E1477"/>
    <w:rsid w:val="006E20DB"/>
    <w:rsid w:val="006E35CC"/>
    <w:rsid w:val="006E6226"/>
    <w:rsid w:val="006F042A"/>
    <w:rsid w:val="006F7982"/>
    <w:rsid w:val="00702B50"/>
    <w:rsid w:val="00704B9D"/>
    <w:rsid w:val="00707016"/>
    <w:rsid w:val="007128FE"/>
    <w:rsid w:val="00713824"/>
    <w:rsid w:val="00720888"/>
    <w:rsid w:val="00724DCA"/>
    <w:rsid w:val="0072589A"/>
    <w:rsid w:val="00733036"/>
    <w:rsid w:val="00750555"/>
    <w:rsid w:val="00753227"/>
    <w:rsid w:val="00754D68"/>
    <w:rsid w:val="007575B3"/>
    <w:rsid w:val="00761926"/>
    <w:rsid w:val="007659CF"/>
    <w:rsid w:val="00770520"/>
    <w:rsid w:val="007749FB"/>
    <w:rsid w:val="00780B4D"/>
    <w:rsid w:val="00782E8D"/>
    <w:rsid w:val="007830E0"/>
    <w:rsid w:val="0078507F"/>
    <w:rsid w:val="007970F9"/>
    <w:rsid w:val="007A0ECF"/>
    <w:rsid w:val="007A169A"/>
    <w:rsid w:val="007A241A"/>
    <w:rsid w:val="007A2D05"/>
    <w:rsid w:val="007A4BD0"/>
    <w:rsid w:val="007A6710"/>
    <w:rsid w:val="007B097F"/>
    <w:rsid w:val="007B09E8"/>
    <w:rsid w:val="007B5DDE"/>
    <w:rsid w:val="007B7B96"/>
    <w:rsid w:val="007C1D97"/>
    <w:rsid w:val="007C42D4"/>
    <w:rsid w:val="007C5F19"/>
    <w:rsid w:val="007D11CB"/>
    <w:rsid w:val="007D1296"/>
    <w:rsid w:val="007D2C8F"/>
    <w:rsid w:val="007D5836"/>
    <w:rsid w:val="007D669C"/>
    <w:rsid w:val="007D6C04"/>
    <w:rsid w:val="007E05E1"/>
    <w:rsid w:val="007E11DB"/>
    <w:rsid w:val="007E1E3B"/>
    <w:rsid w:val="007E348D"/>
    <w:rsid w:val="007E5213"/>
    <w:rsid w:val="007F2E24"/>
    <w:rsid w:val="007F3806"/>
    <w:rsid w:val="007F555B"/>
    <w:rsid w:val="007F59EA"/>
    <w:rsid w:val="00802850"/>
    <w:rsid w:val="008028BE"/>
    <w:rsid w:val="00804D7B"/>
    <w:rsid w:val="0081241B"/>
    <w:rsid w:val="00812D63"/>
    <w:rsid w:val="00812E82"/>
    <w:rsid w:val="00812FA8"/>
    <w:rsid w:val="00814F7F"/>
    <w:rsid w:val="00820227"/>
    <w:rsid w:val="0082101F"/>
    <w:rsid w:val="0082177B"/>
    <w:rsid w:val="0082209F"/>
    <w:rsid w:val="008264DB"/>
    <w:rsid w:val="00831DDF"/>
    <w:rsid w:val="008320C1"/>
    <w:rsid w:val="00833684"/>
    <w:rsid w:val="00835F20"/>
    <w:rsid w:val="00843CE6"/>
    <w:rsid w:val="008444EA"/>
    <w:rsid w:val="0085193C"/>
    <w:rsid w:val="008570EE"/>
    <w:rsid w:val="00857328"/>
    <w:rsid w:val="00857C82"/>
    <w:rsid w:val="008736BE"/>
    <w:rsid w:val="00877CA5"/>
    <w:rsid w:val="00882C89"/>
    <w:rsid w:val="00882F63"/>
    <w:rsid w:val="008836A7"/>
    <w:rsid w:val="00886BD2"/>
    <w:rsid w:val="00887905"/>
    <w:rsid w:val="00895224"/>
    <w:rsid w:val="008A2262"/>
    <w:rsid w:val="008A2944"/>
    <w:rsid w:val="008A4494"/>
    <w:rsid w:val="008A5725"/>
    <w:rsid w:val="008B029B"/>
    <w:rsid w:val="008B0F46"/>
    <w:rsid w:val="008B2970"/>
    <w:rsid w:val="008B530C"/>
    <w:rsid w:val="008B5CB2"/>
    <w:rsid w:val="008B69DD"/>
    <w:rsid w:val="008C0B20"/>
    <w:rsid w:val="008C1F46"/>
    <w:rsid w:val="008C45F4"/>
    <w:rsid w:val="008C5B8F"/>
    <w:rsid w:val="008C61ED"/>
    <w:rsid w:val="008C6734"/>
    <w:rsid w:val="008D1C77"/>
    <w:rsid w:val="008D37AD"/>
    <w:rsid w:val="008E1E2C"/>
    <w:rsid w:val="008E4BAE"/>
    <w:rsid w:val="008F3731"/>
    <w:rsid w:val="008F4231"/>
    <w:rsid w:val="00901713"/>
    <w:rsid w:val="009022BD"/>
    <w:rsid w:val="00905276"/>
    <w:rsid w:val="0090634A"/>
    <w:rsid w:val="00910A87"/>
    <w:rsid w:val="009161D2"/>
    <w:rsid w:val="00916FC7"/>
    <w:rsid w:val="00917435"/>
    <w:rsid w:val="00921B1C"/>
    <w:rsid w:val="00922095"/>
    <w:rsid w:val="0092386A"/>
    <w:rsid w:val="00924290"/>
    <w:rsid w:val="00925F7B"/>
    <w:rsid w:val="00926F85"/>
    <w:rsid w:val="00932027"/>
    <w:rsid w:val="00936ED8"/>
    <w:rsid w:val="00940CC2"/>
    <w:rsid w:val="00941119"/>
    <w:rsid w:val="0094487D"/>
    <w:rsid w:val="00944D7D"/>
    <w:rsid w:val="009532B5"/>
    <w:rsid w:val="009553CA"/>
    <w:rsid w:val="0096076C"/>
    <w:rsid w:val="00961F37"/>
    <w:rsid w:val="00962EC1"/>
    <w:rsid w:val="0096587F"/>
    <w:rsid w:val="00967AB3"/>
    <w:rsid w:val="00967D9C"/>
    <w:rsid w:val="00970C6D"/>
    <w:rsid w:val="00971B78"/>
    <w:rsid w:val="00972851"/>
    <w:rsid w:val="009729AA"/>
    <w:rsid w:val="00973B94"/>
    <w:rsid w:val="00976C37"/>
    <w:rsid w:val="00981032"/>
    <w:rsid w:val="00985243"/>
    <w:rsid w:val="00986238"/>
    <w:rsid w:val="0099286D"/>
    <w:rsid w:val="00994677"/>
    <w:rsid w:val="009948CD"/>
    <w:rsid w:val="00997DA3"/>
    <w:rsid w:val="009A085A"/>
    <w:rsid w:val="009A379D"/>
    <w:rsid w:val="009A3E70"/>
    <w:rsid w:val="009B2157"/>
    <w:rsid w:val="009B5BB4"/>
    <w:rsid w:val="009B6D54"/>
    <w:rsid w:val="009B7404"/>
    <w:rsid w:val="009C711B"/>
    <w:rsid w:val="009D3CA1"/>
    <w:rsid w:val="009D3FCF"/>
    <w:rsid w:val="009E0F63"/>
    <w:rsid w:val="009E52EA"/>
    <w:rsid w:val="009F060E"/>
    <w:rsid w:val="009F0774"/>
    <w:rsid w:val="009F3740"/>
    <w:rsid w:val="009F6C94"/>
    <w:rsid w:val="00A03BDB"/>
    <w:rsid w:val="00A17702"/>
    <w:rsid w:val="00A17FBB"/>
    <w:rsid w:val="00A22B2F"/>
    <w:rsid w:val="00A2438F"/>
    <w:rsid w:val="00A255B6"/>
    <w:rsid w:val="00A26F72"/>
    <w:rsid w:val="00A329FE"/>
    <w:rsid w:val="00A3514E"/>
    <w:rsid w:val="00A35862"/>
    <w:rsid w:val="00A36270"/>
    <w:rsid w:val="00A4091E"/>
    <w:rsid w:val="00A57987"/>
    <w:rsid w:val="00A623F1"/>
    <w:rsid w:val="00A634CA"/>
    <w:rsid w:val="00A643ED"/>
    <w:rsid w:val="00A70C49"/>
    <w:rsid w:val="00A7548C"/>
    <w:rsid w:val="00A75577"/>
    <w:rsid w:val="00A757C3"/>
    <w:rsid w:val="00A75AC2"/>
    <w:rsid w:val="00A8456A"/>
    <w:rsid w:val="00A85056"/>
    <w:rsid w:val="00A900EA"/>
    <w:rsid w:val="00A919F9"/>
    <w:rsid w:val="00A91C61"/>
    <w:rsid w:val="00A95B9B"/>
    <w:rsid w:val="00A96629"/>
    <w:rsid w:val="00AA027C"/>
    <w:rsid w:val="00AA16AE"/>
    <w:rsid w:val="00AA3BEA"/>
    <w:rsid w:val="00AA7080"/>
    <w:rsid w:val="00AB1C13"/>
    <w:rsid w:val="00AB50BA"/>
    <w:rsid w:val="00AC036A"/>
    <w:rsid w:val="00AC0D7A"/>
    <w:rsid w:val="00AC1B5E"/>
    <w:rsid w:val="00AC2279"/>
    <w:rsid w:val="00AC25A1"/>
    <w:rsid w:val="00AC25CE"/>
    <w:rsid w:val="00AC31A0"/>
    <w:rsid w:val="00AC3389"/>
    <w:rsid w:val="00AC3A23"/>
    <w:rsid w:val="00AC3F57"/>
    <w:rsid w:val="00AD2BEF"/>
    <w:rsid w:val="00AD65BD"/>
    <w:rsid w:val="00AD78C7"/>
    <w:rsid w:val="00AE22CC"/>
    <w:rsid w:val="00AE53DF"/>
    <w:rsid w:val="00AE54D4"/>
    <w:rsid w:val="00AE653C"/>
    <w:rsid w:val="00AE68B9"/>
    <w:rsid w:val="00AF00AC"/>
    <w:rsid w:val="00AF0637"/>
    <w:rsid w:val="00AF0C52"/>
    <w:rsid w:val="00AF56AC"/>
    <w:rsid w:val="00AF5D25"/>
    <w:rsid w:val="00B042E9"/>
    <w:rsid w:val="00B11ECD"/>
    <w:rsid w:val="00B13964"/>
    <w:rsid w:val="00B146F0"/>
    <w:rsid w:val="00B15EF1"/>
    <w:rsid w:val="00B20F84"/>
    <w:rsid w:val="00B212DD"/>
    <w:rsid w:val="00B21400"/>
    <w:rsid w:val="00B2175D"/>
    <w:rsid w:val="00B23585"/>
    <w:rsid w:val="00B238E7"/>
    <w:rsid w:val="00B243A1"/>
    <w:rsid w:val="00B246FA"/>
    <w:rsid w:val="00B247A9"/>
    <w:rsid w:val="00B269E6"/>
    <w:rsid w:val="00B31F29"/>
    <w:rsid w:val="00B32E05"/>
    <w:rsid w:val="00B35E24"/>
    <w:rsid w:val="00B40A93"/>
    <w:rsid w:val="00B41459"/>
    <w:rsid w:val="00B42519"/>
    <w:rsid w:val="00B42781"/>
    <w:rsid w:val="00B434F9"/>
    <w:rsid w:val="00B45582"/>
    <w:rsid w:val="00B4564A"/>
    <w:rsid w:val="00B57C49"/>
    <w:rsid w:val="00B63332"/>
    <w:rsid w:val="00B63583"/>
    <w:rsid w:val="00B732B1"/>
    <w:rsid w:val="00B74EAF"/>
    <w:rsid w:val="00B759E7"/>
    <w:rsid w:val="00B75CDA"/>
    <w:rsid w:val="00B8309E"/>
    <w:rsid w:val="00B83572"/>
    <w:rsid w:val="00B83890"/>
    <w:rsid w:val="00B84B28"/>
    <w:rsid w:val="00B9223D"/>
    <w:rsid w:val="00B9225B"/>
    <w:rsid w:val="00B95973"/>
    <w:rsid w:val="00BA06D0"/>
    <w:rsid w:val="00BA13AA"/>
    <w:rsid w:val="00BA2191"/>
    <w:rsid w:val="00BB31DC"/>
    <w:rsid w:val="00BB7BC0"/>
    <w:rsid w:val="00BC1D6B"/>
    <w:rsid w:val="00BC2100"/>
    <w:rsid w:val="00BC496E"/>
    <w:rsid w:val="00BC5381"/>
    <w:rsid w:val="00BD1312"/>
    <w:rsid w:val="00BD6FBA"/>
    <w:rsid w:val="00BF03B2"/>
    <w:rsid w:val="00BF2885"/>
    <w:rsid w:val="00BF31A9"/>
    <w:rsid w:val="00BF325C"/>
    <w:rsid w:val="00BF3CBD"/>
    <w:rsid w:val="00BF6819"/>
    <w:rsid w:val="00BF7680"/>
    <w:rsid w:val="00C00E7E"/>
    <w:rsid w:val="00C01DBB"/>
    <w:rsid w:val="00C047FC"/>
    <w:rsid w:val="00C05FE2"/>
    <w:rsid w:val="00C0615E"/>
    <w:rsid w:val="00C1347E"/>
    <w:rsid w:val="00C13D9C"/>
    <w:rsid w:val="00C21A87"/>
    <w:rsid w:val="00C25153"/>
    <w:rsid w:val="00C25E68"/>
    <w:rsid w:val="00C31564"/>
    <w:rsid w:val="00C35B60"/>
    <w:rsid w:val="00C46C00"/>
    <w:rsid w:val="00C51521"/>
    <w:rsid w:val="00C55D57"/>
    <w:rsid w:val="00C60828"/>
    <w:rsid w:val="00C62D41"/>
    <w:rsid w:val="00C67A6E"/>
    <w:rsid w:val="00C700CD"/>
    <w:rsid w:val="00C71168"/>
    <w:rsid w:val="00C71397"/>
    <w:rsid w:val="00C7184C"/>
    <w:rsid w:val="00C71FFB"/>
    <w:rsid w:val="00C72F56"/>
    <w:rsid w:val="00C8168D"/>
    <w:rsid w:val="00C8522A"/>
    <w:rsid w:val="00C8595F"/>
    <w:rsid w:val="00C85A89"/>
    <w:rsid w:val="00C87271"/>
    <w:rsid w:val="00C93B67"/>
    <w:rsid w:val="00C93BB1"/>
    <w:rsid w:val="00C942C5"/>
    <w:rsid w:val="00C97294"/>
    <w:rsid w:val="00CA47CF"/>
    <w:rsid w:val="00CB1983"/>
    <w:rsid w:val="00CB3F60"/>
    <w:rsid w:val="00CB6E2F"/>
    <w:rsid w:val="00CC0EAE"/>
    <w:rsid w:val="00CC416E"/>
    <w:rsid w:val="00CC58D8"/>
    <w:rsid w:val="00CD2AD7"/>
    <w:rsid w:val="00CD344F"/>
    <w:rsid w:val="00CD55DC"/>
    <w:rsid w:val="00CE2846"/>
    <w:rsid w:val="00CE2D36"/>
    <w:rsid w:val="00CF0828"/>
    <w:rsid w:val="00CF0DD2"/>
    <w:rsid w:val="00CF29DF"/>
    <w:rsid w:val="00CF2DA6"/>
    <w:rsid w:val="00CF410D"/>
    <w:rsid w:val="00CF5272"/>
    <w:rsid w:val="00D01225"/>
    <w:rsid w:val="00D04664"/>
    <w:rsid w:val="00D12B2F"/>
    <w:rsid w:val="00D13992"/>
    <w:rsid w:val="00D13BA0"/>
    <w:rsid w:val="00D143EB"/>
    <w:rsid w:val="00D14BE9"/>
    <w:rsid w:val="00D25FC4"/>
    <w:rsid w:val="00D31FDA"/>
    <w:rsid w:val="00D32BB5"/>
    <w:rsid w:val="00D35C4C"/>
    <w:rsid w:val="00D35D8B"/>
    <w:rsid w:val="00D40A1C"/>
    <w:rsid w:val="00D45003"/>
    <w:rsid w:val="00D5088B"/>
    <w:rsid w:val="00D51362"/>
    <w:rsid w:val="00D525C6"/>
    <w:rsid w:val="00D52B42"/>
    <w:rsid w:val="00D70113"/>
    <w:rsid w:val="00D73CAB"/>
    <w:rsid w:val="00D773C0"/>
    <w:rsid w:val="00D7758C"/>
    <w:rsid w:val="00D85174"/>
    <w:rsid w:val="00D86375"/>
    <w:rsid w:val="00D86EDE"/>
    <w:rsid w:val="00D908C9"/>
    <w:rsid w:val="00D93EBC"/>
    <w:rsid w:val="00D95F40"/>
    <w:rsid w:val="00D96C63"/>
    <w:rsid w:val="00D9777E"/>
    <w:rsid w:val="00DA17EC"/>
    <w:rsid w:val="00DA413F"/>
    <w:rsid w:val="00DA5990"/>
    <w:rsid w:val="00DA5C04"/>
    <w:rsid w:val="00DA6392"/>
    <w:rsid w:val="00DA6A66"/>
    <w:rsid w:val="00DA730A"/>
    <w:rsid w:val="00DB26A2"/>
    <w:rsid w:val="00DB487A"/>
    <w:rsid w:val="00DC45ED"/>
    <w:rsid w:val="00DC620B"/>
    <w:rsid w:val="00DC7274"/>
    <w:rsid w:val="00DD08ED"/>
    <w:rsid w:val="00DD13E0"/>
    <w:rsid w:val="00DD1987"/>
    <w:rsid w:val="00DD3A84"/>
    <w:rsid w:val="00DD46DF"/>
    <w:rsid w:val="00DD527D"/>
    <w:rsid w:val="00DE0FF8"/>
    <w:rsid w:val="00DE261B"/>
    <w:rsid w:val="00DE3675"/>
    <w:rsid w:val="00DE5969"/>
    <w:rsid w:val="00DE76FA"/>
    <w:rsid w:val="00DE7DC0"/>
    <w:rsid w:val="00DF057E"/>
    <w:rsid w:val="00DF0B27"/>
    <w:rsid w:val="00DF288B"/>
    <w:rsid w:val="00E0156F"/>
    <w:rsid w:val="00E019E2"/>
    <w:rsid w:val="00E03ED7"/>
    <w:rsid w:val="00E05683"/>
    <w:rsid w:val="00E112FE"/>
    <w:rsid w:val="00E14A3C"/>
    <w:rsid w:val="00E14AF0"/>
    <w:rsid w:val="00E207E3"/>
    <w:rsid w:val="00E247C2"/>
    <w:rsid w:val="00E24A36"/>
    <w:rsid w:val="00E264D4"/>
    <w:rsid w:val="00E30124"/>
    <w:rsid w:val="00E3313C"/>
    <w:rsid w:val="00E3766A"/>
    <w:rsid w:val="00E4078A"/>
    <w:rsid w:val="00E42C87"/>
    <w:rsid w:val="00E47B49"/>
    <w:rsid w:val="00E511E8"/>
    <w:rsid w:val="00E5379F"/>
    <w:rsid w:val="00E56E66"/>
    <w:rsid w:val="00E62564"/>
    <w:rsid w:val="00E63EF9"/>
    <w:rsid w:val="00E641CD"/>
    <w:rsid w:val="00E66447"/>
    <w:rsid w:val="00E724B0"/>
    <w:rsid w:val="00E724B7"/>
    <w:rsid w:val="00E81525"/>
    <w:rsid w:val="00E81CB7"/>
    <w:rsid w:val="00E87219"/>
    <w:rsid w:val="00E873E0"/>
    <w:rsid w:val="00E92785"/>
    <w:rsid w:val="00E93151"/>
    <w:rsid w:val="00E9425A"/>
    <w:rsid w:val="00E94E75"/>
    <w:rsid w:val="00E97BCC"/>
    <w:rsid w:val="00EA0499"/>
    <w:rsid w:val="00EA2F7B"/>
    <w:rsid w:val="00EB2100"/>
    <w:rsid w:val="00EB40C2"/>
    <w:rsid w:val="00EB4C59"/>
    <w:rsid w:val="00EB6CA1"/>
    <w:rsid w:val="00EC3270"/>
    <w:rsid w:val="00EC44CE"/>
    <w:rsid w:val="00ED1386"/>
    <w:rsid w:val="00ED2014"/>
    <w:rsid w:val="00ED6E72"/>
    <w:rsid w:val="00EE58CE"/>
    <w:rsid w:val="00EE7665"/>
    <w:rsid w:val="00EF034C"/>
    <w:rsid w:val="00EF188C"/>
    <w:rsid w:val="00EF2B50"/>
    <w:rsid w:val="00EF67F8"/>
    <w:rsid w:val="00F01863"/>
    <w:rsid w:val="00F023DE"/>
    <w:rsid w:val="00F02E99"/>
    <w:rsid w:val="00F05B49"/>
    <w:rsid w:val="00F07E78"/>
    <w:rsid w:val="00F1377E"/>
    <w:rsid w:val="00F13C48"/>
    <w:rsid w:val="00F14474"/>
    <w:rsid w:val="00F20B1C"/>
    <w:rsid w:val="00F20BD4"/>
    <w:rsid w:val="00F2424E"/>
    <w:rsid w:val="00F25AD8"/>
    <w:rsid w:val="00F305D2"/>
    <w:rsid w:val="00F32993"/>
    <w:rsid w:val="00F361F4"/>
    <w:rsid w:val="00F36910"/>
    <w:rsid w:val="00F377F5"/>
    <w:rsid w:val="00F60EAA"/>
    <w:rsid w:val="00F659FB"/>
    <w:rsid w:val="00F7347C"/>
    <w:rsid w:val="00F73E51"/>
    <w:rsid w:val="00F75DBE"/>
    <w:rsid w:val="00F82B15"/>
    <w:rsid w:val="00F853E1"/>
    <w:rsid w:val="00F92CA0"/>
    <w:rsid w:val="00F95857"/>
    <w:rsid w:val="00F95B13"/>
    <w:rsid w:val="00F9704D"/>
    <w:rsid w:val="00FA0818"/>
    <w:rsid w:val="00FA0C01"/>
    <w:rsid w:val="00FA0DE9"/>
    <w:rsid w:val="00FA12A4"/>
    <w:rsid w:val="00FA3232"/>
    <w:rsid w:val="00FA3EEB"/>
    <w:rsid w:val="00FA51DF"/>
    <w:rsid w:val="00FA71BD"/>
    <w:rsid w:val="00FA7AF6"/>
    <w:rsid w:val="00FA7FA7"/>
    <w:rsid w:val="00FB1BF8"/>
    <w:rsid w:val="00FB23D9"/>
    <w:rsid w:val="00FB2B7B"/>
    <w:rsid w:val="00FB2C51"/>
    <w:rsid w:val="00FC32F3"/>
    <w:rsid w:val="00FC5531"/>
    <w:rsid w:val="00FC6857"/>
    <w:rsid w:val="00FC6FD2"/>
    <w:rsid w:val="00FD05B4"/>
    <w:rsid w:val="00FD128B"/>
    <w:rsid w:val="00FE1780"/>
    <w:rsid w:val="00FE6E8E"/>
    <w:rsid w:val="00FE7A8C"/>
    <w:rsid w:val="00FF6556"/>
    <w:rsid w:val="00FF6C4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42D9DEC"/>
  <w15:chartTrackingRefBased/>
  <w15:docId w15:val="{A2FE716B-22E4-45FA-94DD-7998A44CF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paragraph" w:styleId="Ttulo1">
    <w:name w:val="heading 1"/>
    <w:basedOn w:val="Normal"/>
    <w:next w:val="Normal"/>
    <w:link w:val="Ttulo1Car"/>
    <w:uiPriority w:val="9"/>
    <w:qFormat/>
    <w:rsid w:val="007B09E8"/>
    <w:pPr>
      <w:keepNext/>
      <w:spacing w:before="240" w:after="60"/>
      <w:outlineLvl w:val="0"/>
    </w:pPr>
    <w:rPr>
      <w:rFonts w:ascii="Cambria" w:eastAsia="Times New Roman" w:hAnsi="Cambria"/>
      <w:b/>
      <w:bCs/>
      <w:kern w:val="32"/>
      <w:sz w:val="32"/>
      <w:szCs w:val="32"/>
    </w:rPr>
  </w:style>
  <w:style w:type="paragraph" w:styleId="Ttulo3">
    <w:name w:val="heading 3"/>
    <w:basedOn w:val="Normal"/>
    <w:next w:val="Normal"/>
    <w:link w:val="Ttulo3Car"/>
    <w:uiPriority w:val="9"/>
    <w:semiHidden/>
    <w:unhideWhenUsed/>
    <w:qFormat/>
    <w:rsid w:val="00A4091E"/>
    <w:pPr>
      <w:keepNext/>
      <w:spacing w:before="240" w:after="60"/>
      <w:outlineLvl w:val="2"/>
    </w:pPr>
    <w:rPr>
      <w:rFonts w:ascii="Cambria" w:eastAsia="Times New Roman"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FA Fu Car Car,F,C,FA"/>
    <w:basedOn w:val="Normal"/>
    <w:link w:val="TextonotapieCar"/>
    <w:unhideWhenUsed/>
    <w:qFormat/>
    <w:rsid w:val="00061087"/>
    <w:rPr>
      <w:sz w:val="20"/>
      <w:szCs w:val="20"/>
    </w:rPr>
  </w:style>
  <w:style w:type="character" w:customStyle="1" w:styleId="TextonotapieCar">
    <w:name w:val="Texto nota pie Car"/>
    <w:aliases w:val="Footnote Text Char Char Char Char Char Car1,Footnote Text Char Char Char Char Car1,Footnote reference Car1,FA Fu Car1,Footnote Text Cha Car1,Footnote Text Char Char Char Car1,FA Fußnotentext Car1,FA Fuﬂnotentext Car1,FA Fu Car Car Car"/>
    <w:link w:val="Textonotapie"/>
    <w:rsid w:val="00061087"/>
    <w:rPr>
      <w:lang w:eastAsia="en-US"/>
    </w:rPr>
  </w:style>
  <w:style w:type="character" w:styleId="Refdenotaalpie">
    <w:name w:val="footnote reference"/>
    <w:aliases w:val="Ref. de nota al pie 2,Texto de nota al pie,Pie de Página,FC,Texto de nota al pi,Appel note de bas de page,Footnotes refss,Footnote number,referencia nota al pie,BVI fnr,f,4_G,16 Point,Superscript 6 Point,Texto nota al pie,Nota de pie"/>
    <w:unhideWhenUsed/>
    <w:qFormat/>
    <w:rsid w:val="00061087"/>
    <w:rPr>
      <w:vertAlign w:val="superscript"/>
    </w:rPr>
  </w:style>
  <w:style w:type="paragraph" w:styleId="Prrafodelista">
    <w:name w:val="List Paragraph"/>
    <w:basedOn w:val="Normal"/>
    <w:uiPriority w:val="34"/>
    <w:qFormat/>
    <w:rsid w:val="007970F9"/>
    <w:pPr>
      <w:ind w:left="708"/>
    </w:pPr>
  </w:style>
  <w:style w:type="paragraph" w:styleId="Encabezado">
    <w:name w:val="header"/>
    <w:basedOn w:val="Normal"/>
    <w:link w:val="EncabezadoCar"/>
    <w:unhideWhenUsed/>
    <w:rsid w:val="009161D2"/>
    <w:pPr>
      <w:tabs>
        <w:tab w:val="center" w:pos="4419"/>
        <w:tab w:val="right" w:pos="8838"/>
      </w:tabs>
    </w:pPr>
  </w:style>
  <w:style w:type="character" w:customStyle="1" w:styleId="EncabezadoCar">
    <w:name w:val="Encabezado Car"/>
    <w:link w:val="Encabezado"/>
    <w:rsid w:val="009161D2"/>
    <w:rPr>
      <w:sz w:val="22"/>
      <w:szCs w:val="22"/>
      <w:lang w:eastAsia="en-US"/>
    </w:rPr>
  </w:style>
  <w:style w:type="paragraph" w:styleId="Piedepgina">
    <w:name w:val="footer"/>
    <w:basedOn w:val="Normal"/>
    <w:link w:val="PiedepginaCar"/>
    <w:uiPriority w:val="99"/>
    <w:unhideWhenUsed/>
    <w:rsid w:val="009161D2"/>
    <w:pPr>
      <w:tabs>
        <w:tab w:val="center" w:pos="4419"/>
        <w:tab w:val="right" w:pos="8838"/>
      </w:tabs>
    </w:pPr>
  </w:style>
  <w:style w:type="character" w:customStyle="1" w:styleId="PiedepginaCar">
    <w:name w:val="Pie de página Car"/>
    <w:link w:val="Piedepgina"/>
    <w:uiPriority w:val="99"/>
    <w:rsid w:val="009161D2"/>
    <w:rPr>
      <w:sz w:val="22"/>
      <w:szCs w:val="22"/>
      <w:lang w:eastAsia="en-US"/>
    </w:rPr>
  </w:style>
  <w:style w:type="paragraph" w:styleId="Textodeglobo">
    <w:name w:val="Balloon Text"/>
    <w:basedOn w:val="Normal"/>
    <w:link w:val="TextodegloboCar"/>
    <w:uiPriority w:val="99"/>
    <w:semiHidden/>
    <w:unhideWhenUsed/>
    <w:rsid w:val="009161D2"/>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9161D2"/>
    <w:rPr>
      <w:rFonts w:ascii="Tahoma" w:hAnsi="Tahoma" w:cs="Tahoma"/>
      <w:sz w:val="16"/>
      <w:szCs w:val="16"/>
      <w:lang w:eastAsia="en-US"/>
    </w:rPr>
  </w:style>
  <w:style w:type="paragraph" w:styleId="Sinespaciado">
    <w:name w:val="No Spacing"/>
    <w:link w:val="SinespaciadoCar"/>
    <w:uiPriority w:val="1"/>
    <w:qFormat/>
    <w:rsid w:val="00DD46DF"/>
    <w:rPr>
      <w:rFonts w:ascii="Times New Roman" w:eastAsia="Times New Roman" w:hAnsi="Times New Roman"/>
      <w:sz w:val="24"/>
      <w:szCs w:val="24"/>
      <w:lang w:val="es-ES" w:eastAsia="es-ES"/>
    </w:rPr>
  </w:style>
  <w:style w:type="character" w:customStyle="1" w:styleId="SinespaciadoCar">
    <w:name w:val="Sin espaciado Car"/>
    <w:link w:val="Sinespaciado"/>
    <w:uiPriority w:val="1"/>
    <w:rsid w:val="00517134"/>
    <w:rPr>
      <w:rFonts w:ascii="Times New Roman" w:eastAsia="Times New Roman" w:hAnsi="Times New Roman"/>
      <w:sz w:val="24"/>
      <w:szCs w:val="24"/>
      <w:lang w:val="es-ES" w:eastAsia="es-ES"/>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Texto nota pie Car Car"/>
    <w:rsid w:val="007830E0"/>
    <w:rPr>
      <w:rFonts w:ascii="Arial" w:hAnsi="Arial"/>
      <w:lang w:val="es-ES" w:eastAsia="es-ES" w:bidi="ar-SA"/>
    </w:rPr>
  </w:style>
  <w:style w:type="paragraph" w:customStyle="1" w:styleId="BodyText21">
    <w:name w:val="Body Text 21"/>
    <w:basedOn w:val="Normal"/>
    <w:link w:val="BodyText21Car"/>
    <w:rsid w:val="00B84B28"/>
    <w:pPr>
      <w:overflowPunct w:val="0"/>
      <w:autoSpaceDE w:val="0"/>
      <w:autoSpaceDN w:val="0"/>
      <w:adjustRightInd w:val="0"/>
      <w:spacing w:after="0" w:line="480" w:lineRule="auto"/>
      <w:jc w:val="both"/>
      <w:textAlignment w:val="baseline"/>
    </w:pPr>
    <w:rPr>
      <w:rFonts w:ascii="Arial" w:eastAsia="Times New Roman" w:hAnsi="Arial"/>
      <w:sz w:val="24"/>
      <w:szCs w:val="20"/>
      <w:lang w:val="es-ES_tradnl" w:eastAsia="es-ES"/>
    </w:rPr>
  </w:style>
  <w:style w:type="paragraph" w:styleId="Textoindependiente">
    <w:name w:val="Body Text"/>
    <w:basedOn w:val="Normal"/>
    <w:link w:val="TextoindependienteCar"/>
    <w:rsid w:val="008F4231"/>
    <w:pPr>
      <w:autoSpaceDE w:val="0"/>
      <w:autoSpaceDN w:val="0"/>
      <w:adjustRightInd w:val="0"/>
      <w:spacing w:after="0" w:line="240" w:lineRule="auto"/>
      <w:jc w:val="both"/>
    </w:pPr>
    <w:rPr>
      <w:rFonts w:ascii="Arial" w:eastAsia="Times New Roman" w:hAnsi="Arial" w:cs="Arial"/>
      <w:lang w:val="es-ES_tradnl" w:eastAsia="es-ES"/>
    </w:rPr>
  </w:style>
  <w:style w:type="character" w:customStyle="1" w:styleId="TextoindependienteCar">
    <w:name w:val="Texto independiente Car"/>
    <w:link w:val="Textoindependiente"/>
    <w:rsid w:val="008F4231"/>
    <w:rPr>
      <w:rFonts w:ascii="Arial" w:eastAsia="Times New Roman" w:hAnsi="Arial" w:cs="Arial"/>
      <w:sz w:val="22"/>
      <w:szCs w:val="22"/>
      <w:lang w:val="es-ES_tradnl" w:eastAsia="es-ES"/>
    </w:rPr>
  </w:style>
  <w:style w:type="paragraph" w:styleId="NormalWeb">
    <w:name w:val="Normal (Web)"/>
    <w:basedOn w:val="Normal"/>
    <w:uiPriority w:val="99"/>
    <w:unhideWhenUsed/>
    <w:rsid w:val="008F4231"/>
    <w:pPr>
      <w:spacing w:before="100" w:beforeAutospacing="1" w:after="100" w:afterAutospacing="1" w:line="240" w:lineRule="auto"/>
    </w:pPr>
    <w:rPr>
      <w:rFonts w:ascii="Times New Roman" w:eastAsia="Times New Roman" w:hAnsi="Times New Roman"/>
      <w:sz w:val="24"/>
      <w:szCs w:val="24"/>
      <w:lang w:eastAsia="es-CO"/>
    </w:rPr>
  </w:style>
  <w:style w:type="paragraph" w:styleId="Sangradetextonormal">
    <w:name w:val="Body Text Indent"/>
    <w:basedOn w:val="Normal"/>
    <w:link w:val="SangradetextonormalCar"/>
    <w:uiPriority w:val="99"/>
    <w:unhideWhenUsed/>
    <w:rsid w:val="008F4231"/>
    <w:pPr>
      <w:spacing w:after="120"/>
      <w:ind w:left="283"/>
    </w:pPr>
    <w:rPr>
      <w:lang w:val="es-ES"/>
    </w:rPr>
  </w:style>
  <w:style w:type="character" w:customStyle="1" w:styleId="SangradetextonormalCar">
    <w:name w:val="Sangría de texto normal Car"/>
    <w:link w:val="Sangradetextonormal"/>
    <w:uiPriority w:val="99"/>
    <w:rsid w:val="008F4231"/>
    <w:rPr>
      <w:sz w:val="22"/>
      <w:szCs w:val="22"/>
      <w:lang w:val="es-ES" w:eastAsia="en-US"/>
    </w:rPr>
  </w:style>
  <w:style w:type="character" w:customStyle="1" w:styleId="apple-converted-space">
    <w:name w:val="apple-converted-space"/>
    <w:rsid w:val="002721DB"/>
  </w:style>
  <w:style w:type="character" w:customStyle="1" w:styleId="iaj">
    <w:name w:val="i_aj"/>
    <w:rsid w:val="002721DB"/>
  </w:style>
  <w:style w:type="character" w:customStyle="1" w:styleId="BodyText21Car">
    <w:name w:val="Body Text 21 Car"/>
    <w:link w:val="BodyText21"/>
    <w:locked/>
    <w:rsid w:val="002565BD"/>
    <w:rPr>
      <w:rFonts w:ascii="Arial" w:eastAsia="Times New Roman" w:hAnsi="Arial"/>
      <w:sz w:val="24"/>
      <w:lang w:val="es-ES_tradnl" w:eastAsia="es-ES"/>
    </w:rPr>
  </w:style>
  <w:style w:type="paragraph" w:customStyle="1" w:styleId="Textoindependiente21">
    <w:name w:val="Texto independiente 21"/>
    <w:basedOn w:val="Normal"/>
    <w:rsid w:val="00EB2100"/>
    <w:pPr>
      <w:overflowPunct w:val="0"/>
      <w:autoSpaceDE w:val="0"/>
      <w:autoSpaceDN w:val="0"/>
      <w:adjustRightInd w:val="0"/>
      <w:spacing w:after="0" w:line="360" w:lineRule="auto"/>
      <w:ind w:firstLine="1418"/>
      <w:jc w:val="both"/>
      <w:textAlignment w:val="baseline"/>
    </w:pPr>
    <w:rPr>
      <w:rFonts w:ascii="Arial" w:eastAsia="Times New Roman" w:hAnsi="Arial"/>
      <w:sz w:val="24"/>
      <w:szCs w:val="20"/>
      <w:lang w:val="es-ES" w:eastAsia="es-ES"/>
    </w:rPr>
  </w:style>
  <w:style w:type="character" w:customStyle="1" w:styleId="Ttulo1Car">
    <w:name w:val="Título 1 Car"/>
    <w:link w:val="Ttulo1"/>
    <w:uiPriority w:val="9"/>
    <w:rsid w:val="007B09E8"/>
    <w:rPr>
      <w:rFonts w:ascii="Cambria" w:eastAsia="Times New Roman" w:hAnsi="Cambria" w:cs="Times New Roman"/>
      <w:b/>
      <w:bCs/>
      <w:kern w:val="32"/>
      <w:sz w:val="32"/>
      <w:szCs w:val="32"/>
      <w:lang w:eastAsia="en-US"/>
    </w:rPr>
  </w:style>
  <w:style w:type="character" w:customStyle="1" w:styleId="Ttulo3Car">
    <w:name w:val="Título 3 Car"/>
    <w:link w:val="Ttulo3"/>
    <w:uiPriority w:val="9"/>
    <w:semiHidden/>
    <w:rsid w:val="00A4091E"/>
    <w:rPr>
      <w:rFonts w:ascii="Cambria" w:eastAsia="Times New Roman" w:hAnsi="Cambria" w:cs="Times New Roman"/>
      <w:b/>
      <w:bCs/>
      <w:sz w:val="26"/>
      <w:szCs w:val="26"/>
      <w:lang w:eastAsia="en-US"/>
    </w:rPr>
  </w:style>
  <w:style w:type="character" w:styleId="Hipervnculo">
    <w:name w:val="Hyperlink"/>
    <w:uiPriority w:val="99"/>
    <w:semiHidden/>
    <w:unhideWhenUsed/>
    <w:rsid w:val="008C5B8F"/>
    <w:rPr>
      <w:color w:val="0000FF"/>
      <w:u w:val="single"/>
    </w:rPr>
  </w:style>
  <w:style w:type="paragraph" w:customStyle="1" w:styleId="xmsobodytextindent">
    <w:name w:val="x_msobodytextindent"/>
    <w:basedOn w:val="Normal"/>
    <w:rsid w:val="00453BDA"/>
    <w:pP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msonospacing">
    <w:name w:val="x_msonospacing"/>
    <w:basedOn w:val="Normal"/>
    <w:rsid w:val="00453BDA"/>
    <w:pP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msonormal">
    <w:name w:val="x_msonormal"/>
    <w:basedOn w:val="Normal"/>
    <w:rsid w:val="00453BDA"/>
    <w:pPr>
      <w:spacing w:before="100" w:beforeAutospacing="1" w:after="100" w:afterAutospacing="1" w:line="240" w:lineRule="auto"/>
    </w:pPr>
    <w:rPr>
      <w:rFonts w:ascii="Times New Roman" w:eastAsia="Times New Roman" w:hAnsi="Times New Roman"/>
      <w:sz w:val="24"/>
      <w:szCs w:val="24"/>
      <w:lang w:eastAsia="es-CO"/>
    </w:rPr>
  </w:style>
  <w:style w:type="character" w:styleId="Refdecomentario">
    <w:name w:val="annotation reference"/>
    <w:uiPriority w:val="99"/>
    <w:semiHidden/>
    <w:unhideWhenUsed/>
    <w:rsid w:val="006A6458"/>
    <w:rPr>
      <w:sz w:val="16"/>
      <w:szCs w:val="16"/>
    </w:rPr>
  </w:style>
  <w:style w:type="paragraph" w:styleId="Textocomentario">
    <w:name w:val="annotation text"/>
    <w:basedOn w:val="Normal"/>
    <w:link w:val="TextocomentarioCar"/>
    <w:uiPriority w:val="99"/>
    <w:semiHidden/>
    <w:unhideWhenUsed/>
    <w:rsid w:val="006A6458"/>
    <w:pPr>
      <w:spacing w:after="0" w:line="240" w:lineRule="auto"/>
    </w:pPr>
    <w:rPr>
      <w:rFonts w:ascii="Times New Roman" w:eastAsia="Times New Roman" w:hAnsi="Times New Roman"/>
      <w:sz w:val="20"/>
      <w:szCs w:val="20"/>
      <w:lang w:eastAsia="es-ES"/>
    </w:rPr>
  </w:style>
  <w:style w:type="character" w:customStyle="1" w:styleId="TextocomentarioCar">
    <w:name w:val="Texto comentario Car"/>
    <w:link w:val="Textocomentario"/>
    <w:uiPriority w:val="99"/>
    <w:semiHidden/>
    <w:rsid w:val="006A6458"/>
    <w:rPr>
      <w:rFonts w:ascii="Times New Roman" w:eastAsia="Times New Roman" w:hAnsi="Times New Roman"/>
      <w:lang w:eastAsia="es-ES"/>
    </w:rPr>
  </w:style>
  <w:style w:type="paragraph" w:customStyle="1" w:styleId="Sangra2detindependiente1">
    <w:name w:val="Sangría 2 de t. independiente1"/>
    <w:basedOn w:val="Normal"/>
    <w:rsid w:val="00940CC2"/>
    <w:pPr>
      <w:overflowPunct w:val="0"/>
      <w:autoSpaceDE w:val="0"/>
      <w:autoSpaceDN w:val="0"/>
      <w:adjustRightInd w:val="0"/>
      <w:spacing w:after="0" w:line="360" w:lineRule="auto"/>
      <w:ind w:firstLine="1418"/>
      <w:jc w:val="both"/>
    </w:pPr>
    <w:rPr>
      <w:rFonts w:ascii="Arial" w:eastAsia="Times New Roman" w:hAnsi="Arial"/>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80378">
      <w:bodyDiv w:val="1"/>
      <w:marLeft w:val="0"/>
      <w:marRight w:val="0"/>
      <w:marTop w:val="0"/>
      <w:marBottom w:val="0"/>
      <w:divBdr>
        <w:top w:val="none" w:sz="0" w:space="0" w:color="auto"/>
        <w:left w:val="none" w:sz="0" w:space="0" w:color="auto"/>
        <w:bottom w:val="none" w:sz="0" w:space="0" w:color="auto"/>
        <w:right w:val="none" w:sz="0" w:space="0" w:color="auto"/>
      </w:divBdr>
    </w:div>
    <w:div w:id="61370690">
      <w:bodyDiv w:val="1"/>
      <w:marLeft w:val="0"/>
      <w:marRight w:val="0"/>
      <w:marTop w:val="0"/>
      <w:marBottom w:val="0"/>
      <w:divBdr>
        <w:top w:val="none" w:sz="0" w:space="0" w:color="auto"/>
        <w:left w:val="none" w:sz="0" w:space="0" w:color="auto"/>
        <w:bottom w:val="none" w:sz="0" w:space="0" w:color="auto"/>
        <w:right w:val="none" w:sz="0" w:space="0" w:color="auto"/>
      </w:divBdr>
    </w:div>
    <w:div w:id="439373609">
      <w:bodyDiv w:val="1"/>
      <w:marLeft w:val="0"/>
      <w:marRight w:val="0"/>
      <w:marTop w:val="0"/>
      <w:marBottom w:val="0"/>
      <w:divBdr>
        <w:top w:val="none" w:sz="0" w:space="0" w:color="auto"/>
        <w:left w:val="none" w:sz="0" w:space="0" w:color="auto"/>
        <w:bottom w:val="none" w:sz="0" w:space="0" w:color="auto"/>
        <w:right w:val="none" w:sz="0" w:space="0" w:color="auto"/>
      </w:divBdr>
    </w:div>
    <w:div w:id="1939094556">
      <w:bodyDiv w:val="1"/>
      <w:marLeft w:val="0"/>
      <w:marRight w:val="0"/>
      <w:marTop w:val="0"/>
      <w:marBottom w:val="0"/>
      <w:divBdr>
        <w:top w:val="none" w:sz="0" w:space="0" w:color="auto"/>
        <w:left w:val="none" w:sz="0" w:space="0" w:color="auto"/>
        <w:bottom w:val="none" w:sz="0" w:space="0" w:color="auto"/>
        <w:right w:val="none" w:sz="0" w:space="0" w:color="auto"/>
      </w:divBdr>
    </w:div>
    <w:div w:id="1951549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640_2001.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542440-3561-4A5F-B489-C6CE77FEE535}">
  <ds:schemaRefs>
    <ds:schemaRef ds:uri="a6cb9e4b-f1d1-4245-83ec-6cad768d538a"/>
    <ds:schemaRef ds:uri="http://purl.org/dc/elements/1.1/"/>
    <ds:schemaRef ds:uri="http://schemas.microsoft.com/office/2006/metadata/propertie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9d85dbaf-23eb-4e57-a637-93dcacc8b1a1"/>
    <ds:schemaRef ds:uri="http://www.w3.org/XML/1998/namespace"/>
    <ds:schemaRef ds:uri="http://purl.org/dc/dcmitype/"/>
  </ds:schemaRefs>
</ds:datastoreItem>
</file>

<file path=customXml/itemProps2.xml><?xml version="1.0" encoding="utf-8"?>
<ds:datastoreItem xmlns:ds="http://schemas.openxmlformats.org/officeDocument/2006/customXml" ds:itemID="{B679C666-57F0-47EA-B888-4977159A28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370B72-9213-4316-A142-71EEC0C3EFC3}">
  <ds:schemaRefs>
    <ds:schemaRef ds:uri="http://schemas.microsoft.com/sharepoint/v3/contenttype/forms"/>
  </ds:schemaRefs>
</ds:datastoreItem>
</file>

<file path=customXml/itemProps4.xml><?xml version="1.0" encoding="utf-8"?>
<ds:datastoreItem xmlns:ds="http://schemas.openxmlformats.org/officeDocument/2006/customXml" ds:itemID="{89077737-4AE1-4AD8-97AC-4F88BBF9D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3348</Words>
  <Characters>19089</Characters>
  <Application>Microsoft Office Word</Application>
  <DocSecurity>0</DocSecurity>
  <Lines>159</Lines>
  <Paragraphs>44</Paragraphs>
  <ScaleCrop>false</ScaleCrop>
  <HeadingPairs>
    <vt:vector size="2" baseType="variant">
      <vt:variant>
        <vt:lpstr>Título</vt:lpstr>
      </vt:variant>
      <vt:variant>
        <vt:i4>1</vt:i4>
      </vt:variant>
    </vt:vector>
  </HeadingPairs>
  <TitlesOfParts>
    <vt:vector size="1" baseType="lpstr">
      <vt:lpstr/>
    </vt:vector>
  </TitlesOfParts>
  <Company>CONSEJO SUPERIOR DE LA JUDICATURA</Company>
  <LinksUpToDate>false</LinksUpToDate>
  <CharactersWithSpaces>22393</CharactersWithSpaces>
  <SharedDoc>false</SharedDoc>
  <HLinks>
    <vt:vector size="12" baseType="variant">
      <vt:variant>
        <vt:i4>3473427</vt:i4>
      </vt:variant>
      <vt:variant>
        <vt:i4>3</vt:i4>
      </vt:variant>
      <vt:variant>
        <vt:i4>0</vt:i4>
      </vt:variant>
      <vt:variant>
        <vt:i4>5</vt:i4>
      </vt:variant>
      <vt:variant>
        <vt:lpwstr>http://www.secretariasenado.gov.co/senado/basedoc/ley_0640_2001.html</vt:lpwstr>
      </vt:variant>
      <vt:variant>
        <vt:lpwstr>2</vt:lpwstr>
      </vt:variant>
      <vt:variant>
        <vt:i4>3473427</vt:i4>
      </vt:variant>
      <vt:variant>
        <vt:i4>0</vt:i4>
      </vt:variant>
      <vt:variant>
        <vt:i4>0</vt:i4>
      </vt:variant>
      <vt:variant>
        <vt:i4>5</vt:i4>
      </vt:variant>
      <vt:variant>
        <vt:lpwstr>http://www.secretariasenado.gov.co/senado/basedoc/ley_0640_2001.html</vt:lpwstr>
      </vt:variant>
      <vt:variant>
        <vt:lpwstr>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Calderon</dc:creator>
  <cp:keywords/>
  <cp:lastModifiedBy>Silvia Juliana Saavedra Arguello</cp:lastModifiedBy>
  <cp:revision>2</cp:revision>
  <cp:lastPrinted>2017-05-30T22:20:00Z</cp:lastPrinted>
  <dcterms:created xsi:type="dcterms:W3CDTF">2020-06-05T23:01:00Z</dcterms:created>
  <dcterms:modified xsi:type="dcterms:W3CDTF">2020-06-05T23:01:00Z</dcterms:modified>
</cp:coreProperties>
</file>