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5754" w:rsidRPr="00E85BE0" w:rsidRDefault="00B85127" w:rsidP="00C83325">
      <w:pPr>
        <w:jc w:val="both"/>
        <w:rPr>
          <w:rFonts w:ascii="Arial" w:hAnsi="Arial" w:cs="Arial"/>
          <w:b/>
          <w:bCs/>
          <w:sz w:val="24"/>
          <w:szCs w:val="24"/>
        </w:rPr>
      </w:pPr>
      <w:r>
        <w:rPr>
          <w:rFonts w:ascii="Arial" w:hAnsi="Arial" w:cs="Arial"/>
          <w:b/>
          <w:bCs/>
          <w:sz w:val="24"/>
          <w:szCs w:val="24"/>
        </w:rPr>
        <w:t xml:space="preserve">PACTO ARBITRAL </w:t>
      </w:r>
      <w:r w:rsidR="00E85BE0">
        <w:rPr>
          <w:rFonts w:ascii="Arial" w:hAnsi="Arial" w:cs="Arial"/>
          <w:b/>
          <w:bCs/>
          <w:sz w:val="24"/>
          <w:szCs w:val="24"/>
        </w:rPr>
        <w:t xml:space="preserve">– </w:t>
      </w:r>
      <w:r w:rsidR="00E85BE0" w:rsidRPr="00E85BE0">
        <w:rPr>
          <w:rFonts w:ascii="Arial" w:hAnsi="Arial" w:cs="Arial"/>
          <w:b/>
          <w:bCs/>
          <w:sz w:val="24"/>
          <w:szCs w:val="24"/>
        </w:rPr>
        <w:t>Cláusula compromisoria –</w:t>
      </w:r>
      <w:r w:rsidRPr="00E85BE0">
        <w:rPr>
          <w:rFonts w:ascii="Arial" w:hAnsi="Arial" w:cs="Arial"/>
          <w:b/>
          <w:bCs/>
          <w:sz w:val="24"/>
          <w:szCs w:val="24"/>
        </w:rPr>
        <w:t xml:space="preserve">  Ley 80 de 1993 </w:t>
      </w:r>
    </w:p>
    <w:p w:rsidR="00C657FD" w:rsidRPr="00C83325" w:rsidRDefault="00C657FD" w:rsidP="00C83325">
      <w:pPr>
        <w:jc w:val="both"/>
        <w:rPr>
          <w:rFonts w:ascii="Arial" w:hAnsi="Arial" w:cs="Arial"/>
          <w:b/>
          <w:bCs/>
          <w:sz w:val="24"/>
          <w:szCs w:val="24"/>
          <w:lang w:val="es-ES"/>
        </w:rPr>
      </w:pPr>
    </w:p>
    <w:p w:rsidR="00C657FD" w:rsidRPr="00C83325" w:rsidRDefault="00C657FD" w:rsidP="00C83325">
      <w:pPr>
        <w:tabs>
          <w:tab w:val="left" w:pos="360"/>
        </w:tabs>
        <w:jc w:val="both"/>
        <w:rPr>
          <w:rFonts w:ascii="Arial" w:hAnsi="Arial" w:cs="Arial"/>
          <w:sz w:val="24"/>
          <w:szCs w:val="24"/>
        </w:rPr>
      </w:pPr>
      <w:r w:rsidRPr="00C83325">
        <w:rPr>
          <w:rFonts w:ascii="Arial" w:hAnsi="Arial" w:cs="Arial"/>
          <w:sz w:val="24"/>
          <w:szCs w:val="24"/>
        </w:rPr>
        <w:t xml:space="preserve">El pacto arbitral </w:t>
      </w:r>
      <w:bookmarkStart w:id="0" w:name="_GoBack"/>
      <w:r w:rsidRPr="00C83325">
        <w:rPr>
          <w:rFonts w:ascii="Arial" w:hAnsi="Arial" w:cs="Arial"/>
          <w:sz w:val="24"/>
          <w:szCs w:val="24"/>
        </w:rPr>
        <w:t>comprende la cláusula compromisoria y el compromiso, el primero contenido en un contrato o en documento anexo, en virtud del cual las</w:t>
      </w:r>
      <w:bookmarkEnd w:id="0"/>
      <w:r w:rsidRPr="00C83325">
        <w:rPr>
          <w:rFonts w:ascii="Arial" w:hAnsi="Arial" w:cs="Arial"/>
          <w:sz w:val="24"/>
          <w:szCs w:val="24"/>
        </w:rPr>
        <w:t xml:space="preserve"> partes convienen someter sus eventuales diferencias a la decisión de un  juez arbitral y, el segundo, comporta un negocio jurídico, por medio del cual ambos extremos acuerdan resolver un conflicto determinado a través de un tribunal de arbitramento –artículo 116 de la Constitución Política-, por manera que, en ambos casos, su objeto está dirigido a declinar voluntariamente a la jurisdicción propia de las controversias contractuales del Estado. En ese orden, cualquier </w:t>
      </w:r>
      <w:r w:rsidRPr="00C83325">
        <w:rPr>
          <w:rFonts w:ascii="Arial" w:hAnsi="Arial" w:cs="Arial"/>
          <w:sz w:val="24"/>
          <w:szCs w:val="24"/>
          <w:lang w:val="es-ES"/>
        </w:rPr>
        <w:t xml:space="preserve">controversia sometida al pacto arbitral escapa a la decisión de los jueces institucionales del Estado, en los términos previstos por la ley, siempre que las partes expresen de forma inequívoca </w:t>
      </w:r>
      <w:r w:rsidRPr="00C83325">
        <w:rPr>
          <w:rFonts w:ascii="Arial" w:hAnsi="Arial" w:cs="Arial"/>
          <w:sz w:val="24"/>
          <w:szCs w:val="24"/>
          <w:shd w:val="clear" w:color="auto" w:fill="FFFFFF"/>
        </w:rPr>
        <w:t>su intención de acudir al arbitraje para solucionar una determinada controversia, por escrito, en cuanto de no ser así la jurisdicción estatal no puede entenderse derogada</w:t>
      </w:r>
      <w:r w:rsidR="00385754" w:rsidRPr="00C83325">
        <w:rPr>
          <w:rFonts w:ascii="Arial" w:hAnsi="Arial" w:cs="Arial"/>
          <w:sz w:val="24"/>
          <w:szCs w:val="24"/>
        </w:rPr>
        <w:t xml:space="preserve"> -</w:t>
      </w:r>
      <w:r w:rsidRPr="00C83325">
        <w:rPr>
          <w:rFonts w:ascii="Arial" w:hAnsi="Arial" w:cs="Arial"/>
          <w:sz w:val="24"/>
          <w:szCs w:val="24"/>
        </w:rPr>
        <w:t xml:space="preserve">artículo 70 y 71 de la Ley 80 de 1993-. </w:t>
      </w:r>
    </w:p>
    <w:p w:rsidR="00B85127" w:rsidRDefault="00B85127" w:rsidP="00C83325">
      <w:pPr>
        <w:jc w:val="both"/>
        <w:rPr>
          <w:rFonts w:ascii="Arial" w:hAnsi="Arial" w:cs="Arial"/>
          <w:b/>
          <w:sz w:val="24"/>
          <w:szCs w:val="24"/>
        </w:rPr>
      </w:pPr>
    </w:p>
    <w:p w:rsidR="00C83325" w:rsidRPr="00E85BE0" w:rsidRDefault="00C83325" w:rsidP="00C83325">
      <w:pPr>
        <w:jc w:val="both"/>
        <w:rPr>
          <w:rFonts w:ascii="Arial" w:eastAsia="Times New Roman" w:hAnsi="Arial" w:cs="Arial"/>
          <w:b/>
          <w:sz w:val="24"/>
          <w:szCs w:val="24"/>
          <w:lang w:val="es-ES" w:eastAsia="es-ES"/>
        </w:rPr>
      </w:pPr>
      <w:r w:rsidRPr="00C83325">
        <w:rPr>
          <w:rFonts w:ascii="Arial" w:eastAsia="Times New Roman" w:hAnsi="Arial" w:cs="Arial"/>
          <w:b/>
          <w:sz w:val="24"/>
          <w:szCs w:val="24"/>
          <w:lang w:val="es-ES" w:eastAsia="es-ES"/>
        </w:rPr>
        <w:t>COSA JUZGADA</w:t>
      </w:r>
      <w:r w:rsidR="00E85BE0">
        <w:rPr>
          <w:rFonts w:ascii="Arial" w:eastAsia="Times New Roman" w:hAnsi="Arial" w:cs="Arial"/>
          <w:b/>
          <w:sz w:val="24"/>
          <w:szCs w:val="24"/>
          <w:lang w:val="es-ES" w:eastAsia="es-ES"/>
        </w:rPr>
        <w:t xml:space="preserve"> –</w:t>
      </w:r>
      <w:r w:rsidRPr="00B85127">
        <w:rPr>
          <w:rFonts w:ascii="Arial" w:eastAsia="Times New Roman" w:hAnsi="Arial" w:cs="Arial"/>
          <w:sz w:val="24"/>
          <w:szCs w:val="24"/>
          <w:lang w:val="es-ES" w:eastAsia="es-ES"/>
        </w:rPr>
        <w:t xml:space="preserve"> </w:t>
      </w:r>
      <w:r w:rsidR="00E85BE0" w:rsidRPr="00E85BE0">
        <w:rPr>
          <w:rFonts w:ascii="Arial" w:eastAsia="Times New Roman" w:hAnsi="Arial" w:cs="Arial"/>
          <w:b/>
          <w:sz w:val="24"/>
          <w:szCs w:val="24"/>
          <w:lang w:val="es-ES" w:eastAsia="es-ES"/>
        </w:rPr>
        <w:t xml:space="preserve">Modificación </w:t>
      </w:r>
      <w:r w:rsidRPr="00E85BE0">
        <w:rPr>
          <w:rFonts w:ascii="Arial" w:eastAsia="Times New Roman" w:hAnsi="Arial" w:cs="Arial"/>
          <w:b/>
          <w:sz w:val="24"/>
          <w:szCs w:val="24"/>
          <w:lang w:val="es-ES" w:eastAsia="es-ES"/>
        </w:rPr>
        <w:t>decisión ejecutoriada</w:t>
      </w:r>
      <w:r w:rsidR="00E85BE0" w:rsidRPr="00E85BE0">
        <w:rPr>
          <w:rFonts w:ascii="Arial" w:eastAsia="Times New Roman" w:hAnsi="Arial" w:cs="Arial"/>
          <w:b/>
          <w:sz w:val="24"/>
          <w:szCs w:val="24"/>
          <w:lang w:val="es-ES" w:eastAsia="es-ES"/>
        </w:rPr>
        <w:t xml:space="preserve"> – Límite</w:t>
      </w:r>
    </w:p>
    <w:p w:rsidR="00C83325" w:rsidRPr="00C83325" w:rsidRDefault="00C83325" w:rsidP="00C83325">
      <w:pPr>
        <w:jc w:val="both"/>
        <w:rPr>
          <w:rFonts w:ascii="Arial" w:eastAsia="Times New Roman" w:hAnsi="Arial" w:cs="Arial"/>
          <w:b/>
          <w:sz w:val="24"/>
          <w:szCs w:val="24"/>
          <w:lang w:val="es-ES" w:eastAsia="es-ES"/>
        </w:rPr>
      </w:pPr>
    </w:p>
    <w:p w:rsidR="00C657FD" w:rsidRPr="00C83325" w:rsidRDefault="00C657FD" w:rsidP="00C83325">
      <w:pPr>
        <w:jc w:val="both"/>
        <w:rPr>
          <w:rFonts w:ascii="Arial" w:hAnsi="Arial" w:cs="Arial"/>
          <w:sz w:val="24"/>
          <w:szCs w:val="24"/>
        </w:rPr>
      </w:pPr>
      <w:r w:rsidRPr="00C83325">
        <w:rPr>
          <w:rFonts w:ascii="Arial" w:hAnsi="Arial" w:cs="Arial"/>
          <w:sz w:val="24"/>
          <w:szCs w:val="24"/>
        </w:rPr>
        <w:t xml:space="preserve">La cosa juzgada comporta una </w:t>
      </w:r>
      <w:r w:rsidRPr="00C83325">
        <w:rPr>
          <w:rFonts w:ascii="Arial" w:hAnsi="Arial" w:cs="Arial"/>
          <w:sz w:val="24"/>
          <w:szCs w:val="24"/>
          <w:lang w:val="es-ES"/>
        </w:rPr>
        <w:t>institución jurídico procesal, mediante la cual se otorga a las decisiones plasmadas en una sentencia y en algunas otras providencias, el carácter de inmutables y definitivas, con el fin de lograr la terminación de las controversias, al tiempo de lograr  seguridad jurídica en las decisiones, de suerte que, desde el punto de vista formal y material, una vez en firme la decisión no queda sino cumplirla sin perjuicio de la procedencia del recurso extraordinario de revisión. De modo que no cabe considerar cosa juzgada sin el pronunciamiento de juez competente.</w:t>
      </w:r>
    </w:p>
    <w:p w:rsidR="00C657FD" w:rsidRPr="00C83325" w:rsidRDefault="00C657FD" w:rsidP="00C83325">
      <w:pPr>
        <w:jc w:val="both"/>
        <w:rPr>
          <w:rFonts w:ascii="Arial" w:hAnsi="Arial" w:cs="Arial"/>
          <w:sz w:val="24"/>
          <w:szCs w:val="24"/>
          <w:lang w:val="es-ES"/>
        </w:rPr>
      </w:pPr>
    </w:p>
    <w:p w:rsidR="00017F4D" w:rsidRPr="00E32E75" w:rsidRDefault="00017F4D" w:rsidP="007C5D43">
      <w:pPr>
        <w:jc w:val="center"/>
        <w:rPr>
          <w:rFonts w:ascii="Arial" w:hAnsi="Arial" w:cs="Arial"/>
          <w:b/>
          <w:bCs/>
          <w:sz w:val="24"/>
          <w:szCs w:val="24"/>
        </w:rPr>
      </w:pPr>
      <w:r w:rsidRPr="00E32E75">
        <w:rPr>
          <w:rFonts w:ascii="Arial" w:hAnsi="Arial" w:cs="Arial"/>
          <w:b/>
          <w:bCs/>
          <w:sz w:val="24"/>
          <w:szCs w:val="24"/>
        </w:rPr>
        <w:t>CONSEJO DE ESTADO</w:t>
      </w:r>
    </w:p>
    <w:p w:rsidR="007C5D43" w:rsidRPr="00E32E75" w:rsidRDefault="007C5D43" w:rsidP="007C5D43">
      <w:pPr>
        <w:jc w:val="center"/>
        <w:rPr>
          <w:rFonts w:ascii="Arial" w:hAnsi="Arial" w:cs="Arial"/>
          <w:b/>
          <w:bCs/>
          <w:sz w:val="24"/>
          <w:szCs w:val="24"/>
        </w:rPr>
      </w:pPr>
    </w:p>
    <w:p w:rsidR="00017F4D" w:rsidRPr="00E32E75" w:rsidRDefault="00017F4D" w:rsidP="007C5D43">
      <w:pPr>
        <w:jc w:val="center"/>
        <w:rPr>
          <w:rFonts w:ascii="Arial" w:hAnsi="Arial" w:cs="Arial"/>
          <w:b/>
          <w:bCs/>
          <w:sz w:val="24"/>
          <w:szCs w:val="24"/>
        </w:rPr>
      </w:pPr>
      <w:r w:rsidRPr="00E32E75">
        <w:rPr>
          <w:rFonts w:ascii="Arial" w:hAnsi="Arial" w:cs="Arial"/>
          <w:b/>
          <w:bCs/>
          <w:sz w:val="24"/>
          <w:szCs w:val="24"/>
        </w:rPr>
        <w:t>SALA DE LO CONTENCIOSO ADMINISTRATIVO</w:t>
      </w:r>
    </w:p>
    <w:p w:rsidR="007C5D43" w:rsidRPr="00E32E75" w:rsidRDefault="007C5D43" w:rsidP="007C5D43">
      <w:pPr>
        <w:keepNext/>
        <w:jc w:val="center"/>
        <w:rPr>
          <w:rFonts w:ascii="Arial" w:hAnsi="Arial" w:cs="Arial"/>
          <w:b/>
          <w:bCs/>
          <w:sz w:val="24"/>
          <w:szCs w:val="24"/>
        </w:rPr>
      </w:pPr>
    </w:p>
    <w:p w:rsidR="00017F4D" w:rsidRPr="00E32E75" w:rsidRDefault="00017F4D" w:rsidP="007C5D43">
      <w:pPr>
        <w:keepNext/>
        <w:jc w:val="center"/>
        <w:rPr>
          <w:rFonts w:ascii="Arial" w:hAnsi="Arial" w:cs="Arial"/>
          <w:b/>
          <w:bCs/>
          <w:sz w:val="24"/>
          <w:szCs w:val="24"/>
        </w:rPr>
      </w:pPr>
      <w:r w:rsidRPr="00E32E75">
        <w:rPr>
          <w:rFonts w:ascii="Arial" w:hAnsi="Arial" w:cs="Arial"/>
          <w:b/>
          <w:bCs/>
          <w:sz w:val="24"/>
          <w:szCs w:val="24"/>
        </w:rPr>
        <w:t>SECCIÓN TERCERA</w:t>
      </w:r>
    </w:p>
    <w:p w:rsidR="007C5D43" w:rsidRPr="00E32E75" w:rsidRDefault="007C5D43" w:rsidP="007C5D43">
      <w:pPr>
        <w:jc w:val="center"/>
        <w:rPr>
          <w:rFonts w:ascii="Arial" w:hAnsi="Arial" w:cs="Arial"/>
          <w:b/>
          <w:bCs/>
          <w:sz w:val="24"/>
          <w:szCs w:val="24"/>
        </w:rPr>
      </w:pPr>
    </w:p>
    <w:p w:rsidR="00017F4D" w:rsidRPr="00E32E75" w:rsidRDefault="00017F4D" w:rsidP="007C5D43">
      <w:pPr>
        <w:jc w:val="center"/>
        <w:rPr>
          <w:rFonts w:ascii="Arial" w:hAnsi="Arial" w:cs="Arial"/>
          <w:b/>
          <w:bCs/>
          <w:sz w:val="24"/>
          <w:szCs w:val="24"/>
        </w:rPr>
      </w:pPr>
      <w:r w:rsidRPr="00E32E75">
        <w:rPr>
          <w:rFonts w:ascii="Arial" w:hAnsi="Arial" w:cs="Arial"/>
          <w:b/>
          <w:bCs/>
          <w:sz w:val="24"/>
          <w:szCs w:val="24"/>
        </w:rPr>
        <w:t>SUBSECCIÓN B</w:t>
      </w:r>
    </w:p>
    <w:p w:rsidR="00017F4D" w:rsidRPr="00E32E75" w:rsidRDefault="00017F4D" w:rsidP="007C5D43">
      <w:pPr>
        <w:jc w:val="center"/>
        <w:rPr>
          <w:rFonts w:ascii="Arial" w:hAnsi="Arial" w:cs="Arial"/>
          <w:b/>
          <w:bCs/>
          <w:sz w:val="24"/>
          <w:szCs w:val="24"/>
        </w:rPr>
      </w:pPr>
    </w:p>
    <w:p w:rsidR="00017F4D" w:rsidRPr="00E32E75" w:rsidRDefault="00C657FD" w:rsidP="00C657FD">
      <w:pPr>
        <w:jc w:val="center"/>
        <w:rPr>
          <w:rFonts w:ascii="Arial" w:hAnsi="Arial" w:cs="Arial"/>
          <w:b/>
          <w:bCs/>
          <w:sz w:val="24"/>
          <w:szCs w:val="24"/>
        </w:rPr>
      </w:pPr>
      <w:r w:rsidRPr="00E32E75">
        <w:rPr>
          <w:rFonts w:ascii="Arial" w:hAnsi="Arial" w:cs="Arial"/>
          <w:b/>
          <w:bCs/>
          <w:sz w:val="24"/>
          <w:szCs w:val="24"/>
        </w:rPr>
        <w:t>Consejera p</w:t>
      </w:r>
      <w:r w:rsidR="00017F4D" w:rsidRPr="00E32E75">
        <w:rPr>
          <w:rFonts w:ascii="Arial" w:hAnsi="Arial" w:cs="Arial"/>
          <w:b/>
          <w:bCs/>
          <w:sz w:val="24"/>
          <w:szCs w:val="24"/>
        </w:rPr>
        <w:t xml:space="preserve">onente: STELLA CONTO </w:t>
      </w:r>
      <w:r w:rsidR="00E56F23" w:rsidRPr="00E32E75">
        <w:rPr>
          <w:rFonts w:ascii="Arial" w:hAnsi="Arial" w:cs="Arial"/>
          <w:b/>
          <w:bCs/>
          <w:sz w:val="24"/>
          <w:szCs w:val="24"/>
        </w:rPr>
        <w:t>DÍAZ</w:t>
      </w:r>
      <w:r w:rsidR="00017F4D" w:rsidRPr="00E32E75">
        <w:rPr>
          <w:rFonts w:ascii="Arial" w:hAnsi="Arial" w:cs="Arial"/>
          <w:b/>
          <w:bCs/>
          <w:sz w:val="24"/>
          <w:szCs w:val="24"/>
        </w:rPr>
        <w:t xml:space="preserve"> DEL CASTILLO</w:t>
      </w:r>
    </w:p>
    <w:p w:rsidR="00017F4D" w:rsidRPr="00E32E75" w:rsidRDefault="00017F4D" w:rsidP="007C5D43">
      <w:pPr>
        <w:jc w:val="both"/>
        <w:rPr>
          <w:rFonts w:ascii="Arial" w:hAnsi="Arial" w:cs="Arial"/>
          <w:sz w:val="24"/>
          <w:szCs w:val="24"/>
        </w:rPr>
      </w:pPr>
    </w:p>
    <w:p w:rsidR="00017F4D" w:rsidRPr="00E32E75" w:rsidRDefault="00017F4D" w:rsidP="007C5D43">
      <w:pPr>
        <w:jc w:val="both"/>
        <w:rPr>
          <w:rFonts w:ascii="Arial" w:hAnsi="Arial" w:cs="Arial"/>
          <w:sz w:val="24"/>
          <w:szCs w:val="24"/>
        </w:rPr>
      </w:pPr>
      <w:r w:rsidRPr="00E32E75">
        <w:rPr>
          <w:rFonts w:ascii="Arial" w:hAnsi="Arial" w:cs="Arial"/>
          <w:sz w:val="24"/>
          <w:szCs w:val="24"/>
        </w:rPr>
        <w:t xml:space="preserve">Bogotá D.C., veintinueve (29) de mayo de dos mil catorce (2014)  </w:t>
      </w:r>
    </w:p>
    <w:p w:rsidR="00017F4D" w:rsidRPr="00E32E75" w:rsidRDefault="00017F4D" w:rsidP="007C5D43">
      <w:pPr>
        <w:jc w:val="both"/>
        <w:rPr>
          <w:rFonts w:ascii="Arial" w:hAnsi="Arial" w:cs="Arial"/>
          <w:b/>
          <w:sz w:val="24"/>
          <w:szCs w:val="24"/>
        </w:rPr>
      </w:pPr>
    </w:p>
    <w:p w:rsidR="00017F4D" w:rsidRPr="00E32E75" w:rsidRDefault="007C5D43" w:rsidP="007C5D43">
      <w:pPr>
        <w:jc w:val="both"/>
        <w:rPr>
          <w:rFonts w:ascii="Arial" w:hAnsi="Arial" w:cs="Arial"/>
          <w:b/>
          <w:sz w:val="24"/>
          <w:szCs w:val="24"/>
          <w:lang w:val="es-MX"/>
        </w:rPr>
      </w:pPr>
      <w:r w:rsidRPr="00E32E75">
        <w:rPr>
          <w:rFonts w:ascii="Arial" w:hAnsi="Arial" w:cs="Arial"/>
          <w:b/>
          <w:sz w:val="24"/>
          <w:szCs w:val="24"/>
          <w:lang w:val="es-MX"/>
        </w:rPr>
        <w:t>Radicación número</w:t>
      </w:r>
      <w:r w:rsidR="00017F4D" w:rsidRPr="00E32E75">
        <w:rPr>
          <w:rFonts w:ascii="Arial" w:hAnsi="Arial" w:cs="Arial"/>
          <w:b/>
          <w:sz w:val="24"/>
          <w:szCs w:val="24"/>
          <w:lang w:val="es-MX"/>
        </w:rPr>
        <w:t>: 25000</w:t>
      </w:r>
      <w:r w:rsidRPr="00E32E75">
        <w:rPr>
          <w:rFonts w:ascii="Arial" w:hAnsi="Arial" w:cs="Arial"/>
          <w:b/>
          <w:sz w:val="24"/>
          <w:szCs w:val="24"/>
          <w:lang w:val="es-MX"/>
        </w:rPr>
        <w:t>-</w:t>
      </w:r>
      <w:r w:rsidR="00017F4D" w:rsidRPr="00E32E75">
        <w:rPr>
          <w:rFonts w:ascii="Arial" w:hAnsi="Arial" w:cs="Arial"/>
          <w:b/>
          <w:sz w:val="24"/>
          <w:szCs w:val="24"/>
          <w:lang w:val="es-MX"/>
        </w:rPr>
        <w:t>23</w:t>
      </w:r>
      <w:r w:rsidRPr="00E32E75">
        <w:rPr>
          <w:rFonts w:ascii="Arial" w:hAnsi="Arial" w:cs="Arial"/>
          <w:b/>
          <w:sz w:val="24"/>
          <w:szCs w:val="24"/>
          <w:lang w:val="es-MX"/>
        </w:rPr>
        <w:t>-</w:t>
      </w:r>
      <w:r w:rsidR="00017F4D" w:rsidRPr="00E32E75">
        <w:rPr>
          <w:rFonts w:ascii="Arial" w:hAnsi="Arial" w:cs="Arial"/>
          <w:b/>
          <w:sz w:val="24"/>
          <w:szCs w:val="24"/>
          <w:lang w:val="es-MX"/>
        </w:rPr>
        <w:t>25</w:t>
      </w:r>
      <w:r w:rsidRPr="00E32E75">
        <w:rPr>
          <w:rFonts w:ascii="Arial" w:hAnsi="Arial" w:cs="Arial"/>
          <w:b/>
          <w:sz w:val="24"/>
          <w:szCs w:val="24"/>
          <w:lang w:val="es-MX"/>
        </w:rPr>
        <w:t>-</w:t>
      </w:r>
      <w:r w:rsidR="00017F4D" w:rsidRPr="00E32E75">
        <w:rPr>
          <w:rFonts w:ascii="Arial" w:hAnsi="Arial" w:cs="Arial"/>
          <w:b/>
          <w:sz w:val="24"/>
          <w:szCs w:val="24"/>
          <w:lang w:val="es-MX"/>
        </w:rPr>
        <w:t>000</w:t>
      </w:r>
      <w:r w:rsidRPr="00E32E75">
        <w:rPr>
          <w:rFonts w:ascii="Arial" w:hAnsi="Arial" w:cs="Arial"/>
          <w:b/>
          <w:sz w:val="24"/>
          <w:szCs w:val="24"/>
          <w:lang w:val="es-MX"/>
        </w:rPr>
        <w:t>-</w:t>
      </w:r>
      <w:r w:rsidRPr="00E32E75">
        <w:rPr>
          <w:rFonts w:ascii="Arial" w:hAnsi="Arial" w:cs="Arial"/>
          <w:b/>
          <w:sz w:val="24"/>
          <w:szCs w:val="24"/>
        </w:rPr>
        <w:t>1999-01854-</w:t>
      </w:r>
      <w:r w:rsidR="00017F4D" w:rsidRPr="00E32E75">
        <w:rPr>
          <w:rFonts w:ascii="Arial" w:hAnsi="Arial" w:cs="Arial"/>
          <w:b/>
          <w:sz w:val="24"/>
          <w:szCs w:val="24"/>
        </w:rPr>
        <w:t>01</w:t>
      </w:r>
      <w:r w:rsidR="00017F4D" w:rsidRPr="00E32E75">
        <w:rPr>
          <w:rFonts w:ascii="Arial" w:hAnsi="Arial" w:cs="Arial"/>
          <w:sz w:val="24"/>
          <w:szCs w:val="24"/>
        </w:rPr>
        <w:t>(</w:t>
      </w:r>
      <w:r w:rsidR="00017F4D" w:rsidRPr="00E32E75">
        <w:rPr>
          <w:rFonts w:ascii="Arial" w:hAnsi="Arial" w:cs="Arial"/>
          <w:b/>
          <w:sz w:val="24"/>
          <w:szCs w:val="24"/>
        </w:rPr>
        <w:t>27146)</w:t>
      </w:r>
      <w:r w:rsidR="00017F4D" w:rsidRPr="00E32E75">
        <w:rPr>
          <w:rFonts w:ascii="Arial" w:hAnsi="Arial" w:cs="Arial"/>
          <w:b/>
          <w:sz w:val="24"/>
          <w:szCs w:val="24"/>
          <w:lang w:val="es-MX"/>
        </w:rPr>
        <w:t xml:space="preserve"> </w:t>
      </w:r>
    </w:p>
    <w:p w:rsidR="007C5D43" w:rsidRPr="00E32E75" w:rsidRDefault="007C5D43" w:rsidP="007C5D43">
      <w:pPr>
        <w:jc w:val="both"/>
        <w:rPr>
          <w:rFonts w:ascii="Arial" w:hAnsi="Arial" w:cs="Arial"/>
          <w:sz w:val="24"/>
          <w:szCs w:val="24"/>
        </w:rPr>
      </w:pPr>
    </w:p>
    <w:p w:rsidR="007C5D43" w:rsidRPr="00E32E75" w:rsidRDefault="00017F4D" w:rsidP="007C5D43">
      <w:pPr>
        <w:jc w:val="both"/>
        <w:rPr>
          <w:rFonts w:ascii="Arial" w:hAnsi="Arial" w:cs="Arial"/>
          <w:b/>
          <w:sz w:val="24"/>
          <w:szCs w:val="24"/>
        </w:rPr>
      </w:pPr>
      <w:r w:rsidRPr="00E32E75">
        <w:rPr>
          <w:rFonts w:ascii="Arial" w:hAnsi="Arial" w:cs="Arial"/>
          <w:b/>
          <w:sz w:val="24"/>
          <w:szCs w:val="24"/>
          <w:lang w:val="es-MX"/>
        </w:rPr>
        <w:t>Actor:</w:t>
      </w:r>
      <w:r w:rsidRPr="00E32E75">
        <w:rPr>
          <w:rFonts w:ascii="Arial" w:hAnsi="Arial" w:cs="Arial"/>
          <w:b/>
          <w:sz w:val="24"/>
          <w:szCs w:val="24"/>
        </w:rPr>
        <w:t xml:space="preserve"> CENTRO DE INVESTIGACIONES PROFESIONALES LTDA. – CENINP–</w:t>
      </w:r>
    </w:p>
    <w:p w:rsidR="007C5D43" w:rsidRPr="00E32E75" w:rsidRDefault="007C5D43" w:rsidP="007C5D43">
      <w:pPr>
        <w:jc w:val="both"/>
        <w:rPr>
          <w:rFonts w:ascii="Arial" w:hAnsi="Arial" w:cs="Arial"/>
          <w:b/>
          <w:sz w:val="24"/>
          <w:szCs w:val="24"/>
        </w:rPr>
      </w:pPr>
    </w:p>
    <w:p w:rsidR="00017F4D" w:rsidRPr="00E32E75" w:rsidRDefault="00017F4D" w:rsidP="007C5D43">
      <w:pPr>
        <w:jc w:val="both"/>
        <w:rPr>
          <w:rFonts w:ascii="Arial" w:hAnsi="Arial" w:cs="Arial"/>
          <w:b/>
          <w:sz w:val="24"/>
          <w:szCs w:val="24"/>
        </w:rPr>
      </w:pPr>
      <w:r w:rsidRPr="00E32E75">
        <w:rPr>
          <w:rFonts w:ascii="Arial" w:hAnsi="Arial" w:cs="Arial"/>
          <w:b/>
          <w:sz w:val="24"/>
          <w:szCs w:val="24"/>
          <w:lang w:val="es-MX"/>
        </w:rPr>
        <w:t xml:space="preserve">Demandado: </w:t>
      </w:r>
      <w:r w:rsidRPr="00E32E75">
        <w:rPr>
          <w:rFonts w:ascii="Arial" w:hAnsi="Arial" w:cs="Arial"/>
          <w:b/>
          <w:sz w:val="24"/>
          <w:szCs w:val="24"/>
        </w:rPr>
        <w:t>DISTRITO CAPITAL DE BOGOTÁ Y OTRAS</w:t>
      </w:r>
    </w:p>
    <w:p w:rsidR="007C5D43" w:rsidRPr="00E32E75" w:rsidRDefault="007C5D43" w:rsidP="007C5D43">
      <w:pPr>
        <w:jc w:val="both"/>
        <w:rPr>
          <w:rFonts w:ascii="Arial" w:hAnsi="Arial" w:cs="Arial"/>
          <w:b/>
          <w:sz w:val="24"/>
          <w:szCs w:val="24"/>
          <w:lang w:val="es-MX"/>
        </w:rPr>
      </w:pPr>
    </w:p>
    <w:p w:rsidR="007C5D43" w:rsidRPr="00E32E75" w:rsidRDefault="007C5D43" w:rsidP="007C5D43">
      <w:pPr>
        <w:jc w:val="both"/>
        <w:rPr>
          <w:rFonts w:ascii="Arial" w:hAnsi="Arial" w:cs="Arial"/>
          <w:b/>
          <w:sz w:val="24"/>
          <w:szCs w:val="24"/>
          <w:lang w:val="es-MX"/>
        </w:rPr>
      </w:pPr>
    </w:p>
    <w:p w:rsidR="007C5D43" w:rsidRPr="00E32E75" w:rsidRDefault="007C5D43" w:rsidP="007C5D43">
      <w:pPr>
        <w:jc w:val="both"/>
        <w:rPr>
          <w:rFonts w:ascii="Arial" w:hAnsi="Arial" w:cs="Arial"/>
          <w:b/>
          <w:sz w:val="24"/>
          <w:szCs w:val="24"/>
          <w:lang w:val="es-MX"/>
        </w:rPr>
      </w:pPr>
    </w:p>
    <w:p w:rsidR="00017F4D" w:rsidRPr="00E32E75" w:rsidRDefault="007C5D43" w:rsidP="007C5D43">
      <w:pPr>
        <w:jc w:val="both"/>
        <w:rPr>
          <w:rFonts w:ascii="Arial" w:hAnsi="Arial" w:cs="Arial"/>
          <w:b/>
          <w:sz w:val="24"/>
          <w:szCs w:val="24"/>
          <w:lang w:val="es-MX"/>
        </w:rPr>
      </w:pPr>
      <w:r w:rsidRPr="00E32E75">
        <w:rPr>
          <w:rFonts w:ascii="Arial" w:hAnsi="Arial" w:cs="Arial"/>
          <w:b/>
          <w:sz w:val="24"/>
          <w:szCs w:val="24"/>
          <w:lang w:val="es-MX"/>
        </w:rPr>
        <w:t>Referencia</w:t>
      </w:r>
      <w:r w:rsidR="00017F4D" w:rsidRPr="00E32E75">
        <w:rPr>
          <w:rFonts w:ascii="Arial" w:hAnsi="Arial" w:cs="Arial"/>
          <w:b/>
          <w:sz w:val="24"/>
          <w:szCs w:val="24"/>
          <w:lang w:val="es-MX"/>
        </w:rPr>
        <w:t xml:space="preserve">: </w:t>
      </w:r>
      <w:r w:rsidRPr="00E32E75">
        <w:rPr>
          <w:rFonts w:ascii="Arial" w:hAnsi="Arial" w:cs="Arial"/>
          <w:b/>
          <w:sz w:val="24"/>
          <w:szCs w:val="24"/>
          <w:lang w:val="es-MX"/>
        </w:rPr>
        <w:t xml:space="preserve">APELACIÓN SENTENCIA - ACCIÓN DE CONTROVERSIAS CONTRACTUALES </w:t>
      </w:r>
    </w:p>
    <w:p w:rsidR="00017F4D" w:rsidRPr="00E32E75" w:rsidRDefault="00017F4D" w:rsidP="007C5D43">
      <w:pPr>
        <w:rPr>
          <w:rFonts w:ascii="Arial" w:hAnsi="Arial" w:cs="Arial"/>
          <w:b/>
          <w:sz w:val="24"/>
          <w:szCs w:val="24"/>
          <w:u w:val="single"/>
          <w:lang w:val="es-MX"/>
        </w:rPr>
      </w:pPr>
    </w:p>
    <w:p w:rsidR="007C5D43" w:rsidRPr="00E32E75" w:rsidRDefault="007C5D43" w:rsidP="007C5D43">
      <w:pPr>
        <w:rPr>
          <w:rFonts w:ascii="Arial" w:hAnsi="Arial" w:cs="Arial"/>
          <w:b/>
          <w:sz w:val="24"/>
          <w:szCs w:val="24"/>
          <w:u w:val="single"/>
          <w:lang w:val="es-MX"/>
        </w:rPr>
      </w:pPr>
    </w:p>
    <w:p w:rsidR="00017F4D" w:rsidRPr="00E32E75" w:rsidRDefault="00017F4D" w:rsidP="007C5D43">
      <w:pPr>
        <w:jc w:val="both"/>
        <w:rPr>
          <w:rFonts w:ascii="Arial" w:hAnsi="Arial" w:cs="Arial"/>
          <w:b/>
          <w:sz w:val="24"/>
          <w:szCs w:val="24"/>
        </w:rPr>
      </w:pPr>
    </w:p>
    <w:p w:rsidR="00017F4D" w:rsidRPr="00E32E75" w:rsidRDefault="00017F4D" w:rsidP="007C5D43">
      <w:pPr>
        <w:spacing w:line="360" w:lineRule="auto"/>
        <w:jc w:val="both"/>
        <w:rPr>
          <w:rFonts w:ascii="Arial" w:hAnsi="Arial" w:cs="Arial"/>
          <w:b/>
          <w:sz w:val="24"/>
          <w:szCs w:val="24"/>
          <w:lang w:val="it-IT"/>
        </w:rPr>
      </w:pPr>
      <w:r w:rsidRPr="00E32E75">
        <w:rPr>
          <w:rFonts w:ascii="Arial" w:hAnsi="Arial" w:cs="Arial"/>
          <w:sz w:val="24"/>
          <w:szCs w:val="24"/>
        </w:rPr>
        <w:t xml:space="preserve">Resuelve la Sala el recurso de apelación interpuesto por la parte actora, contra la sentencia proferida el 22 de enero de 2004, por el Tribunal Administrativo de </w:t>
      </w:r>
      <w:r w:rsidRPr="00E32E75">
        <w:rPr>
          <w:rFonts w:ascii="Arial" w:hAnsi="Arial" w:cs="Arial"/>
          <w:sz w:val="24"/>
          <w:szCs w:val="24"/>
        </w:rPr>
        <w:lastRenderedPageBreak/>
        <w:t>Cundinamarca, Sección Tercera -Sala de Descongestión, mediante la cual se declaró probada la excepción de falta de jurisdicción.</w:t>
      </w:r>
    </w:p>
    <w:p w:rsidR="00017F4D" w:rsidRPr="00E32E75" w:rsidRDefault="00017F4D" w:rsidP="00017F4D">
      <w:pPr>
        <w:spacing w:line="360" w:lineRule="auto"/>
        <w:jc w:val="both"/>
        <w:rPr>
          <w:rFonts w:ascii="Arial" w:hAnsi="Arial" w:cs="Arial"/>
          <w:b/>
          <w:sz w:val="24"/>
          <w:szCs w:val="24"/>
        </w:rPr>
      </w:pPr>
    </w:p>
    <w:p w:rsidR="00017F4D" w:rsidRPr="00E32E75" w:rsidRDefault="00017F4D" w:rsidP="00017F4D">
      <w:pPr>
        <w:spacing w:line="360" w:lineRule="auto"/>
        <w:ind w:hanging="720"/>
        <w:jc w:val="center"/>
        <w:rPr>
          <w:rFonts w:ascii="Arial" w:hAnsi="Arial" w:cs="Arial"/>
          <w:b/>
          <w:bCs/>
          <w:sz w:val="24"/>
          <w:szCs w:val="24"/>
          <w:lang w:val="es-ES_tradnl"/>
        </w:rPr>
      </w:pPr>
      <w:r w:rsidRPr="00E32E75">
        <w:rPr>
          <w:rFonts w:ascii="Arial" w:hAnsi="Arial" w:cs="Arial"/>
          <w:b/>
          <w:bCs/>
          <w:sz w:val="24"/>
          <w:szCs w:val="24"/>
          <w:lang w:val="es-ES_tradnl"/>
        </w:rPr>
        <w:t>I.</w:t>
      </w:r>
      <w:r w:rsidRPr="00E32E75">
        <w:rPr>
          <w:rFonts w:ascii="Arial" w:hAnsi="Arial" w:cs="Arial"/>
          <w:b/>
          <w:bCs/>
          <w:sz w:val="24"/>
          <w:szCs w:val="24"/>
          <w:lang w:val="es-ES_tradnl"/>
        </w:rPr>
        <w:tab/>
        <w:t xml:space="preserve">ANTECEDENTES </w:t>
      </w:r>
    </w:p>
    <w:p w:rsidR="00017F4D" w:rsidRPr="00E32E75" w:rsidRDefault="00017F4D" w:rsidP="00017F4D">
      <w:pPr>
        <w:spacing w:line="360" w:lineRule="auto"/>
        <w:jc w:val="center"/>
        <w:rPr>
          <w:rFonts w:ascii="Arial" w:hAnsi="Arial" w:cs="Arial"/>
          <w:bCs/>
          <w:sz w:val="24"/>
          <w:szCs w:val="24"/>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rPr>
        <w:t xml:space="preserve">El 25 de junio de 1999, el </w:t>
      </w:r>
      <w:r w:rsidRPr="00E32E75">
        <w:rPr>
          <w:rFonts w:ascii="Arial" w:hAnsi="Arial" w:cs="Arial"/>
          <w:sz w:val="24"/>
          <w:szCs w:val="24"/>
          <w:lang w:val="es-ES"/>
        </w:rPr>
        <w:t>CENTRO DE INVESTIGACIONES PROFESIONALES–CENINP-</w:t>
      </w:r>
      <w:r w:rsidRPr="00E32E75">
        <w:rPr>
          <w:rStyle w:val="Refdenotaalpie"/>
          <w:rFonts w:ascii="Arial" w:hAnsi="Arial" w:cs="Arial"/>
          <w:sz w:val="24"/>
          <w:szCs w:val="24"/>
        </w:rPr>
        <w:footnoteReference w:id="1"/>
      </w:r>
      <w:r w:rsidRPr="00E32E75">
        <w:rPr>
          <w:rFonts w:ascii="Arial" w:hAnsi="Arial" w:cs="Arial"/>
          <w:sz w:val="24"/>
          <w:szCs w:val="24"/>
        </w:rPr>
        <w:t>, por conducto de apoderado judicial, formuló demanda contra el</w:t>
      </w:r>
      <w:r w:rsidRPr="00E32E75">
        <w:rPr>
          <w:rFonts w:ascii="Arial" w:hAnsi="Arial" w:cs="Arial"/>
          <w:sz w:val="24"/>
          <w:szCs w:val="24"/>
          <w:lang w:val="es-ES"/>
        </w:rPr>
        <w:t xml:space="preserve"> DISTRITO CAPITAL–SECRETARÍA DE SALUD, EL FONDO FINANCIERO DISTRITAL DE SALUD y la SECRETARÍA EJECUTIVA DEL CONVENIO ÁNDRES BELLO “SECAB” para que se declare el incumplimiento del contrato de prestación de servicios suscrito el 16 de junio de 1997, dado que las prestaciones inicialmente pactadas fueron modificadas unilateralmente y se le reconozcan los perjuicios causados –folio 2 del cuaderno principal-.  </w:t>
      </w:r>
    </w:p>
    <w:p w:rsidR="00017F4D" w:rsidRPr="00E32E75" w:rsidRDefault="00017F4D" w:rsidP="00017F4D">
      <w:pPr>
        <w:jc w:val="both"/>
        <w:rPr>
          <w:rFonts w:ascii="Arial" w:hAnsi="Arial" w:cs="Arial"/>
          <w:sz w:val="24"/>
          <w:szCs w:val="24"/>
          <w:lang w:val="es-ES"/>
        </w:rPr>
      </w:pPr>
    </w:p>
    <w:p w:rsidR="00017F4D" w:rsidRPr="00E32E75" w:rsidRDefault="00017F4D" w:rsidP="00017F4D">
      <w:pPr>
        <w:jc w:val="both"/>
        <w:rPr>
          <w:rFonts w:ascii="Arial" w:hAnsi="Arial" w:cs="Arial"/>
          <w:sz w:val="24"/>
          <w:szCs w:val="24"/>
        </w:rPr>
      </w:pPr>
    </w:p>
    <w:p w:rsidR="00017F4D" w:rsidRPr="00E32E75" w:rsidRDefault="00017F4D" w:rsidP="00017F4D">
      <w:pPr>
        <w:spacing w:line="360" w:lineRule="auto"/>
        <w:ind w:left="180" w:hanging="180"/>
        <w:jc w:val="center"/>
        <w:rPr>
          <w:rFonts w:ascii="Arial" w:hAnsi="Arial" w:cs="Arial"/>
          <w:sz w:val="24"/>
          <w:szCs w:val="24"/>
        </w:rPr>
      </w:pPr>
      <w:r w:rsidRPr="00E32E75">
        <w:rPr>
          <w:rFonts w:ascii="Arial" w:hAnsi="Arial" w:cs="Arial"/>
          <w:b/>
          <w:sz w:val="24"/>
          <w:szCs w:val="24"/>
        </w:rPr>
        <w:t>1. PRIMERA INSTANCIA</w:t>
      </w:r>
    </w:p>
    <w:p w:rsidR="00017F4D" w:rsidRPr="00E32E75" w:rsidRDefault="00017F4D" w:rsidP="00017F4D">
      <w:pPr>
        <w:spacing w:line="360" w:lineRule="auto"/>
        <w:jc w:val="both"/>
        <w:rPr>
          <w:rFonts w:ascii="Arial" w:hAnsi="Arial" w:cs="Arial"/>
          <w:b/>
          <w:sz w:val="24"/>
          <w:szCs w:val="24"/>
        </w:rPr>
      </w:pPr>
    </w:p>
    <w:p w:rsidR="00017F4D" w:rsidRPr="00E32E75" w:rsidRDefault="00017F4D" w:rsidP="00017F4D">
      <w:pPr>
        <w:numPr>
          <w:ilvl w:val="1"/>
          <w:numId w:val="5"/>
        </w:numPr>
        <w:spacing w:line="360" w:lineRule="auto"/>
        <w:jc w:val="both"/>
        <w:rPr>
          <w:rFonts w:ascii="Arial" w:hAnsi="Arial" w:cs="Arial"/>
          <w:b/>
          <w:sz w:val="24"/>
          <w:szCs w:val="24"/>
        </w:rPr>
      </w:pPr>
      <w:r w:rsidRPr="00E32E75">
        <w:rPr>
          <w:rFonts w:ascii="Arial" w:hAnsi="Arial" w:cs="Arial"/>
          <w:b/>
          <w:sz w:val="24"/>
          <w:szCs w:val="24"/>
        </w:rPr>
        <w:t>LA DEMANDA</w:t>
      </w:r>
    </w:p>
    <w:p w:rsidR="00017F4D" w:rsidRPr="00E32E75" w:rsidRDefault="00017F4D" w:rsidP="00017F4D">
      <w:pPr>
        <w:spacing w:line="360" w:lineRule="auto"/>
        <w:jc w:val="both"/>
        <w:rPr>
          <w:rFonts w:ascii="Arial" w:hAnsi="Arial" w:cs="Arial"/>
          <w:b/>
          <w:i/>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Conforme al texto de la demanda, se pretenden las siguientes declaraciones y condenas:</w:t>
      </w:r>
    </w:p>
    <w:p w:rsidR="00017F4D" w:rsidRPr="00E32E75" w:rsidRDefault="00017F4D" w:rsidP="00017F4D">
      <w:pPr>
        <w:ind w:left="567"/>
        <w:jc w:val="both"/>
        <w:rPr>
          <w:rFonts w:ascii="Arial" w:hAnsi="Arial" w:cs="Arial"/>
          <w:b/>
          <w:i/>
          <w:sz w:val="24"/>
          <w:szCs w:val="24"/>
        </w:rPr>
      </w:pPr>
    </w:p>
    <w:p w:rsidR="00017F4D" w:rsidRPr="00E32E75" w:rsidRDefault="00017F4D" w:rsidP="00017F4D">
      <w:pPr>
        <w:ind w:left="567"/>
        <w:jc w:val="both"/>
        <w:rPr>
          <w:rFonts w:ascii="Arial" w:hAnsi="Arial" w:cs="Arial"/>
          <w:b/>
          <w:i/>
          <w:sz w:val="24"/>
          <w:szCs w:val="24"/>
        </w:rPr>
      </w:pPr>
      <w:r w:rsidRPr="00E32E75">
        <w:rPr>
          <w:rFonts w:ascii="Arial" w:hAnsi="Arial" w:cs="Arial"/>
          <w:b/>
          <w:i/>
          <w:sz w:val="24"/>
          <w:szCs w:val="24"/>
        </w:rPr>
        <w:t>“PRETENSIÓN PRINCIPAL</w:t>
      </w:r>
    </w:p>
    <w:p w:rsidR="00017F4D" w:rsidRPr="00E32E75" w:rsidRDefault="00017F4D" w:rsidP="00017F4D">
      <w:pPr>
        <w:ind w:left="567"/>
        <w:jc w:val="both"/>
        <w:rPr>
          <w:rFonts w:ascii="Arial" w:hAnsi="Arial" w:cs="Arial"/>
          <w:i/>
          <w:sz w:val="24"/>
          <w:szCs w:val="24"/>
        </w:rPr>
      </w:pPr>
    </w:p>
    <w:p w:rsidR="00017F4D" w:rsidRPr="00E32E75" w:rsidRDefault="00017F4D" w:rsidP="00017F4D">
      <w:pPr>
        <w:ind w:left="567"/>
        <w:jc w:val="both"/>
        <w:rPr>
          <w:rFonts w:ascii="Arial" w:hAnsi="Arial" w:cs="Arial"/>
          <w:i/>
          <w:sz w:val="24"/>
          <w:szCs w:val="24"/>
        </w:rPr>
      </w:pPr>
      <w:r w:rsidRPr="00E32E75">
        <w:rPr>
          <w:rFonts w:ascii="Arial" w:hAnsi="Arial" w:cs="Arial"/>
          <w:b/>
          <w:i/>
          <w:sz w:val="24"/>
          <w:szCs w:val="24"/>
        </w:rPr>
        <w:t>1.-</w:t>
      </w:r>
      <w:r w:rsidRPr="00E32E75">
        <w:rPr>
          <w:rFonts w:ascii="Arial" w:hAnsi="Arial" w:cs="Arial"/>
          <w:i/>
          <w:sz w:val="24"/>
          <w:szCs w:val="24"/>
        </w:rPr>
        <w:t xml:space="preserve"> Declárese que la parte demandada incumplió el contrato celebrado con la parte demandante al haber roto intempestivamente el contrato y haber modificado las condiciones contractuales unilateralmente, de conformidad con las circunstancias modales indicadas en los hechos de la demanda.</w:t>
      </w:r>
    </w:p>
    <w:p w:rsidR="00017F4D" w:rsidRPr="00E32E75" w:rsidRDefault="00017F4D" w:rsidP="00017F4D">
      <w:pPr>
        <w:ind w:left="567"/>
        <w:jc w:val="both"/>
        <w:rPr>
          <w:rFonts w:ascii="Arial" w:hAnsi="Arial" w:cs="Arial"/>
          <w:i/>
          <w:sz w:val="24"/>
          <w:szCs w:val="24"/>
        </w:rPr>
      </w:pPr>
    </w:p>
    <w:p w:rsidR="00017F4D" w:rsidRPr="00E32E75" w:rsidRDefault="00017F4D" w:rsidP="00017F4D">
      <w:pPr>
        <w:ind w:left="567"/>
        <w:jc w:val="both"/>
        <w:rPr>
          <w:rFonts w:ascii="Arial" w:hAnsi="Arial" w:cs="Arial"/>
          <w:b/>
          <w:i/>
          <w:sz w:val="24"/>
          <w:szCs w:val="24"/>
        </w:rPr>
      </w:pPr>
      <w:r w:rsidRPr="00E32E75">
        <w:rPr>
          <w:rFonts w:ascii="Arial" w:hAnsi="Arial" w:cs="Arial"/>
          <w:b/>
          <w:i/>
          <w:sz w:val="24"/>
          <w:szCs w:val="24"/>
        </w:rPr>
        <w:t>PARTE CONDENATORIA</w:t>
      </w:r>
    </w:p>
    <w:p w:rsidR="00017F4D" w:rsidRPr="00E32E75" w:rsidRDefault="00017F4D" w:rsidP="00017F4D">
      <w:pPr>
        <w:ind w:left="567"/>
        <w:jc w:val="both"/>
        <w:rPr>
          <w:rFonts w:ascii="Arial" w:hAnsi="Arial" w:cs="Arial"/>
          <w:b/>
          <w:i/>
          <w:sz w:val="24"/>
          <w:szCs w:val="24"/>
        </w:rPr>
      </w:pPr>
    </w:p>
    <w:p w:rsidR="00017F4D" w:rsidRPr="00E32E75" w:rsidRDefault="00017F4D" w:rsidP="00017F4D">
      <w:pPr>
        <w:ind w:left="567"/>
        <w:jc w:val="both"/>
        <w:rPr>
          <w:rFonts w:ascii="Arial" w:hAnsi="Arial" w:cs="Arial"/>
          <w:i/>
          <w:sz w:val="24"/>
          <w:szCs w:val="24"/>
        </w:rPr>
      </w:pPr>
      <w:r w:rsidRPr="00E32E75">
        <w:rPr>
          <w:rFonts w:ascii="Arial" w:hAnsi="Arial" w:cs="Arial"/>
          <w:i/>
          <w:sz w:val="24"/>
          <w:szCs w:val="24"/>
        </w:rPr>
        <w:t xml:space="preserve">Como consecuencia de la (s) precedente (s) declaración (es) ruego CONDENAR A LA PARTE DEMANDADA, al pago y reconocimiento de los siguientes derechos y obligaciones:  </w:t>
      </w:r>
    </w:p>
    <w:p w:rsidR="00017F4D" w:rsidRPr="00E32E75" w:rsidRDefault="00017F4D" w:rsidP="00017F4D">
      <w:pPr>
        <w:ind w:left="567"/>
        <w:jc w:val="both"/>
        <w:rPr>
          <w:rFonts w:ascii="Arial" w:hAnsi="Arial" w:cs="Arial"/>
          <w:i/>
          <w:sz w:val="24"/>
          <w:szCs w:val="24"/>
        </w:rPr>
      </w:pPr>
    </w:p>
    <w:p w:rsidR="00017F4D" w:rsidRPr="00E32E75" w:rsidRDefault="00017F4D" w:rsidP="00017F4D">
      <w:pPr>
        <w:ind w:left="567"/>
        <w:jc w:val="both"/>
        <w:rPr>
          <w:rFonts w:ascii="Arial" w:hAnsi="Arial" w:cs="Arial"/>
          <w:i/>
          <w:sz w:val="24"/>
          <w:szCs w:val="24"/>
        </w:rPr>
      </w:pPr>
      <w:r w:rsidRPr="00E32E75">
        <w:rPr>
          <w:rFonts w:ascii="Arial" w:hAnsi="Arial" w:cs="Arial"/>
          <w:b/>
          <w:i/>
          <w:sz w:val="24"/>
          <w:szCs w:val="24"/>
        </w:rPr>
        <w:t>1.-</w:t>
      </w:r>
      <w:r w:rsidRPr="00E32E75">
        <w:rPr>
          <w:rFonts w:ascii="Arial" w:hAnsi="Arial" w:cs="Arial"/>
          <w:i/>
          <w:sz w:val="24"/>
          <w:szCs w:val="24"/>
        </w:rPr>
        <w:t xml:space="preserve"> De la suma o valor del contrato dejado de cumplir, sesenta y dos millones setecientos cuarenta mil quinientos, correspondientes al valor de 10.581 encuestas que la parte demandada impidió o no permitió realizar, de las 21.105 encuestas de que trataba el contrato celebrado entre las partes.</w:t>
      </w:r>
    </w:p>
    <w:p w:rsidR="00017F4D" w:rsidRPr="00E32E75" w:rsidRDefault="00017F4D" w:rsidP="00017F4D">
      <w:pPr>
        <w:ind w:left="567"/>
        <w:jc w:val="both"/>
        <w:rPr>
          <w:rFonts w:ascii="Arial" w:hAnsi="Arial" w:cs="Arial"/>
          <w:i/>
          <w:sz w:val="24"/>
          <w:szCs w:val="24"/>
        </w:rPr>
      </w:pPr>
    </w:p>
    <w:p w:rsidR="00017F4D" w:rsidRPr="00E32E75" w:rsidRDefault="00017F4D" w:rsidP="00017F4D">
      <w:pPr>
        <w:ind w:left="567"/>
        <w:jc w:val="both"/>
        <w:rPr>
          <w:rFonts w:ascii="Arial" w:hAnsi="Arial" w:cs="Arial"/>
          <w:i/>
          <w:sz w:val="24"/>
          <w:szCs w:val="24"/>
        </w:rPr>
      </w:pPr>
      <w:r w:rsidRPr="00E32E75">
        <w:rPr>
          <w:rFonts w:ascii="Arial" w:hAnsi="Arial" w:cs="Arial"/>
          <w:b/>
          <w:i/>
          <w:sz w:val="24"/>
          <w:szCs w:val="24"/>
        </w:rPr>
        <w:t>2.-</w:t>
      </w:r>
      <w:r w:rsidRPr="00E32E75">
        <w:rPr>
          <w:rFonts w:ascii="Arial" w:hAnsi="Arial" w:cs="Arial"/>
          <w:i/>
          <w:sz w:val="24"/>
          <w:szCs w:val="24"/>
        </w:rPr>
        <w:t xml:space="preserve"> Al pago de la indemnización de perjuicios que se tasaran dentro del proceso o mediante trámite incidental posterior.</w:t>
      </w:r>
    </w:p>
    <w:p w:rsidR="00017F4D" w:rsidRPr="00E32E75" w:rsidRDefault="00017F4D" w:rsidP="00017F4D">
      <w:pPr>
        <w:ind w:left="567"/>
        <w:jc w:val="both"/>
        <w:rPr>
          <w:rFonts w:ascii="Arial" w:hAnsi="Arial" w:cs="Arial"/>
          <w:i/>
          <w:sz w:val="24"/>
          <w:szCs w:val="24"/>
        </w:rPr>
      </w:pPr>
    </w:p>
    <w:p w:rsidR="00017F4D" w:rsidRPr="00E32E75" w:rsidRDefault="00017F4D" w:rsidP="00017F4D">
      <w:pPr>
        <w:ind w:left="567"/>
        <w:jc w:val="both"/>
        <w:rPr>
          <w:rFonts w:ascii="Arial" w:hAnsi="Arial" w:cs="Arial"/>
          <w:i/>
          <w:sz w:val="24"/>
          <w:szCs w:val="24"/>
        </w:rPr>
      </w:pPr>
      <w:r w:rsidRPr="00E32E75">
        <w:rPr>
          <w:rFonts w:ascii="Arial" w:hAnsi="Arial" w:cs="Arial"/>
          <w:b/>
          <w:i/>
          <w:sz w:val="24"/>
          <w:szCs w:val="24"/>
        </w:rPr>
        <w:t>3.-</w:t>
      </w:r>
      <w:r w:rsidRPr="00E32E75">
        <w:rPr>
          <w:rFonts w:ascii="Arial" w:hAnsi="Arial" w:cs="Arial"/>
          <w:i/>
          <w:sz w:val="24"/>
          <w:szCs w:val="24"/>
        </w:rPr>
        <w:t xml:space="preserve"> Ordenar adicionalmente a la parte demandada al pago de los intereses bancarios que corresponden a las sumas por las que sea condenada desde la fecha de incumplimiento del contrato y el valor de la corrección monetaria, teniendo en cuenta para ello las estadísticas que al efecto haya elaborado el Banco de la República, Banco Central Hipotecario y el Departamento Nacional de Estadística DANE.</w:t>
      </w:r>
    </w:p>
    <w:p w:rsidR="00017F4D" w:rsidRPr="00E32E75" w:rsidRDefault="00017F4D" w:rsidP="00017F4D">
      <w:pPr>
        <w:ind w:left="567"/>
        <w:jc w:val="both"/>
        <w:rPr>
          <w:rFonts w:ascii="Arial" w:hAnsi="Arial" w:cs="Arial"/>
          <w:i/>
          <w:sz w:val="24"/>
          <w:szCs w:val="24"/>
        </w:rPr>
      </w:pPr>
    </w:p>
    <w:p w:rsidR="00017F4D" w:rsidRPr="00E32E75" w:rsidRDefault="00017F4D" w:rsidP="00017F4D">
      <w:pPr>
        <w:ind w:left="567"/>
        <w:jc w:val="both"/>
        <w:rPr>
          <w:rFonts w:ascii="Arial" w:hAnsi="Arial" w:cs="Arial"/>
          <w:i/>
          <w:sz w:val="24"/>
          <w:szCs w:val="24"/>
        </w:rPr>
      </w:pPr>
      <w:r w:rsidRPr="00E32E75">
        <w:rPr>
          <w:rFonts w:ascii="Arial" w:hAnsi="Arial" w:cs="Arial"/>
          <w:b/>
          <w:i/>
          <w:sz w:val="24"/>
          <w:szCs w:val="24"/>
        </w:rPr>
        <w:t>4.-</w:t>
      </w:r>
      <w:r w:rsidRPr="00E32E75">
        <w:rPr>
          <w:rFonts w:ascii="Arial" w:hAnsi="Arial" w:cs="Arial"/>
          <w:i/>
          <w:sz w:val="24"/>
          <w:szCs w:val="24"/>
        </w:rPr>
        <w:t xml:space="preserve"> La parte demandada dará cumplimiento al fallo anterior dentro de lo previsto en el artículo 176 del C.C.A.</w:t>
      </w:r>
    </w:p>
    <w:p w:rsidR="00017F4D" w:rsidRPr="00E32E75" w:rsidRDefault="00017F4D" w:rsidP="00017F4D">
      <w:pPr>
        <w:jc w:val="both"/>
        <w:rPr>
          <w:rFonts w:ascii="Arial" w:hAnsi="Arial" w:cs="Arial"/>
          <w:sz w:val="24"/>
          <w:szCs w:val="24"/>
          <w:lang w:val="es-ES"/>
        </w:rPr>
      </w:pPr>
    </w:p>
    <w:p w:rsidR="00017F4D" w:rsidRPr="00E32E75" w:rsidRDefault="00017F4D" w:rsidP="00017F4D">
      <w:pPr>
        <w:jc w:val="both"/>
        <w:rPr>
          <w:rFonts w:ascii="Arial" w:hAnsi="Arial" w:cs="Arial"/>
          <w:sz w:val="24"/>
          <w:szCs w:val="24"/>
        </w:rPr>
      </w:pPr>
      <w:r w:rsidRPr="00E32E75">
        <w:rPr>
          <w:rFonts w:ascii="Arial" w:hAnsi="Arial" w:cs="Arial"/>
          <w:sz w:val="24"/>
          <w:szCs w:val="24"/>
        </w:rPr>
        <w:t>Para el efecto la actora puso de presente los siguientes hechos:</w:t>
      </w:r>
    </w:p>
    <w:p w:rsidR="00017F4D" w:rsidRPr="00E32E75" w:rsidRDefault="00017F4D" w:rsidP="00017F4D">
      <w:pPr>
        <w:spacing w:line="360" w:lineRule="auto"/>
        <w:jc w:val="center"/>
        <w:rPr>
          <w:rFonts w:ascii="Arial" w:hAnsi="Arial" w:cs="Arial"/>
          <w:b/>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b/>
          <w:sz w:val="24"/>
          <w:szCs w:val="24"/>
        </w:rPr>
        <w:t xml:space="preserve">1.- </w:t>
      </w:r>
      <w:r w:rsidRPr="00E32E75">
        <w:rPr>
          <w:rFonts w:ascii="Arial" w:hAnsi="Arial" w:cs="Arial"/>
          <w:sz w:val="24"/>
          <w:szCs w:val="24"/>
        </w:rPr>
        <w:t xml:space="preserve">El 16 de junio de 1997, el </w:t>
      </w:r>
      <w:r w:rsidRPr="00E32E75">
        <w:rPr>
          <w:rFonts w:ascii="Arial" w:hAnsi="Arial" w:cs="Arial"/>
          <w:sz w:val="24"/>
          <w:szCs w:val="24"/>
          <w:lang w:val="es-ES"/>
        </w:rPr>
        <w:t>CENTRO DE INVESTIGACIONES PROFESIONALES–CENINP- y la</w:t>
      </w:r>
      <w:r w:rsidRPr="00E32E75">
        <w:rPr>
          <w:rFonts w:ascii="Arial" w:hAnsi="Arial" w:cs="Arial"/>
          <w:sz w:val="24"/>
          <w:szCs w:val="24"/>
        </w:rPr>
        <w:t xml:space="preserve"> SECRETARÍA EJECUTIVA DEL CONVENIO ÁNDRES BELLO suscribieron un contrato de prestación de servicios por valor de $ 138’404.500,oo, en el marco de un convenio matriz de asistencia técnica n.º 642 de 1996, suscrito a su vez entre la SECRETARIA DISTRITAL DE SALUD y LA SECAB -Secretaría Ejecutiva del Convenio Andrés Bello-. </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b/>
          <w:sz w:val="24"/>
          <w:szCs w:val="24"/>
        </w:rPr>
        <w:t>2.-</w:t>
      </w:r>
      <w:r w:rsidRPr="00E32E75">
        <w:rPr>
          <w:rFonts w:ascii="Arial" w:hAnsi="Arial" w:cs="Arial"/>
          <w:sz w:val="24"/>
          <w:szCs w:val="24"/>
        </w:rPr>
        <w:t xml:space="preserve"> En el ámbito del mencionado contrato el contratista se obligó a la realización de 21.105 encuestas por vivienda, para establecer los posibles beneficiarios del SISBEN en las localidades TERCERA o de SANTAFÉ; DIECINUEVE  o de CIUDAD BOLIVAR y LOCALIDAD VEINTE o de SUMAPAZ. </w:t>
      </w: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 xml:space="preserve"> </w:t>
      </w:r>
    </w:p>
    <w:p w:rsidR="00017F4D" w:rsidRPr="00E32E75" w:rsidRDefault="00017F4D" w:rsidP="00017F4D">
      <w:pPr>
        <w:spacing w:line="360" w:lineRule="auto"/>
        <w:jc w:val="both"/>
        <w:rPr>
          <w:rFonts w:ascii="Arial" w:hAnsi="Arial" w:cs="Arial"/>
          <w:sz w:val="24"/>
          <w:szCs w:val="24"/>
        </w:rPr>
      </w:pPr>
      <w:r w:rsidRPr="00E32E75">
        <w:rPr>
          <w:rFonts w:ascii="Arial" w:hAnsi="Arial" w:cs="Arial"/>
          <w:b/>
          <w:sz w:val="24"/>
          <w:szCs w:val="24"/>
        </w:rPr>
        <w:t>3.-</w:t>
      </w:r>
      <w:r w:rsidRPr="00E32E75">
        <w:rPr>
          <w:rFonts w:ascii="Arial" w:hAnsi="Arial" w:cs="Arial"/>
          <w:sz w:val="24"/>
          <w:szCs w:val="24"/>
        </w:rPr>
        <w:t xml:space="preserve"> EL contratista dio cumpliendo a los términos del contrato e invirtió en instalaciones e infraestructura, para lo cual realizó gastos de personal, aunque la demandada sólo le permitió realizar 10.524 encuestas, las cuales fueron entregadas a satisfacción de la demandante, según lo certificó el 26 de marzo de 1998 y de la interventoría, según el acta de cumplimiento de 30 de septiembre de 1997. De donde quedó pendiente la realización de 10.581, las que no se ejecutaron por causas imputables a la demandada. </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b/>
          <w:sz w:val="24"/>
          <w:szCs w:val="24"/>
        </w:rPr>
        <w:t>4.-</w:t>
      </w:r>
      <w:r w:rsidRPr="00E32E75">
        <w:rPr>
          <w:rFonts w:ascii="Arial" w:hAnsi="Arial" w:cs="Arial"/>
          <w:sz w:val="24"/>
          <w:szCs w:val="24"/>
        </w:rPr>
        <w:t xml:space="preserve"> Aunque, desde el 23 de julio de 1997, se iniciaron  los problemas para la realización de las encuestas, la demandada, no consideró, debiendo hacerlo, que los veedores de salud y comités del SISBEN de la zona de la Perseverancia, el 25 de junio de 1997, se pronunciaron en el sentido de que se autorizase encuestar en dicha zona, considerando que </w:t>
      </w:r>
      <w:r w:rsidRPr="00E32E75">
        <w:rPr>
          <w:rFonts w:ascii="Arial" w:hAnsi="Arial" w:cs="Arial"/>
          <w:i/>
          <w:sz w:val="24"/>
          <w:szCs w:val="24"/>
        </w:rPr>
        <w:t xml:space="preserve">“ES LA ÚNICA QUE HA TRABAJADO EN COORDINACIÓN CON LA COMUNIDAD Y EL HOSPITAL LA PRERSEVERANCIA”. </w:t>
      </w:r>
      <w:r w:rsidRPr="00E32E75">
        <w:rPr>
          <w:rFonts w:ascii="Arial" w:hAnsi="Arial" w:cs="Arial"/>
          <w:sz w:val="24"/>
          <w:szCs w:val="24"/>
        </w:rPr>
        <w:t xml:space="preserve">Al igual que el 15 de agosto de 1997, la Junta Administradora </w:t>
      </w:r>
      <w:r w:rsidRPr="00E32E75">
        <w:rPr>
          <w:rFonts w:ascii="Arial" w:hAnsi="Arial" w:cs="Arial"/>
          <w:sz w:val="24"/>
          <w:szCs w:val="24"/>
        </w:rPr>
        <w:lastRenderedPageBreak/>
        <w:t>Local Rural de Sumapaz puso de presente a la Secretaria de Salud que el contratista fue sujeto de obstáculos para la realización de la labor por parte del interventor.</w:t>
      </w: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 xml:space="preserve"> </w:t>
      </w:r>
    </w:p>
    <w:p w:rsidR="00017F4D" w:rsidRPr="00E32E75" w:rsidRDefault="00017F4D" w:rsidP="00017F4D">
      <w:pPr>
        <w:spacing w:line="360" w:lineRule="auto"/>
        <w:jc w:val="both"/>
        <w:rPr>
          <w:rFonts w:ascii="Arial" w:hAnsi="Arial" w:cs="Arial"/>
          <w:sz w:val="24"/>
          <w:szCs w:val="24"/>
        </w:rPr>
      </w:pPr>
      <w:r w:rsidRPr="00E32E75">
        <w:rPr>
          <w:rFonts w:ascii="Arial" w:hAnsi="Arial" w:cs="Arial"/>
          <w:b/>
          <w:sz w:val="24"/>
          <w:szCs w:val="24"/>
        </w:rPr>
        <w:t>5.-</w:t>
      </w:r>
      <w:r w:rsidRPr="00E32E75">
        <w:rPr>
          <w:rFonts w:ascii="Arial" w:hAnsi="Arial" w:cs="Arial"/>
          <w:sz w:val="24"/>
          <w:szCs w:val="24"/>
        </w:rPr>
        <w:t xml:space="preserve"> Cuando se encontraba en plena ejecución del contrato, la SECRETARIA DISTRITAL DE SALUD decidió no llevar a cabo las 6.188 encuentas correspondientes a la localidad 19 de Ciudad Bolívar, contrario a lo previsto en el contrato, fundado en que habían sido realizadas en dicho sector, por lo que propuso a la demandante sustituir el mismo número de encuestas para la Localidad de Usme y otras en la parte rural de Ciudad Bolívar. La modificación fue aceptada por el contratista, siempre que no afectara el monto del convenio y pese a los grandes esfuerzos que implicaba. </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b/>
          <w:sz w:val="24"/>
          <w:szCs w:val="24"/>
        </w:rPr>
        <w:t>6.-</w:t>
      </w:r>
      <w:r w:rsidRPr="00E32E75">
        <w:rPr>
          <w:rFonts w:ascii="Arial" w:hAnsi="Arial" w:cs="Arial"/>
          <w:sz w:val="24"/>
          <w:szCs w:val="24"/>
        </w:rPr>
        <w:t xml:space="preserve"> En lo que tiene que ver con localidad tercera o Santafé, a pesar de que fueron contratadas 13.442 encuestas, la Secretaría Distrital de Salud también contrató a las empresas CEINTEGRAL LTDA Y PRODESA en las mismas direcciones, nomenclaturas y viviendas, al punto que los encuestadores se enfrentaron y los vecinos se quejaron, sin perjuicio que el único contratista que tenía sede en dicha localidad era el demandante, quien por demás se allanó a cumplir el contrato según da cuenta la carta suscrita por la comunidad de la Localidad Tercera.</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b/>
          <w:sz w:val="24"/>
          <w:szCs w:val="24"/>
        </w:rPr>
        <w:t xml:space="preserve">7.- </w:t>
      </w:r>
      <w:r w:rsidRPr="00E32E75">
        <w:rPr>
          <w:rFonts w:ascii="Arial" w:hAnsi="Arial" w:cs="Arial"/>
          <w:sz w:val="24"/>
          <w:szCs w:val="24"/>
        </w:rPr>
        <w:t>Lo anterior ocurrió porque los listados entregados por la Secretaria Distrital de Salud se encontraban  desactualizados, en la mayoría de las localidades o las direcciones se encontraban  cambiadas o modificadas, aunado a que la misma base de datos fue suministrada a las otras dos empresas encuestadoras -CEINTEGRAL Y PRODESA-, de modo que, a pesar de haber concertado citas y repartido cartillas para su realización, estas ya se habían ejecutado. En ese orden, la demandada omitió tomar medidas para evitar la mala fe de las otras dos empresas, quienes, sumado a que aprovecharon la publicidad y por ende su inversión, en algunos casos adhirieron los stikers de las encuestas a la viviendas, como si el trámite hubiese sido adelantado.</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b/>
          <w:sz w:val="24"/>
          <w:szCs w:val="24"/>
        </w:rPr>
        <w:t>8.-</w:t>
      </w:r>
      <w:r w:rsidRPr="00E32E75">
        <w:rPr>
          <w:rFonts w:ascii="Arial" w:hAnsi="Arial" w:cs="Arial"/>
          <w:sz w:val="24"/>
          <w:szCs w:val="24"/>
        </w:rPr>
        <w:t xml:space="preserve"> La demandante afirma que la demandada incumplió el contrato, puesto que, la Secretaria de Salud no depuró los listados dando lugar a la duplicidad y la eliminación posterior con el desperdicio que ello comporta, Sumado a que la firma SIAT LTDA, a cargo de la interventoría, incurrió en irregularidades, pues de manera injustificada anuló cien fichas de la localidad de Sumapaz, donde se llevó a cabo la labor contratada en coordinación con la JAL y la comunidad. </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b/>
          <w:sz w:val="24"/>
          <w:szCs w:val="24"/>
        </w:rPr>
        <w:t xml:space="preserve">9.- </w:t>
      </w:r>
      <w:r w:rsidRPr="00E32E75">
        <w:rPr>
          <w:rFonts w:ascii="Arial" w:hAnsi="Arial" w:cs="Arial"/>
          <w:sz w:val="24"/>
          <w:szCs w:val="24"/>
        </w:rPr>
        <w:t>En síntesis, la parte actora pone de presente que realizó la labor contratada, en la forma y oportunidad convenida, inclusive en las zonas ocupadas por la guerrilla, donde otras empresas rehusaron a ejecutar la labor. Al margen de los incumplimiento indicados, la Secretaria de Salud solo giró por concepto de este contrato la suma de $ 75’664.000,oo, por lo que el saldo a su favor asciende a la suma de $ 72.740.500,oo m/cte.</w:t>
      </w: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 xml:space="preserve"> </w:t>
      </w:r>
    </w:p>
    <w:p w:rsidR="00017F4D" w:rsidRPr="00E32E75" w:rsidRDefault="00017F4D" w:rsidP="00017F4D">
      <w:pPr>
        <w:spacing w:line="360" w:lineRule="auto"/>
        <w:jc w:val="both"/>
        <w:rPr>
          <w:rFonts w:ascii="Arial" w:hAnsi="Arial" w:cs="Arial"/>
          <w:sz w:val="24"/>
          <w:szCs w:val="24"/>
        </w:rPr>
      </w:pPr>
      <w:r w:rsidRPr="00E32E75">
        <w:rPr>
          <w:rFonts w:ascii="Arial" w:hAnsi="Arial" w:cs="Arial"/>
          <w:b/>
          <w:sz w:val="24"/>
          <w:szCs w:val="24"/>
        </w:rPr>
        <w:t>10.-</w:t>
      </w:r>
      <w:r w:rsidRPr="00E32E75">
        <w:rPr>
          <w:rFonts w:ascii="Arial" w:hAnsi="Arial" w:cs="Arial"/>
          <w:sz w:val="24"/>
          <w:szCs w:val="24"/>
        </w:rPr>
        <w:t xml:space="preserve"> Con ocasión del incumplimiento aludido, la demandante sufrió perjuicios de toda índole, pues adquirió más de 23.000 formularios,  23.000 stiker, 30.000 cartillas didácticas, útiles de trabajo, así como tablas de apoyo, lápices, borradores, sacapuntas, compra de planos de las localidades contratadas -Santafé y Simón Bolívar-, que no pudo utilizar dado el incumplimiento imputado a la demandada. Esto sin perjuicio de la abruta terminación del contrato que le acarreó consecuencias de toda índole, pues para el efecto contrató encuestadores, digitadores, codificadores, secretarias, georeferenciador, este último para identificar los sitios con cartografía del Dane y Agustín Codazzi, sumado a que invirtió en  fotocopiadoras, máquinas, computadoras y cartillas de encuestador.</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b/>
          <w:sz w:val="24"/>
          <w:szCs w:val="24"/>
        </w:rPr>
      </w:pPr>
      <w:r w:rsidRPr="00E32E75">
        <w:rPr>
          <w:rFonts w:ascii="Arial" w:hAnsi="Arial" w:cs="Arial"/>
          <w:b/>
          <w:sz w:val="24"/>
          <w:szCs w:val="24"/>
        </w:rPr>
        <w:t>11.-</w:t>
      </w:r>
      <w:r w:rsidRPr="00E32E75">
        <w:rPr>
          <w:rFonts w:ascii="Arial" w:hAnsi="Arial" w:cs="Arial"/>
          <w:sz w:val="24"/>
          <w:szCs w:val="24"/>
        </w:rPr>
        <w:t xml:space="preserve"> En suma, las fallas de la demandada incrementaron la pérdida de la demandante y los perjuicios causados.</w:t>
      </w:r>
      <w:r w:rsidRPr="00E32E75">
        <w:rPr>
          <w:rFonts w:ascii="Arial" w:hAnsi="Arial" w:cs="Arial"/>
          <w:b/>
          <w:sz w:val="24"/>
          <w:szCs w:val="24"/>
        </w:rPr>
        <w:t xml:space="preserve"> </w:t>
      </w:r>
    </w:p>
    <w:p w:rsidR="00017F4D" w:rsidRPr="00E32E75" w:rsidRDefault="00017F4D" w:rsidP="00017F4D">
      <w:pPr>
        <w:spacing w:line="360" w:lineRule="auto"/>
        <w:rPr>
          <w:rFonts w:ascii="Arial" w:hAnsi="Arial" w:cs="Arial"/>
          <w:b/>
          <w:sz w:val="24"/>
          <w:szCs w:val="24"/>
          <w:lang w:val="es-ES"/>
        </w:rPr>
      </w:pPr>
    </w:p>
    <w:p w:rsidR="007C5D43" w:rsidRPr="00E32E75" w:rsidRDefault="007C5D43" w:rsidP="00017F4D">
      <w:pPr>
        <w:spacing w:line="360" w:lineRule="auto"/>
        <w:rPr>
          <w:rFonts w:ascii="Arial" w:hAnsi="Arial" w:cs="Arial"/>
          <w:b/>
          <w:sz w:val="24"/>
          <w:szCs w:val="24"/>
          <w:lang w:val="es-ES"/>
        </w:rPr>
      </w:pPr>
    </w:p>
    <w:p w:rsidR="00017F4D" w:rsidRPr="00E32E75" w:rsidRDefault="00017F4D" w:rsidP="00017F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rFonts w:ascii="Arial" w:hAnsi="Arial" w:cs="Arial"/>
          <w:b/>
          <w:bCs/>
          <w:spacing w:val="-3"/>
          <w:sz w:val="24"/>
          <w:szCs w:val="24"/>
        </w:rPr>
      </w:pPr>
      <w:r w:rsidRPr="00E32E75">
        <w:rPr>
          <w:rFonts w:ascii="Arial" w:hAnsi="Arial" w:cs="Arial"/>
          <w:b/>
          <w:bCs/>
          <w:spacing w:val="-3"/>
          <w:sz w:val="24"/>
          <w:szCs w:val="24"/>
        </w:rPr>
        <w:t>1.2. INTERVENCIÓN PASIVA</w:t>
      </w:r>
    </w:p>
    <w:p w:rsidR="00017F4D" w:rsidRPr="00E32E75" w:rsidRDefault="00017F4D" w:rsidP="00017F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rFonts w:ascii="Arial" w:hAnsi="Arial" w:cs="Arial"/>
          <w:b/>
          <w:bCs/>
          <w:spacing w:val="-3"/>
          <w:sz w:val="24"/>
          <w:szCs w:val="24"/>
        </w:rPr>
      </w:pPr>
    </w:p>
    <w:p w:rsidR="00017F4D" w:rsidRPr="00E32E75" w:rsidRDefault="00017F4D" w:rsidP="00017F4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360" w:lineRule="auto"/>
        <w:jc w:val="both"/>
        <w:rPr>
          <w:rFonts w:ascii="Arial" w:hAnsi="Arial" w:cs="Arial"/>
          <w:b/>
          <w:bCs/>
          <w:spacing w:val="-3"/>
          <w:sz w:val="24"/>
          <w:szCs w:val="24"/>
        </w:rPr>
      </w:pPr>
      <w:r w:rsidRPr="00E32E75">
        <w:rPr>
          <w:rFonts w:ascii="Arial" w:hAnsi="Arial" w:cs="Arial"/>
          <w:b/>
          <w:bCs/>
          <w:spacing w:val="-3"/>
          <w:sz w:val="24"/>
          <w:szCs w:val="24"/>
        </w:rPr>
        <w:t>1.2.1 CONTESTACIÓN DE LA DEMANDA</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El 2 de agosto de 1999, el Tribunal Administrativo de Cundinamarca admitió la demanda –folio 13 del cuaderno principal-.</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rPr>
        <w:t>El Fondo Financiero Distrital de Salud se opuso a las pretensiones –folio 16 del cuaderno principal-, fundado en que la terminación tuvo que ver con el incumplimiento del contratista y su incapacidad para ejecutar el contrato, según da cuenta el informe de interventoria y lo confirma el acta n.º</w:t>
      </w:r>
      <w:r w:rsidRPr="00E32E75">
        <w:rPr>
          <w:rFonts w:ascii="Arial" w:hAnsi="Arial" w:cs="Arial"/>
          <w:sz w:val="24"/>
          <w:szCs w:val="24"/>
          <w:lang w:val="es-ES"/>
        </w:rPr>
        <w:t xml:space="preserve"> 3, suscrita el 6 de julio de 1997 y la prueba documental, en cuanto las partes convinieron en reducir el número de encuestas y los sectores donde tendrían lugar, al igual que puso de manifestó la mora en la realización de las encuestas, la mala calidad de las mismas y las </w:t>
      </w:r>
      <w:r w:rsidRPr="00E32E75">
        <w:rPr>
          <w:rFonts w:ascii="Arial" w:hAnsi="Arial" w:cs="Arial"/>
          <w:sz w:val="24"/>
          <w:szCs w:val="24"/>
          <w:lang w:val="es-ES"/>
        </w:rPr>
        <w:lastRenderedPageBreak/>
        <w:t>inconsistencias encontradas. De otro lado, destacó que la modificación fue el resultado de la concertación con el Representante Legal del Centro de Investigación, por lo que no es cierto que la entidad modificara unilateralmente el contrato, al punto que el pago corresponde a las 10.524 encuestas realizada en los 35 días del término del contrato. Aunado a lo anterior, puso de presente que el contrato terminó por vencimiento del plazo, sin perjuicio del incumplimiento del contratista por falta de capacidad operativa, contrario a lo ocurrido con la firma Reintegrar quien terminó las encuestas en el término previsto.</w:t>
      </w:r>
    </w:p>
    <w:p w:rsidR="00017F4D" w:rsidRPr="00E32E75" w:rsidRDefault="00017F4D" w:rsidP="00017F4D">
      <w:pPr>
        <w:spacing w:line="360" w:lineRule="auto"/>
        <w:jc w:val="both"/>
        <w:rPr>
          <w:rFonts w:ascii="Arial" w:hAnsi="Arial" w:cs="Arial"/>
          <w:sz w:val="24"/>
          <w:szCs w:val="24"/>
          <w:lang w:val="es-ES"/>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lang w:val="es-ES"/>
        </w:rPr>
        <w:t xml:space="preserve">A título de excepciones propuso i) la falta de jurisdicción para resolver la controversia, en cuanto el contrato se encontraba gobernado por normas de derecho privado, conforme se pactó en la cláusula segunda del contrato, ii) inexistencia de la obligación, si se considera que el 27 de octubre de 1997, se suscribió el acta de terminación del contrato en la que las partes se declararon a paz y salvo por todo concepto y renunciaron a cualquier reclamación por la vía judicial; iii) falta de legitimación en la causa por pasiva, pues, de conformidad con el Estatuto Orgánico de Santafé de Bogotá -Decreto 1421 de 1993-  la Secretaria Distrital de Salud forma parte del sector central del Distrito y es a dicha entidad a la que le corresponde responder por la ejecución del contrato. </w:t>
      </w:r>
    </w:p>
    <w:p w:rsidR="00017F4D" w:rsidRPr="00E32E75" w:rsidRDefault="00017F4D" w:rsidP="00017F4D">
      <w:pPr>
        <w:spacing w:line="360" w:lineRule="auto"/>
        <w:jc w:val="both"/>
        <w:rPr>
          <w:rFonts w:ascii="Arial" w:hAnsi="Arial" w:cs="Arial"/>
          <w:sz w:val="24"/>
          <w:szCs w:val="24"/>
          <w:lang w:val="es-ES"/>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lang w:val="es-ES"/>
        </w:rPr>
        <w:t xml:space="preserve">Por su parte la Secretaría Ejecutiva del Convenio Andrés Bello –SECAB- contestó en el sentido de poner de presente el acta de liquidación del contrato y así mismo demandarse su nulidad por falta de capacidad para suscribirla; de consentimiento por error, fuerza o dolo o el objeto o causa ilícita, conforme lo previsto en los artículos 1740 y siguientes del Código Civil –folio 41 del cuaderno principal-.  </w:t>
      </w:r>
    </w:p>
    <w:p w:rsidR="00017F4D" w:rsidRPr="00E32E75" w:rsidRDefault="00017F4D" w:rsidP="00017F4D">
      <w:pPr>
        <w:spacing w:line="360" w:lineRule="auto"/>
        <w:jc w:val="both"/>
        <w:rPr>
          <w:rFonts w:ascii="Arial" w:hAnsi="Arial" w:cs="Arial"/>
          <w:sz w:val="24"/>
          <w:szCs w:val="24"/>
          <w:lang w:val="es-ES"/>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lang w:val="es-ES"/>
        </w:rPr>
        <w:t xml:space="preserve">Al tiempo propuso a título de excepciones i) existencia de cláusula compromisoria lo que comporta falta de jurisdicción para decidir la controversia. Esto, fundada en que, acorde con el contrato matriz de asistencia técnica n.º 642/96, suscrito entre el Fondo Financiero Distrital de Salud y la SECAB las controversias se sujetarían a una decisión arbitral, de donde, como en los términos de las cláusulas décima quinta y décima segunda todos los documentos </w:t>
      </w:r>
      <w:r w:rsidRPr="00E32E75">
        <w:rPr>
          <w:rFonts w:ascii="Arial" w:hAnsi="Arial" w:cs="Arial"/>
          <w:i/>
          <w:sz w:val="24"/>
          <w:szCs w:val="24"/>
          <w:lang w:val="es-ES"/>
        </w:rPr>
        <w:t>“que se produzcan en la ejecución del mismo”,</w:t>
      </w:r>
      <w:r w:rsidRPr="00E32E75">
        <w:rPr>
          <w:rFonts w:ascii="Arial" w:hAnsi="Arial" w:cs="Arial"/>
          <w:sz w:val="24"/>
          <w:szCs w:val="24"/>
          <w:lang w:val="es-ES"/>
        </w:rPr>
        <w:t xml:space="preserve"> entre ellos el subcontrato objeto de la decisión, formarían un todo integrado, de modo que el Centro de Investigaciones tenía que haber convocado al Tribunal; ii) falta de competencia, esto es en razón de que el Convenio Andrés Bello es un Organismo Público intergubernamental para la integración educativa, científica, tecnológica y cultural, que integra a los siguientes países: Bolivia, Colombia, Chile, </w:t>
      </w:r>
      <w:r w:rsidRPr="00E32E75">
        <w:rPr>
          <w:rFonts w:ascii="Arial" w:hAnsi="Arial" w:cs="Arial"/>
          <w:sz w:val="24"/>
          <w:szCs w:val="24"/>
          <w:lang w:val="es-ES"/>
        </w:rPr>
        <w:lastRenderedPageBreak/>
        <w:t xml:space="preserve">Ecuador, España, Canadá, Perú y Venezuela, con personería jurídica reconocida por el gobierno de Colombia, mediante acuerdo del 4 de septiembre de 1972 y aprobado mediante la Ley 122 de 1985, regido por sus propios estatutos, al margen de la Jurisdicción colombiana, por lo que resulta aplicable el criterio sobre inmunidad diplomática, salvo renuncia expresa a ella, en los términos del artículo 25 de la Ley 20 de 1992, a cuyo tenor la organización goza, en el territorio de cada uno de los Estados miembros, de los privilegios e inmunidades necesarios para el ejercicio de sus funciones y para el logro de sus objetivos, conforme al régimen establecido en la </w:t>
      </w:r>
      <w:r w:rsidRPr="00E32E75">
        <w:rPr>
          <w:rFonts w:ascii="Arial" w:hAnsi="Arial" w:cs="Arial"/>
          <w:i/>
          <w:sz w:val="24"/>
          <w:szCs w:val="24"/>
          <w:lang w:val="es-ES"/>
        </w:rPr>
        <w:t>“Convención sobre prorrogativas e inmunidades de los Organismos Especializados de las Naciones Unidas”.</w:t>
      </w:r>
      <w:r w:rsidRPr="00E32E75">
        <w:rPr>
          <w:rFonts w:ascii="Arial" w:hAnsi="Arial" w:cs="Arial"/>
          <w:sz w:val="24"/>
          <w:szCs w:val="24"/>
          <w:lang w:val="es-ES"/>
        </w:rPr>
        <w:t xml:space="preserve"> Lo anterior en consideración a que la SECAB no renunció a estas últimas y no puede ser convocada por un juez nacional y iv) cosa juzgada, si se tiene en cuenta que el acta de terminación y liquidación, suscrita el 27 de octubre de 1997, resuelve con efectos definitivos la situación contractual, balance del cual resultó un saldo a favor del contratista en la suma de $ 20’302.200,oo, aunado a que las partes dieron por saldadas sus diferencias, de modo que renunciaron a cualquier reclamación. </w:t>
      </w:r>
    </w:p>
    <w:p w:rsidR="00017F4D" w:rsidRPr="00E32E75" w:rsidRDefault="00017F4D" w:rsidP="00017F4D">
      <w:pPr>
        <w:spacing w:line="360" w:lineRule="auto"/>
        <w:jc w:val="both"/>
        <w:rPr>
          <w:rFonts w:ascii="Arial" w:hAnsi="Arial" w:cs="Arial"/>
          <w:sz w:val="24"/>
          <w:szCs w:val="24"/>
          <w:lang w:val="es-ES"/>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lang w:val="es-ES"/>
        </w:rPr>
        <w:t>Por su parte la Alcaldía Mayor de Bogotá, contestó la demanda pero lo hizo de manera extemporánea –folio 119 del cuaderno principal-, como lo puso de presente el Tribunal en auto de 23 de octubre de 2001, el que dispone no darle curso –folio 123 del cuaderno principal-.</w:t>
      </w:r>
    </w:p>
    <w:p w:rsidR="00017F4D" w:rsidRPr="00E32E75" w:rsidRDefault="00017F4D" w:rsidP="007C5D43">
      <w:pPr>
        <w:rPr>
          <w:rFonts w:ascii="Arial" w:hAnsi="Arial" w:cs="Arial"/>
          <w:b/>
          <w:sz w:val="24"/>
          <w:szCs w:val="24"/>
          <w:u w:val="single"/>
        </w:rPr>
      </w:pPr>
    </w:p>
    <w:p w:rsidR="00017F4D" w:rsidRPr="00E32E75" w:rsidRDefault="00017F4D" w:rsidP="00017F4D">
      <w:pPr>
        <w:spacing w:line="360" w:lineRule="auto"/>
        <w:jc w:val="both"/>
        <w:rPr>
          <w:rFonts w:ascii="Arial" w:hAnsi="Arial" w:cs="Arial"/>
          <w:b/>
          <w:bCs/>
          <w:sz w:val="24"/>
          <w:szCs w:val="24"/>
        </w:rPr>
      </w:pPr>
      <w:r w:rsidRPr="00E32E75">
        <w:rPr>
          <w:rFonts w:ascii="Arial" w:hAnsi="Arial" w:cs="Arial"/>
          <w:b/>
          <w:bCs/>
          <w:sz w:val="24"/>
          <w:szCs w:val="24"/>
        </w:rPr>
        <w:t>1.3 ALEGATOS DE PRIMERA INSTANCIA</w:t>
      </w:r>
    </w:p>
    <w:p w:rsidR="00017F4D" w:rsidRPr="00E32E75" w:rsidRDefault="00017F4D" w:rsidP="00017F4D">
      <w:pPr>
        <w:spacing w:line="360" w:lineRule="auto"/>
        <w:jc w:val="both"/>
        <w:rPr>
          <w:rFonts w:ascii="Arial" w:hAnsi="Arial" w:cs="Arial"/>
          <w:b/>
          <w:bCs/>
          <w:sz w:val="24"/>
          <w:szCs w:val="24"/>
        </w:rPr>
      </w:pPr>
    </w:p>
    <w:p w:rsidR="00017F4D" w:rsidRPr="00E32E75" w:rsidRDefault="00017F4D" w:rsidP="00017F4D">
      <w:pPr>
        <w:spacing w:line="360" w:lineRule="auto"/>
        <w:jc w:val="both"/>
        <w:rPr>
          <w:rFonts w:ascii="Arial" w:hAnsi="Arial" w:cs="Arial"/>
          <w:b/>
          <w:sz w:val="24"/>
          <w:szCs w:val="24"/>
        </w:rPr>
      </w:pPr>
      <w:r w:rsidRPr="00E32E75">
        <w:rPr>
          <w:rFonts w:ascii="Arial" w:hAnsi="Arial" w:cs="Arial"/>
          <w:b/>
          <w:bCs/>
          <w:sz w:val="24"/>
          <w:szCs w:val="24"/>
        </w:rPr>
        <w:t xml:space="preserve">1.3.1. </w:t>
      </w:r>
      <w:r w:rsidRPr="00E32E75">
        <w:rPr>
          <w:rFonts w:ascii="Arial" w:hAnsi="Arial" w:cs="Arial"/>
          <w:b/>
          <w:sz w:val="24"/>
          <w:szCs w:val="24"/>
        </w:rPr>
        <w:t>PARTE DEMANDADA</w:t>
      </w:r>
    </w:p>
    <w:p w:rsidR="00017F4D" w:rsidRPr="00E32E75" w:rsidRDefault="00017F4D" w:rsidP="00017F4D">
      <w:pPr>
        <w:spacing w:line="360" w:lineRule="auto"/>
        <w:jc w:val="both"/>
        <w:rPr>
          <w:rFonts w:ascii="Arial" w:hAnsi="Arial" w:cs="Arial"/>
          <w:b/>
          <w:sz w:val="24"/>
          <w:szCs w:val="24"/>
        </w:rPr>
      </w:pPr>
      <w:r w:rsidRPr="00E32E75">
        <w:rPr>
          <w:rFonts w:ascii="Arial" w:hAnsi="Arial" w:cs="Arial"/>
          <w:b/>
          <w:sz w:val="24"/>
          <w:szCs w:val="24"/>
        </w:rPr>
        <w:t xml:space="preserve"> </w:t>
      </w: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bCs/>
          <w:sz w:val="24"/>
          <w:szCs w:val="24"/>
        </w:rPr>
        <w:t xml:space="preserve">El Fondo Financiero Distrital de Salud puso de presente que a la demandante no le asistió razón –folio 203 del cuaderno principal-, </w:t>
      </w:r>
      <w:r w:rsidRPr="00E32E75">
        <w:rPr>
          <w:rFonts w:ascii="Arial" w:hAnsi="Arial" w:cs="Arial"/>
          <w:sz w:val="24"/>
          <w:szCs w:val="24"/>
        </w:rPr>
        <w:t xml:space="preserve">pues lo cierto tiene que ver con que i) ofreció una infraestructura administrativa con la que no contaba, razón por la cual tuvo dificultades para cumplir con el objeto del contrato y realizar el número de encuestas contratadas. En ese orden de ideas fue necesario disminuir el volumen de las acordadas, para dar cumplimiento al objeto contratado; pues como el factor tiempo corría en su contra no tuvo otra opción, en cuanto dar por terminado el contrato comportaba un mayor perjuicio para la administración; ii) de haberlo conocido se habría elegido otra firma, de las que ofertaron y conseguir los resultados esperados, esto es las 21.105 encuestas, debidamente diligenciadas, por vivienda y en archivo histórico de acuerdo a la metodología de selección de </w:t>
      </w:r>
      <w:r w:rsidRPr="00E32E75">
        <w:rPr>
          <w:rFonts w:ascii="Arial" w:hAnsi="Arial" w:cs="Arial"/>
          <w:sz w:val="24"/>
          <w:szCs w:val="24"/>
        </w:rPr>
        <w:lastRenderedPageBreak/>
        <w:t xml:space="preserve">beneficiarios (SISBEN), iii) la incapacidad administrativa de la firma CENINP se ve traducida en el número de encuestas ejecutadas -10.196-. Para la demandada estas encuestas eran muy importantes, toda vez que se trataba de detectar a la población pobre y vulnerable, sin capacidad de pago para darles cobertura en salud en los términos que señala la Constitución y la Ley 100 de 1993, iv) no es cierto que las </w:t>
      </w:r>
      <w:r w:rsidRPr="00E32E75">
        <w:rPr>
          <w:rFonts w:ascii="Arial" w:hAnsi="Arial" w:cs="Arial"/>
          <w:sz w:val="24"/>
          <w:szCs w:val="24"/>
          <w:lang w:val="es-ES"/>
        </w:rPr>
        <w:t xml:space="preserve">decisiones se tomaron al margen del contratista, por el contrario siempre se lo tuvo en cuenta; de modo que las modificaciones fueron el resultado de la concertación previa, según las diversas actas, aceptadas por el representante legal de la sociedad demandante y v) las dos partes suscribieron una acta de liquidación, declarándose a paz y salvo por todo concepto, por lo que no se entiende la reclamación planteada en la demanda. </w:t>
      </w:r>
    </w:p>
    <w:p w:rsidR="00017F4D" w:rsidRPr="00E32E75" w:rsidRDefault="00017F4D" w:rsidP="00017F4D">
      <w:pPr>
        <w:spacing w:line="360" w:lineRule="auto"/>
        <w:jc w:val="both"/>
        <w:rPr>
          <w:rFonts w:ascii="Arial" w:hAnsi="Arial" w:cs="Arial"/>
          <w:b/>
          <w:sz w:val="24"/>
          <w:szCs w:val="24"/>
          <w:u w:val="single"/>
          <w:lang w:val="es-ES"/>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lang w:val="es-ES"/>
        </w:rPr>
        <w:t xml:space="preserve">La Secretaría Ejecutiva del Convenio Andrés Bello SECAB reiteró las razones de su defensa –folio 214 del cuaderno principal-; para lo cual insistió en la prosperidad de la excepciones planteadas, dirigidas a declarar la falta de jurisdicción, en cuanto media una cláusula compromisoria en el contrato n.° 642 de 1996. Al tiempo manifestó que las partes se declararon a paz y salvo por todo concepto, según el acta de terminación y liquidación, la que mantiene toda su vigencia. </w:t>
      </w:r>
    </w:p>
    <w:p w:rsidR="00017F4D" w:rsidRPr="00E32E75" w:rsidRDefault="00017F4D" w:rsidP="00017F4D">
      <w:pPr>
        <w:spacing w:line="360" w:lineRule="auto"/>
        <w:jc w:val="both"/>
        <w:rPr>
          <w:rFonts w:ascii="Arial" w:hAnsi="Arial" w:cs="Arial"/>
          <w:b/>
          <w:bCs/>
          <w:sz w:val="24"/>
          <w:szCs w:val="24"/>
        </w:rPr>
      </w:pPr>
    </w:p>
    <w:p w:rsidR="00017F4D" w:rsidRPr="00E32E75" w:rsidRDefault="00017F4D" w:rsidP="00017F4D">
      <w:pPr>
        <w:spacing w:line="360" w:lineRule="auto"/>
        <w:jc w:val="both"/>
        <w:rPr>
          <w:rFonts w:ascii="Arial" w:hAnsi="Arial" w:cs="Arial"/>
          <w:b/>
          <w:bCs/>
          <w:sz w:val="24"/>
          <w:szCs w:val="24"/>
        </w:rPr>
      </w:pPr>
      <w:r w:rsidRPr="00E32E75">
        <w:rPr>
          <w:rFonts w:ascii="Arial" w:hAnsi="Arial" w:cs="Arial"/>
          <w:b/>
          <w:bCs/>
          <w:sz w:val="24"/>
          <w:szCs w:val="24"/>
        </w:rPr>
        <w:t xml:space="preserve">1.4 SENTENCIA DE PRIMERA INSTANCIA  </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rPr>
        <w:t xml:space="preserve">El Tribunal Administrativo de Cundinamarca -Sala de Descongestión declaró </w:t>
      </w:r>
      <w:r w:rsidRPr="00E32E75">
        <w:rPr>
          <w:rFonts w:ascii="Arial" w:hAnsi="Arial" w:cs="Arial"/>
          <w:sz w:val="24"/>
          <w:szCs w:val="24"/>
          <w:lang w:val="es-ES"/>
        </w:rPr>
        <w:t>probada la excepción de falta de jurisdicción, propuesta por la Secretaria Ejecutiva del Convenio Andrés Bello –SECAB- -folio 231 del cuaderno principal-. A juicio del tribunal las excepciones propuestas por la SECAB consistentes en la existencia de “Cláusula Compromisoria” y “falta de competencia”, se encuentran llamadas a prosperar, pues el subcontrato de prestación de servicios suscrito el 16 de Junio de 1997 con el Centro de Investigaciones Profesionales Ltda.–CENINP–, forma parte integrante del contrato de asistencia técnica n.º 642 de 11 de octubre de 1996, suscrito entre la primera de las mencionadas y el Fondo Financiero Distrital de Salud y, como allí las partes convinieron, en los término de la cláusula décima quinta, que las diferencias serían dirimidas por un tribunal de arbitramento y al existir conexidad entre el subcontrato de prestación de servicios suscrito el 16 de junio de 1997 y el matriz suscrito el 11 de octubre de 1996, debe respetarse la clausula compromisoria.</w:t>
      </w: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lang w:val="es-ES"/>
        </w:rPr>
        <w:t xml:space="preserve"> </w:t>
      </w: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lang w:val="es-ES"/>
        </w:rPr>
        <w:lastRenderedPageBreak/>
        <w:t>Aunado a lo anterior puso de presente que el Convenio Andrés Bello es un Organismo Público intergubernamental para la integración educativa, científica, tecnológica y cultural de los países como Bolivia, Colombia, Chile, Ecuador, España, Canadá, Perú y Venezuela; el cual cuenta con personería jurídica reconocida mediante Acuerdo del 4 de septiembre de 1972 y aprobada según Ley 122 de 1985, de suerte que, cuando una de las partes sea una persona extranjera, podrá pactarse que las diferencias surgidas del contrato sean sometidas a la decisión de un Tribunal de Arbitramento, tal como ocurrió en el presente caso. En ese orden concluyó que, como la parte demandada propuso oportunamente la excepción de falta de jurisdicción, la solución de este conflicto le corresponde a la justicia arbitral.</w:t>
      </w: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b/>
          <w:sz w:val="24"/>
          <w:szCs w:val="24"/>
          <w:lang w:val="es-ES"/>
        </w:rPr>
        <w:t xml:space="preserve"> </w:t>
      </w:r>
    </w:p>
    <w:p w:rsidR="00017F4D" w:rsidRPr="00E32E75" w:rsidRDefault="00017F4D" w:rsidP="00017F4D">
      <w:pPr>
        <w:spacing w:line="275" w:lineRule="auto"/>
        <w:ind w:hanging="360"/>
        <w:jc w:val="center"/>
        <w:rPr>
          <w:rFonts w:ascii="Arial" w:hAnsi="Arial" w:cs="Arial"/>
          <w:b/>
          <w:bCs/>
          <w:sz w:val="24"/>
          <w:szCs w:val="24"/>
        </w:rPr>
      </w:pPr>
      <w:r w:rsidRPr="00E32E75">
        <w:rPr>
          <w:rFonts w:ascii="Arial" w:hAnsi="Arial" w:cs="Arial"/>
          <w:b/>
          <w:bCs/>
          <w:sz w:val="24"/>
          <w:szCs w:val="24"/>
        </w:rPr>
        <w:t>2.</w:t>
      </w:r>
      <w:r w:rsidRPr="00E32E75">
        <w:rPr>
          <w:rFonts w:ascii="Arial" w:hAnsi="Arial" w:cs="Arial"/>
          <w:b/>
          <w:bCs/>
          <w:sz w:val="24"/>
          <w:szCs w:val="24"/>
        </w:rPr>
        <w:tab/>
        <w:t>SEGUNDA INSTANCIA</w:t>
      </w:r>
    </w:p>
    <w:p w:rsidR="00017F4D" w:rsidRPr="00E32E75" w:rsidRDefault="00017F4D" w:rsidP="00017F4D">
      <w:pPr>
        <w:rPr>
          <w:rFonts w:ascii="Arial" w:hAnsi="Arial" w:cs="Arial"/>
          <w:b/>
          <w:bCs/>
          <w:sz w:val="24"/>
          <w:szCs w:val="24"/>
        </w:rPr>
      </w:pPr>
    </w:p>
    <w:p w:rsidR="00017F4D" w:rsidRPr="00E32E75" w:rsidRDefault="00017F4D" w:rsidP="00017F4D">
      <w:pPr>
        <w:rPr>
          <w:rFonts w:ascii="Arial" w:hAnsi="Arial" w:cs="Arial"/>
          <w:b/>
          <w:bCs/>
          <w:sz w:val="24"/>
          <w:szCs w:val="24"/>
        </w:rPr>
      </w:pPr>
    </w:p>
    <w:p w:rsidR="00017F4D" w:rsidRPr="00E32E75" w:rsidRDefault="00017F4D" w:rsidP="00017F4D">
      <w:pPr>
        <w:rPr>
          <w:rFonts w:ascii="Arial" w:hAnsi="Arial" w:cs="Arial"/>
          <w:b/>
          <w:bCs/>
          <w:sz w:val="24"/>
          <w:szCs w:val="24"/>
        </w:rPr>
      </w:pPr>
      <w:r w:rsidRPr="00E32E75">
        <w:rPr>
          <w:rFonts w:ascii="Arial" w:hAnsi="Arial" w:cs="Arial"/>
          <w:b/>
          <w:bCs/>
          <w:sz w:val="24"/>
          <w:szCs w:val="24"/>
        </w:rPr>
        <w:t>2.1 RECURSO DE APELACIÓN</w:t>
      </w:r>
    </w:p>
    <w:p w:rsidR="00017F4D" w:rsidRPr="00E32E75" w:rsidRDefault="00017F4D" w:rsidP="00017F4D">
      <w:pPr>
        <w:rPr>
          <w:rFonts w:ascii="Arial" w:hAnsi="Arial" w:cs="Arial"/>
          <w:b/>
          <w:bCs/>
          <w:sz w:val="24"/>
          <w:szCs w:val="24"/>
        </w:rPr>
      </w:pPr>
    </w:p>
    <w:p w:rsidR="00017F4D" w:rsidRPr="00E32E75" w:rsidRDefault="00017F4D" w:rsidP="00017F4D">
      <w:pPr>
        <w:rPr>
          <w:rFonts w:ascii="Arial" w:hAnsi="Arial" w:cs="Arial"/>
          <w:b/>
          <w:bCs/>
          <w:sz w:val="24"/>
          <w:szCs w:val="24"/>
        </w:rPr>
      </w:pPr>
      <w:r w:rsidRPr="00E32E75">
        <w:rPr>
          <w:rFonts w:ascii="Arial" w:hAnsi="Arial" w:cs="Arial"/>
          <w:b/>
          <w:bCs/>
          <w:sz w:val="24"/>
          <w:szCs w:val="24"/>
        </w:rPr>
        <w:t>2.1.1 EL DEMANDANTE</w:t>
      </w:r>
    </w:p>
    <w:p w:rsidR="00017F4D" w:rsidRPr="00E32E75" w:rsidRDefault="00017F4D" w:rsidP="00017F4D">
      <w:pPr>
        <w:rPr>
          <w:rFonts w:ascii="Arial" w:hAnsi="Arial" w:cs="Arial"/>
          <w:b/>
          <w:bCs/>
          <w:sz w:val="24"/>
          <w:szCs w:val="24"/>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rPr>
        <w:t xml:space="preserve">La parte actora interpone recurso de apelación –folio 259 del cuaderno principal-, para que se revoque la decisión y, en su lugar, se acceda a las súplicas de la demanda. Cuestionó la decisión, en cuanto declaró la excepción de falta de jurisdicción, pues a su parecer ello desconoce que i) el proceso se dirigió contra </w:t>
      </w:r>
      <w:r w:rsidRPr="00E32E75">
        <w:rPr>
          <w:rFonts w:ascii="Arial" w:hAnsi="Arial" w:cs="Arial"/>
          <w:sz w:val="24"/>
          <w:szCs w:val="24"/>
          <w:lang w:val="es-ES"/>
        </w:rPr>
        <w:t xml:space="preserve">el Convenio Andrés Bello, el Distrito Capital y el Fondo Financiero Distrital de Salud y ii) la cláusula compromisoria contenida en el contrato n.° 642 además de que no le es oponible, quedó tácitamente derogada, mediante acta de terminación bilateral, suscrita el 27 de octubre de 1997. Sostuvo: </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“Adicionalmente como se trata de un organismo de naturaleza supranacional, el nacional colombiano no puede necesariamente quedar compelido por la cláusula compromisoria porque el Juez Colombiano estaría renunciando a la jurisdicción y soberanía sobre los hechos ocurridos en el territorio nacional donde intervengan organismos mulilaterales (sic). Por lo tanto es necesario que el Juez Colombiano proceda a resolver de fondo, por cuanto no era ni es voluntad de la accionante que la jurisdicción arbitral resuelva sus conflictos, pudiendo después del acta de 27 de octubre de 1997 acudir ante el Juez Nacional. Por lo tanto ruego revocar el fallo recurrido de fondo.</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El fallo recurrido debe revocarse por cuanto la parte actora realizó su trabajo en forma responsable, cumplida y calificada, inclusive en las zonas más complicadas del Distrito Capital.</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 xml:space="preserve"> (…)</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 xml:space="preserve">La recurrida debe revocarse porque desconoce que la Secretaría de Salud Distrital, por concepto del contrato judicializado sólo canceló el valor del </w:t>
      </w:r>
      <w:r w:rsidRPr="00E32E75">
        <w:rPr>
          <w:rFonts w:ascii="Arial" w:hAnsi="Arial" w:cs="Arial"/>
          <w:i/>
          <w:sz w:val="24"/>
          <w:szCs w:val="24"/>
          <w:lang w:val="es-ES"/>
        </w:rPr>
        <w:lastRenderedPageBreak/>
        <w:t>contrato el 40% del valor, esto es, $55’362.800,00 y un parcial de 20’302.200,00 para un total de $76’664.000,oo, quedando pendiente un saldo de sesenta y dos millones setecientos cuarenta mil quinientos.</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No da por probado la recurrida (sic), estándolo que como consecuencia del incumplimiento del contrato por parte de la entidad demandada, mi representada perdió y sufrió ingentes perjuicios. Como las encuestas contratadas eran 21.105 debió compara más de 23.000 formularios, más 23.000 stikers, más de $30.000 cartillas didácticas.</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b/>
          <w:i/>
          <w:sz w:val="24"/>
          <w:szCs w:val="24"/>
          <w:lang w:val="es-ES"/>
        </w:rPr>
      </w:pPr>
      <w:r w:rsidRPr="00E32E75">
        <w:rPr>
          <w:rFonts w:ascii="Arial" w:hAnsi="Arial" w:cs="Arial"/>
          <w:b/>
          <w:i/>
          <w:sz w:val="24"/>
          <w:szCs w:val="24"/>
          <w:lang w:val="es-ES"/>
        </w:rPr>
        <w:t>(…)</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Se revocará igualmente la recurrida porque entraña INAPLICACIÓN DE LAS SIGUINETES NORMAS CONSTITUCIONALES. Del artículo 1º de la Constitución Nacional puesto que Colombia es un estado social de derecho, pluralista que debe respetar la dignidad humana fincada en el trabajo y la solidaridad, como consecuencia, el (los) acto (s) acusado (s) al burlar los derecho laborales del actor infringe (n) directamente ésta norma. Todos los principios constitucionales fueron infringidos por la demandada en el acto(s) acusado (s), así como el Pacto Internacional de Derechos Económicos, Sociales y Culturales, artículo 7º, ordinal C, adoptado el 16 de diciembre de 1966 y aprobado por el Congreso de Colombia por Ley 74 de 1968, Convenio Internacional del Trabajo Número 111 aprobado por Colombia mediante Ley 22 de 1967 y ratificado en 1969.</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La sentencia apelada conculca las normas de carácter Civil y Administrativo que regulan los contratos civiles y administrativos, las que consagran la resolución, el incumplimiento y las indemnizaciones a cargo de las partes cuando se incumplen los contratos. Todo el estatuto de la Ley 80 de 1993.</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Como se ha generado un perjuicio para la parte accionante y por razón del contrato es solidaria la Administración Distrital, y no se trata únicamente de un contrato en el que en la relación subyacente se vincule exclusivamente LA SECAB o el CONVENIO ANDRÉS BELLO, es pertinente acudir ante el Juez, y por lo tanto ruego revocar la recurrida analizando la solidaridad que se generó entre las demandadas. El incumplimiento de la parte demandada al haber interrumpido abruptamente cambiando las condiciones del mismo, con notorio perjuicio para la accionante, afectando sus derechos, hace que el Juez Administrativo deba fallar de fondo revocando la sentencia recurrida,…..</w:t>
      </w:r>
    </w:p>
    <w:p w:rsidR="00017F4D" w:rsidRPr="00E32E75" w:rsidRDefault="00017F4D" w:rsidP="00017F4D">
      <w:pPr>
        <w:spacing w:line="360" w:lineRule="auto"/>
        <w:jc w:val="both"/>
        <w:rPr>
          <w:rFonts w:ascii="Arial" w:hAnsi="Arial" w:cs="Arial"/>
          <w:sz w:val="24"/>
          <w:szCs w:val="24"/>
          <w:lang w:val="es-ES"/>
        </w:rPr>
      </w:pPr>
    </w:p>
    <w:p w:rsidR="00017F4D" w:rsidRPr="00E32E75" w:rsidRDefault="00017F4D" w:rsidP="00017F4D">
      <w:pPr>
        <w:spacing w:line="360" w:lineRule="auto"/>
        <w:jc w:val="both"/>
        <w:rPr>
          <w:rFonts w:ascii="Arial" w:hAnsi="Arial" w:cs="Arial"/>
          <w:b/>
          <w:bCs/>
          <w:sz w:val="24"/>
          <w:szCs w:val="24"/>
        </w:rPr>
      </w:pPr>
      <w:r w:rsidRPr="00E32E75">
        <w:rPr>
          <w:rFonts w:ascii="Arial" w:hAnsi="Arial" w:cs="Arial"/>
          <w:b/>
          <w:bCs/>
          <w:sz w:val="24"/>
          <w:szCs w:val="24"/>
        </w:rPr>
        <w:t>2.2. INTERVENCIONES FINALES</w:t>
      </w:r>
    </w:p>
    <w:p w:rsidR="00017F4D" w:rsidRPr="00E32E75" w:rsidRDefault="00017F4D" w:rsidP="00017F4D">
      <w:pPr>
        <w:spacing w:line="360" w:lineRule="auto"/>
        <w:jc w:val="both"/>
        <w:rPr>
          <w:rFonts w:ascii="Arial" w:hAnsi="Arial" w:cs="Arial"/>
          <w:b/>
          <w:sz w:val="24"/>
          <w:szCs w:val="24"/>
        </w:rPr>
      </w:pPr>
    </w:p>
    <w:p w:rsidR="00017F4D" w:rsidRPr="00E32E75" w:rsidRDefault="00017F4D" w:rsidP="00017F4D">
      <w:pPr>
        <w:spacing w:line="360" w:lineRule="auto"/>
        <w:jc w:val="both"/>
        <w:rPr>
          <w:rFonts w:ascii="Arial" w:hAnsi="Arial" w:cs="Arial"/>
          <w:b/>
          <w:sz w:val="24"/>
          <w:szCs w:val="24"/>
        </w:rPr>
      </w:pPr>
      <w:r w:rsidRPr="00E32E75">
        <w:rPr>
          <w:rFonts w:ascii="Arial" w:hAnsi="Arial" w:cs="Arial"/>
          <w:b/>
          <w:sz w:val="24"/>
          <w:szCs w:val="24"/>
        </w:rPr>
        <w:t>2.2.1 PARTE ACTORA</w:t>
      </w:r>
    </w:p>
    <w:p w:rsidR="00017F4D" w:rsidRPr="00E32E75" w:rsidRDefault="00017F4D" w:rsidP="00017F4D">
      <w:pPr>
        <w:spacing w:line="360" w:lineRule="auto"/>
        <w:jc w:val="both"/>
        <w:rPr>
          <w:rFonts w:ascii="Arial" w:hAnsi="Arial" w:cs="Arial"/>
          <w:b/>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 xml:space="preserve">La demandante al presentar sus intervenciones finales, reiteró los argumentos expuestos al sustentar el recurso de apelación, para que se revoque la decisión del tribunal y se resuelva de fondo la controversia en cuanto no le resulta oponible la cláusula compromisoria –folio 279 del cuaderno principal-.  </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b/>
          <w:sz w:val="24"/>
          <w:szCs w:val="24"/>
        </w:rPr>
      </w:pPr>
      <w:r w:rsidRPr="00E32E75">
        <w:rPr>
          <w:rFonts w:ascii="Arial" w:hAnsi="Arial" w:cs="Arial"/>
          <w:b/>
          <w:sz w:val="24"/>
          <w:szCs w:val="24"/>
        </w:rPr>
        <w:t>2.2.2. PARTE DEMANDADA</w:t>
      </w:r>
    </w:p>
    <w:p w:rsidR="00017F4D" w:rsidRPr="00E32E75" w:rsidRDefault="00017F4D" w:rsidP="00017F4D">
      <w:pPr>
        <w:rPr>
          <w:rFonts w:ascii="Arial" w:hAnsi="Arial" w:cs="Arial"/>
          <w:b/>
          <w:sz w:val="24"/>
          <w:szCs w:val="24"/>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rPr>
        <w:t xml:space="preserve">El Distrito aboga porque se declare probada la excepción de caducidad de la acción, la que, en su criterio, puede plantearse en cualquier estado del proceso, por lo que no resulta extemporánea. Esto si se tiene en cuenta que el </w:t>
      </w:r>
      <w:r w:rsidRPr="00E32E75">
        <w:rPr>
          <w:rFonts w:ascii="Arial" w:hAnsi="Arial" w:cs="Arial"/>
          <w:sz w:val="24"/>
          <w:szCs w:val="24"/>
          <w:lang w:val="es-ES"/>
        </w:rPr>
        <w:t xml:space="preserve">acta de liquidación final del contrato se suscribió el 27 de octubre de 1997 y aunque el auto admisorio de la demanda se profirió el 2 de agosto de 1999, le fue notificado a la SECAB el 29 de agosto de 2001, por lo que su vinculación resulta extemporánea; ii) aunque la demandante ejerció una acción contractual, como modificó su planteamiento al sustentar el recurso, habría que entender que se reforma la demanda de manera inoportuna; iii) no explica el fundamento para vincular a todas las entidades demandadas, pues no es claro que existía solidaridad entre ellas y iv) no corresponde a la realidad que la cláusula compromisoria quedara “aniquilada”, con ocasión del acta de liquidación, pues es claro que conservó plena vigencia hasta el término legal para presentar la demanda </w:t>
      </w:r>
      <w:r w:rsidRPr="00E32E75">
        <w:rPr>
          <w:rFonts w:ascii="Arial" w:hAnsi="Arial" w:cs="Arial"/>
          <w:sz w:val="24"/>
          <w:szCs w:val="24"/>
        </w:rPr>
        <w:t>defensa –folio 272 del cuaderno principal-.</w:t>
      </w: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 xml:space="preserve"> </w:t>
      </w: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 xml:space="preserve">Por su parte, el Fondo Financiero Distrital insistió en las razones de su defensa –folio 285 del cuaderno principal-, y para el efecto se apoyó en los mismos argumentos expuestos al rendir sus intervenciones finales en primera instancia. </w:t>
      </w:r>
    </w:p>
    <w:p w:rsidR="00017F4D" w:rsidRPr="00E32E75" w:rsidRDefault="00017F4D" w:rsidP="00017F4D">
      <w:pPr>
        <w:spacing w:line="360" w:lineRule="auto"/>
        <w:jc w:val="both"/>
        <w:rPr>
          <w:rFonts w:ascii="Arial" w:hAnsi="Arial" w:cs="Arial"/>
          <w:b/>
          <w:sz w:val="24"/>
          <w:szCs w:val="24"/>
          <w:u w:val="single"/>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 xml:space="preserve">Por último, la Secretaría Ejecutiva del Convenio Andrés Bello solicitó mantener la decisión del tribunal –folio 296 del cuaderno principal-, en cuanto hizo valer la cláusula compromisoria. Esto sin perjuicio de que el Convenio Andrés Bello, en cuanto organismo de derecho internacional legalmente reconocido en Colombia, tiene un régimen jurídico especial, de donde los contratos se sujetan a sus propios estatutos y de ordinario no se someten a la  jurisdicción colombiana. Aunado a lo anterior insistió en que se declare probada i) la excepción de cosa juzgada, si se tiene en cuenta que las partes resolvieron sus diferencias, según da cuenta el acta de terminación y liquidación, al punto que se declararon a paz y salvo, y renunciaron a cualquier reclamación judicial, sin que se conozca impugnación del contratista y ii) los hechos expuestos por la actora son infundados, en cuanto no existe ninguna imputación expresa de responsabilidad contra la SECAB, por el contrario, durante la ejecución del contrato se presentaron circunstancias atribuibles al demandante que le impidieron cumplir el objeto contractual. </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 xml:space="preserve">Bajo estos argumentos solicitó mantener la decisión del tribunal. </w:t>
      </w:r>
    </w:p>
    <w:p w:rsidR="00017F4D" w:rsidRPr="00E32E75" w:rsidRDefault="00017F4D" w:rsidP="00017F4D">
      <w:pPr>
        <w:spacing w:line="360" w:lineRule="auto"/>
        <w:ind w:hanging="360"/>
        <w:jc w:val="center"/>
        <w:rPr>
          <w:rFonts w:ascii="Arial" w:hAnsi="Arial" w:cs="Arial"/>
          <w:b/>
          <w:bCs/>
          <w:sz w:val="24"/>
          <w:szCs w:val="24"/>
          <w:lang w:val="es-ES"/>
        </w:rPr>
      </w:pPr>
    </w:p>
    <w:p w:rsidR="00017F4D" w:rsidRPr="00E32E75" w:rsidRDefault="00017F4D" w:rsidP="00017F4D">
      <w:pPr>
        <w:spacing w:line="360" w:lineRule="auto"/>
        <w:ind w:hanging="360"/>
        <w:jc w:val="center"/>
        <w:rPr>
          <w:rFonts w:ascii="Arial" w:hAnsi="Arial" w:cs="Arial"/>
          <w:b/>
          <w:bCs/>
          <w:sz w:val="24"/>
          <w:szCs w:val="24"/>
          <w:lang w:val="es-ES"/>
        </w:rPr>
      </w:pPr>
    </w:p>
    <w:p w:rsidR="00017F4D" w:rsidRPr="00E32E75" w:rsidRDefault="00017F4D" w:rsidP="00017F4D">
      <w:pPr>
        <w:spacing w:line="360" w:lineRule="auto"/>
        <w:ind w:hanging="360"/>
        <w:jc w:val="center"/>
        <w:rPr>
          <w:rFonts w:ascii="Arial" w:hAnsi="Arial" w:cs="Arial"/>
          <w:b/>
          <w:bCs/>
          <w:sz w:val="24"/>
          <w:szCs w:val="24"/>
        </w:rPr>
      </w:pPr>
      <w:r w:rsidRPr="00E32E75">
        <w:rPr>
          <w:rFonts w:ascii="Arial" w:hAnsi="Arial" w:cs="Arial"/>
          <w:b/>
          <w:bCs/>
          <w:sz w:val="24"/>
          <w:szCs w:val="24"/>
        </w:rPr>
        <w:t>3.</w:t>
      </w:r>
      <w:r w:rsidRPr="00E32E75">
        <w:rPr>
          <w:rFonts w:ascii="Arial" w:hAnsi="Arial" w:cs="Arial"/>
          <w:b/>
          <w:bCs/>
          <w:sz w:val="24"/>
          <w:szCs w:val="24"/>
        </w:rPr>
        <w:tab/>
        <w:t>CONSIDERACIONES DE LA SALA</w:t>
      </w:r>
    </w:p>
    <w:p w:rsidR="00017F4D" w:rsidRPr="00E32E75" w:rsidRDefault="00017F4D" w:rsidP="00017F4D">
      <w:pPr>
        <w:spacing w:line="360" w:lineRule="auto"/>
        <w:rPr>
          <w:rFonts w:ascii="Arial" w:hAnsi="Arial" w:cs="Arial"/>
          <w:b/>
          <w:bCs/>
          <w:sz w:val="24"/>
          <w:szCs w:val="24"/>
          <w:lang w:val="es-MX"/>
        </w:rPr>
      </w:pPr>
    </w:p>
    <w:p w:rsidR="00017F4D" w:rsidRPr="00E32E75" w:rsidRDefault="00017F4D" w:rsidP="00017F4D">
      <w:pPr>
        <w:spacing w:line="360" w:lineRule="auto"/>
        <w:rPr>
          <w:rFonts w:ascii="Arial" w:hAnsi="Arial" w:cs="Arial"/>
          <w:b/>
          <w:bCs/>
          <w:sz w:val="24"/>
          <w:szCs w:val="24"/>
          <w:lang w:val="es-MX"/>
        </w:rPr>
      </w:pPr>
      <w:r w:rsidRPr="00E32E75">
        <w:rPr>
          <w:rFonts w:ascii="Arial" w:hAnsi="Arial" w:cs="Arial"/>
          <w:b/>
          <w:bCs/>
          <w:sz w:val="24"/>
          <w:szCs w:val="24"/>
          <w:lang w:val="es-MX"/>
        </w:rPr>
        <w:t>1.</w:t>
      </w:r>
      <w:r w:rsidRPr="00E32E75">
        <w:rPr>
          <w:rFonts w:ascii="Arial" w:hAnsi="Arial" w:cs="Arial"/>
          <w:b/>
          <w:bCs/>
          <w:sz w:val="24"/>
          <w:szCs w:val="24"/>
          <w:lang w:val="es-MX"/>
        </w:rPr>
        <w:tab/>
        <w:t>COMPETENCIA</w:t>
      </w:r>
    </w:p>
    <w:p w:rsidR="00017F4D" w:rsidRPr="00E32E75" w:rsidRDefault="00017F4D" w:rsidP="00017F4D">
      <w:pPr>
        <w:tabs>
          <w:tab w:val="left" w:pos="709"/>
        </w:tabs>
        <w:spacing w:line="360" w:lineRule="auto"/>
        <w:jc w:val="both"/>
        <w:rPr>
          <w:rFonts w:ascii="Arial" w:hAnsi="Arial" w:cs="Arial"/>
          <w:sz w:val="24"/>
          <w:szCs w:val="24"/>
        </w:rPr>
      </w:pPr>
    </w:p>
    <w:p w:rsidR="00017F4D" w:rsidRPr="00E32E75" w:rsidRDefault="00017F4D" w:rsidP="00017F4D">
      <w:pPr>
        <w:tabs>
          <w:tab w:val="left" w:pos="709"/>
        </w:tabs>
        <w:spacing w:line="360" w:lineRule="auto"/>
        <w:jc w:val="both"/>
        <w:rPr>
          <w:rFonts w:ascii="Arial" w:hAnsi="Arial" w:cs="Arial"/>
          <w:sz w:val="24"/>
          <w:szCs w:val="24"/>
        </w:rPr>
      </w:pPr>
      <w:r w:rsidRPr="00E32E75">
        <w:rPr>
          <w:rFonts w:ascii="Arial" w:hAnsi="Arial" w:cs="Arial"/>
          <w:sz w:val="24"/>
          <w:szCs w:val="24"/>
        </w:rPr>
        <w:t>La Sala es competente para conocer del recurso de apelación interpuesto por la parte actora, dado que su cuantía alcanza la exigida  en vigencia del Decreto Ley 597 de 1988, para que esta Corporación conozca en segunda instancia</w:t>
      </w:r>
      <w:r w:rsidRPr="00E32E75">
        <w:rPr>
          <w:rStyle w:val="Refdenotaalpie"/>
          <w:rFonts w:ascii="Arial" w:hAnsi="Arial" w:cs="Arial"/>
          <w:sz w:val="24"/>
          <w:szCs w:val="24"/>
        </w:rPr>
        <w:footnoteReference w:id="2"/>
      </w:r>
      <w:r w:rsidRPr="00E32E75">
        <w:rPr>
          <w:rFonts w:ascii="Arial" w:hAnsi="Arial" w:cs="Arial"/>
          <w:sz w:val="24"/>
          <w:szCs w:val="24"/>
        </w:rPr>
        <w:t>.</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b/>
          <w:bCs/>
          <w:sz w:val="24"/>
          <w:szCs w:val="24"/>
        </w:rPr>
      </w:pPr>
      <w:r w:rsidRPr="00E32E75">
        <w:rPr>
          <w:rFonts w:ascii="Arial" w:hAnsi="Arial" w:cs="Arial"/>
          <w:b/>
          <w:bCs/>
          <w:sz w:val="24"/>
          <w:szCs w:val="24"/>
        </w:rPr>
        <w:t>2.</w:t>
      </w:r>
      <w:r w:rsidRPr="00E32E75">
        <w:rPr>
          <w:rFonts w:ascii="Arial" w:hAnsi="Arial" w:cs="Arial"/>
          <w:b/>
          <w:bCs/>
          <w:sz w:val="24"/>
          <w:szCs w:val="24"/>
        </w:rPr>
        <w:tab/>
        <w:t>PROBLEMA JURÍDICO</w:t>
      </w:r>
    </w:p>
    <w:p w:rsidR="00017F4D" w:rsidRPr="00E32E75" w:rsidRDefault="00017F4D" w:rsidP="00017F4D">
      <w:pPr>
        <w:spacing w:line="360" w:lineRule="auto"/>
        <w:jc w:val="both"/>
        <w:rPr>
          <w:rFonts w:ascii="Arial" w:hAnsi="Arial" w:cs="Arial"/>
          <w:b/>
          <w:bCs/>
          <w:sz w:val="24"/>
          <w:szCs w:val="24"/>
        </w:rPr>
      </w:pPr>
    </w:p>
    <w:p w:rsidR="00017F4D" w:rsidRPr="00E32E75" w:rsidRDefault="00017F4D" w:rsidP="00017F4D">
      <w:pPr>
        <w:spacing w:line="360" w:lineRule="auto"/>
        <w:jc w:val="both"/>
        <w:rPr>
          <w:rFonts w:ascii="Arial" w:hAnsi="Arial" w:cs="Arial"/>
          <w:bCs/>
          <w:sz w:val="24"/>
          <w:szCs w:val="24"/>
        </w:rPr>
      </w:pPr>
      <w:r w:rsidRPr="00E32E75">
        <w:rPr>
          <w:rFonts w:ascii="Arial" w:hAnsi="Arial" w:cs="Arial"/>
          <w:bCs/>
          <w:sz w:val="24"/>
          <w:szCs w:val="24"/>
        </w:rPr>
        <w:t>Corresponde a la Sala resolver i) si la cláusula compromisoria pactada en el contrato de asistencia técnica n.° 642 de 1996, le es oponible al demandante en el ámbito del contrato de prestación de servicios que suscribió en el año 1997 con la Secretaría Ejecutiva del Convenio Andrés Bello-SECAB- y ii) si la jurisdicción contenciosa tiene competencia para resolver la controversia, al margen de que uno de los demandados sea un organismo intergubernamental –SECAB-. Una vez resuelto lo expuesto se entrará a resolver de fondo de ser procedente.</w:t>
      </w:r>
    </w:p>
    <w:p w:rsidR="00017F4D" w:rsidRPr="00E32E75" w:rsidRDefault="00017F4D" w:rsidP="00017F4D">
      <w:pPr>
        <w:spacing w:line="360" w:lineRule="auto"/>
        <w:jc w:val="both"/>
        <w:rPr>
          <w:rFonts w:ascii="Arial" w:hAnsi="Arial" w:cs="Arial"/>
          <w:b/>
          <w:bCs/>
          <w:sz w:val="24"/>
          <w:szCs w:val="24"/>
        </w:rPr>
      </w:pPr>
      <w:r w:rsidRPr="00E32E75">
        <w:rPr>
          <w:rFonts w:ascii="Arial" w:hAnsi="Arial" w:cs="Arial"/>
          <w:b/>
          <w:bCs/>
          <w:sz w:val="24"/>
          <w:szCs w:val="24"/>
        </w:rPr>
        <w:t xml:space="preserve"> </w:t>
      </w:r>
    </w:p>
    <w:p w:rsidR="00017F4D" w:rsidRPr="00E32E75" w:rsidRDefault="00017F4D" w:rsidP="00017F4D">
      <w:pPr>
        <w:spacing w:line="360" w:lineRule="auto"/>
        <w:jc w:val="both"/>
        <w:rPr>
          <w:rFonts w:ascii="Arial" w:hAnsi="Arial" w:cs="Arial"/>
          <w:b/>
          <w:bCs/>
          <w:sz w:val="24"/>
          <w:szCs w:val="24"/>
        </w:rPr>
      </w:pPr>
      <w:r w:rsidRPr="00E32E75">
        <w:rPr>
          <w:rFonts w:ascii="Arial" w:hAnsi="Arial" w:cs="Arial"/>
          <w:b/>
          <w:bCs/>
          <w:sz w:val="24"/>
          <w:szCs w:val="24"/>
        </w:rPr>
        <w:t>3.</w:t>
      </w:r>
      <w:r w:rsidRPr="00E32E75">
        <w:rPr>
          <w:rFonts w:ascii="Arial" w:hAnsi="Arial" w:cs="Arial"/>
          <w:b/>
          <w:bCs/>
          <w:sz w:val="24"/>
          <w:szCs w:val="24"/>
        </w:rPr>
        <w:tab/>
        <w:t xml:space="preserve"> HECHOS PROBADOS</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 xml:space="preserve">De conformidad con el material probatorio que obra en el expediente, se pueden dar por ciertos los siguientes hechos: </w:t>
      </w:r>
    </w:p>
    <w:p w:rsidR="00017F4D" w:rsidRPr="00E32E75" w:rsidRDefault="00017F4D" w:rsidP="00017F4D">
      <w:pPr>
        <w:spacing w:line="360" w:lineRule="auto"/>
        <w:jc w:val="both"/>
        <w:rPr>
          <w:rFonts w:ascii="Arial" w:hAnsi="Arial" w:cs="Arial"/>
          <w:b/>
          <w:bCs/>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 xml:space="preserve">3.1. Mediante contrato n.º 642 de 11 de octubre de 1996, el FONDO FINANCIERO DISTRITAL DE SALUD y la SECRETARIA EJECUTIVA PERMANENTE DEL CONVENIO ANDRÉS BELLO –SECAB– suscribieron el contrato de asistencia técnica, mediante el cual el contratista se obligó a llevar a cabo el proyecto de restauración y creación de los sistemas locales de salud en el Distrito Capital, por valor de  $ 314’000.000,00 y un plazo de seis meses de ejecución –folio 67 del cuaderno principal-. Se destaca: </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ind w:left="567"/>
        <w:jc w:val="both"/>
        <w:rPr>
          <w:rFonts w:ascii="Arial" w:hAnsi="Arial" w:cs="Arial"/>
          <w:b/>
          <w:i/>
          <w:sz w:val="24"/>
          <w:szCs w:val="24"/>
        </w:rPr>
      </w:pPr>
      <w:r w:rsidRPr="00E32E75">
        <w:rPr>
          <w:rFonts w:ascii="Arial" w:hAnsi="Arial" w:cs="Arial"/>
          <w:b/>
          <w:i/>
          <w:sz w:val="24"/>
          <w:szCs w:val="24"/>
        </w:rPr>
        <w:t xml:space="preserve">“PRIMERA: OBJETO -  </w:t>
      </w:r>
      <w:r w:rsidRPr="00E32E75">
        <w:rPr>
          <w:rFonts w:ascii="Arial" w:hAnsi="Arial" w:cs="Arial"/>
          <w:i/>
          <w:sz w:val="24"/>
          <w:szCs w:val="24"/>
        </w:rPr>
        <w:t xml:space="preserve">El objeto del presente contrato consiste en la asistencia técnica prestada por EL CONTRATISTA al FONDO para llevar a </w:t>
      </w:r>
      <w:r w:rsidRPr="00E32E75">
        <w:rPr>
          <w:rFonts w:ascii="Arial" w:hAnsi="Arial" w:cs="Arial"/>
          <w:i/>
          <w:sz w:val="24"/>
          <w:szCs w:val="24"/>
        </w:rPr>
        <w:lastRenderedPageBreak/>
        <w:t xml:space="preserve">cabo el proyecto de restauración y creación de los sistemas locales de salud en el Distrito Capital, de acuerdo con los términos de referencia aportado por el Despacho (Secretaría Distrital de Salud)  mediante memorando 054285. </w:t>
      </w:r>
      <w:r w:rsidRPr="00E32E75">
        <w:rPr>
          <w:rFonts w:ascii="Arial" w:hAnsi="Arial" w:cs="Arial"/>
          <w:b/>
          <w:i/>
          <w:sz w:val="24"/>
          <w:szCs w:val="24"/>
        </w:rPr>
        <w:t xml:space="preserve">SEGUNDA: OBLIGACIONES ESPECIALES DEL CONTRATISTA – </w:t>
      </w:r>
      <w:r w:rsidRPr="00E32E75">
        <w:rPr>
          <w:rFonts w:ascii="Arial" w:hAnsi="Arial" w:cs="Arial"/>
          <w:i/>
          <w:sz w:val="24"/>
          <w:szCs w:val="24"/>
        </w:rPr>
        <w:t xml:space="preserve">EL CONTRATISTA se compromete en especial a: </w:t>
      </w:r>
      <w:r w:rsidRPr="00E32E75">
        <w:rPr>
          <w:rFonts w:ascii="Arial" w:hAnsi="Arial" w:cs="Arial"/>
          <w:b/>
          <w:i/>
          <w:sz w:val="24"/>
          <w:szCs w:val="24"/>
        </w:rPr>
        <w:t>a)</w:t>
      </w:r>
      <w:r w:rsidRPr="00E32E75">
        <w:rPr>
          <w:rFonts w:ascii="Arial" w:hAnsi="Arial" w:cs="Arial"/>
          <w:i/>
          <w:sz w:val="24"/>
          <w:szCs w:val="24"/>
        </w:rPr>
        <w:t xml:space="preserve"> Recibir el valor estipulado en la cláusula quinta y en la forma prevista en la cláusula sexta. </w:t>
      </w:r>
      <w:r w:rsidRPr="00E32E75">
        <w:rPr>
          <w:rFonts w:ascii="Arial" w:hAnsi="Arial" w:cs="Arial"/>
          <w:b/>
          <w:i/>
          <w:sz w:val="24"/>
          <w:szCs w:val="24"/>
        </w:rPr>
        <w:t xml:space="preserve">b) </w:t>
      </w:r>
      <w:r w:rsidRPr="00E32E75">
        <w:rPr>
          <w:rFonts w:ascii="Arial" w:hAnsi="Arial" w:cs="Arial"/>
          <w:i/>
          <w:sz w:val="24"/>
          <w:szCs w:val="24"/>
        </w:rPr>
        <w:t xml:space="preserve">Cumplir cabalmente con el objeto del presente contrato, bajo la coordinación y control del supervisor. </w:t>
      </w:r>
      <w:r w:rsidRPr="00E32E75">
        <w:rPr>
          <w:rFonts w:ascii="Arial" w:hAnsi="Arial" w:cs="Arial"/>
          <w:b/>
          <w:i/>
          <w:sz w:val="24"/>
          <w:szCs w:val="24"/>
        </w:rPr>
        <w:t xml:space="preserve">c) </w:t>
      </w:r>
      <w:r w:rsidRPr="00E32E75">
        <w:rPr>
          <w:rFonts w:ascii="Arial" w:hAnsi="Arial" w:cs="Arial"/>
          <w:i/>
          <w:sz w:val="24"/>
          <w:szCs w:val="24"/>
        </w:rPr>
        <w:t xml:space="preserve">Acudir a las autoridades pactadas en la cláusula décima quinta y décima séptima, para obtener la protección de los derechos derivados del contrato y sanción para quien los vulnere. </w:t>
      </w:r>
      <w:r w:rsidRPr="00E32E75">
        <w:rPr>
          <w:rFonts w:ascii="Arial" w:hAnsi="Arial" w:cs="Arial"/>
          <w:b/>
          <w:i/>
          <w:sz w:val="24"/>
          <w:szCs w:val="24"/>
        </w:rPr>
        <w:t>d)</w:t>
      </w:r>
      <w:r w:rsidRPr="00E32E75">
        <w:rPr>
          <w:rFonts w:ascii="Arial" w:hAnsi="Arial" w:cs="Arial"/>
          <w:i/>
          <w:sz w:val="24"/>
          <w:szCs w:val="24"/>
        </w:rPr>
        <w:t xml:space="preserve"> Asumir hasta por el valor del contrato el costo de programación acordada para tal efecto por la SERETARÍA DISTRITAL DE SALUD. Realizar las acciones necesarias y contratar la focalización y carnetización de la población beneficiaria del Régimen Subsidiado en Santafé de Bogotá. </w:t>
      </w:r>
      <w:r w:rsidRPr="00E32E75">
        <w:rPr>
          <w:rFonts w:ascii="Arial" w:hAnsi="Arial" w:cs="Arial"/>
          <w:b/>
          <w:i/>
          <w:sz w:val="24"/>
          <w:szCs w:val="24"/>
        </w:rPr>
        <w:t>e)</w:t>
      </w:r>
      <w:r w:rsidRPr="00E32E75">
        <w:rPr>
          <w:rFonts w:ascii="Arial" w:hAnsi="Arial" w:cs="Arial"/>
          <w:i/>
          <w:sz w:val="24"/>
          <w:szCs w:val="24"/>
        </w:rPr>
        <w:t xml:space="preserve"> Contratar la Interventoría de las encuestas del SISBEN. </w:t>
      </w:r>
      <w:r w:rsidRPr="00E32E75">
        <w:rPr>
          <w:rFonts w:ascii="Arial" w:hAnsi="Arial" w:cs="Arial"/>
          <w:b/>
          <w:i/>
          <w:sz w:val="24"/>
          <w:szCs w:val="24"/>
        </w:rPr>
        <w:t>f)</w:t>
      </w:r>
      <w:r w:rsidRPr="00E32E75">
        <w:rPr>
          <w:rFonts w:ascii="Arial" w:hAnsi="Arial" w:cs="Arial"/>
          <w:i/>
          <w:sz w:val="24"/>
          <w:szCs w:val="24"/>
        </w:rPr>
        <w:t xml:space="preserve"> Contratar con personas naturales o jurídicas idóneas las asesorias y la prestación de servicios que se requieren para el cumplimiento de las obligaciones contraídas en desarrollo del objeto del proyecto de creación y reestructuración de las direcciones zonales de salud. </w:t>
      </w:r>
      <w:r w:rsidRPr="00E32E75">
        <w:rPr>
          <w:rFonts w:ascii="Arial" w:hAnsi="Arial" w:cs="Arial"/>
          <w:b/>
          <w:i/>
          <w:sz w:val="24"/>
          <w:szCs w:val="24"/>
        </w:rPr>
        <w:t>g)</w:t>
      </w:r>
      <w:r w:rsidRPr="00E32E75">
        <w:rPr>
          <w:rFonts w:ascii="Arial" w:hAnsi="Arial" w:cs="Arial"/>
          <w:i/>
          <w:sz w:val="24"/>
          <w:szCs w:val="24"/>
        </w:rPr>
        <w:t xml:space="preserve"> Adquirir los materiales, impresos, equipos y software necesarios para la ejecución del contrato de acuerdo a los requerimientos por parte de la SECRETARIA DE SALUD. </w:t>
      </w:r>
      <w:r w:rsidRPr="00E32E75">
        <w:rPr>
          <w:rFonts w:ascii="Arial" w:hAnsi="Arial" w:cs="Arial"/>
          <w:b/>
          <w:i/>
          <w:sz w:val="24"/>
          <w:szCs w:val="24"/>
        </w:rPr>
        <w:t xml:space="preserve">h) </w:t>
      </w:r>
      <w:r w:rsidRPr="00E32E75">
        <w:rPr>
          <w:rFonts w:ascii="Arial" w:hAnsi="Arial" w:cs="Arial"/>
          <w:i/>
          <w:sz w:val="24"/>
          <w:szCs w:val="24"/>
        </w:rPr>
        <w:t xml:space="preserve">Asumir el costo de los pasajes y viáticos necesarios para el desplazamiento de los contratistas y funcionarios de la SECRETARIA DISTRITAL DE SALUD a diferentes regiones del territorio nacional, cuando sea necesario para el cumplimiento del objeto del contrato (…) </w:t>
      </w:r>
      <w:r w:rsidRPr="00E32E75">
        <w:rPr>
          <w:rFonts w:ascii="Arial" w:hAnsi="Arial" w:cs="Arial"/>
          <w:b/>
          <w:i/>
          <w:sz w:val="24"/>
          <w:szCs w:val="24"/>
        </w:rPr>
        <w:t>TERCERA: OBLIGACIONES ESPECIALES DEL FONDO –</w:t>
      </w:r>
      <w:r w:rsidRPr="00E32E75">
        <w:rPr>
          <w:rFonts w:ascii="Arial" w:hAnsi="Arial" w:cs="Arial"/>
          <w:i/>
          <w:sz w:val="24"/>
          <w:szCs w:val="24"/>
        </w:rPr>
        <w:t xml:space="preserve">El FONDO en desarrollo del presente contrato tendrá los siguientes derechos y deberes: </w:t>
      </w:r>
      <w:r w:rsidRPr="00E32E75">
        <w:rPr>
          <w:rFonts w:ascii="Arial" w:hAnsi="Arial" w:cs="Arial"/>
          <w:b/>
          <w:i/>
          <w:sz w:val="24"/>
          <w:szCs w:val="24"/>
        </w:rPr>
        <w:t xml:space="preserve">a) </w:t>
      </w:r>
      <w:r w:rsidRPr="00E32E75">
        <w:rPr>
          <w:rFonts w:ascii="Arial" w:hAnsi="Arial" w:cs="Arial"/>
          <w:i/>
          <w:sz w:val="24"/>
          <w:szCs w:val="24"/>
        </w:rPr>
        <w:t xml:space="preserve">Ejercer control y supervisión sobre los contratos que celebre EL CONTRATISTA a través de la Dirección de Seguridad Social de la SECRETARÍA DISTRITAL DE SALUD; </w:t>
      </w:r>
      <w:r w:rsidRPr="00E32E75">
        <w:rPr>
          <w:rFonts w:ascii="Arial" w:hAnsi="Arial" w:cs="Arial"/>
          <w:b/>
          <w:i/>
          <w:sz w:val="24"/>
          <w:szCs w:val="24"/>
        </w:rPr>
        <w:t>b)</w:t>
      </w:r>
      <w:r w:rsidRPr="00E32E75">
        <w:rPr>
          <w:rFonts w:ascii="Arial" w:hAnsi="Arial" w:cs="Arial"/>
          <w:i/>
          <w:sz w:val="24"/>
          <w:szCs w:val="24"/>
        </w:rPr>
        <w:t xml:space="preserve"> Adelantar las gestiones necesarias para el reconocimiento y cobro de las sanciones pecuniarias y garantías a que hubiere lugar; para lo cual el SUPERVISOR dará aviso oportuno a El FONDO, sobre la ocurrencia de hechos constitutivos de mora o incumplimiento; </w:t>
      </w:r>
      <w:r w:rsidRPr="00E32E75">
        <w:rPr>
          <w:rFonts w:ascii="Arial" w:hAnsi="Arial" w:cs="Arial"/>
          <w:b/>
          <w:i/>
          <w:sz w:val="24"/>
          <w:szCs w:val="24"/>
        </w:rPr>
        <w:t>c)</w:t>
      </w:r>
      <w:r w:rsidRPr="00E32E75">
        <w:rPr>
          <w:rFonts w:ascii="Arial" w:hAnsi="Arial" w:cs="Arial"/>
          <w:i/>
          <w:sz w:val="24"/>
          <w:szCs w:val="24"/>
        </w:rPr>
        <w:t xml:space="preserve"> Suministrar en forma oportuna la información solicitada por el CONTRATISTA para el desarrollo y ejecución del contrato; (…) </w:t>
      </w:r>
      <w:r w:rsidRPr="00E32E75">
        <w:rPr>
          <w:rFonts w:ascii="Arial" w:hAnsi="Arial" w:cs="Arial"/>
          <w:b/>
          <w:i/>
          <w:sz w:val="24"/>
          <w:szCs w:val="24"/>
        </w:rPr>
        <w:t>CUARTA: EJECUCIÓN –</w:t>
      </w:r>
      <w:r w:rsidRPr="00E32E75">
        <w:rPr>
          <w:rFonts w:ascii="Arial" w:hAnsi="Arial" w:cs="Arial"/>
          <w:i/>
          <w:sz w:val="24"/>
          <w:szCs w:val="24"/>
        </w:rPr>
        <w:t xml:space="preserve">El plazo de ejecución del presente contrato será de seis (6) meses, contados desde la fecha indicada en el oficio de ejecución procedente de la Oficina Jurídica. </w:t>
      </w:r>
      <w:r w:rsidRPr="00E32E75">
        <w:rPr>
          <w:rFonts w:ascii="Arial" w:hAnsi="Arial" w:cs="Arial"/>
          <w:b/>
          <w:i/>
          <w:sz w:val="24"/>
          <w:szCs w:val="24"/>
        </w:rPr>
        <w:t>QUINTA: VALOR DEL CONTRATO –</w:t>
      </w:r>
      <w:r w:rsidRPr="00E32E75">
        <w:rPr>
          <w:rFonts w:ascii="Arial" w:hAnsi="Arial" w:cs="Arial"/>
          <w:i/>
          <w:sz w:val="24"/>
          <w:szCs w:val="24"/>
        </w:rPr>
        <w:t xml:space="preserve"> Para sus efectos el valor del presente contrato se fija en la suma de TRESCIENTOS CATORCE MILLONES DE PESOS $314’000.000,00 M/Cte. </w:t>
      </w:r>
      <w:r w:rsidRPr="00E32E75">
        <w:rPr>
          <w:rFonts w:ascii="Arial" w:hAnsi="Arial" w:cs="Arial"/>
          <w:b/>
          <w:i/>
          <w:sz w:val="24"/>
          <w:szCs w:val="24"/>
        </w:rPr>
        <w:t>SEXTA: FORMA DE PAGO – (…)</w:t>
      </w:r>
      <w:r w:rsidRPr="00E32E75">
        <w:rPr>
          <w:rFonts w:ascii="Arial" w:hAnsi="Arial" w:cs="Arial"/>
          <w:i/>
          <w:sz w:val="24"/>
          <w:szCs w:val="24"/>
        </w:rPr>
        <w:t xml:space="preserve"> </w:t>
      </w:r>
      <w:r w:rsidRPr="00E32E75">
        <w:rPr>
          <w:rFonts w:ascii="Arial" w:hAnsi="Arial" w:cs="Arial"/>
          <w:b/>
          <w:i/>
          <w:sz w:val="24"/>
          <w:szCs w:val="24"/>
        </w:rPr>
        <w:t>SÉPTIMA: GARANTÍA ÚNIC –(…)</w:t>
      </w:r>
      <w:r w:rsidRPr="00E32E75">
        <w:rPr>
          <w:rFonts w:ascii="Arial" w:hAnsi="Arial" w:cs="Arial"/>
          <w:i/>
          <w:sz w:val="24"/>
          <w:szCs w:val="24"/>
        </w:rPr>
        <w:t xml:space="preserve"> </w:t>
      </w:r>
      <w:r w:rsidRPr="00E32E75">
        <w:rPr>
          <w:rFonts w:ascii="Arial" w:hAnsi="Arial" w:cs="Arial"/>
          <w:b/>
          <w:i/>
          <w:sz w:val="24"/>
          <w:szCs w:val="24"/>
        </w:rPr>
        <w:t>OCTAVA: SANCIONES POR INCUMPLIMIENTO – (…)</w:t>
      </w:r>
      <w:r w:rsidRPr="00E32E75">
        <w:rPr>
          <w:rFonts w:ascii="Arial" w:hAnsi="Arial" w:cs="Arial"/>
          <w:i/>
          <w:sz w:val="24"/>
          <w:szCs w:val="24"/>
        </w:rPr>
        <w:t xml:space="preserve"> </w:t>
      </w:r>
      <w:r w:rsidRPr="00E32E75">
        <w:rPr>
          <w:rFonts w:ascii="Arial" w:hAnsi="Arial" w:cs="Arial"/>
          <w:b/>
          <w:i/>
          <w:sz w:val="24"/>
          <w:szCs w:val="24"/>
        </w:rPr>
        <w:t>NOVENA: CESIÓN DEL CONTRATO–(…)</w:t>
      </w:r>
      <w:r w:rsidRPr="00E32E75">
        <w:rPr>
          <w:rFonts w:ascii="Arial" w:hAnsi="Arial" w:cs="Arial"/>
          <w:i/>
          <w:sz w:val="24"/>
          <w:szCs w:val="24"/>
        </w:rPr>
        <w:t xml:space="preserve"> </w:t>
      </w:r>
      <w:r w:rsidRPr="00E32E75">
        <w:rPr>
          <w:rFonts w:ascii="Arial" w:hAnsi="Arial" w:cs="Arial"/>
          <w:b/>
          <w:i/>
          <w:sz w:val="24"/>
          <w:szCs w:val="24"/>
        </w:rPr>
        <w:t>DÉCIMA: APROPIACIÓN PRESUPUESTAL – (…)</w:t>
      </w:r>
      <w:r w:rsidRPr="00E32E75">
        <w:rPr>
          <w:rFonts w:ascii="Arial" w:hAnsi="Arial" w:cs="Arial"/>
          <w:i/>
          <w:sz w:val="24"/>
          <w:szCs w:val="24"/>
        </w:rPr>
        <w:t xml:space="preserve"> </w:t>
      </w:r>
      <w:r w:rsidRPr="00E32E75">
        <w:rPr>
          <w:rFonts w:ascii="Arial" w:hAnsi="Arial" w:cs="Arial"/>
          <w:b/>
          <w:i/>
          <w:sz w:val="24"/>
          <w:szCs w:val="24"/>
        </w:rPr>
        <w:t>DÉCIMA PRIMERA: GASTOS – (…)</w:t>
      </w:r>
      <w:r w:rsidRPr="00E32E75">
        <w:rPr>
          <w:rFonts w:ascii="Arial" w:hAnsi="Arial" w:cs="Arial"/>
          <w:i/>
          <w:sz w:val="24"/>
          <w:szCs w:val="24"/>
        </w:rPr>
        <w:t xml:space="preserve"> </w:t>
      </w:r>
      <w:r w:rsidRPr="00E32E75">
        <w:rPr>
          <w:rFonts w:ascii="Arial" w:hAnsi="Arial" w:cs="Arial"/>
          <w:b/>
          <w:i/>
          <w:sz w:val="24"/>
          <w:szCs w:val="24"/>
        </w:rPr>
        <w:t>DÉCIMA SEGUNDA: DOCUMENTOS DEL CONTRATO –</w:t>
      </w:r>
      <w:r w:rsidRPr="00E32E75">
        <w:rPr>
          <w:rFonts w:ascii="Arial" w:hAnsi="Arial" w:cs="Arial"/>
          <w:i/>
          <w:sz w:val="24"/>
          <w:szCs w:val="24"/>
        </w:rPr>
        <w:t xml:space="preserve">Forman parte integrante de este contrato los siguientes documentos: </w:t>
      </w:r>
      <w:r w:rsidRPr="00E32E75">
        <w:rPr>
          <w:rFonts w:ascii="Arial" w:hAnsi="Arial" w:cs="Arial"/>
          <w:b/>
          <w:i/>
          <w:sz w:val="24"/>
          <w:szCs w:val="24"/>
        </w:rPr>
        <w:t>1)</w:t>
      </w:r>
      <w:r w:rsidRPr="00E32E75">
        <w:rPr>
          <w:rFonts w:ascii="Arial" w:hAnsi="Arial" w:cs="Arial"/>
          <w:i/>
          <w:sz w:val="24"/>
          <w:szCs w:val="24"/>
        </w:rPr>
        <w:t xml:space="preserve"> La autorización para realizar este contrato emanada del Director del FONDO. </w:t>
      </w:r>
      <w:r w:rsidRPr="00E32E75">
        <w:rPr>
          <w:rFonts w:ascii="Arial" w:hAnsi="Arial" w:cs="Arial"/>
          <w:b/>
          <w:i/>
          <w:sz w:val="24"/>
          <w:szCs w:val="24"/>
        </w:rPr>
        <w:t>2)</w:t>
      </w:r>
      <w:r w:rsidRPr="00E32E75">
        <w:rPr>
          <w:rFonts w:ascii="Arial" w:hAnsi="Arial" w:cs="Arial"/>
          <w:i/>
          <w:sz w:val="24"/>
          <w:szCs w:val="24"/>
        </w:rPr>
        <w:t xml:space="preserve"> Los términos de referencia establecidos por el FONDO. </w:t>
      </w:r>
      <w:r w:rsidRPr="00E32E75">
        <w:rPr>
          <w:rFonts w:ascii="Arial" w:hAnsi="Arial" w:cs="Arial"/>
          <w:b/>
          <w:i/>
          <w:sz w:val="24"/>
          <w:szCs w:val="24"/>
        </w:rPr>
        <w:t>3)</w:t>
      </w:r>
      <w:r w:rsidRPr="00E32E75">
        <w:rPr>
          <w:rFonts w:ascii="Arial" w:hAnsi="Arial" w:cs="Arial"/>
          <w:i/>
          <w:sz w:val="24"/>
          <w:szCs w:val="24"/>
        </w:rPr>
        <w:t xml:space="preserve"> El Acuerdo 4 de septiembre de 1972, aprobado por Colombia mediante la Ley 222 de 1985 y Resolución No. 14 de Diciembre 9 de 1975. </w:t>
      </w:r>
      <w:r w:rsidRPr="00E32E75">
        <w:rPr>
          <w:rFonts w:ascii="Arial" w:hAnsi="Arial" w:cs="Arial"/>
          <w:b/>
          <w:i/>
          <w:sz w:val="24"/>
          <w:szCs w:val="24"/>
        </w:rPr>
        <w:t>4)</w:t>
      </w:r>
      <w:r w:rsidRPr="00E32E75">
        <w:rPr>
          <w:rFonts w:ascii="Arial" w:hAnsi="Arial" w:cs="Arial"/>
          <w:i/>
          <w:sz w:val="24"/>
          <w:szCs w:val="24"/>
        </w:rPr>
        <w:t xml:space="preserve"> La garantía única constituida, y </w:t>
      </w:r>
      <w:r w:rsidRPr="00E32E75">
        <w:rPr>
          <w:rFonts w:ascii="Arial" w:hAnsi="Arial" w:cs="Arial"/>
          <w:b/>
          <w:i/>
          <w:sz w:val="24"/>
          <w:szCs w:val="24"/>
        </w:rPr>
        <w:t>5)</w:t>
      </w:r>
      <w:r w:rsidRPr="00E32E75">
        <w:rPr>
          <w:rFonts w:ascii="Arial" w:hAnsi="Arial" w:cs="Arial"/>
          <w:i/>
          <w:sz w:val="24"/>
          <w:szCs w:val="24"/>
        </w:rPr>
        <w:t xml:space="preserve"> Todos los demás documentos que sirvieron de fundamento para suscribir el Contrato y los que se produzcan en la ejecución del mismo. </w:t>
      </w:r>
      <w:r w:rsidRPr="00E32E75">
        <w:rPr>
          <w:rFonts w:ascii="Arial" w:hAnsi="Arial" w:cs="Arial"/>
          <w:b/>
          <w:i/>
          <w:sz w:val="24"/>
          <w:szCs w:val="24"/>
        </w:rPr>
        <w:t>DÉRCIMA TERCERA: LIQUIDACIÓN DEL CONTRATO – (…)</w:t>
      </w:r>
      <w:r w:rsidRPr="00E32E75">
        <w:rPr>
          <w:rFonts w:ascii="Arial" w:hAnsi="Arial" w:cs="Arial"/>
          <w:i/>
          <w:sz w:val="24"/>
          <w:szCs w:val="24"/>
        </w:rPr>
        <w:t xml:space="preserve"> </w:t>
      </w:r>
      <w:r w:rsidRPr="00E32E75">
        <w:rPr>
          <w:rFonts w:ascii="Arial" w:hAnsi="Arial" w:cs="Arial"/>
          <w:b/>
          <w:i/>
          <w:sz w:val="24"/>
          <w:szCs w:val="24"/>
        </w:rPr>
        <w:t>DÉCIMA CUARTA SUSPENSIÓN DEL CONTRATO–</w:t>
      </w:r>
      <w:r w:rsidRPr="00E32E75">
        <w:rPr>
          <w:rFonts w:ascii="Arial" w:hAnsi="Arial" w:cs="Arial"/>
          <w:i/>
          <w:sz w:val="24"/>
          <w:szCs w:val="24"/>
        </w:rPr>
        <w:t xml:space="preserve">(…) </w:t>
      </w:r>
      <w:r w:rsidRPr="00E32E75">
        <w:rPr>
          <w:rFonts w:ascii="Arial" w:hAnsi="Arial" w:cs="Arial"/>
          <w:b/>
          <w:i/>
          <w:sz w:val="24"/>
          <w:szCs w:val="24"/>
        </w:rPr>
        <w:t>DÉCIMA QUINTA: CLÁUSULA DE SOLUCIÓN DE CONTROVERSIAS CONTRACTUALES –</w:t>
      </w:r>
      <w:r w:rsidRPr="00E32E75">
        <w:rPr>
          <w:rFonts w:ascii="Arial" w:hAnsi="Arial" w:cs="Arial"/>
          <w:i/>
          <w:sz w:val="24"/>
          <w:szCs w:val="24"/>
        </w:rPr>
        <w:t xml:space="preserve"> Toda controversia o diferencia relativa al presente contrato en cuanto a su celebración, ejecución, desarrollo, terminación, liquidación, se resolverá inicialmente por las vías del </w:t>
      </w:r>
      <w:r w:rsidRPr="00E32E75">
        <w:rPr>
          <w:rFonts w:ascii="Arial" w:hAnsi="Arial" w:cs="Arial"/>
          <w:i/>
          <w:sz w:val="24"/>
          <w:szCs w:val="24"/>
        </w:rPr>
        <w:lastRenderedPageBreak/>
        <w:t xml:space="preserve">arreglo directo establecidas en el artículo 68 de la Ley 80/93 y si ello no fuese posible por un árbitro de conformidad con las siguientes reglas: </w:t>
      </w:r>
      <w:r w:rsidRPr="00E32E75">
        <w:rPr>
          <w:rFonts w:ascii="Arial" w:hAnsi="Arial" w:cs="Arial"/>
          <w:b/>
          <w:i/>
          <w:sz w:val="24"/>
          <w:szCs w:val="24"/>
        </w:rPr>
        <w:t>a)</w:t>
      </w:r>
      <w:r w:rsidRPr="00E32E75">
        <w:rPr>
          <w:rFonts w:ascii="Arial" w:hAnsi="Arial" w:cs="Arial"/>
          <w:i/>
          <w:sz w:val="24"/>
          <w:szCs w:val="24"/>
        </w:rPr>
        <w:t xml:space="preserve"> El árbitro será asignado por la Cámara de Comercio de Bogotá, en la forma prevista por el derecho privado; </w:t>
      </w:r>
      <w:r w:rsidRPr="00E32E75">
        <w:rPr>
          <w:rFonts w:ascii="Arial" w:hAnsi="Arial" w:cs="Arial"/>
          <w:b/>
          <w:i/>
          <w:sz w:val="24"/>
          <w:szCs w:val="24"/>
        </w:rPr>
        <w:t>b)</w:t>
      </w:r>
      <w:r w:rsidRPr="00E32E75">
        <w:rPr>
          <w:rFonts w:ascii="Arial" w:hAnsi="Arial" w:cs="Arial"/>
          <w:i/>
          <w:sz w:val="24"/>
          <w:szCs w:val="24"/>
        </w:rPr>
        <w:t xml:space="preserve"> El árbitro funcionará en Santafé de Bogotá, en el ligar que se acuerde por las partes; </w:t>
      </w:r>
      <w:r w:rsidRPr="00E32E75">
        <w:rPr>
          <w:rFonts w:ascii="Arial" w:hAnsi="Arial" w:cs="Arial"/>
          <w:b/>
          <w:i/>
          <w:sz w:val="24"/>
          <w:szCs w:val="24"/>
        </w:rPr>
        <w:t>c)</w:t>
      </w:r>
      <w:r w:rsidRPr="00E32E75">
        <w:rPr>
          <w:rFonts w:ascii="Arial" w:hAnsi="Arial" w:cs="Arial"/>
          <w:i/>
          <w:sz w:val="24"/>
          <w:szCs w:val="24"/>
        </w:rPr>
        <w:t xml:space="preserve"> El arbitraje se regirá por las disposiciones específicas contenidas en la Ley 80/93 y en lo no previsto en ella por las normas del derecho privado que rigen la materia; </w:t>
      </w:r>
      <w:r w:rsidRPr="00E32E75">
        <w:rPr>
          <w:rFonts w:ascii="Arial" w:hAnsi="Arial" w:cs="Arial"/>
          <w:b/>
          <w:i/>
          <w:sz w:val="24"/>
          <w:szCs w:val="24"/>
        </w:rPr>
        <w:t>d)</w:t>
      </w:r>
      <w:r w:rsidRPr="00E32E75">
        <w:rPr>
          <w:rFonts w:ascii="Arial" w:hAnsi="Arial" w:cs="Arial"/>
          <w:i/>
          <w:sz w:val="24"/>
          <w:szCs w:val="24"/>
        </w:rPr>
        <w:t xml:space="preserve"> Las partes fijan como domicilio y dirección para efecto de notificaciones a cada una de las partes el siguiente: (…) </w:t>
      </w:r>
      <w:r w:rsidRPr="00E32E75">
        <w:rPr>
          <w:rFonts w:ascii="Arial" w:hAnsi="Arial" w:cs="Arial"/>
          <w:b/>
          <w:i/>
          <w:sz w:val="24"/>
          <w:szCs w:val="24"/>
        </w:rPr>
        <w:t>DÉCIMA SÉPTIMA: SUJECIÓN A LA LEY COLOMBIANA</w:t>
      </w:r>
      <w:r w:rsidRPr="00E32E75">
        <w:rPr>
          <w:rFonts w:ascii="Arial" w:hAnsi="Arial" w:cs="Arial"/>
          <w:i/>
          <w:sz w:val="24"/>
          <w:szCs w:val="24"/>
        </w:rPr>
        <w:t xml:space="preserve"> – El presente contrato se regirá por las leyes colombinas y se sujetará a la justicia impartida por los Tribunales Colombianos y en consecuencia EL CONTRATISTA no podrá, posteriormente, adelantar reclamación alguna por la vía diplomática </w:t>
      </w:r>
      <w:r w:rsidRPr="00E32E75">
        <w:rPr>
          <w:rFonts w:ascii="Arial" w:hAnsi="Arial" w:cs="Arial"/>
          <w:b/>
          <w:i/>
          <w:sz w:val="24"/>
          <w:szCs w:val="24"/>
        </w:rPr>
        <w:t>(…).</w:t>
      </w:r>
    </w:p>
    <w:p w:rsidR="00017F4D" w:rsidRPr="00E32E75" w:rsidRDefault="00017F4D" w:rsidP="00C657FD">
      <w:pPr>
        <w:ind w:left="567"/>
        <w:jc w:val="both"/>
        <w:rPr>
          <w:rFonts w:ascii="Arial" w:hAnsi="Arial" w:cs="Arial"/>
          <w:b/>
          <w:i/>
          <w:sz w:val="24"/>
          <w:szCs w:val="24"/>
        </w:rPr>
      </w:pPr>
    </w:p>
    <w:p w:rsidR="00C657FD" w:rsidRPr="00E32E75" w:rsidRDefault="00C657FD" w:rsidP="007C5D43">
      <w:pPr>
        <w:spacing w:after="100" w:afterAutospacing="1"/>
        <w:ind w:left="567"/>
        <w:jc w:val="both"/>
        <w:rPr>
          <w:rFonts w:ascii="Arial" w:hAnsi="Arial" w:cs="Arial"/>
          <w:b/>
          <w:i/>
          <w:sz w:val="24"/>
          <w:szCs w:val="24"/>
        </w:rPr>
      </w:pPr>
    </w:p>
    <w:p w:rsidR="00017F4D" w:rsidRPr="00E32E75" w:rsidRDefault="00017F4D" w:rsidP="00017F4D">
      <w:pPr>
        <w:spacing w:line="360" w:lineRule="auto"/>
        <w:ind w:hanging="36"/>
        <w:jc w:val="both"/>
        <w:rPr>
          <w:rFonts w:ascii="Arial" w:hAnsi="Arial" w:cs="Arial"/>
          <w:sz w:val="24"/>
          <w:szCs w:val="24"/>
        </w:rPr>
      </w:pPr>
      <w:r w:rsidRPr="00E32E75">
        <w:rPr>
          <w:rFonts w:ascii="Arial" w:hAnsi="Arial" w:cs="Arial"/>
          <w:sz w:val="24"/>
          <w:szCs w:val="24"/>
        </w:rPr>
        <w:t>3.2. El 16 de junio de 1997, la Secretaría Ejecutiva del Convenio Andrés Bello-</w:t>
      </w:r>
      <w:r w:rsidRPr="00E32E75">
        <w:rPr>
          <w:rFonts w:ascii="Arial" w:hAnsi="Arial" w:cs="Arial"/>
          <w:sz w:val="24"/>
          <w:szCs w:val="24"/>
          <w:lang w:val="es-ES"/>
        </w:rPr>
        <w:t xml:space="preserve">SECAB y el CENTRO DE INVESTIGACIONES PROFESIONALES LTDA –CENINP- en el marco del contrato n.º 642 suscribieron el contrato de prestación de servicios para la realización de un determinado número de encuestas, en un plazo de treinta y cinco (35) días, por valor total de </w:t>
      </w:r>
      <w:r w:rsidRPr="00E32E75">
        <w:rPr>
          <w:rFonts w:ascii="Arial" w:hAnsi="Arial" w:cs="Arial"/>
          <w:sz w:val="24"/>
          <w:szCs w:val="24"/>
        </w:rPr>
        <w:t>$138’404.500,00 –folio 71 del cuaderno principal-. Se destaca:</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ind w:left="567"/>
        <w:jc w:val="both"/>
        <w:rPr>
          <w:rFonts w:ascii="Arial" w:hAnsi="Arial" w:cs="Arial"/>
          <w:i/>
          <w:sz w:val="24"/>
          <w:szCs w:val="24"/>
        </w:rPr>
      </w:pPr>
      <w:r w:rsidRPr="00E32E75">
        <w:rPr>
          <w:rFonts w:ascii="Arial" w:hAnsi="Arial" w:cs="Arial"/>
          <w:b/>
          <w:i/>
          <w:sz w:val="24"/>
          <w:szCs w:val="24"/>
        </w:rPr>
        <w:t xml:space="preserve">“PRIMERA: OBJETO – </w:t>
      </w:r>
      <w:r w:rsidRPr="00E32E75">
        <w:rPr>
          <w:rFonts w:ascii="Arial" w:hAnsi="Arial" w:cs="Arial"/>
          <w:i/>
          <w:sz w:val="24"/>
          <w:szCs w:val="24"/>
        </w:rPr>
        <w:t xml:space="preserve">El presente contrato tiene por objeto realizar 21.105 encuestas debidamente diligenciadas por vivienda y en archivo histórico de acuerdo a la metodología de selección de beneficiarios (SISBEN, ficha de clasificación socio-económica) en las localidades de: Santa Fe: 6.153 encuestas por barrio y 7.289 encuestas por demanda; Ciudad Bolívar: 6.188 encuestas por demanda; Sumapaz: 1.309 encuestas por barrio y 166 encuestas por demanda. </w:t>
      </w:r>
      <w:r w:rsidRPr="00E32E75">
        <w:rPr>
          <w:rFonts w:ascii="Arial" w:hAnsi="Arial" w:cs="Arial"/>
          <w:b/>
          <w:i/>
          <w:sz w:val="24"/>
          <w:szCs w:val="24"/>
        </w:rPr>
        <w:t xml:space="preserve">SEGUNDA: OBLIGACIONES DEL CONTRATISTA – </w:t>
      </w:r>
      <w:r w:rsidRPr="00E32E75">
        <w:rPr>
          <w:rFonts w:ascii="Arial" w:hAnsi="Arial" w:cs="Arial"/>
          <w:i/>
          <w:sz w:val="24"/>
          <w:szCs w:val="24"/>
        </w:rPr>
        <w:t xml:space="preserve">El CONTRATISTA, se obliga a cumplir a cabalidad con lo establecido en el objeto del presente contrato en forma oportuna, dentro del término establecido y de conformidad con las calidades pactadas; adicionalmente se comprometerá a: </w:t>
      </w:r>
      <w:r w:rsidRPr="00E32E75">
        <w:rPr>
          <w:rFonts w:ascii="Arial" w:hAnsi="Arial" w:cs="Arial"/>
          <w:b/>
          <w:i/>
          <w:sz w:val="24"/>
          <w:szCs w:val="24"/>
        </w:rPr>
        <w:t>a)</w:t>
      </w:r>
      <w:r w:rsidRPr="00E32E75">
        <w:rPr>
          <w:rFonts w:ascii="Arial" w:hAnsi="Arial" w:cs="Arial"/>
          <w:i/>
          <w:sz w:val="24"/>
          <w:szCs w:val="24"/>
        </w:rPr>
        <w:t xml:space="preserve"> Realizar la difusión del operativo a través de cada una de las siguientes modalidades: Volantes, afiches, plegables, perifoneo y/o cualquier otra metodología que garantice la participación de la comunidad, en el desarrollo del proceso. Debe enviar a la Secretaría Distrital de Salud, un ejemplar de la modalidad empleada; </w:t>
      </w:r>
      <w:r w:rsidRPr="00E32E75">
        <w:rPr>
          <w:rFonts w:ascii="Arial" w:hAnsi="Arial" w:cs="Arial"/>
          <w:b/>
          <w:i/>
          <w:sz w:val="24"/>
          <w:szCs w:val="24"/>
        </w:rPr>
        <w:t>b)</w:t>
      </w:r>
      <w:r w:rsidRPr="00E32E75">
        <w:rPr>
          <w:rFonts w:ascii="Arial" w:hAnsi="Arial" w:cs="Arial"/>
          <w:i/>
          <w:sz w:val="24"/>
          <w:szCs w:val="24"/>
        </w:rPr>
        <w:t xml:space="preserve"> Realizar actividades de coordinación con el hospital del primer nivel de la localidad, la Alcaldía menor (…); </w:t>
      </w:r>
      <w:r w:rsidRPr="00E32E75">
        <w:rPr>
          <w:rFonts w:ascii="Arial" w:hAnsi="Arial" w:cs="Arial"/>
          <w:b/>
          <w:i/>
          <w:sz w:val="24"/>
          <w:szCs w:val="24"/>
        </w:rPr>
        <w:t>d)</w:t>
      </w:r>
      <w:r w:rsidRPr="00E32E75">
        <w:rPr>
          <w:rFonts w:ascii="Arial" w:hAnsi="Arial" w:cs="Arial"/>
          <w:i/>
          <w:sz w:val="24"/>
          <w:szCs w:val="24"/>
        </w:rPr>
        <w:t xml:space="preserve"> Realizar el levantamiento y actualización cartográfica de los sectores asignados y coordinar con la Secretaría Distrital de Salud para definir los planos que servirán como base para identificar las viviendas y unidades de observación, para la aplicación de las encuestas y como herramienta de trabajo en el operativo de campo, los cuales se entregarán actualizados como parte del informe final; </w:t>
      </w:r>
      <w:r w:rsidRPr="00E32E75">
        <w:rPr>
          <w:rFonts w:ascii="Arial" w:hAnsi="Arial" w:cs="Arial"/>
          <w:b/>
          <w:i/>
          <w:sz w:val="24"/>
          <w:szCs w:val="24"/>
        </w:rPr>
        <w:t>e)</w:t>
      </w:r>
      <w:r w:rsidRPr="00E32E75">
        <w:rPr>
          <w:rFonts w:ascii="Arial" w:hAnsi="Arial" w:cs="Arial"/>
          <w:i/>
          <w:sz w:val="24"/>
          <w:szCs w:val="24"/>
        </w:rPr>
        <w:t xml:space="preserve"> Capacitar y actualizar antes y durante la aplicación de la encuesta SISBEN al personal que participa en el operativo, según los lineamientos de Planeación Nacional. Enviar copia de los programas desarrollados a la Secretaria Distrital de Salud. Los capacitadotes deben haber aprobado el curso de SISBEN dado por Planeación Nacional (…); </w:t>
      </w:r>
      <w:r w:rsidRPr="00E32E75">
        <w:rPr>
          <w:rFonts w:ascii="Arial" w:hAnsi="Arial" w:cs="Arial"/>
          <w:b/>
          <w:i/>
          <w:sz w:val="24"/>
          <w:szCs w:val="24"/>
        </w:rPr>
        <w:t>f)</w:t>
      </w:r>
      <w:r w:rsidRPr="00E32E75">
        <w:rPr>
          <w:rFonts w:ascii="Arial" w:hAnsi="Arial" w:cs="Arial"/>
          <w:i/>
          <w:sz w:val="24"/>
          <w:szCs w:val="24"/>
        </w:rPr>
        <w:t xml:space="preserve"> Tener el personal mínimo requerido de encuestadores, revisores y supervisores que permitan la realización eficiente del operativo y de acuerdo con los </w:t>
      </w:r>
      <w:r w:rsidRPr="00E32E75">
        <w:rPr>
          <w:rFonts w:ascii="Arial" w:hAnsi="Arial" w:cs="Arial"/>
          <w:i/>
          <w:sz w:val="24"/>
          <w:szCs w:val="24"/>
        </w:rPr>
        <w:lastRenderedPageBreak/>
        <w:t xml:space="preserve">rendimientos establecidos por Planeación nacional para la aplicación de encuestas; </w:t>
      </w:r>
      <w:r w:rsidRPr="00E32E75">
        <w:rPr>
          <w:rFonts w:ascii="Arial" w:hAnsi="Arial" w:cs="Arial"/>
          <w:b/>
          <w:i/>
          <w:sz w:val="24"/>
          <w:szCs w:val="24"/>
        </w:rPr>
        <w:t>g)</w:t>
      </w:r>
      <w:r w:rsidRPr="00E32E75">
        <w:rPr>
          <w:rFonts w:ascii="Arial" w:hAnsi="Arial" w:cs="Arial"/>
          <w:i/>
          <w:sz w:val="24"/>
          <w:szCs w:val="24"/>
        </w:rPr>
        <w:t xml:space="preserve"> Disponer de los materiales, insumos y presupuesto necesario para realizar el operativo (…); </w:t>
      </w:r>
      <w:r w:rsidRPr="00E32E75">
        <w:rPr>
          <w:rFonts w:ascii="Arial" w:hAnsi="Arial" w:cs="Arial"/>
          <w:b/>
          <w:i/>
          <w:sz w:val="24"/>
          <w:szCs w:val="24"/>
        </w:rPr>
        <w:t>i)</w:t>
      </w:r>
      <w:r w:rsidRPr="00E32E75">
        <w:rPr>
          <w:rFonts w:ascii="Arial" w:hAnsi="Arial" w:cs="Arial"/>
          <w:i/>
          <w:sz w:val="24"/>
          <w:szCs w:val="24"/>
        </w:rPr>
        <w:t xml:space="preserve"> Entregar informes parciales cada ocho (8) días calendario. El informe final se entregará según los lineamientos que entrega la Secretaria Distrital de Salud al firmar el acta de iniciación (…); </w:t>
      </w:r>
      <w:r w:rsidRPr="00E32E75">
        <w:rPr>
          <w:rFonts w:ascii="Arial" w:hAnsi="Arial" w:cs="Arial"/>
          <w:b/>
          <w:i/>
          <w:sz w:val="24"/>
          <w:szCs w:val="24"/>
        </w:rPr>
        <w:t>o)</w:t>
      </w:r>
      <w:r w:rsidRPr="00E32E75">
        <w:rPr>
          <w:rFonts w:ascii="Arial" w:hAnsi="Arial" w:cs="Arial"/>
          <w:i/>
          <w:sz w:val="24"/>
          <w:szCs w:val="24"/>
        </w:rPr>
        <w:t xml:space="preserve"> Entregar archivo histórico cada quince (15) días calendario certificado por el Interventor, </w:t>
      </w:r>
      <w:r w:rsidRPr="00E32E75">
        <w:rPr>
          <w:rFonts w:ascii="Arial" w:hAnsi="Arial" w:cs="Arial"/>
          <w:b/>
          <w:i/>
          <w:sz w:val="24"/>
          <w:szCs w:val="24"/>
        </w:rPr>
        <w:t>p)</w:t>
      </w:r>
      <w:r w:rsidRPr="00E32E75">
        <w:rPr>
          <w:rFonts w:ascii="Arial" w:hAnsi="Arial" w:cs="Arial"/>
          <w:i/>
          <w:sz w:val="24"/>
          <w:szCs w:val="24"/>
        </w:rPr>
        <w:t xml:space="preserve"> En la encuesta por demanda se deben encuestar todos los habitantes existentes en la vivienda correspondiente a la dirección entregada por la Secretaria Distrital de Salud, </w:t>
      </w:r>
      <w:r w:rsidRPr="00E32E75">
        <w:rPr>
          <w:rFonts w:ascii="Arial" w:hAnsi="Arial" w:cs="Arial"/>
          <w:b/>
          <w:i/>
          <w:sz w:val="24"/>
          <w:szCs w:val="24"/>
        </w:rPr>
        <w:t>q)</w:t>
      </w:r>
      <w:r w:rsidRPr="00E32E75">
        <w:rPr>
          <w:rFonts w:ascii="Arial" w:hAnsi="Arial" w:cs="Arial"/>
          <w:i/>
          <w:sz w:val="24"/>
          <w:szCs w:val="24"/>
        </w:rPr>
        <w:t xml:space="preserve"> Las encuestas institucionales, independiente del número de personas encuestadas, se paga una encuesta por institución (…); </w:t>
      </w:r>
      <w:r w:rsidRPr="00E32E75">
        <w:rPr>
          <w:rFonts w:ascii="Arial" w:hAnsi="Arial" w:cs="Arial"/>
          <w:b/>
          <w:i/>
          <w:sz w:val="24"/>
          <w:szCs w:val="24"/>
        </w:rPr>
        <w:t>TERCERA: TÉRMINO–</w:t>
      </w:r>
      <w:r w:rsidRPr="00E32E75">
        <w:rPr>
          <w:rFonts w:ascii="Arial" w:hAnsi="Arial" w:cs="Arial"/>
          <w:i/>
          <w:sz w:val="24"/>
          <w:szCs w:val="24"/>
        </w:rPr>
        <w:t xml:space="preserve">El término de duración del presente contrato será de cuatro meses contado (s) a partir de la fecha del perfeccionamiento del contrato. Esta fecha se contará desde la suscripción de este documento hasta su liquidación. El término de ejecución del presente contrato es de treinta y cinco (35) días calendario para realizar las encuestas, entregar certificaciones e informe final, este plazo comienza a contar a partir de la fecha del Acta de iniciación suscrita por las partes. </w:t>
      </w:r>
      <w:r w:rsidRPr="00E32E75">
        <w:rPr>
          <w:rFonts w:ascii="Arial" w:hAnsi="Arial" w:cs="Arial"/>
          <w:b/>
          <w:i/>
          <w:sz w:val="24"/>
          <w:szCs w:val="24"/>
        </w:rPr>
        <w:t>CUARTA: VALOR Y FORMA DE PAGO–</w:t>
      </w:r>
      <w:r w:rsidRPr="00E32E75">
        <w:rPr>
          <w:rFonts w:ascii="Arial" w:hAnsi="Arial" w:cs="Arial"/>
          <w:i/>
          <w:sz w:val="24"/>
          <w:szCs w:val="24"/>
        </w:rPr>
        <w:t xml:space="preserve">Para los efectos legales y fiscales el valor del presente contrato será CIENTO TREINTA Y OCHO MILLONES CUATROCIENTOS CUATRO MIL QUINIENTOS PESOS ($138’404.500,00) M/CTE los cuales serán cancelados de la siguiente formas: 40% del total del contrato previa presentación de la cuenta de cobro una vez firmada el acta de iniciación, un 30% al presentar informe de avance del 60% de la realización de las encuestas en medio magnético, archivo histórico, el 30% restante al presentar informe final. PARÁGRAFO: (…); </w:t>
      </w:r>
      <w:r w:rsidRPr="00E32E75">
        <w:rPr>
          <w:rFonts w:ascii="Arial" w:hAnsi="Arial" w:cs="Arial"/>
          <w:b/>
          <w:i/>
          <w:sz w:val="24"/>
          <w:szCs w:val="24"/>
        </w:rPr>
        <w:t>QUINTA: INTERVENTORIA–</w:t>
      </w:r>
      <w:r w:rsidRPr="00E32E75">
        <w:rPr>
          <w:rFonts w:ascii="Arial" w:hAnsi="Arial" w:cs="Arial"/>
          <w:i/>
          <w:sz w:val="24"/>
          <w:szCs w:val="24"/>
        </w:rPr>
        <w:t xml:space="preserve">La vigilancia y control del presente contrato será ejercida por la Secretaría Distrital de salud a través de la Institución o persona que sea contratada por la misma y a quien el contratista deberá estar en disponibilidad de prestar la colaboración necesaria para la interventoría del proceso y quien visará los informes sobre el desarrollo del objeto del presente contrato, periódico y final, además suministrar aquella información que exija la Secretaría Distrital de Salud; </w:t>
      </w:r>
      <w:r w:rsidRPr="00E32E75">
        <w:rPr>
          <w:rFonts w:ascii="Arial" w:hAnsi="Arial" w:cs="Arial"/>
          <w:b/>
          <w:i/>
          <w:sz w:val="24"/>
          <w:szCs w:val="24"/>
        </w:rPr>
        <w:t>SEXTA: EXCLUSIÓN DE LA RELACIÓN LABORAL – (…);</w:t>
      </w:r>
      <w:r w:rsidRPr="00E32E75">
        <w:rPr>
          <w:rFonts w:ascii="Arial" w:hAnsi="Arial" w:cs="Arial"/>
          <w:i/>
          <w:sz w:val="24"/>
          <w:szCs w:val="24"/>
        </w:rPr>
        <w:t xml:space="preserve"> </w:t>
      </w:r>
      <w:r w:rsidRPr="00E32E75">
        <w:rPr>
          <w:rFonts w:ascii="Arial" w:hAnsi="Arial" w:cs="Arial"/>
          <w:b/>
          <w:i/>
          <w:sz w:val="24"/>
          <w:szCs w:val="24"/>
        </w:rPr>
        <w:t>SÉPTIMA: CLAUSULA PENAL –</w:t>
      </w:r>
      <w:r w:rsidRPr="00E32E75">
        <w:rPr>
          <w:rFonts w:ascii="Arial" w:hAnsi="Arial" w:cs="Arial"/>
          <w:i/>
          <w:sz w:val="24"/>
          <w:szCs w:val="24"/>
        </w:rPr>
        <w:t xml:space="preserve"> Expresamente se conviene una cláusula penal equivalente al 10% del monto total del contrato, en caso de incumplimiento las obligaciones a cargo del contratista. En tal evento este contrato podrá darse por terminado por la SECAB y a su elección descontar dicho porcentaje del saldo debido al contratista, o recurrir al cobro de garantía. Sin menoscabo del cobro de lo debido y de los perjuicios que puedan ocasionarse como consecuencia del incumplimiento. </w:t>
      </w:r>
      <w:r w:rsidRPr="00E32E75">
        <w:rPr>
          <w:rFonts w:ascii="Arial" w:hAnsi="Arial" w:cs="Arial"/>
          <w:b/>
          <w:i/>
          <w:sz w:val="24"/>
          <w:szCs w:val="24"/>
        </w:rPr>
        <w:t>OCTAVA: OBLIGACIONES DE LA SECAB – (…);</w:t>
      </w:r>
      <w:r w:rsidRPr="00E32E75">
        <w:rPr>
          <w:rFonts w:ascii="Arial" w:hAnsi="Arial" w:cs="Arial"/>
          <w:i/>
          <w:sz w:val="24"/>
          <w:szCs w:val="24"/>
        </w:rPr>
        <w:t xml:space="preserve"> </w:t>
      </w:r>
      <w:r w:rsidRPr="00E32E75">
        <w:rPr>
          <w:rFonts w:ascii="Arial" w:hAnsi="Arial" w:cs="Arial"/>
          <w:b/>
          <w:i/>
          <w:sz w:val="24"/>
          <w:szCs w:val="24"/>
        </w:rPr>
        <w:t>NOVENA: CESIÓN – (…);</w:t>
      </w:r>
      <w:r w:rsidRPr="00E32E75">
        <w:rPr>
          <w:rFonts w:ascii="Arial" w:hAnsi="Arial" w:cs="Arial"/>
          <w:i/>
          <w:sz w:val="24"/>
          <w:szCs w:val="24"/>
        </w:rPr>
        <w:t xml:space="preserve"> </w:t>
      </w:r>
      <w:r w:rsidRPr="00E32E75">
        <w:rPr>
          <w:rFonts w:ascii="Arial" w:hAnsi="Arial" w:cs="Arial"/>
          <w:b/>
          <w:i/>
          <w:sz w:val="24"/>
          <w:szCs w:val="24"/>
        </w:rPr>
        <w:t>DÉCIMA: CAUSALES DE TERMINACIÓN DEL CONTRATO –</w:t>
      </w:r>
      <w:r w:rsidRPr="00E32E75">
        <w:rPr>
          <w:rFonts w:ascii="Arial" w:hAnsi="Arial" w:cs="Arial"/>
          <w:i/>
          <w:sz w:val="24"/>
          <w:szCs w:val="24"/>
        </w:rPr>
        <w:t xml:space="preserve"> La SECAB podrá dar por terminado el presente contrato, antes del vencimiento del plazo, sin indemnización alguna y sin necesidad de dar aviso previo al CONTRATISTA en los siguientes casos: </w:t>
      </w:r>
      <w:r w:rsidRPr="00E32E75">
        <w:rPr>
          <w:rFonts w:ascii="Arial" w:hAnsi="Arial" w:cs="Arial"/>
          <w:b/>
          <w:i/>
          <w:sz w:val="24"/>
          <w:szCs w:val="24"/>
        </w:rPr>
        <w:t xml:space="preserve">1) </w:t>
      </w:r>
      <w:r w:rsidRPr="00E32E75">
        <w:rPr>
          <w:rFonts w:ascii="Arial" w:hAnsi="Arial" w:cs="Arial"/>
          <w:i/>
          <w:sz w:val="24"/>
          <w:szCs w:val="24"/>
        </w:rPr>
        <w:t xml:space="preserve">POR INCUMPLIMETMNO, ABANDONO O DESCUIDO DEL CONTRATISTA de la obligación contratada; la cual no dará lugar a indemnización para el CONTRATISTA; </w:t>
      </w:r>
      <w:r w:rsidRPr="00E32E75">
        <w:rPr>
          <w:rFonts w:ascii="Arial" w:hAnsi="Arial" w:cs="Arial"/>
          <w:b/>
          <w:i/>
          <w:sz w:val="24"/>
          <w:szCs w:val="24"/>
        </w:rPr>
        <w:t>2)</w:t>
      </w:r>
      <w:r w:rsidRPr="00E32E75">
        <w:rPr>
          <w:rFonts w:ascii="Arial" w:hAnsi="Arial" w:cs="Arial"/>
          <w:i/>
          <w:sz w:val="24"/>
          <w:szCs w:val="24"/>
        </w:rPr>
        <w:t xml:space="preserve"> Cuando a juicio de la SECAB o del interventor, se considere inconveniente seguir contando con la prestación del servicio contratado para este fin será MÁS QUE SUFICIENTE LA COMUNICACIÓN QUE EN TAL SENTIDO REMITA EL INTERVENTOR A LA SECAB y ésta al CONTRATISTA; </w:t>
      </w:r>
      <w:r w:rsidRPr="00E32E75">
        <w:rPr>
          <w:rFonts w:ascii="Arial" w:hAnsi="Arial" w:cs="Arial"/>
          <w:b/>
          <w:i/>
          <w:sz w:val="24"/>
          <w:szCs w:val="24"/>
        </w:rPr>
        <w:t>3)</w:t>
      </w:r>
      <w:r w:rsidRPr="00E32E75">
        <w:rPr>
          <w:rFonts w:ascii="Arial" w:hAnsi="Arial" w:cs="Arial"/>
          <w:i/>
          <w:sz w:val="24"/>
          <w:szCs w:val="24"/>
        </w:rPr>
        <w:t xml:space="preserve">Por incapacidad del CONTRATISTA de seguir prestando sus servicios, si a juicio de la SECAB, fuese de tal naturaleza que no pudiera continuar con la prestación del servicio; </w:t>
      </w:r>
      <w:r w:rsidRPr="00E32E75">
        <w:rPr>
          <w:rFonts w:ascii="Arial" w:hAnsi="Arial" w:cs="Arial"/>
          <w:b/>
          <w:i/>
          <w:sz w:val="24"/>
          <w:szCs w:val="24"/>
        </w:rPr>
        <w:t>4)</w:t>
      </w:r>
      <w:r w:rsidRPr="00E32E75">
        <w:rPr>
          <w:rFonts w:ascii="Arial" w:hAnsi="Arial" w:cs="Arial"/>
          <w:i/>
          <w:sz w:val="24"/>
          <w:szCs w:val="24"/>
        </w:rPr>
        <w:t xml:space="preserve"> Por mutuo acuerdo entre las partes, caso en el cual se reconocerán, previa negociación, los honorarios que le correspondan al CONTRATISTA en proporción a la parte ejecutada del contrato, si a ello hubiere lugar. </w:t>
      </w:r>
      <w:r w:rsidRPr="00E32E75">
        <w:rPr>
          <w:rFonts w:ascii="Arial" w:hAnsi="Arial" w:cs="Arial"/>
          <w:b/>
          <w:i/>
          <w:sz w:val="24"/>
          <w:szCs w:val="24"/>
        </w:rPr>
        <w:t>PARÁGRAFO:</w:t>
      </w:r>
      <w:r w:rsidRPr="00E32E75">
        <w:rPr>
          <w:rFonts w:ascii="Arial" w:hAnsi="Arial" w:cs="Arial"/>
          <w:i/>
          <w:sz w:val="24"/>
          <w:szCs w:val="24"/>
        </w:rPr>
        <w:t xml:space="preserve"> Los hechos sujetos a </w:t>
      </w:r>
      <w:r w:rsidRPr="00E32E75">
        <w:rPr>
          <w:rFonts w:ascii="Arial" w:hAnsi="Arial" w:cs="Arial"/>
          <w:i/>
          <w:sz w:val="24"/>
          <w:szCs w:val="24"/>
        </w:rPr>
        <w:lastRenderedPageBreak/>
        <w:t xml:space="preserve">comprobación de las causales de terminación, serán establecidas unilateralmente por la SECAB. La terminación anticipada del contrato, no impide que la SECAB tome posesión de lo contratado y continúe inmediatamente la ejecución contractual. </w:t>
      </w:r>
      <w:r w:rsidRPr="00E32E75">
        <w:rPr>
          <w:rFonts w:ascii="Arial" w:hAnsi="Arial" w:cs="Arial"/>
          <w:b/>
          <w:i/>
          <w:sz w:val="24"/>
          <w:szCs w:val="24"/>
        </w:rPr>
        <w:t>DÉCIMA PRIMERA: GARANTÍAS – (…);</w:t>
      </w:r>
      <w:r w:rsidRPr="00E32E75">
        <w:rPr>
          <w:rFonts w:ascii="Arial" w:hAnsi="Arial" w:cs="Arial"/>
          <w:i/>
          <w:sz w:val="24"/>
          <w:szCs w:val="24"/>
        </w:rPr>
        <w:t xml:space="preserve"> </w:t>
      </w:r>
      <w:r w:rsidRPr="00E32E75">
        <w:rPr>
          <w:rFonts w:ascii="Arial" w:hAnsi="Arial" w:cs="Arial"/>
          <w:b/>
          <w:i/>
          <w:sz w:val="24"/>
          <w:szCs w:val="24"/>
        </w:rPr>
        <w:t>DÉCIMA SEGUNDA: NATURALEZA DEL CONTRATO –</w:t>
      </w:r>
      <w:r w:rsidRPr="00E32E75">
        <w:rPr>
          <w:rFonts w:ascii="Arial" w:hAnsi="Arial" w:cs="Arial"/>
          <w:i/>
          <w:sz w:val="24"/>
          <w:szCs w:val="24"/>
        </w:rPr>
        <w:t xml:space="preserve"> El presente contrato es de naturaleza Civil y por lo tanto se regirá en todo lo no estipulado en él, por las normas del Derecho Privado. </w:t>
      </w:r>
      <w:r w:rsidRPr="00E32E75">
        <w:rPr>
          <w:rFonts w:ascii="Arial" w:hAnsi="Arial" w:cs="Arial"/>
          <w:b/>
          <w:i/>
          <w:sz w:val="24"/>
          <w:szCs w:val="24"/>
        </w:rPr>
        <w:t>DÉCIMA TERCERA: INTERPRETACIÓN DEL CONTRATO –</w:t>
      </w:r>
      <w:r w:rsidRPr="00E32E75">
        <w:rPr>
          <w:rFonts w:ascii="Arial" w:hAnsi="Arial" w:cs="Arial"/>
          <w:i/>
          <w:sz w:val="24"/>
          <w:szCs w:val="24"/>
        </w:rPr>
        <w:t xml:space="preserve">Cuando surgieren discrepancias sobre la interpretación de las Cláusulas del contrato que puedan traer parálisis o perturbar su ejecución, la SECAB, convocará al CONTRATISTA y le expondrá su criterio del contrato; de dicha reunión se levantara un Acta y si no llegare a ningún acuerdo, la SECAB le indicará al CONTRATISTA sobre la forma como debe continuar y ser ejecutado. </w:t>
      </w:r>
      <w:r w:rsidRPr="00E32E75">
        <w:rPr>
          <w:rFonts w:ascii="Arial" w:hAnsi="Arial" w:cs="Arial"/>
          <w:b/>
          <w:i/>
          <w:sz w:val="24"/>
          <w:szCs w:val="24"/>
        </w:rPr>
        <w:t>DÉCIMA CUARTA: MODIFICACIONES CONTRACUALES –</w:t>
      </w:r>
      <w:r w:rsidRPr="00E32E75">
        <w:rPr>
          <w:rFonts w:ascii="Arial" w:hAnsi="Arial" w:cs="Arial"/>
          <w:i/>
          <w:sz w:val="24"/>
          <w:szCs w:val="24"/>
        </w:rPr>
        <w:t xml:space="preserve">Cuando se presenten circunstancias debidamente comprobadas que justifiquen la modificación de cualquiera de las cláusulas del contrato, las partes suscribirán el documento pertinente que contendrá con claridad y precisión la reforma requerida; </w:t>
      </w:r>
      <w:r w:rsidRPr="00E32E75">
        <w:rPr>
          <w:rFonts w:ascii="Arial" w:hAnsi="Arial" w:cs="Arial"/>
          <w:b/>
          <w:i/>
          <w:sz w:val="24"/>
          <w:szCs w:val="24"/>
        </w:rPr>
        <w:t>DECIMA QUINTA: SUSPENSIÓN:</w:t>
      </w:r>
      <w:r w:rsidRPr="00E32E75">
        <w:rPr>
          <w:rFonts w:ascii="Arial" w:hAnsi="Arial" w:cs="Arial"/>
          <w:i/>
          <w:sz w:val="24"/>
          <w:szCs w:val="24"/>
        </w:rPr>
        <w:t xml:space="preserve"> Cuando se presenten circunstancias de fuerza mayor o caso fortuito debidamente demostradas que impidan la continuación del contrato, las partes suspenderán su ejecución mediante la suscripción de un Acta que exprese las causales de tal decisión, el estado del contrato en cuanto a su desarrollo y el término de duración de la suspensión. Igualmente se adoptarán las medidas de conservación que se consideren pertinentes  y si es del caso se convendrán los costos de la suspensión y la forma de pago. Vencido el término las partes suscribieran un Acta de reanudación del contrato. El CONTRATISTA en todo caso se compromete a ampliar las garantías por un término de duración igual al de la suspensión. </w:t>
      </w:r>
      <w:r w:rsidRPr="00E32E75">
        <w:rPr>
          <w:rFonts w:ascii="Arial" w:hAnsi="Arial" w:cs="Arial"/>
          <w:b/>
          <w:i/>
          <w:sz w:val="24"/>
          <w:szCs w:val="24"/>
        </w:rPr>
        <w:t>DÉCIMA SEXTA: GASTOS – (…);</w:t>
      </w:r>
      <w:r w:rsidRPr="00E32E75">
        <w:rPr>
          <w:rFonts w:ascii="Arial" w:hAnsi="Arial" w:cs="Arial"/>
          <w:i/>
          <w:sz w:val="24"/>
          <w:szCs w:val="24"/>
        </w:rPr>
        <w:t xml:space="preserve"> </w:t>
      </w:r>
      <w:r w:rsidRPr="00E32E75">
        <w:rPr>
          <w:rFonts w:ascii="Arial" w:hAnsi="Arial" w:cs="Arial"/>
          <w:b/>
          <w:i/>
          <w:sz w:val="24"/>
          <w:szCs w:val="24"/>
        </w:rPr>
        <w:t>DÉCIMA SÉPTIMA: VALIDEZ Y PERFECCIONAMIENTO – (…);</w:t>
      </w:r>
    </w:p>
    <w:p w:rsidR="00017F4D" w:rsidRPr="00E32E75" w:rsidRDefault="00017F4D" w:rsidP="00017F4D">
      <w:pPr>
        <w:ind w:left="567"/>
        <w:jc w:val="both"/>
        <w:rPr>
          <w:rFonts w:ascii="Arial" w:hAnsi="Arial" w:cs="Arial"/>
          <w:i/>
          <w:sz w:val="24"/>
          <w:szCs w:val="24"/>
        </w:rPr>
      </w:pPr>
    </w:p>
    <w:p w:rsidR="00017F4D" w:rsidRPr="00E32E75" w:rsidRDefault="00017F4D" w:rsidP="00017F4D">
      <w:pPr>
        <w:ind w:left="567"/>
        <w:jc w:val="both"/>
        <w:rPr>
          <w:rFonts w:ascii="Arial" w:hAnsi="Arial" w:cs="Arial"/>
          <w:i/>
          <w:sz w:val="24"/>
          <w:szCs w:val="24"/>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lang w:val="es-ES"/>
        </w:rPr>
        <w:t xml:space="preserve">3.3. El 4 de julio de 1997 el coordinador de Interventoría requirió al contratista el cumplimiento del contrato en los términos pactados –folio 68 del cuaderno de pruebas n.º 2-. </w:t>
      </w:r>
    </w:p>
    <w:p w:rsidR="00017F4D" w:rsidRPr="00E32E75" w:rsidRDefault="00017F4D" w:rsidP="00017F4D">
      <w:pPr>
        <w:spacing w:line="360" w:lineRule="auto"/>
        <w:jc w:val="both"/>
        <w:rPr>
          <w:rFonts w:ascii="Arial" w:hAnsi="Arial" w:cs="Arial"/>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“De acuerdo a lo establecido en el cronograma de actividades por la firma interventora y la Secretaría de Salud del Distrito nos vemos en la ocasión de hacerle un llamado de atención que su firma se encuentra en mora de un proceso de actividades que ya las tenía que haber realizado como es la convocación de personal, la estructura de su oficina, el reconocimiento de las zonas asignadas y la capacitación de su personal, la instalación de los comités locales de salud (elaboración de las actas de los comités) y el no haber reportado a la interventoría el cronograma de actividades de su firma y no tener conocimiento de sus actividades en el proceso de ejecución del proceso SISBEN queremos darle un aviso de alerta para que se haga correcciones inmediatas y se haga saber a la firma interventora las razones del retraso de sus actividades y no cumplimiento con los compromisos de la primera semana del cronograma.</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lang w:val="es-ES"/>
        </w:rPr>
        <w:t>3.4. Nuevamente, el 12 de agosto de 1997, la firma interventora –SIAT LTDA- se dirigió al contratista para poner de presente las irregularidades encontradas en las fichas recolectadas –folio 168 del cuaderno de pruebas n.º 2-.</w:t>
      </w:r>
    </w:p>
    <w:p w:rsidR="00017F4D" w:rsidRPr="00E32E75" w:rsidRDefault="00017F4D" w:rsidP="00017F4D">
      <w:pPr>
        <w:spacing w:line="360" w:lineRule="auto"/>
        <w:jc w:val="both"/>
        <w:rPr>
          <w:rFonts w:ascii="Arial" w:hAnsi="Arial" w:cs="Arial"/>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“Con este formato estamos entregando un nuevo listado de fichas revisadas por interventoría las cuales se relacionan con los errores y que esperamos sean corregidos oportunamente. Existe una omisión generalizada en las fichas recolectadas por su firma y es que no se está diligenciando lo correspondiente a sector, sección y manzana, estos son direccionamientos importantes si tenemos en cuenta la dificultad para encontrar la dirección en estas zonas. Recordamos que las fichas rechazadas por interventoría se deben excluir de archivo histórico.</w:t>
      </w:r>
    </w:p>
    <w:p w:rsidR="00017F4D" w:rsidRPr="00E32E75" w:rsidRDefault="00017F4D" w:rsidP="00017F4D">
      <w:pPr>
        <w:ind w:left="567"/>
        <w:jc w:val="both"/>
        <w:rPr>
          <w:rFonts w:ascii="Arial" w:hAnsi="Arial" w:cs="Arial"/>
          <w:i/>
          <w:sz w:val="24"/>
          <w:szCs w:val="24"/>
          <w:lang w:val="es-ES"/>
        </w:rPr>
      </w:pPr>
    </w:p>
    <w:p w:rsidR="007C5D43" w:rsidRPr="00E32E75" w:rsidRDefault="007C5D43" w:rsidP="00017F4D">
      <w:pPr>
        <w:ind w:left="567"/>
        <w:jc w:val="both"/>
        <w:rPr>
          <w:rFonts w:ascii="Arial" w:hAnsi="Arial" w:cs="Arial"/>
          <w:i/>
          <w:sz w:val="24"/>
          <w:szCs w:val="24"/>
          <w:lang w:val="es-ES"/>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lang w:val="es-ES"/>
        </w:rPr>
        <w:t>3.5. Obra el denominado informe comparativo de 17 de julio de 1997, suscrito por la firma interventora SIAT LTDA y dirigido a la SECAB que da cuenta del comportamiento contractual de la sociedad demandante –folio 50 del cuaderno de pruebas n.º 2-.</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Con este oficio encontrará un cuadro comparativo de incumplimiento del contrato suscrito entre LA SECAB y CENTRO DE INVESTIGACIONES PROFESIONALES CENINP LTDA, y el concepto de Interventoría, como también oficios y actas del proyecto.</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b/>
          <w:i/>
          <w:sz w:val="24"/>
          <w:szCs w:val="24"/>
          <w:lang w:val="es-ES"/>
        </w:rPr>
      </w:pPr>
      <w:r w:rsidRPr="00E32E75">
        <w:rPr>
          <w:rFonts w:ascii="Arial" w:hAnsi="Arial" w:cs="Arial"/>
          <w:b/>
          <w:i/>
          <w:sz w:val="24"/>
          <w:szCs w:val="24"/>
          <w:lang w:val="es-ES"/>
        </w:rPr>
        <w:t>OFICIOS DE INTERVENTORÍA:</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Oficio 01 de Junio 17 de 1997: Solicitud de ajuste de cronogramas y remisión de cronogramas generales y criterios de evaluación.</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Oficio 02 de julio 3 de 1997: Se reitera petición oficio 01 y se le solicita comenzar actividades de capacitación.</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Oficio 03 de julio 4 de 1997: Donde se le requiere sobre actividades que no ha desarrollado y direcciones de oficina.</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Oficio 3ª de julio 9 de 1997: Se emite concepto de evaluación y requerimientos para comenzar la labor de recolección en Pasquilla y se solicita copias de actas de comité en las zonas de Sumapaz y Ciudad Bolívar.</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 xml:space="preserve">Oficio Julio 10 de 1997: Llamado de atención al incumplimiento de presentación de informes el día 8 de julio, según cronograma y se recuerda que el día 15 de julio debe entregar el primer archivo histórico. </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Oficio julio 16 de 1997: Se requiere a la firma ejecutora del incumplimiento del primer informe parcial y se informa del incumplimiento de la entrega del archivo histórico y se recuerda además la entrega del segundo informe, además se solicita precisión en los centros operativos.</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rPr>
        <w:t>3.6. Obra acta de terminación del contrato por vencimiento del plazo de 27 de octubre de 1997, suscrita por el representante legal del CENTRO DE INVESTIGACIONES PROFESIONALES LTDA.–CENINP–; la Secretaría Ejecutiva del Convenio Andrés Bello- SECAB- y el Interventor del contrato,</w:t>
      </w:r>
      <w:r w:rsidRPr="00E32E75">
        <w:rPr>
          <w:rFonts w:ascii="Arial" w:hAnsi="Arial" w:cs="Arial"/>
          <w:sz w:val="24"/>
          <w:szCs w:val="24"/>
          <w:lang w:val="es-ES"/>
        </w:rPr>
        <w:t xml:space="preserve"> la que contiene un </w:t>
      </w:r>
      <w:r w:rsidRPr="00E32E75">
        <w:rPr>
          <w:rFonts w:ascii="Arial" w:hAnsi="Arial" w:cs="Arial"/>
          <w:sz w:val="24"/>
          <w:szCs w:val="24"/>
          <w:lang w:val="es-ES"/>
        </w:rPr>
        <w:lastRenderedPageBreak/>
        <w:t xml:space="preserve">corte de cuentas final y un saldo a favor del contratista –folio 37 del cuaderno de pruebas n.° 2-. </w:t>
      </w:r>
    </w:p>
    <w:p w:rsidR="00017F4D" w:rsidRPr="00E32E75" w:rsidRDefault="00017F4D" w:rsidP="00017F4D">
      <w:pPr>
        <w:spacing w:line="360" w:lineRule="auto"/>
        <w:jc w:val="center"/>
        <w:rPr>
          <w:rFonts w:ascii="Arial" w:hAnsi="Arial" w:cs="Arial"/>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“CONTRATO DE PRESTACIÓN DE SERVICIOS ENTRE LA SECRETARIA EJECUTIVA DEL CONVENIO ANDRÉS BELLO Y CENTRO DE INVESTIGACIONES PROFESIONALES (A CARGO DEL CONTRATO SUSCRITO ENTRE EL FONDO FINANCIERO DISTRITAL Y LA SECAB No. 642/96)</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b/>
          <w:i/>
          <w:sz w:val="24"/>
          <w:szCs w:val="24"/>
          <w:lang w:val="es-ES"/>
        </w:rPr>
      </w:pPr>
      <w:r w:rsidRPr="00E32E75">
        <w:rPr>
          <w:rFonts w:ascii="Arial" w:hAnsi="Arial" w:cs="Arial"/>
          <w:b/>
          <w:i/>
          <w:sz w:val="24"/>
          <w:szCs w:val="24"/>
          <w:lang w:val="es-ES"/>
        </w:rPr>
        <w:t>Santa Fe de Bogotá – Octubre 27 de 1997</w:t>
      </w:r>
    </w:p>
    <w:p w:rsidR="00017F4D" w:rsidRPr="00E32E75" w:rsidRDefault="00017F4D" w:rsidP="00017F4D">
      <w:pPr>
        <w:ind w:left="567"/>
        <w:jc w:val="both"/>
        <w:rPr>
          <w:rFonts w:ascii="Arial" w:hAnsi="Arial" w:cs="Arial"/>
          <w:b/>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Que el día 16 de Junio de 1997 se celebró un contrato de prestación de servicios entre la SECAB y la firma CENTRO DE INVESTIGACIONES PROFESIONALES.</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Que el mencionado contrato tenía por objeto realizar 21.105 encuestas en la modalidad de demanda y barrido, debidamente diligenciadas por vivienda y en archivo histórico, de acuerdo a la metodología del Sistema de Selección de Beneficiarios para programas sociales (Sisben, ficha de clasificación Socioeconómica) en la Localidad de Santa FE de Bogotá, Sumapaz.</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Que a la fecha se ha cancelado a la firma CENTRO DE INVESTIGACINES PROFESIONALES la suma de Cincuenta y cinco millones trescientos sesenta y un ochocientos pesos ($55’361.800).</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Que el monto total original del contrato era la suma de Ciento Treinta y Ocho Millones Cuatrocientos Cuatro Mil Quinientos pesos ($138’404.500). que correspondía a 21.105 encuestas totales.</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Que el contratista, en la ejecución del objeto del contrato realizó solamente 10.196 encuestas, las cuales se encuentran debidamente validadas por el interventor externo del contrato, y que por lo tanto es conveniente realizar el correspondiente ajuste del contrato, teniendo en cuenta el número de encuestas efectivamente realizadas y validadas.</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Que por lo tanto el valor final y real del contrato asciende a la suma de Setenta y cinco millones seiscientos sesenta y cuatro mil pesos que corresponden al servicio efectivamente realizado (10.196 encuestas).</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Conforme a lo convenido anteriormente las partes acuerdan:</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b/>
          <w:i/>
          <w:sz w:val="24"/>
          <w:szCs w:val="24"/>
          <w:lang w:val="es-ES"/>
        </w:rPr>
        <w:t>PRIMERO:</w:t>
      </w:r>
      <w:r w:rsidRPr="00E32E75">
        <w:rPr>
          <w:rFonts w:ascii="Arial" w:hAnsi="Arial" w:cs="Arial"/>
          <w:i/>
          <w:sz w:val="24"/>
          <w:szCs w:val="24"/>
          <w:lang w:val="es-ES"/>
        </w:rPr>
        <w:t xml:space="preserve"> La DECAB dentro de los Diez días a la firma de la presente acta cancelará al contratista la suma de Veinte Millones trescientos dos mil doscientos pesos por concepto del saldo que se le adeuda al contratista.</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b/>
          <w:i/>
          <w:sz w:val="24"/>
          <w:szCs w:val="24"/>
          <w:lang w:val="es-ES"/>
        </w:rPr>
        <w:t>SEGUNDO:</w:t>
      </w:r>
      <w:r w:rsidRPr="00E32E75">
        <w:rPr>
          <w:rFonts w:ascii="Arial" w:hAnsi="Arial" w:cs="Arial"/>
          <w:i/>
          <w:sz w:val="24"/>
          <w:szCs w:val="24"/>
          <w:lang w:val="es-ES"/>
        </w:rPr>
        <w:t xml:space="preserve"> En virtud de la suscripción de la presente acta, las partes se declaran a paz y salvo la una de la otra y por lo tanto renuncian a cualquier reclamación, demandad o petición derivada del contrato celebrado entre ellas.</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center"/>
        <w:rPr>
          <w:rFonts w:ascii="Arial" w:hAnsi="Arial" w:cs="Arial"/>
          <w:i/>
          <w:sz w:val="24"/>
          <w:szCs w:val="24"/>
          <w:lang w:val="es-ES"/>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lang w:val="es-ES"/>
        </w:rPr>
        <w:t xml:space="preserve">3.7-. Consta el acta final de archivos históricos o de encuestas elaboradas suscrita por el interventor del contrato y el representante de la firma CENINP LTDA, el 30 de </w:t>
      </w:r>
      <w:r w:rsidRPr="00E32E75">
        <w:rPr>
          <w:rFonts w:ascii="Arial" w:hAnsi="Arial" w:cs="Arial"/>
          <w:sz w:val="24"/>
          <w:szCs w:val="24"/>
          <w:lang w:val="es-ES"/>
        </w:rPr>
        <w:lastRenderedPageBreak/>
        <w:t xml:space="preserve">septiembre de 1997 –folio 8 del cuaderno de pruebas n.º 2-, la cual certifica y valida el número de encuestas elaboradas. Se destaca:  </w:t>
      </w:r>
    </w:p>
    <w:p w:rsidR="00017F4D" w:rsidRPr="00E32E75" w:rsidRDefault="00017F4D" w:rsidP="00017F4D">
      <w:pPr>
        <w:spacing w:line="360" w:lineRule="auto"/>
        <w:jc w:val="both"/>
        <w:rPr>
          <w:rFonts w:ascii="Arial" w:hAnsi="Arial" w:cs="Arial"/>
          <w:b/>
          <w:sz w:val="24"/>
          <w:szCs w:val="24"/>
          <w:lang w:val="es-ES"/>
        </w:rPr>
      </w:pPr>
    </w:p>
    <w:p w:rsidR="00017F4D" w:rsidRPr="00E32E75" w:rsidRDefault="00017F4D" w:rsidP="00017F4D">
      <w:pPr>
        <w:ind w:left="567"/>
        <w:jc w:val="both"/>
        <w:rPr>
          <w:rFonts w:ascii="Arial" w:hAnsi="Arial" w:cs="Arial"/>
          <w:b/>
          <w:i/>
          <w:sz w:val="24"/>
          <w:szCs w:val="24"/>
          <w:lang w:val="es-ES"/>
        </w:rPr>
      </w:pPr>
      <w:r w:rsidRPr="00E32E75">
        <w:rPr>
          <w:rFonts w:ascii="Arial" w:hAnsi="Arial" w:cs="Arial"/>
          <w:b/>
          <w:i/>
          <w:sz w:val="24"/>
          <w:szCs w:val="24"/>
          <w:lang w:val="es-ES"/>
        </w:rPr>
        <w:t>“Septiembre 30 de 1997</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Se deja constancia que la firma SISTEMAS DE INFORMACIÓN Y ASESORIAS TÉCNICAS SIAT LTDA, recibió, verificó y valido certificando los archivos de la firma CENINP LTDA así.</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Un archivo histórico con fichas de demanda con una cantidad de 7.543 fichas.</w:t>
      </w: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Un archivo histórico con fichas de barrido con una cantidad de 474 fichas.</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Para un total de 8.017 fichas en archivo histórico sin duplicidad y sin errores de digitación.</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Adicionalmente se recibió un archivo histórico con 206 fichas con duplicidades de barrido y un archivo histórico con 1973 fichas de demandad.</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El total de fichas elaboradas en campo fue de 10.524, por la firma CENINP LTDA.</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Se deja constancia que estos archivos ya fueron entregados por la firma interventora a la Secretaría Distrital de Salud.</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spacing w:line="360" w:lineRule="auto"/>
        <w:jc w:val="both"/>
        <w:rPr>
          <w:rFonts w:ascii="Arial" w:hAnsi="Arial" w:cs="Arial"/>
          <w:b/>
          <w:sz w:val="24"/>
          <w:szCs w:val="24"/>
          <w:lang w:val="es-ES"/>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lang w:val="es-ES"/>
        </w:rPr>
        <w:t xml:space="preserve">3.8. Consta la orden de pago de 18 de noviembre de 1997, expedida por la Secretaría Ejecutiva de la SECAB a favor de la firma demandante, conforme lo acordado en el acta de terminación bilateral del contrato –folio 108 del cuaderno principal- El documento contiene: </w:t>
      </w:r>
    </w:p>
    <w:p w:rsidR="00017F4D" w:rsidRPr="00E32E75" w:rsidRDefault="00017F4D" w:rsidP="00017F4D">
      <w:pPr>
        <w:spacing w:line="360" w:lineRule="auto"/>
        <w:jc w:val="both"/>
        <w:rPr>
          <w:rFonts w:ascii="Arial" w:hAnsi="Arial" w:cs="Arial"/>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Pago del saldo del contrato de la entrega de 10.196 encuestas de la aplicación de encuestas SISBEN, EL CUAL SE ENCUENTRA EN ARCHIVO HISTORICO ($20’302.200).</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spacing w:line="360" w:lineRule="auto"/>
        <w:jc w:val="both"/>
        <w:rPr>
          <w:rFonts w:ascii="Arial" w:hAnsi="Arial" w:cs="Arial"/>
          <w:b/>
          <w:sz w:val="24"/>
          <w:szCs w:val="24"/>
          <w:lang w:val="es-ES"/>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 xml:space="preserve">3.9. Mediante oficio de 26 de noviembre de 1997, la firma SIAT LIMITADA, en calidad de interventor, informó a la Secretaría Distrital de Salud lo relacionado con la ejecución del contrato de prestación de servicios suscrito entre la SECAB y la firma demandante –folio 78 del cuaderno principal-: </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CENINP LTDA</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ind w:left="567"/>
        <w:jc w:val="both"/>
        <w:rPr>
          <w:rFonts w:ascii="Arial" w:hAnsi="Arial" w:cs="Arial"/>
          <w:i/>
          <w:sz w:val="24"/>
          <w:szCs w:val="24"/>
          <w:lang w:val="es-ES"/>
        </w:rPr>
      </w:pPr>
      <w:r w:rsidRPr="00E32E75">
        <w:rPr>
          <w:rFonts w:ascii="Arial" w:hAnsi="Arial" w:cs="Arial"/>
          <w:i/>
          <w:sz w:val="24"/>
          <w:szCs w:val="24"/>
          <w:lang w:val="es-ES"/>
        </w:rPr>
        <w:t xml:space="preserve">La firma CENINP LTDA, mostró muchas dificultades en iniciar los preparativos, el operativo, dada su inexperiencia en organización en cuanto manejo recolección de información SISBEN en Santafé de Bogotá, mostró debilidades en manejo de la comunidad, organización del proyecto, presentación de </w:t>
      </w:r>
      <w:r w:rsidRPr="00E32E75">
        <w:rPr>
          <w:rFonts w:ascii="Arial" w:hAnsi="Arial" w:cs="Arial"/>
          <w:i/>
          <w:sz w:val="24"/>
          <w:szCs w:val="24"/>
          <w:lang w:val="es-ES"/>
        </w:rPr>
        <w:lastRenderedPageBreak/>
        <w:t>resultados y experiencia autónoma en la totalidad del proyecto, inicialmente no cumplió con el tiempo estipulado en el cronograma, con tal razón se determinó un incumplimiento parcial del contrato y se disminuyó la cantidad de fichas contratadas, inicialmente dada la exigencia del compromiso del cronograma del contrato la firma no colaboró en la sugerencias y asesoría prestada que al final la asumió y saco provecho de la asesoría y fue así como pudo culminar el proyecto que inicialmente contó con varios tropiezos que al final se solucionaron. Al final del proyecto la firma mejoro substancialmente dada su colaboración y permitir a la interventorías poder colaborarle en las necesidades que exigía el proyecto.”</w:t>
      </w:r>
    </w:p>
    <w:p w:rsidR="00017F4D" w:rsidRPr="00E32E75" w:rsidRDefault="00017F4D" w:rsidP="00017F4D">
      <w:pPr>
        <w:ind w:left="567"/>
        <w:jc w:val="both"/>
        <w:rPr>
          <w:rFonts w:ascii="Arial" w:hAnsi="Arial" w:cs="Arial"/>
          <w:i/>
          <w:sz w:val="24"/>
          <w:szCs w:val="24"/>
          <w:lang w:val="es-ES"/>
        </w:rPr>
      </w:pPr>
    </w:p>
    <w:p w:rsidR="00017F4D" w:rsidRPr="00E32E75" w:rsidRDefault="00017F4D" w:rsidP="00017F4D">
      <w:pPr>
        <w:spacing w:line="360" w:lineRule="auto"/>
        <w:jc w:val="both"/>
        <w:rPr>
          <w:rFonts w:ascii="Arial" w:hAnsi="Arial" w:cs="Arial"/>
          <w:sz w:val="24"/>
          <w:szCs w:val="24"/>
          <w:lang w:val="es-ES"/>
        </w:rPr>
      </w:pPr>
    </w:p>
    <w:p w:rsidR="00017F4D" w:rsidRPr="00E32E75" w:rsidRDefault="00017F4D" w:rsidP="00017F4D">
      <w:pPr>
        <w:spacing w:line="360" w:lineRule="auto"/>
        <w:jc w:val="both"/>
        <w:rPr>
          <w:rFonts w:ascii="Arial" w:hAnsi="Arial" w:cs="Arial"/>
          <w:i/>
          <w:sz w:val="24"/>
          <w:szCs w:val="24"/>
        </w:rPr>
      </w:pPr>
      <w:r w:rsidRPr="00E32E75">
        <w:rPr>
          <w:rFonts w:ascii="Arial" w:hAnsi="Arial" w:cs="Arial"/>
          <w:sz w:val="24"/>
          <w:szCs w:val="24"/>
        </w:rPr>
        <w:t xml:space="preserve">3.10. La Sala no valorará el documento denominado concepto de interventoría por no aparecer suscrito por su signatario, sin fecha de expedición y sin constancia de  recibido por la demandada –folio 58 del cuaderno de pruebas n.º 2-. </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rPr>
        <w:t xml:space="preserve">De antemano la Sala encuentra que la acción se ejerció oportunamente, en tanto el acta de liquidación del contrato se suscribió </w:t>
      </w:r>
      <w:r w:rsidRPr="00E32E75">
        <w:rPr>
          <w:rFonts w:ascii="Arial" w:hAnsi="Arial" w:cs="Arial"/>
          <w:sz w:val="24"/>
          <w:szCs w:val="24"/>
          <w:lang w:val="es-ES"/>
        </w:rPr>
        <w:t xml:space="preserve">el 27 de octubre de 1997 y la demanda se presentó el </w:t>
      </w:r>
      <w:r w:rsidRPr="00E32E75">
        <w:rPr>
          <w:rFonts w:ascii="Arial" w:hAnsi="Arial" w:cs="Arial"/>
          <w:sz w:val="24"/>
          <w:szCs w:val="24"/>
        </w:rPr>
        <w:t xml:space="preserve">25 de junio de 1999. Ahora, para </w:t>
      </w:r>
      <w:r w:rsidRPr="00E32E75">
        <w:rPr>
          <w:rFonts w:ascii="Arial" w:hAnsi="Arial" w:cs="Arial"/>
          <w:sz w:val="24"/>
          <w:szCs w:val="24"/>
          <w:lang w:val="es-ES"/>
        </w:rPr>
        <w:t xml:space="preserve">efectos de resolver la controversia se seguirá el siguiente derrotero i) La excepción de falta de jurisdicción fundada en la cláusula arbitral contenida en el contrato matriz n.º 642 de 1996; ii) la inmunidad de jurisdicción; iii) la excepción de cosa juzgada planteada por la SECAB y iv) el acta de terminación y liquidación del contrato.   </w:t>
      </w:r>
    </w:p>
    <w:p w:rsidR="00017F4D" w:rsidRPr="00E32E75" w:rsidRDefault="00017F4D" w:rsidP="00017F4D">
      <w:pPr>
        <w:rPr>
          <w:rFonts w:ascii="Arial" w:hAnsi="Arial" w:cs="Arial"/>
          <w:sz w:val="24"/>
          <w:szCs w:val="24"/>
          <w:lang w:val="es-ES"/>
        </w:rPr>
      </w:pPr>
    </w:p>
    <w:p w:rsidR="00017F4D" w:rsidRPr="00E32E75" w:rsidRDefault="00017F4D" w:rsidP="00017F4D">
      <w:pPr>
        <w:rPr>
          <w:rFonts w:ascii="Arial" w:hAnsi="Arial" w:cs="Arial"/>
          <w:b/>
          <w:sz w:val="24"/>
          <w:szCs w:val="24"/>
          <w:lang w:val="es-ES"/>
        </w:rPr>
      </w:pPr>
    </w:p>
    <w:p w:rsidR="00017F4D" w:rsidRPr="00E32E75" w:rsidRDefault="00017F4D" w:rsidP="00017F4D">
      <w:pPr>
        <w:spacing w:line="360" w:lineRule="auto"/>
        <w:ind w:right="-16"/>
        <w:jc w:val="both"/>
        <w:rPr>
          <w:rFonts w:ascii="Arial" w:hAnsi="Arial" w:cs="Arial"/>
          <w:b/>
          <w:sz w:val="24"/>
          <w:szCs w:val="24"/>
          <w:lang w:val="es-ES"/>
        </w:rPr>
      </w:pPr>
      <w:r w:rsidRPr="00E32E75">
        <w:rPr>
          <w:rFonts w:ascii="Arial" w:hAnsi="Arial" w:cs="Arial"/>
          <w:b/>
          <w:sz w:val="24"/>
          <w:szCs w:val="24"/>
          <w:lang w:val="es-ES"/>
        </w:rPr>
        <w:t>4.- Efectos de la cláusula arbitral contenida en el contrato matriz n.º 642 de 1996</w:t>
      </w:r>
    </w:p>
    <w:p w:rsidR="00017F4D" w:rsidRPr="00E32E75" w:rsidRDefault="00017F4D" w:rsidP="00017F4D">
      <w:pPr>
        <w:spacing w:line="360" w:lineRule="auto"/>
        <w:jc w:val="both"/>
        <w:rPr>
          <w:rFonts w:ascii="Arial" w:hAnsi="Arial" w:cs="Arial"/>
          <w:b/>
          <w:bCs/>
          <w:sz w:val="24"/>
          <w:szCs w:val="24"/>
          <w:lang w:val="es-ES"/>
        </w:rPr>
      </w:pPr>
    </w:p>
    <w:p w:rsidR="00017F4D" w:rsidRPr="00E32E75" w:rsidRDefault="00017F4D" w:rsidP="00017F4D">
      <w:pPr>
        <w:tabs>
          <w:tab w:val="left" w:pos="360"/>
        </w:tabs>
        <w:spacing w:line="360" w:lineRule="auto"/>
        <w:jc w:val="both"/>
        <w:rPr>
          <w:rFonts w:ascii="Arial" w:hAnsi="Arial" w:cs="Arial"/>
          <w:sz w:val="24"/>
          <w:szCs w:val="24"/>
        </w:rPr>
      </w:pPr>
      <w:r w:rsidRPr="00E32E75">
        <w:rPr>
          <w:rFonts w:ascii="Arial" w:hAnsi="Arial" w:cs="Arial"/>
          <w:sz w:val="24"/>
          <w:szCs w:val="24"/>
        </w:rPr>
        <w:t xml:space="preserve">El pacto arbitral comprende la cláusula compromisoria y el compromiso, el primero contenido en un contrato o en documento anexo, en virtud del cual las partes convienen someter sus eventuales diferencias a la decisión de un  juez arbitral y, el segundo, comporta un negocio jurídico, por medio del cual ambos extremos acuerdan resolver un conflicto determinado a través de un tribunal de arbitramento –artículo 116 de la Constitución Política-, por manera que, en ambos casos, su objeto está dirigido a declinar voluntariamente a la jurisdicción propia de las controversias contractuales del Estado. En ese orden, cualquier </w:t>
      </w:r>
      <w:r w:rsidRPr="00E32E75">
        <w:rPr>
          <w:rFonts w:ascii="Arial" w:hAnsi="Arial" w:cs="Arial"/>
          <w:sz w:val="24"/>
          <w:szCs w:val="24"/>
          <w:lang w:val="es-ES"/>
        </w:rPr>
        <w:t xml:space="preserve">controversia sometida al pacto arbitral escapa a la decisión de los jueces institucionales del Estado, en los términos previstos por la ley, siempre que las partes expresen de forma inequívoca </w:t>
      </w:r>
      <w:r w:rsidRPr="00E32E75">
        <w:rPr>
          <w:rFonts w:ascii="Arial" w:hAnsi="Arial" w:cs="Arial"/>
          <w:sz w:val="24"/>
          <w:szCs w:val="24"/>
          <w:shd w:val="clear" w:color="auto" w:fill="FFFFFF"/>
        </w:rPr>
        <w:t xml:space="preserve">su intención de acudir al arbitraje para solucionar una determinada </w:t>
      </w:r>
      <w:r w:rsidRPr="00E32E75">
        <w:rPr>
          <w:rFonts w:ascii="Arial" w:hAnsi="Arial" w:cs="Arial"/>
          <w:sz w:val="24"/>
          <w:szCs w:val="24"/>
          <w:shd w:val="clear" w:color="auto" w:fill="FFFFFF"/>
        </w:rPr>
        <w:lastRenderedPageBreak/>
        <w:t>controversia, por escrito, en cuanto de no ser así la jurisdicción estatal no puede entenderse derogada</w:t>
      </w:r>
      <w:r w:rsidRPr="00E32E75">
        <w:rPr>
          <w:rFonts w:ascii="Arial" w:hAnsi="Arial" w:cs="Arial"/>
          <w:sz w:val="24"/>
          <w:szCs w:val="24"/>
        </w:rPr>
        <w:t xml:space="preserve"> –artículo 70 y 71 de la Ley 80 de 1993</w:t>
      </w:r>
      <w:r w:rsidRPr="00E32E75">
        <w:rPr>
          <w:rStyle w:val="Refdenotaalpie"/>
          <w:rFonts w:ascii="Arial" w:hAnsi="Arial" w:cs="Arial"/>
          <w:sz w:val="24"/>
          <w:szCs w:val="24"/>
        </w:rPr>
        <w:footnoteReference w:id="3"/>
      </w:r>
      <w:r w:rsidRPr="00E32E75">
        <w:rPr>
          <w:rFonts w:ascii="Arial" w:hAnsi="Arial" w:cs="Arial"/>
          <w:sz w:val="24"/>
          <w:szCs w:val="24"/>
        </w:rPr>
        <w:t xml:space="preserve">-. </w:t>
      </w:r>
    </w:p>
    <w:p w:rsidR="00017F4D" w:rsidRPr="00E32E75" w:rsidRDefault="00017F4D" w:rsidP="00017F4D">
      <w:pPr>
        <w:tabs>
          <w:tab w:val="left" w:pos="360"/>
        </w:tabs>
        <w:spacing w:line="360" w:lineRule="auto"/>
        <w:jc w:val="both"/>
        <w:rPr>
          <w:rFonts w:ascii="Arial" w:hAnsi="Arial" w:cs="Arial"/>
          <w:b/>
          <w:sz w:val="24"/>
          <w:szCs w:val="24"/>
        </w:rPr>
      </w:pPr>
    </w:p>
    <w:p w:rsidR="00017F4D" w:rsidRPr="00E32E75" w:rsidRDefault="00017F4D" w:rsidP="00017F4D">
      <w:pPr>
        <w:tabs>
          <w:tab w:val="left" w:pos="360"/>
        </w:tabs>
        <w:spacing w:line="360" w:lineRule="auto"/>
        <w:jc w:val="both"/>
        <w:rPr>
          <w:rFonts w:ascii="Arial" w:hAnsi="Arial" w:cs="Arial"/>
          <w:sz w:val="24"/>
          <w:szCs w:val="24"/>
          <w:lang w:val="es-ES"/>
        </w:rPr>
      </w:pPr>
      <w:r w:rsidRPr="00E32E75">
        <w:rPr>
          <w:rFonts w:ascii="Arial" w:hAnsi="Arial" w:cs="Arial"/>
          <w:sz w:val="24"/>
          <w:szCs w:val="24"/>
        </w:rPr>
        <w:t>Ahora, si bien el FONDO FINANCIERO DISTRITAL y la SECRETARIA EJECUTIVA PERMANENTE DEL CONVENIO ANDRÉS BELLO–SECAB– convinieron en someter las diferencias surgidas en razón del contrato n.° 642 de 11 de octubre de 1996</w:t>
      </w:r>
      <w:r w:rsidRPr="00E32E75">
        <w:rPr>
          <w:rStyle w:val="Refdenotaalpie"/>
          <w:rFonts w:ascii="Arial" w:hAnsi="Arial" w:cs="Arial"/>
          <w:sz w:val="24"/>
          <w:szCs w:val="24"/>
        </w:rPr>
        <w:footnoteReference w:id="4"/>
      </w:r>
      <w:r w:rsidRPr="00E32E75">
        <w:rPr>
          <w:rFonts w:ascii="Arial" w:hAnsi="Arial" w:cs="Arial"/>
          <w:sz w:val="24"/>
          <w:szCs w:val="24"/>
        </w:rPr>
        <w:t xml:space="preserve">, sobre asistencia técnica, para el  proyecto de restauración y creación de los sistemas locales de salud en el Distrito Capital, de ello no se sigue que la cláusula compromisoria le sea oponible al </w:t>
      </w:r>
      <w:r w:rsidRPr="00E32E75">
        <w:rPr>
          <w:rFonts w:ascii="Arial" w:hAnsi="Arial" w:cs="Arial"/>
          <w:sz w:val="24"/>
          <w:szCs w:val="24"/>
          <w:lang w:val="es-ES"/>
        </w:rPr>
        <w:t xml:space="preserve">CENTRO DE INVESTIGACIONES PROFESIONALES LTDA –CENINP-, para efectos del </w:t>
      </w:r>
      <w:r w:rsidRPr="00E32E75">
        <w:rPr>
          <w:rFonts w:ascii="Arial" w:hAnsi="Arial" w:cs="Arial"/>
          <w:sz w:val="24"/>
          <w:szCs w:val="24"/>
        </w:rPr>
        <w:t>contrato de prestación de servicios suscrito el 16  de junio de 1997, con la SECRETARÍA EJECUTIVA DEL CONVENIO ANDRÉS BELLO-</w:t>
      </w:r>
      <w:r w:rsidRPr="00E32E75">
        <w:rPr>
          <w:rFonts w:ascii="Arial" w:hAnsi="Arial" w:cs="Arial"/>
          <w:sz w:val="24"/>
          <w:szCs w:val="24"/>
          <w:lang w:val="es-ES"/>
        </w:rPr>
        <w:t>SECAB, así este último se haya suscrito en el marco del contrato n.º 642, para darle viabilidad y lograr el objeto de una política diseñada y concertada; pues se trata de relaciones jurídicas diversas en cuanto a su objeto, contenido obligacional y lo más importante las partes, quienes no convinieron en someter sus diferencias a la justicia arbitral, tampoco plegarse, en este punto, expresamente al convenio principal.</w:t>
      </w:r>
    </w:p>
    <w:p w:rsidR="00017F4D" w:rsidRPr="00E32E75" w:rsidRDefault="00017F4D" w:rsidP="00017F4D">
      <w:pPr>
        <w:tabs>
          <w:tab w:val="left" w:pos="360"/>
        </w:tabs>
        <w:spacing w:line="360" w:lineRule="auto"/>
        <w:jc w:val="both"/>
        <w:rPr>
          <w:rFonts w:ascii="Arial" w:hAnsi="Arial" w:cs="Arial"/>
          <w:sz w:val="24"/>
          <w:szCs w:val="24"/>
          <w:lang w:val="es-ES"/>
        </w:rPr>
      </w:pPr>
    </w:p>
    <w:p w:rsidR="00017F4D" w:rsidRPr="00E32E75" w:rsidRDefault="00017F4D" w:rsidP="00017F4D">
      <w:pPr>
        <w:tabs>
          <w:tab w:val="left" w:pos="360"/>
        </w:tabs>
        <w:spacing w:line="360" w:lineRule="auto"/>
        <w:jc w:val="both"/>
        <w:rPr>
          <w:rFonts w:ascii="Arial" w:hAnsi="Arial" w:cs="Arial"/>
          <w:sz w:val="24"/>
          <w:szCs w:val="24"/>
        </w:rPr>
      </w:pPr>
      <w:r w:rsidRPr="00E32E75">
        <w:rPr>
          <w:rFonts w:ascii="Arial" w:hAnsi="Arial" w:cs="Arial"/>
          <w:sz w:val="24"/>
          <w:szCs w:val="24"/>
        </w:rPr>
        <w:t>En efecto, en el ámbito del contrato n.° 642 de 1996 al que se ha hecho mención, las partes convinieron en que, toda controversia relacionada con la celebración, ejecución, desarrollo, terminación y liquidación se resolvería por un juez arbitral, en los términos de la Ley 80 de 1993, éste si designado por la Cámara de Comercio de Bogotá, por lo que es claro que expresamente renunciaron al juez natural del contrato, decisión que encuentra reconocimiento y legitimidad en los términos del artículo 116 de la Constitución Política a cuyo tenor:</w:t>
      </w:r>
    </w:p>
    <w:p w:rsidR="00017F4D" w:rsidRPr="00E32E75" w:rsidRDefault="00017F4D" w:rsidP="00017F4D">
      <w:pPr>
        <w:pStyle w:val="PlainText1"/>
        <w:spacing w:line="360" w:lineRule="auto"/>
        <w:ind w:right="20"/>
        <w:jc w:val="both"/>
        <w:rPr>
          <w:rFonts w:ascii="Arial" w:hAnsi="Arial" w:cs="Arial"/>
          <w:sz w:val="24"/>
          <w:szCs w:val="24"/>
        </w:rPr>
      </w:pPr>
    </w:p>
    <w:p w:rsidR="00017F4D" w:rsidRPr="00E32E75" w:rsidRDefault="00017F4D" w:rsidP="00017F4D">
      <w:pPr>
        <w:pStyle w:val="NormalWeb"/>
        <w:spacing w:before="0" w:beforeAutospacing="0" w:after="0" w:afterAutospacing="0"/>
        <w:ind w:left="567"/>
        <w:jc w:val="both"/>
        <w:rPr>
          <w:rFonts w:ascii="Arial" w:hAnsi="Arial" w:cs="Arial"/>
          <w:i/>
        </w:rPr>
      </w:pPr>
      <w:r w:rsidRPr="00E32E75">
        <w:rPr>
          <w:rFonts w:ascii="Arial" w:hAnsi="Arial" w:cs="Arial"/>
          <w:i/>
        </w:rPr>
        <w:t>Los particulares pueden ser investidos transitoriamente de la función de administrar justicia en la condición de jurados en las causas criminales, conciliadores o en la de árbitros habilitados por las partes para proferir fallos en derecho o en equidad, en los términos que determine la ley.</w:t>
      </w:r>
    </w:p>
    <w:p w:rsidR="00017F4D" w:rsidRPr="00E32E75" w:rsidRDefault="00017F4D" w:rsidP="00017F4D">
      <w:pPr>
        <w:tabs>
          <w:tab w:val="left" w:pos="360"/>
        </w:tabs>
        <w:spacing w:line="360" w:lineRule="auto"/>
        <w:jc w:val="both"/>
        <w:rPr>
          <w:rFonts w:ascii="Arial" w:hAnsi="Arial" w:cs="Arial"/>
          <w:sz w:val="24"/>
          <w:szCs w:val="24"/>
          <w:lang w:val="es-ES"/>
        </w:rPr>
      </w:pPr>
    </w:p>
    <w:p w:rsidR="00017F4D" w:rsidRPr="00E32E75" w:rsidRDefault="00017F4D" w:rsidP="00017F4D">
      <w:pPr>
        <w:tabs>
          <w:tab w:val="left" w:pos="360"/>
        </w:tabs>
        <w:spacing w:line="360" w:lineRule="auto"/>
        <w:jc w:val="both"/>
        <w:rPr>
          <w:rFonts w:ascii="Arial" w:hAnsi="Arial" w:cs="Arial"/>
          <w:sz w:val="24"/>
          <w:szCs w:val="24"/>
          <w:lang w:val="es-ES"/>
        </w:rPr>
      </w:pPr>
      <w:r w:rsidRPr="00E32E75">
        <w:rPr>
          <w:rFonts w:ascii="Arial" w:hAnsi="Arial" w:cs="Arial"/>
          <w:sz w:val="24"/>
          <w:szCs w:val="24"/>
          <w:lang w:val="es-ES"/>
        </w:rPr>
        <w:t>Cosa distinta tiene que ver con el contrato objeto de la presente controversia, acorde con el cual un tercero, respecto de la relación obligacional antes referida, pues, este trata de la ejecución de un determinado número de encuestas, para seleccionar a los beneficiarios de SISBEN y al margen del régimen que gobernó el contrato, lo cierto es que las partes no declinaron de la jurisdicción institucional, en cuanto no sometieron sus eventuales diferencias, para ser dirimidas por la justicia arbitral.</w:t>
      </w:r>
    </w:p>
    <w:p w:rsidR="00017F4D" w:rsidRPr="00E32E75" w:rsidRDefault="00017F4D" w:rsidP="00017F4D">
      <w:pPr>
        <w:tabs>
          <w:tab w:val="left" w:pos="360"/>
        </w:tabs>
        <w:spacing w:line="360" w:lineRule="auto"/>
        <w:jc w:val="both"/>
        <w:rPr>
          <w:rFonts w:ascii="Arial" w:hAnsi="Arial" w:cs="Arial"/>
          <w:sz w:val="24"/>
          <w:szCs w:val="24"/>
          <w:lang w:val="es-ES"/>
        </w:rPr>
      </w:pPr>
    </w:p>
    <w:p w:rsidR="00017F4D" w:rsidRPr="00E32E75" w:rsidRDefault="00017F4D" w:rsidP="00017F4D">
      <w:pPr>
        <w:tabs>
          <w:tab w:val="left" w:pos="360"/>
        </w:tabs>
        <w:spacing w:line="360" w:lineRule="auto"/>
        <w:jc w:val="both"/>
        <w:rPr>
          <w:rFonts w:ascii="Arial" w:hAnsi="Arial" w:cs="Arial"/>
          <w:sz w:val="24"/>
          <w:szCs w:val="24"/>
        </w:rPr>
      </w:pPr>
      <w:r w:rsidRPr="00E32E75">
        <w:rPr>
          <w:rFonts w:ascii="Arial" w:hAnsi="Arial" w:cs="Arial"/>
          <w:sz w:val="24"/>
          <w:szCs w:val="24"/>
          <w:lang w:val="es-ES"/>
        </w:rPr>
        <w:t xml:space="preserve">Esto sin perjuicio de que, en lo que tiene que ver con las normas aplicables a la relación negocial, la cláusula décima segunda previo que el acuerdo se regiría </w:t>
      </w:r>
      <w:r w:rsidRPr="00E32E75">
        <w:rPr>
          <w:rFonts w:ascii="Arial" w:hAnsi="Arial" w:cs="Arial"/>
          <w:sz w:val="24"/>
          <w:szCs w:val="24"/>
        </w:rPr>
        <w:t xml:space="preserve">por las normas del derecho privado, previsión que de suyo no excluye la jurisdicción contenciosa, por lo que además de que resulta extraño que se pretenda hacer extensiva una cláusula compromisoria de uno a otro contrato, es más grave que se desconozca la competencia confiada a esta jurisdicción en razón del régimen. </w:t>
      </w:r>
    </w:p>
    <w:p w:rsidR="00017F4D" w:rsidRPr="00E32E75" w:rsidRDefault="00017F4D" w:rsidP="00017F4D">
      <w:pPr>
        <w:tabs>
          <w:tab w:val="left" w:pos="360"/>
        </w:tabs>
        <w:spacing w:line="360" w:lineRule="auto"/>
        <w:jc w:val="both"/>
        <w:rPr>
          <w:rFonts w:ascii="Arial" w:hAnsi="Arial" w:cs="Arial"/>
          <w:sz w:val="24"/>
          <w:szCs w:val="24"/>
        </w:rPr>
      </w:pPr>
    </w:p>
    <w:p w:rsidR="00017F4D" w:rsidRPr="00E32E75" w:rsidRDefault="00017F4D" w:rsidP="00017F4D">
      <w:pPr>
        <w:tabs>
          <w:tab w:val="left" w:pos="360"/>
        </w:tabs>
        <w:spacing w:line="360" w:lineRule="auto"/>
        <w:jc w:val="both"/>
        <w:rPr>
          <w:rFonts w:ascii="Arial" w:hAnsi="Arial" w:cs="Arial"/>
          <w:sz w:val="24"/>
          <w:szCs w:val="24"/>
        </w:rPr>
      </w:pPr>
      <w:r w:rsidRPr="00E32E75">
        <w:rPr>
          <w:rFonts w:ascii="Arial" w:hAnsi="Arial" w:cs="Arial"/>
          <w:sz w:val="24"/>
          <w:szCs w:val="24"/>
        </w:rPr>
        <w:t xml:space="preserve">En síntesis si la demandante suscribió un contrato de prestación de servicios con la SECAB, se encuentra sometida y obligada a los términos allí convenidos y aunque en algunos aspectos no le resultan ajenos los alcances del contrato matriz n.° 642, ello se explica porque la contratante se encontraba obligada a operar en su ámbito negocial. En resumen, en cuanto las partes no convinieron en la cláusula a la que se hace mención, es claro que la excepción de falta de jurisdicción no tiene vocación de prosperidad, por lo que la Sala se aparta de lo expuesto por el Tribunal. </w:t>
      </w:r>
    </w:p>
    <w:p w:rsidR="00017F4D" w:rsidRPr="00E32E75" w:rsidRDefault="00017F4D" w:rsidP="00017F4D">
      <w:pPr>
        <w:tabs>
          <w:tab w:val="left" w:pos="360"/>
        </w:tabs>
        <w:spacing w:line="360" w:lineRule="auto"/>
        <w:jc w:val="both"/>
        <w:rPr>
          <w:rFonts w:ascii="Arial" w:hAnsi="Arial" w:cs="Arial"/>
          <w:sz w:val="24"/>
          <w:szCs w:val="24"/>
        </w:rPr>
      </w:pPr>
    </w:p>
    <w:p w:rsidR="00017F4D" w:rsidRPr="00E32E75" w:rsidRDefault="00017F4D" w:rsidP="00017F4D">
      <w:pPr>
        <w:tabs>
          <w:tab w:val="left" w:pos="360"/>
        </w:tabs>
        <w:spacing w:line="360" w:lineRule="auto"/>
        <w:jc w:val="both"/>
        <w:rPr>
          <w:rFonts w:ascii="Arial" w:hAnsi="Arial" w:cs="Arial"/>
          <w:sz w:val="24"/>
          <w:szCs w:val="24"/>
        </w:rPr>
      </w:pPr>
      <w:r w:rsidRPr="00E32E75">
        <w:rPr>
          <w:rFonts w:ascii="Arial" w:hAnsi="Arial" w:cs="Arial"/>
          <w:sz w:val="24"/>
          <w:szCs w:val="24"/>
        </w:rPr>
        <w:t>En consecuencia se despachará negativamente la excepción propuesta.</w:t>
      </w:r>
    </w:p>
    <w:p w:rsidR="00017F4D" w:rsidRPr="00E32E75" w:rsidRDefault="00017F4D" w:rsidP="00017F4D">
      <w:pPr>
        <w:tabs>
          <w:tab w:val="left" w:pos="360"/>
        </w:tabs>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b/>
          <w:sz w:val="24"/>
          <w:szCs w:val="24"/>
        </w:rPr>
      </w:pPr>
      <w:r w:rsidRPr="00E32E75">
        <w:rPr>
          <w:rFonts w:ascii="Arial" w:hAnsi="Arial" w:cs="Arial"/>
          <w:b/>
          <w:sz w:val="24"/>
          <w:szCs w:val="24"/>
        </w:rPr>
        <w:lastRenderedPageBreak/>
        <w:t>5. L</w:t>
      </w:r>
      <w:r w:rsidRPr="00E32E75">
        <w:rPr>
          <w:rFonts w:ascii="Arial" w:hAnsi="Arial" w:cs="Arial"/>
          <w:b/>
          <w:sz w:val="24"/>
          <w:szCs w:val="24"/>
          <w:lang w:val="es-ES"/>
        </w:rPr>
        <w:t>a inmunidad de jurisdicción</w:t>
      </w:r>
      <w:r w:rsidRPr="00E32E75">
        <w:rPr>
          <w:rFonts w:ascii="Arial" w:hAnsi="Arial" w:cs="Arial"/>
          <w:sz w:val="24"/>
          <w:szCs w:val="24"/>
          <w:lang w:val="es-ES"/>
        </w:rPr>
        <w:t>;</w:t>
      </w:r>
    </w:p>
    <w:p w:rsidR="00017F4D" w:rsidRPr="00E32E75" w:rsidRDefault="00017F4D" w:rsidP="00017F4D">
      <w:pPr>
        <w:spacing w:line="360" w:lineRule="auto"/>
        <w:jc w:val="both"/>
        <w:rPr>
          <w:rFonts w:ascii="Arial" w:hAnsi="Arial" w:cs="Arial"/>
          <w:b/>
          <w:sz w:val="24"/>
          <w:szCs w:val="24"/>
        </w:rPr>
      </w:pPr>
    </w:p>
    <w:p w:rsidR="00017F4D" w:rsidRPr="00E32E75" w:rsidRDefault="00017F4D" w:rsidP="00017F4D">
      <w:pPr>
        <w:pStyle w:val="Sangradetextonormal"/>
        <w:spacing w:after="0" w:line="360" w:lineRule="auto"/>
        <w:ind w:left="0"/>
        <w:jc w:val="both"/>
        <w:rPr>
          <w:rFonts w:ascii="Arial" w:hAnsi="Arial" w:cs="Arial"/>
        </w:rPr>
      </w:pPr>
      <w:r w:rsidRPr="00E32E75">
        <w:rPr>
          <w:rFonts w:ascii="Arial" w:hAnsi="Arial" w:cs="Arial"/>
        </w:rPr>
        <w:t>La Secretaría Ejecutiva del Convenio Andrés Bello –SECAB- asegura que en tanto, organismo intergubernamental, se encuentra amparado con la prerrogativa de inmunidad jurisdiccional, reconocida por el Estado Colombiano a través de la Ley 122 de 1985.</w:t>
      </w:r>
    </w:p>
    <w:p w:rsidR="00017F4D" w:rsidRPr="00E32E75" w:rsidRDefault="00017F4D" w:rsidP="00017F4D">
      <w:pPr>
        <w:pStyle w:val="Sangradetextonormal"/>
        <w:spacing w:after="0" w:line="360" w:lineRule="auto"/>
        <w:ind w:left="0"/>
        <w:jc w:val="both"/>
        <w:rPr>
          <w:rFonts w:ascii="Arial" w:hAnsi="Arial" w:cs="Arial"/>
        </w:rPr>
      </w:pPr>
      <w:r w:rsidRPr="00E32E75">
        <w:rPr>
          <w:rFonts w:ascii="Arial" w:hAnsi="Arial" w:cs="Arial"/>
        </w:rPr>
        <w:t xml:space="preserve"> </w:t>
      </w: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rPr>
        <w:t>La Sala hace suyas las consideraciones expuestas en providencia de 26 de marzo de 2009</w:t>
      </w:r>
      <w:r w:rsidRPr="00E32E75">
        <w:rPr>
          <w:rStyle w:val="Refdenotaalpie"/>
          <w:rFonts w:ascii="Arial" w:hAnsi="Arial" w:cs="Arial"/>
          <w:sz w:val="24"/>
          <w:szCs w:val="24"/>
        </w:rPr>
        <w:footnoteReference w:id="5"/>
      </w:r>
      <w:r w:rsidRPr="00E32E75">
        <w:rPr>
          <w:rFonts w:ascii="Arial" w:hAnsi="Arial" w:cs="Arial"/>
          <w:sz w:val="24"/>
          <w:szCs w:val="24"/>
        </w:rPr>
        <w:t>, en cuanto si bien esta Sala encontró que, de conformidad con el Acuerdo suscrito el 4 de septiembre de 1972 y la Ley 122 de 1985, e</w:t>
      </w:r>
      <w:r w:rsidRPr="00E32E75">
        <w:rPr>
          <w:rFonts w:ascii="Arial" w:hAnsi="Arial" w:cs="Arial"/>
          <w:sz w:val="24"/>
          <w:szCs w:val="24"/>
          <w:lang w:val="es-ES"/>
        </w:rPr>
        <w:t xml:space="preserve">l Convenio Andrés Bello es un organismo </w:t>
      </w:r>
      <w:r w:rsidRPr="00E32E75">
        <w:rPr>
          <w:rFonts w:ascii="Arial" w:hAnsi="Arial" w:cs="Arial"/>
          <w:sz w:val="24"/>
          <w:szCs w:val="24"/>
        </w:rPr>
        <w:t xml:space="preserve">internacional de derecho público, </w:t>
      </w:r>
      <w:r w:rsidRPr="00E32E75">
        <w:rPr>
          <w:rFonts w:ascii="Arial" w:hAnsi="Arial" w:cs="Arial"/>
          <w:sz w:val="24"/>
          <w:szCs w:val="24"/>
          <w:lang w:val="es-ES"/>
        </w:rPr>
        <w:t xml:space="preserve">para la integración educativa, científica, tecnológica y cultural, que integra a Bolivia, Colombia, Chile, Ecuador, España, Canadá, Perú y Venezuela, con personería jurídica reconocida por el gobierno nacional, al tiempo que goza de inmunidad jurisdiccional, esta no opera en todos los casos y bajo cualquier circunstancia. En ese orden, en referencia al artículo 25 de la Ley 20 de 1992, sostuvo: </w:t>
      </w:r>
    </w:p>
    <w:p w:rsidR="00017F4D" w:rsidRPr="00E32E75" w:rsidRDefault="00017F4D" w:rsidP="00017F4D">
      <w:pPr>
        <w:pStyle w:val="Sangradetextonormal"/>
        <w:ind w:right="20"/>
        <w:rPr>
          <w:rFonts w:ascii="Arial" w:hAnsi="Arial" w:cs="Arial"/>
          <w:lang w:val="es-ES"/>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“Dichas prerrogativas son concedidas y fueron concebidas en un inicio para los Estados, en virtud del principio de derecho internacional – par in parem non habet imperium – ningún Estado tiene jurisdicción sobre otro Estado que, a su vez, encuentra fundamento en el principio de igualdad, reciprocidad, independencia y soberanía de los Estados, lo cual significa que a ningún Estado le está permitido ejercer por intermedio de sus propios Tribunales, jurisdicción sobre otro Estado, a menos que el otro Estado lo consienta expresamente</w:t>
      </w:r>
      <w:r w:rsidRPr="00E32E75">
        <w:rPr>
          <w:rStyle w:val="Refdenotaalpie"/>
          <w:rFonts w:ascii="Arial" w:eastAsia="MS Gothic" w:hAnsi="Arial" w:cs="Arial"/>
          <w:i/>
        </w:rPr>
        <w:footnoteReference w:id="6"/>
      </w:r>
      <w:r w:rsidRPr="00E32E75">
        <w:rPr>
          <w:rFonts w:ascii="Arial" w:hAnsi="Arial" w:cs="Arial"/>
          <w:i/>
        </w:rPr>
        <w:t>.</w:t>
      </w:r>
    </w:p>
    <w:p w:rsidR="00017F4D" w:rsidRPr="00E32E75" w:rsidRDefault="00017F4D" w:rsidP="00017F4D">
      <w:pPr>
        <w:pStyle w:val="Sangradetextonormal"/>
        <w:spacing w:after="0"/>
        <w:ind w:left="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Posteriormente, las prerrogativas se extendieron a los órganos nacionales, centrales o interiores y externos o exteriores. Para mejor comprensión se hará breve mención a los mismos. Los primeros se refieren a los jefes de Estado y de Gobierno, a los Ministros o Secretarios de asuntos o relaciones exteriores y los segundos a los órganos diplomáticos bilaterales, multilaterales, parlamentarios y consulares, aun cuando algunos de ellos, sostiene algún sector de la doctrina, no ejercen representación del Estado dentro del contexto de la relaciones internacionales y, por ende, no gozan de los privilegios de las inmunidades;</w:t>
      </w:r>
      <w:r w:rsidRPr="00E32E75">
        <w:rPr>
          <w:rStyle w:val="Refdenotaalpie"/>
          <w:rFonts w:ascii="Arial" w:eastAsia="MS Gothic" w:hAnsi="Arial" w:cs="Arial"/>
          <w:i/>
        </w:rPr>
        <w:footnoteReference w:id="7"/>
      </w:r>
      <w:r w:rsidRPr="00E32E75">
        <w:rPr>
          <w:rFonts w:ascii="Arial" w:hAnsi="Arial" w:cs="Arial"/>
          <w:i/>
        </w:rPr>
        <w:t xml:space="preserve"> se refiere específicamente a los agentes consulares cuyos privilegios son concedidos, generalmente, por razones de reciprocidad y de acuerdo a los postulados de la costumbre que informan el derecho internacional, por lo cual no en todos los países las prerrogativas son las mismas.</w:t>
      </w:r>
    </w:p>
    <w:p w:rsidR="00017F4D" w:rsidRPr="00E32E75" w:rsidRDefault="00017F4D" w:rsidP="00017F4D">
      <w:pPr>
        <w:pStyle w:val="Sangradetextonormal"/>
        <w:spacing w:after="0"/>
        <w:ind w:left="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lastRenderedPageBreak/>
        <w:t xml:space="preserve">La primera de las construcciones teóricas que sirvió de fundamento a la inmunidad diplomática fue la teoría de la extraterritorialidad que, grosso modo, consistía en la ficción jurídica según la cual los órganos diplomáticos se encuentran fuera del territorio ante el cual están acreditados, pese a que físicamente sí lo estaban, derivándose la correlativa ficción de encontrarse sustraídos de la jurisdicción del Estado receptor. Dicha teoría tuvo gran éxito pero fue recogida por la cantidad de vicisitudes que presentaba, pues condujo a situaciones insostenibles que redundaban en arbitrariedades. Posteriormente surgieron varias teorías secundarias y reduccionistas para fundamentar la inmunidad diplomática, sin embargo, hoy día se encuentra en vigor - </w:t>
      </w:r>
      <w:r w:rsidRPr="00E32E75">
        <w:rPr>
          <w:rFonts w:ascii="Arial" w:hAnsi="Arial" w:cs="Arial"/>
          <w:b/>
          <w:i/>
        </w:rPr>
        <w:t>la teoría del interés de la función y la reciprocidad o teoría funcional - que implica un estudio restrictivo de las inmunidades para circunscribirse a la finalidad de la misma, es decir para resaltar los atributos de soberanía, independencia, igualdad y reciprocidad</w:t>
      </w:r>
      <w:r w:rsidRPr="00E32E75">
        <w:rPr>
          <w:rFonts w:ascii="Arial" w:hAnsi="Arial" w:cs="Arial"/>
          <w:i/>
        </w:rPr>
        <w:t xml:space="preserve">. </w:t>
      </w:r>
    </w:p>
    <w:p w:rsidR="00017F4D" w:rsidRPr="00E32E75" w:rsidRDefault="00017F4D" w:rsidP="00017F4D">
      <w:pPr>
        <w:pStyle w:val="Sangradetextonormal"/>
        <w:spacing w:after="0"/>
        <w:ind w:left="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La disyuntiva de las inmunidades surge, precisamente, de la conveniencia de preservar la inmunidad sin sacrificar de modo absoluto los intereses privados de los habitantes de un Estado.</w:t>
      </w:r>
    </w:p>
    <w:p w:rsidR="00C657FD" w:rsidRPr="00E32E75" w:rsidRDefault="00C657FD" w:rsidP="00017F4D">
      <w:pPr>
        <w:pStyle w:val="Sangradetextonormal"/>
        <w:spacing w:after="0"/>
        <w:ind w:left="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Por inmunidad, de manera general, debe entenderse el conjunto de privilegios, prerrogativas y exenciones del cual gozan algunos órganos de derecho internacional, bien sea personales o en conjunto, por consiguiente, las inmunidades de los órganos nacionales se denominan inmunidades o privilegios diplomáticos y, por su parte, la inmunidad de la cual gozan los agentes, funcionarios internacionales o los órganos internacionales propiamente dichos, se ha denominado inmunidad internacional o derecho de inmunidad internacional, el cual está regentado por el derecho internacional organizacional.</w:t>
      </w:r>
    </w:p>
    <w:p w:rsidR="00017F4D" w:rsidRPr="00E32E75" w:rsidRDefault="00017F4D" w:rsidP="00017F4D">
      <w:pPr>
        <w:pStyle w:val="Sangradetextonormal"/>
        <w:spacing w:after="0"/>
        <w:ind w:left="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Con base en los anteriores lineamientos puede decirse que existen distintos tipos de inmunidad: inmunidad diplomática (que incluye a los Estados), inmunidad consular e inmunidad internacional, no obstante, los principios, estructura y funcionamiento siguen los lineamientos de la inmunidad diplomática, pues es la que mayor desarrollo práctico ha tenido en la historia.</w:t>
      </w: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Uno de los principios, quizá el más importante de las inmunidades, es el de la inmunidad de jurisdicción, que consiste en la sustracción del órgano o del sujeto de la relación internacional de la jurisdicción del Estado donde se encuentra ubicado físicamente o donde ejerce funciones. Algunos tratadistas afirman que se trata un principio de carácter procesal</w:t>
      </w:r>
      <w:r w:rsidRPr="00E32E75">
        <w:rPr>
          <w:rStyle w:val="Refdenotaalpie"/>
          <w:rFonts w:ascii="Arial" w:eastAsia="MS Gothic" w:hAnsi="Arial" w:cs="Arial"/>
          <w:i/>
        </w:rPr>
        <w:footnoteReference w:id="8"/>
      </w:r>
      <w:r w:rsidRPr="00E32E75">
        <w:rPr>
          <w:rFonts w:ascii="Arial" w:hAnsi="Arial" w:cs="Arial"/>
          <w:i/>
        </w:rPr>
        <w:t xml:space="preserve"> que particularmente se bifurca en dos nociones: la inmunidad de juzgamiento (o de jurisdicción propiamente dicha) y la inmunidad de ejecución que, como su nombre lo indica, impide ejecutar la decisión en caso de que se hubiere juzgado la controversia.</w:t>
      </w:r>
    </w:p>
    <w:p w:rsidR="00017F4D" w:rsidRPr="00E32E75" w:rsidRDefault="00017F4D" w:rsidP="00017F4D">
      <w:pPr>
        <w:pStyle w:val="Sangradetextonormal"/>
        <w:spacing w:after="0"/>
        <w:ind w:left="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w:t>
      </w:r>
    </w:p>
    <w:p w:rsidR="00017F4D" w:rsidRPr="00E32E75" w:rsidRDefault="00017F4D" w:rsidP="00017F4D">
      <w:pPr>
        <w:pStyle w:val="Sangradetextonormal"/>
        <w:spacing w:after="0"/>
        <w:ind w:left="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En Colombia, la Corte Suprema de Justicia a finales del año 2007</w:t>
      </w:r>
      <w:r w:rsidRPr="00E32E75">
        <w:rPr>
          <w:rStyle w:val="Refdenotaalpie"/>
          <w:rFonts w:ascii="Arial" w:eastAsia="MS Gothic" w:hAnsi="Arial" w:cs="Arial"/>
          <w:i/>
        </w:rPr>
        <w:footnoteReference w:id="9"/>
      </w:r>
      <w:r w:rsidRPr="00E32E75">
        <w:rPr>
          <w:rFonts w:ascii="Arial" w:hAnsi="Arial" w:cs="Arial"/>
          <w:i/>
        </w:rPr>
        <w:t xml:space="preserve">, revaluó el concepto que por más de 20 años venía sosteniendo en torno al reconocimiento de la inmunidad de jurisdicción absoluta de los Estados, dando </w:t>
      </w:r>
      <w:r w:rsidRPr="00E32E75">
        <w:rPr>
          <w:rFonts w:ascii="Arial" w:hAnsi="Arial" w:cs="Arial"/>
          <w:i/>
        </w:rPr>
        <w:lastRenderedPageBreak/>
        <w:t xml:space="preserve">paso a la teoría de la inmunidad relativa, por lo menos, en cuanto a los asuntos de carácter laboral, con fundamento en las nuevas perspectivas que informan las relaciones entre los Estados y la interpretación de la reciente Convención de las Naciones Unidas sobre las inmunidades jurisdiccionales de los Estados y sus bienes del año 2004, en armonía con el contexto que informa el derecho al trabajo como derecho de raigambre constitucional a partir de la promulgación de la Constitución Política de 1991 que responde a la necesidad de los Estados de garantizar el derecho al trabajo y asegurar la protección del mismo, conforme lo establece el artículo 6º del Pacto Internacional de Derechos Económicos, Sociales y Culturales, aprobado en nuestro país mediante la Ley 74 de 1968. Precisa:   </w:t>
      </w:r>
    </w:p>
    <w:p w:rsidR="00017F4D" w:rsidRPr="00E32E75" w:rsidRDefault="00017F4D" w:rsidP="00017F4D">
      <w:pPr>
        <w:pStyle w:val="Sangradetextonormal"/>
        <w:spacing w:after="0"/>
        <w:ind w:left="567"/>
        <w:jc w:val="both"/>
        <w:rPr>
          <w:rFonts w:ascii="Arial" w:hAnsi="Arial" w:cs="Arial"/>
          <w:i/>
        </w:rPr>
      </w:pPr>
    </w:p>
    <w:p w:rsidR="00017F4D" w:rsidRPr="00E32E75" w:rsidRDefault="00017F4D" w:rsidP="00017F4D">
      <w:pPr>
        <w:pStyle w:val="NormalWeb"/>
        <w:spacing w:before="0" w:beforeAutospacing="0" w:after="0" w:afterAutospacing="0"/>
        <w:ind w:left="850"/>
        <w:jc w:val="both"/>
        <w:rPr>
          <w:rFonts w:ascii="Arial" w:hAnsi="Arial" w:cs="Arial"/>
          <w:i/>
        </w:rPr>
      </w:pPr>
      <w:r w:rsidRPr="00E32E75">
        <w:rPr>
          <w:rFonts w:ascii="Arial" w:hAnsi="Arial" w:cs="Arial"/>
          <w:i/>
        </w:rPr>
        <w:t xml:space="preserve">“Así por ejemplo en materia laboral, distintos países, con fundamento en la costumbre internacional, han admitido su sujeción a las normas laborales internas. Entre ellos se encuentran: Estados Unidos, Polonia, Chile, República Islámica de Irán, Grecia, Rusia, Rumania, Francia, Tailandia, Indonesia, Brasil, Perú, Panamá, Guatemala, Suráfrica, Kenia, Honduras, Nueva Zelanda, Nicaragua, India, Italia, Austria, Hungría, Bulgaria y Argentina. De ello dan cuenta las comunicaciones pertinentes que éstos han enviado al Ministerio de Relaciones Exteriores de Colombia. </w:t>
      </w:r>
    </w:p>
    <w:p w:rsidR="00017F4D" w:rsidRPr="00E32E75" w:rsidRDefault="00017F4D" w:rsidP="00017F4D">
      <w:pPr>
        <w:pStyle w:val="NormalWeb"/>
        <w:spacing w:before="0" w:beforeAutospacing="0" w:after="0" w:afterAutospacing="0"/>
        <w:ind w:left="850"/>
        <w:jc w:val="both"/>
        <w:rPr>
          <w:rFonts w:ascii="Arial" w:hAnsi="Arial" w:cs="Arial"/>
          <w:i/>
        </w:rPr>
      </w:pPr>
    </w:p>
    <w:p w:rsidR="00017F4D" w:rsidRPr="00E32E75" w:rsidRDefault="00017F4D" w:rsidP="00017F4D">
      <w:pPr>
        <w:pStyle w:val="NormalWeb"/>
        <w:spacing w:before="0" w:beforeAutospacing="0" w:after="0" w:afterAutospacing="0"/>
        <w:ind w:left="850"/>
        <w:jc w:val="both"/>
        <w:rPr>
          <w:rFonts w:ascii="Arial" w:hAnsi="Arial" w:cs="Arial"/>
          <w:i/>
        </w:rPr>
      </w:pPr>
      <w:r w:rsidRPr="00E32E75">
        <w:rPr>
          <w:rFonts w:ascii="Arial" w:hAnsi="Arial" w:cs="Arial"/>
          <w:i/>
        </w:rPr>
        <w:t xml:space="preserve">“Lo anterior pone de manifiesto, que la tesis de la inmunidad absoluta de jurisdicción de los Estados se ha debilitado, dando paso a otra - inmunidad relativa-, que no puede ignorarse, pues sería tanto como estar de espaldas ante un episodio de la humanidad que reclama su propio tratamiento. </w:t>
      </w:r>
    </w:p>
    <w:p w:rsidR="00017F4D" w:rsidRPr="00E32E75" w:rsidRDefault="00017F4D" w:rsidP="00017F4D">
      <w:pPr>
        <w:pStyle w:val="NormalWeb"/>
        <w:spacing w:before="0" w:beforeAutospacing="0" w:after="0" w:afterAutospacing="0"/>
        <w:ind w:left="850"/>
        <w:jc w:val="both"/>
        <w:rPr>
          <w:rFonts w:ascii="Arial" w:hAnsi="Arial" w:cs="Arial"/>
          <w:i/>
        </w:rPr>
      </w:pPr>
    </w:p>
    <w:p w:rsidR="00017F4D" w:rsidRPr="00E32E75" w:rsidRDefault="00017F4D" w:rsidP="00017F4D">
      <w:pPr>
        <w:pStyle w:val="NormalWeb"/>
        <w:spacing w:before="0" w:beforeAutospacing="0" w:after="0" w:afterAutospacing="0"/>
        <w:ind w:left="850"/>
        <w:jc w:val="both"/>
        <w:rPr>
          <w:rFonts w:ascii="Arial" w:hAnsi="Arial" w:cs="Arial"/>
          <w:i/>
        </w:rPr>
      </w:pPr>
      <w:r w:rsidRPr="00E32E75">
        <w:rPr>
          <w:rFonts w:ascii="Arial" w:hAnsi="Arial" w:cs="Arial"/>
          <w:i/>
        </w:rPr>
        <w:t xml:space="preserve">“Si en el ámbito de las relaciones comerciales, esta última práctica adquirió relevancia, en un tema tan sensible como el derivado de las controversias laborales, se ha venido convirtiendo en la única forma de efectivizar aquellos derechos hasta ahora ilusorios; tanta es su trascendencia que la redacción de la Convención de las Naciones Unidas, sobre las inmunidades jurisdiccionales de los Estados y de sus bienes, de diciembre 2 de 2004, se ocupó del tema, al delimitar los conceptos respecto de las inmunidades, y su aplicación en el tema de los contratos laborales ejecutados en el país del Estado foro. </w:t>
      </w:r>
    </w:p>
    <w:p w:rsidR="00017F4D" w:rsidRPr="00E32E75" w:rsidRDefault="00017F4D" w:rsidP="00017F4D">
      <w:pPr>
        <w:pStyle w:val="Sangradetextonormal"/>
        <w:spacing w:after="0"/>
        <w:ind w:left="850"/>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Por su parte, la Corte Constitucional ha sostenido que la concesión de prerrogativas e inmunidades a través de la suscripción de tratados internacionales guarda armonía con lo dispuesto por el artículo 9 de la Constitución Política, como quiera que responde a la necesidad de dotar a los agentes diplomáticos, consulares y a los órganos de derecho internacional y sus funcionarios de la suficiente autonomía e independencia para el desarrollo de sus funciones.</w:t>
      </w:r>
      <w:r w:rsidRPr="00E32E75">
        <w:rPr>
          <w:rStyle w:val="Refdenotaalpie"/>
          <w:rFonts w:ascii="Arial" w:eastAsia="MS Gothic" w:hAnsi="Arial" w:cs="Arial"/>
          <w:i/>
        </w:rPr>
        <w:footnoteReference w:id="10"/>
      </w:r>
      <w:r w:rsidRPr="00E32E75">
        <w:rPr>
          <w:rFonts w:ascii="Arial" w:hAnsi="Arial" w:cs="Arial"/>
          <w:i/>
        </w:rPr>
        <w:t xml:space="preserve"> </w:t>
      </w:r>
    </w:p>
    <w:p w:rsidR="00017F4D" w:rsidRPr="00E32E75" w:rsidRDefault="00017F4D" w:rsidP="00017F4D">
      <w:pPr>
        <w:pStyle w:val="Sangradetextonormal"/>
        <w:spacing w:after="0"/>
        <w:ind w:left="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 xml:space="preserve">Tampoco vulnera el artículo 13 de la Constitución por cuanto la igualdad se predica respecto de iguales, por ende, puede admitirse un trato desigual cuando se halle suficientemente justificado, empero, ha adoptado el criterio finalista restringido respecto de la interpretación de las prerrogativas de inmunidad jurisdiccional, arguyendo que ningún Estado estaría en la capacidad jurídica de otorgar plena inmunidad a todo agente o representante de gobierno extranjero o representante de un organismo de derecho internacional y, en general a ningún órgano de derecho internacional, pues podrían sacrificarse algunas atribuciones que le competen como Estado </w:t>
      </w:r>
      <w:r w:rsidRPr="00E32E75">
        <w:rPr>
          <w:rFonts w:ascii="Arial" w:hAnsi="Arial" w:cs="Arial"/>
          <w:i/>
        </w:rPr>
        <w:lastRenderedPageBreak/>
        <w:t>soberano</w:t>
      </w:r>
      <w:r w:rsidRPr="00E32E75">
        <w:rPr>
          <w:rStyle w:val="Refdenotaalpie"/>
          <w:rFonts w:ascii="Arial" w:eastAsia="MS Gothic" w:hAnsi="Arial" w:cs="Arial"/>
          <w:i/>
        </w:rPr>
        <w:footnoteReference w:id="11"/>
      </w:r>
      <w:r w:rsidRPr="00E32E75">
        <w:rPr>
          <w:rFonts w:ascii="Arial" w:hAnsi="Arial" w:cs="Arial"/>
          <w:i/>
        </w:rPr>
        <w:t>, de manera que son los principios y no una mera liberalidad los que fundamentan la existencia de las prerrogativas.</w:t>
      </w:r>
    </w:p>
    <w:p w:rsidR="00017F4D" w:rsidRPr="00E32E75" w:rsidRDefault="00017F4D" w:rsidP="00017F4D">
      <w:pPr>
        <w:pStyle w:val="Sangradetextonormal"/>
        <w:spacing w:after="0"/>
        <w:ind w:left="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w:t>
      </w:r>
    </w:p>
    <w:p w:rsidR="00017F4D" w:rsidRPr="00E32E75" w:rsidRDefault="00017F4D" w:rsidP="00017F4D">
      <w:pPr>
        <w:numPr>
          <w:ilvl w:val="12"/>
          <w:numId w:val="0"/>
        </w:numPr>
        <w:ind w:left="567"/>
        <w:jc w:val="both"/>
        <w:rPr>
          <w:rFonts w:ascii="Arial" w:hAnsi="Arial" w:cs="Arial"/>
          <w:i/>
          <w:sz w:val="24"/>
          <w:szCs w:val="24"/>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Esta Corporación, acoge el criterio objetivo – finalista adoptado por la Corte Constitucional, en cuanto a la interpretación de las cláusulas de inmunidad jurisdiccional, extendidas, específicamente, a favor de los órganos internacionales, de manera que la simple inclusión de la prerrogativa en el instrumento de derecho internacional no implica que se encuentre excluida absolutamente de la jurisdicción interna del Estado, por cuanto la inmunidad debe entenderse concedida en el contexto de la finalidad para la cual fue creada, que no es otro distinto que permitir al organismo desarrollar las funciones que le son inherentes, con autonomía e independencia, para evitar que agentes externos entorpezcan su objeto, de suerte que cuando la cláusula se torne ambigua, abstracta o abarque supuestos indeterminados, el juez deberá interpretarla atendiendo los criterios expuestos y la lógica de lo razonable para establecer el alcance de la misma y evitar así la mengua indirecta e innecesaria de derechos fundamentales de los habitantes del territorio colombiano, como el acceso a la administración de justicia y de atributos inherentes al Estado como la soberanía e independencia ya que, de hecho, la simple concesión de las inmunidades implica la cesión de éstos en alguna proporción.</w:t>
      </w:r>
    </w:p>
    <w:p w:rsidR="00017F4D" w:rsidRPr="00E32E75" w:rsidRDefault="00017F4D" w:rsidP="00017F4D">
      <w:pPr>
        <w:pStyle w:val="Sangradetextonormal"/>
        <w:spacing w:after="0"/>
        <w:ind w:left="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Por supuesto, esta Corporación ha sido receptiva a la situación que se presenta cuando por causa del reconocimiento de las inmunidades de jurisdicción se impide a las personas, en principio, acceder a la administración de justicia que, a la postre, puede configurar un rompimiento de la igualdad frente a las cargas públicas causante de daños antijurídicos que el Estado estaría en la obligación de resarcir en los términos de la artículo 90 de la Constitución Política, siempre que se acrediten la totalidad de los elementos integradores de la responsabilidad extracontractual</w:t>
      </w:r>
      <w:r w:rsidRPr="00E32E75">
        <w:rPr>
          <w:rStyle w:val="Refdenotaalpie"/>
          <w:rFonts w:ascii="Arial" w:eastAsia="MS Gothic" w:hAnsi="Arial" w:cs="Arial"/>
          <w:i/>
        </w:rPr>
        <w:footnoteReference w:id="12"/>
      </w:r>
      <w:r w:rsidRPr="00E32E75">
        <w:rPr>
          <w:rFonts w:ascii="Arial" w:hAnsi="Arial" w:cs="Arial"/>
          <w:i/>
        </w:rPr>
        <w:t>.</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 xml:space="preserve">Descendiendo al caso concreto, la Sala observa que, mediante el Acuerdo suscrito el 4 de septiembre de 1972 entre el Gobierno de Colombia y la Secretaría Ejecutiva del Convenio Andrés Bello –SECAB-, se estableció la sede de la SECAB en Bogotá, Acuerdo ratificado por el Estado colombiano mediante Ley 122 de 1985, puesta en vigencia mediante Decreto el 1952 de 1986. </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En dicho instrumento se previeron, además, una serie de prerrogativas consistentes en inmunidades relativas a los sujetos, a las cosas y a las funciones.</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 xml:space="preserve">En efecto, el artículo 2º del Acuerdo establece que el Gobierno de Colombia reconoce inmunidad a los funcionarios directivos de la -SECAB- de nacionalidad distinta a la colombiana en la forma reconocida a los funcionarios diplomáticos acreditados ante el Gobierno de Colombia. Se trata de una inmunidad personal de la misma connotación a la establecida por la Convención de Viena de 1975 en los ámbitos penal, civil y administrativo para </w:t>
      </w:r>
      <w:r w:rsidRPr="00E32E75">
        <w:rPr>
          <w:rFonts w:ascii="Arial" w:hAnsi="Arial" w:cs="Arial"/>
          <w:i/>
        </w:rPr>
        <w:lastRenderedPageBreak/>
        <w:t>los agentes diplomáticos. En los artículos subsiguientes estableció una serie de inmunidades relativas a las cosas, en tanto establece que la sede de la SECAB será inviolable (artículo 3º); la correspondencia y demás formas de comunicación de la SECAB no será censurada (artículo 5º). etc.</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El artículo 6º, por su parte, establece:</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 xml:space="preserve">“SEXTO. La Secab y sus bienes, cualquiera que sea el lugar en que se encuentren, gozarán de inmunidad de jurisdicción, salvo renuncia expresa a la misma notificada mediante escrito por la Secab al Gobierno”.     </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 xml:space="preserve">Como se puede apreciar, la cláusula de inmunidad resulta ser tan abstracta que pareciera subsumir, incluso, algunas de las prerrogativas reconocidas en otros artículos del mismo cuerpo normativo, por vía de ejemplo, la inmunidad respecto de las cosas establecida por el artículo 3º, por consiguiente, para definir el alcance de la misma resulta necesario analizar la finalidad de la inmunidad en relación con el objeto o la función de la SECAB en Colombia, conforme a lo expuesto en precedencia. Es de anotar que la preceptiva contenida en el literal c) del artículo vigésimo cuarto del Acuerdo corrobora lo señalado, en cuanto prevé: </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 c) Para la interpretación del presente Acuerdo se tendrá en cuenta que es su objetivo fundamental el de facilitar a la Secab el ejercicio pleno y eficiente de sus funciones para el cumplimiento de los fines del Convenio Andrés Bello”.</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Inicialmente el Convenio Andrés Bello fue celebrado el 31 de enero de 1970 con la finalidad de fortalecer y acelerar el desarrollo integral de los países signatarios mediante esfuerzos mancomunados en áreas como la educación, la ciencia, la cultura y la tecnología para conseguir el desarrollo armónico de los Estados miembros.</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En el año 1990 fue suscrito un nuevo Convenio acorde con la realidad histórica y las nuevas tendencias y necesidades de los Estados, estableciendo que  “… la finalidad de la Organización es la integración educativa, científica, tecnológica y cultural de los Estados miembros, para lo cual se comprometen a concertar sus esfuerzos en el ámbito internacional con el fin de:</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firstLine="567"/>
        <w:jc w:val="both"/>
        <w:rPr>
          <w:rFonts w:ascii="Arial" w:hAnsi="Arial" w:cs="Arial"/>
          <w:i/>
        </w:rPr>
      </w:pPr>
      <w:r w:rsidRPr="00E32E75">
        <w:rPr>
          <w:rFonts w:ascii="Arial" w:hAnsi="Arial" w:cs="Arial"/>
          <w:i/>
        </w:rPr>
        <w:t>“a. Estimular el conocimiento recíproco y la fraternidad entre ellos.</w:t>
      </w:r>
    </w:p>
    <w:p w:rsidR="00017F4D" w:rsidRPr="00E32E75" w:rsidRDefault="00017F4D" w:rsidP="00017F4D">
      <w:pPr>
        <w:pStyle w:val="Sangradetextonormal"/>
        <w:spacing w:after="0"/>
        <w:ind w:left="567" w:firstLine="567"/>
        <w:jc w:val="both"/>
        <w:rPr>
          <w:rFonts w:ascii="Arial" w:hAnsi="Arial" w:cs="Arial"/>
          <w:i/>
        </w:rPr>
      </w:pPr>
      <w:r w:rsidRPr="00E32E75">
        <w:rPr>
          <w:rFonts w:ascii="Arial" w:hAnsi="Arial" w:cs="Arial"/>
          <w:i/>
        </w:rPr>
        <w:t>“b. Contribuir al logro de un adecuado equilibrio en el proceso de desarrollo educativo, científico, tecnológico y cultural.</w:t>
      </w:r>
    </w:p>
    <w:p w:rsidR="00017F4D" w:rsidRPr="00E32E75" w:rsidRDefault="00017F4D" w:rsidP="00017F4D">
      <w:pPr>
        <w:pStyle w:val="Sangradetextonormal"/>
        <w:spacing w:after="0"/>
        <w:ind w:left="567" w:firstLine="567"/>
        <w:jc w:val="both"/>
        <w:rPr>
          <w:rFonts w:ascii="Arial" w:hAnsi="Arial" w:cs="Arial"/>
          <w:i/>
        </w:rPr>
      </w:pPr>
      <w:r w:rsidRPr="00E32E75">
        <w:rPr>
          <w:rFonts w:ascii="Arial" w:hAnsi="Arial" w:cs="Arial"/>
          <w:i/>
        </w:rPr>
        <w:t>“c. Realizar esfuerzos conjuntos en favor de la educación, la ciencia, la tecnología y la cultura para lograr el desarrollo integral de sus naciones; y</w:t>
      </w:r>
    </w:p>
    <w:p w:rsidR="00017F4D" w:rsidRPr="00E32E75" w:rsidRDefault="00017F4D" w:rsidP="00017F4D">
      <w:pPr>
        <w:pStyle w:val="Sangradetextonormal"/>
        <w:spacing w:after="0"/>
        <w:ind w:left="567" w:firstLine="567"/>
        <w:jc w:val="both"/>
        <w:rPr>
          <w:rFonts w:ascii="Arial" w:hAnsi="Arial" w:cs="Arial"/>
          <w:i/>
        </w:rPr>
      </w:pPr>
      <w:r w:rsidRPr="00E32E75">
        <w:rPr>
          <w:rFonts w:ascii="Arial" w:hAnsi="Arial" w:cs="Arial"/>
          <w:i/>
        </w:rPr>
        <w:t>“d. Aplicar la ciencia y la tecnología a la elevación del nivel de vida de sus pueblos”.</w:t>
      </w:r>
      <w:r w:rsidRPr="00E32E75">
        <w:rPr>
          <w:rStyle w:val="Refdenotaalpie"/>
          <w:rFonts w:ascii="Arial" w:eastAsia="MS Gothic" w:hAnsi="Arial" w:cs="Arial"/>
          <w:i/>
        </w:rPr>
        <w:footnoteReference w:id="13"/>
      </w:r>
      <w:r w:rsidRPr="00E32E75">
        <w:rPr>
          <w:rFonts w:ascii="Arial" w:hAnsi="Arial" w:cs="Arial"/>
          <w:i/>
        </w:rPr>
        <w:t xml:space="preserve"> </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firstLine="567"/>
        <w:jc w:val="both"/>
        <w:rPr>
          <w:rFonts w:ascii="Arial" w:hAnsi="Arial" w:cs="Arial"/>
          <w:i/>
        </w:rPr>
      </w:pPr>
      <w:r w:rsidRPr="00E32E75">
        <w:rPr>
          <w:rFonts w:ascii="Arial" w:hAnsi="Arial" w:cs="Arial"/>
          <w:i/>
        </w:rPr>
        <w:t>Para el efecto los países miembros establecieron que la organización impulsaría, entre otras, las siguientes acciones:</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firstLine="567"/>
        <w:jc w:val="both"/>
        <w:rPr>
          <w:rFonts w:ascii="Arial" w:hAnsi="Arial" w:cs="Arial"/>
          <w:i/>
        </w:rPr>
      </w:pPr>
      <w:r w:rsidRPr="00E32E75">
        <w:rPr>
          <w:rFonts w:ascii="Arial" w:hAnsi="Arial" w:cs="Arial"/>
          <w:i/>
        </w:rPr>
        <w:t>“a. Formular y ejecutar planes, programas, proyectos y actividades integradas.</w:t>
      </w:r>
    </w:p>
    <w:p w:rsidR="00017F4D" w:rsidRPr="00E32E75" w:rsidRDefault="00017F4D" w:rsidP="00017F4D">
      <w:pPr>
        <w:pStyle w:val="Sangradetextonormal"/>
        <w:spacing w:after="0"/>
        <w:ind w:left="567" w:firstLine="567"/>
        <w:jc w:val="both"/>
        <w:rPr>
          <w:rFonts w:ascii="Arial" w:hAnsi="Arial" w:cs="Arial"/>
          <w:i/>
        </w:rPr>
      </w:pPr>
      <w:r w:rsidRPr="00E32E75">
        <w:rPr>
          <w:rFonts w:ascii="Arial" w:hAnsi="Arial" w:cs="Arial"/>
          <w:i/>
        </w:rPr>
        <w:t>“b. Incentivar proyectos de desarrollo conjuntos, que contribuyan a mejorar la productividad en las áreas de la Organización.</w:t>
      </w:r>
    </w:p>
    <w:p w:rsidR="00017F4D" w:rsidRPr="00E32E75" w:rsidRDefault="00017F4D" w:rsidP="00017F4D">
      <w:pPr>
        <w:pStyle w:val="Sangradetextonormal"/>
        <w:spacing w:after="0"/>
        <w:ind w:left="567" w:firstLine="567"/>
        <w:jc w:val="both"/>
        <w:rPr>
          <w:rFonts w:ascii="Arial" w:hAnsi="Arial" w:cs="Arial"/>
          <w:i/>
        </w:rPr>
      </w:pPr>
      <w:r w:rsidRPr="00E32E75">
        <w:rPr>
          <w:rFonts w:ascii="Arial" w:hAnsi="Arial" w:cs="Arial"/>
          <w:i/>
        </w:rPr>
        <w:lastRenderedPageBreak/>
        <w:t>“c. Desarrollar relaciones de cooperación con otros países y con organismos nacionales e internacionales, gubernamentales y no gubernamentales.</w:t>
      </w:r>
    </w:p>
    <w:p w:rsidR="00017F4D" w:rsidRPr="00E32E75" w:rsidRDefault="00017F4D" w:rsidP="00017F4D">
      <w:pPr>
        <w:pStyle w:val="Sangradetextonormal"/>
        <w:spacing w:after="0"/>
        <w:ind w:left="567" w:firstLine="567"/>
        <w:jc w:val="both"/>
        <w:rPr>
          <w:rFonts w:ascii="Arial" w:hAnsi="Arial" w:cs="Arial"/>
          <w:i/>
        </w:rPr>
      </w:pPr>
      <w:r w:rsidRPr="00E32E75">
        <w:rPr>
          <w:rFonts w:ascii="Arial" w:hAnsi="Arial" w:cs="Arial"/>
          <w:i/>
        </w:rPr>
        <w:t>“d. Formular y presentar proyectos de acuerdos sobre protección y defensa del patrimonio cultural, teniendo en cuenta las convenciones internacionales sobre la materia.</w:t>
      </w:r>
    </w:p>
    <w:p w:rsidR="00017F4D" w:rsidRPr="00E32E75" w:rsidRDefault="00017F4D" w:rsidP="00017F4D">
      <w:pPr>
        <w:pStyle w:val="Sangradetextonormal"/>
        <w:spacing w:after="0"/>
        <w:ind w:left="567" w:firstLine="567"/>
        <w:jc w:val="both"/>
        <w:rPr>
          <w:rFonts w:ascii="Arial" w:hAnsi="Arial" w:cs="Arial"/>
          <w:i/>
        </w:rPr>
      </w:pPr>
      <w:r w:rsidRPr="00E32E75">
        <w:rPr>
          <w:rFonts w:ascii="Arial" w:hAnsi="Arial" w:cs="Arial"/>
          <w:i/>
        </w:rPr>
        <w:t>“e. Fomentar el otorgamiento de becas recíprocas.</w:t>
      </w:r>
    </w:p>
    <w:p w:rsidR="00017F4D" w:rsidRPr="00E32E75" w:rsidRDefault="00017F4D" w:rsidP="00017F4D">
      <w:pPr>
        <w:pStyle w:val="Sangradetextonormal"/>
        <w:spacing w:after="0"/>
        <w:ind w:left="567" w:firstLine="567"/>
        <w:jc w:val="both"/>
        <w:rPr>
          <w:rFonts w:ascii="Arial" w:hAnsi="Arial" w:cs="Arial"/>
          <w:i/>
        </w:rPr>
      </w:pPr>
      <w:r w:rsidRPr="00E32E75">
        <w:rPr>
          <w:rFonts w:ascii="Arial" w:hAnsi="Arial" w:cs="Arial"/>
          <w:i/>
        </w:rPr>
        <w:t>“f. Apoyar, en condiciones de reciprocidad, el establecimiento de cupos para que los alumnos procedentes de los Estados miembros ingresen o continúen sus estudios en establecimientos de educación superior.</w:t>
      </w:r>
    </w:p>
    <w:p w:rsidR="00017F4D" w:rsidRPr="00E32E75" w:rsidRDefault="00017F4D" w:rsidP="00017F4D">
      <w:pPr>
        <w:pStyle w:val="Sangradetextonormal"/>
        <w:spacing w:after="0"/>
        <w:ind w:left="567" w:firstLine="567"/>
        <w:jc w:val="both"/>
        <w:rPr>
          <w:rFonts w:ascii="Arial" w:hAnsi="Arial" w:cs="Arial"/>
          <w:i/>
        </w:rPr>
      </w:pPr>
      <w:r w:rsidRPr="00E32E75">
        <w:rPr>
          <w:rFonts w:ascii="Arial" w:hAnsi="Arial" w:cs="Arial"/>
          <w:i/>
        </w:rPr>
        <w:t>“g. Unificar criterios para reconocer niveles de conocimiento y/o habilidades en oficios adquiridos al margen de la educación formal, por nacionales de cualquiera de los Estados miembros.</w:t>
      </w:r>
    </w:p>
    <w:p w:rsidR="00017F4D" w:rsidRPr="00E32E75" w:rsidRDefault="00017F4D" w:rsidP="00017F4D">
      <w:pPr>
        <w:pStyle w:val="Sangradetextonormal"/>
        <w:spacing w:after="0"/>
        <w:ind w:left="567" w:firstLine="567"/>
        <w:jc w:val="both"/>
        <w:rPr>
          <w:rFonts w:ascii="Arial" w:hAnsi="Arial" w:cs="Arial"/>
          <w:i/>
        </w:rPr>
      </w:pPr>
      <w:r w:rsidRPr="00E32E75">
        <w:rPr>
          <w:rFonts w:ascii="Arial" w:hAnsi="Arial" w:cs="Arial"/>
          <w:i/>
        </w:rPr>
        <w:t>“h. Fomentar la difusión de la cultura de los Estados miembros y de los avances en educación, ciencia y tecnología, a través de la prensa, la radio, la televisión, el cine y otros medios de comunicación social.</w:t>
      </w:r>
    </w:p>
    <w:p w:rsidR="00017F4D" w:rsidRPr="00E32E75" w:rsidRDefault="00017F4D" w:rsidP="00017F4D">
      <w:pPr>
        <w:pStyle w:val="Sangradetextonormal"/>
        <w:spacing w:after="0"/>
        <w:ind w:left="567" w:firstLine="567"/>
        <w:jc w:val="both"/>
        <w:rPr>
          <w:rFonts w:ascii="Arial" w:hAnsi="Arial" w:cs="Arial"/>
          <w:i/>
        </w:rPr>
      </w:pPr>
      <w:r w:rsidRPr="00E32E75">
        <w:rPr>
          <w:rFonts w:ascii="Arial" w:hAnsi="Arial" w:cs="Arial"/>
          <w:i/>
        </w:rPr>
        <w:t>“i. Incentivar la publicación y difusión de sus valores literarios y científicos entre los Estados miembros</w:t>
      </w:r>
      <w:r w:rsidRPr="00E32E75">
        <w:rPr>
          <w:rStyle w:val="Refdenotaalpie"/>
          <w:rFonts w:ascii="Arial" w:eastAsia="MS Gothic" w:hAnsi="Arial" w:cs="Arial"/>
          <w:i/>
        </w:rPr>
        <w:footnoteReference w:id="14"/>
      </w:r>
      <w:r w:rsidRPr="00E32E75">
        <w:rPr>
          <w:rFonts w:ascii="Arial" w:hAnsi="Arial" w:cs="Arial"/>
          <w:i/>
        </w:rPr>
        <w:t>.</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El órgano administrativo y ejecutor de las políticas de la Organización Convenio Andrés Bello es la Secretaría Ejecutiva, la cual goza de personería jurídica en los términos del artículo vigésimo del Acuerdo celebrado el 4 de septiembre de 1972, y cuyas funciones están determinadas por el artículo 15 del Acuerdo suscrito en Madrid –España el día 27 de noviembre de 1990, así:</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ind w:left="567" w:right="380"/>
        <w:jc w:val="both"/>
        <w:rPr>
          <w:rFonts w:ascii="Arial" w:hAnsi="Arial" w:cs="Arial"/>
          <w:i/>
        </w:rPr>
      </w:pPr>
      <w:r w:rsidRPr="00E32E75">
        <w:rPr>
          <w:rFonts w:ascii="Arial" w:hAnsi="Arial" w:cs="Arial"/>
          <w:i/>
        </w:rPr>
        <w:t>“ARTÍCULO 15o. El órgano ejecutivo de la Organización, es la Secretaría Ejecutiva y su titular es el representante legal de la Organización.</w:t>
      </w:r>
    </w:p>
    <w:p w:rsidR="00017F4D" w:rsidRPr="00E32E75" w:rsidRDefault="00017F4D" w:rsidP="00017F4D">
      <w:pPr>
        <w:pStyle w:val="Sangradetextonormal"/>
        <w:ind w:left="567" w:right="380"/>
        <w:jc w:val="both"/>
        <w:rPr>
          <w:rFonts w:ascii="Arial" w:hAnsi="Arial" w:cs="Arial"/>
          <w:i/>
        </w:rPr>
      </w:pPr>
      <w:r w:rsidRPr="00E32E75">
        <w:rPr>
          <w:rFonts w:ascii="Arial" w:hAnsi="Arial" w:cs="Arial"/>
          <w:i/>
        </w:rPr>
        <w:t>“Son funciones de la Secretaría Ejecutiva:</w:t>
      </w:r>
    </w:p>
    <w:p w:rsidR="00017F4D" w:rsidRPr="00E32E75" w:rsidRDefault="00017F4D" w:rsidP="00017F4D">
      <w:pPr>
        <w:pStyle w:val="Sangradetextonormal"/>
        <w:ind w:left="567" w:right="380"/>
        <w:jc w:val="both"/>
        <w:rPr>
          <w:rFonts w:ascii="Arial" w:hAnsi="Arial" w:cs="Arial"/>
          <w:i/>
        </w:rPr>
      </w:pPr>
      <w:r w:rsidRPr="00E32E75">
        <w:rPr>
          <w:rFonts w:ascii="Arial" w:hAnsi="Arial" w:cs="Arial"/>
          <w:i/>
        </w:rPr>
        <w:t>“a. Ejecutar la política de la Organización.</w:t>
      </w:r>
    </w:p>
    <w:p w:rsidR="00017F4D" w:rsidRPr="00E32E75" w:rsidRDefault="00017F4D" w:rsidP="00017F4D">
      <w:pPr>
        <w:pStyle w:val="Sangradetextonormal"/>
        <w:ind w:left="567" w:right="380"/>
        <w:jc w:val="both"/>
        <w:rPr>
          <w:rFonts w:ascii="Arial" w:hAnsi="Arial" w:cs="Arial"/>
          <w:i/>
        </w:rPr>
      </w:pPr>
      <w:r w:rsidRPr="00E32E75">
        <w:rPr>
          <w:rFonts w:ascii="Arial" w:hAnsi="Arial" w:cs="Arial"/>
          <w:i/>
        </w:rPr>
        <w:t>“b. Preparar la Reunión de Ministros.</w:t>
      </w:r>
    </w:p>
    <w:p w:rsidR="00017F4D" w:rsidRPr="00E32E75" w:rsidRDefault="00017F4D" w:rsidP="00017F4D">
      <w:pPr>
        <w:pStyle w:val="Sangradetextonormal"/>
        <w:ind w:left="567" w:right="380"/>
        <w:jc w:val="both"/>
        <w:rPr>
          <w:rFonts w:ascii="Arial" w:hAnsi="Arial" w:cs="Arial"/>
          <w:i/>
        </w:rPr>
      </w:pPr>
      <w:r w:rsidRPr="00E32E75">
        <w:rPr>
          <w:rFonts w:ascii="Arial" w:hAnsi="Arial" w:cs="Arial"/>
          <w:i/>
        </w:rPr>
        <w:t>“c. Cumplir y hacer cumplir las resoluciones y demás acuerdos de la Reunión de Ministros.</w:t>
      </w:r>
    </w:p>
    <w:p w:rsidR="00017F4D" w:rsidRPr="00E32E75" w:rsidRDefault="00017F4D" w:rsidP="00017F4D">
      <w:pPr>
        <w:pStyle w:val="Sangradetextonormal"/>
        <w:ind w:left="567" w:right="380"/>
        <w:jc w:val="both"/>
        <w:rPr>
          <w:rFonts w:ascii="Arial" w:hAnsi="Arial" w:cs="Arial"/>
          <w:i/>
        </w:rPr>
      </w:pPr>
      <w:r w:rsidRPr="00E32E75">
        <w:rPr>
          <w:rFonts w:ascii="Arial" w:hAnsi="Arial" w:cs="Arial"/>
          <w:i/>
        </w:rPr>
        <w:t>“d. Administrar el Fondo de Financiamiento de la Organización.</w:t>
      </w:r>
    </w:p>
    <w:p w:rsidR="00017F4D" w:rsidRPr="00E32E75" w:rsidRDefault="00017F4D" w:rsidP="00017F4D">
      <w:pPr>
        <w:pStyle w:val="Sangradetextonormal"/>
        <w:ind w:left="567" w:right="380"/>
        <w:jc w:val="both"/>
        <w:rPr>
          <w:rFonts w:ascii="Arial" w:hAnsi="Arial" w:cs="Arial"/>
          <w:i/>
        </w:rPr>
      </w:pPr>
      <w:r w:rsidRPr="00E32E75">
        <w:rPr>
          <w:rFonts w:ascii="Arial" w:hAnsi="Arial" w:cs="Arial"/>
          <w:i/>
        </w:rPr>
        <w:t>“e. Preparar la propuesta de programa-presupuesto de la Organización.</w:t>
      </w:r>
    </w:p>
    <w:p w:rsidR="00017F4D" w:rsidRPr="00E32E75" w:rsidRDefault="00017F4D" w:rsidP="00017F4D">
      <w:pPr>
        <w:pStyle w:val="Sangradetextonormal"/>
        <w:ind w:left="567" w:right="380"/>
        <w:jc w:val="both"/>
        <w:rPr>
          <w:rFonts w:ascii="Arial" w:hAnsi="Arial" w:cs="Arial"/>
          <w:i/>
        </w:rPr>
      </w:pPr>
      <w:r w:rsidRPr="00E32E75">
        <w:rPr>
          <w:rFonts w:ascii="Arial" w:hAnsi="Arial" w:cs="Arial"/>
          <w:i/>
        </w:rPr>
        <w:t>“f. Coordinar las actividades de los órganos y entidades especializadas.</w:t>
      </w:r>
    </w:p>
    <w:p w:rsidR="00017F4D" w:rsidRPr="00E32E75" w:rsidRDefault="00017F4D" w:rsidP="00017F4D">
      <w:pPr>
        <w:pStyle w:val="Sangradetextonormal"/>
        <w:ind w:left="567" w:right="380"/>
        <w:jc w:val="both"/>
        <w:rPr>
          <w:rFonts w:ascii="Arial" w:hAnsi="Arial" w:cs="Arial"/>
          <w:i/>
        </w:rPr>
      </w:pPr>
      <w:r w:rsidRPr="00E32E75">
        <w:rPr>
          <w:rFonts w:ascii="Arial" w:hAnsi="Arial" w:cs="Arial"/>
          <w:i/>
        </w:rPr>
        <w:t>“g. Mantener las relaciones de la Organización con terceros países y organismos nacionales e internacionales.</w:t>
      </w:r>
    </w:p>
    <w:p w:rsidR="00017F4D" w:rsidRPr="00E32E75" w:rsidRDefault="00017F4D" w:rsidP="00017F4D">
      <w:pPr>
        <w:pStyle w:val="Sangradetextonormal"/>
        <w:ind w:left="567" w:right="380"/>
        <w:jc w:val="both"/>
        <w:rPr>
          <w:rFonts w:ascii="Arial" w:hAnsi="Arial" w:cs="Arial"/>
          <w:i/>
        </w:rPr>
      </w:pPr>
      <w:r w:rsidRPr="00E32E75">
        <w:rPr>
          <w:rFonts w:ascii="Arial" w:hAnsi="Arial" w:cs="Arial"/>
          <w:i/>
        </w:rPr>
        <w:t>“h. Las demás funciones que determine la Reunión de Ministros.”</w:t>
      </w:r>
    </w:p>
    <w:p w:rsidR="00017F4D" w:rsidRPr="00E32E75" w:rsidRDefault="00017F4D" w:rsidP="00017F4D">
      <w:pPr>
        <w:pStyle w:val="Sangradetextonormal"/>
        <w:ind w:left="567" w:right="20"/>
        <w:jc w:val="both"/>
        <w:rPr>
          <w:rFonts w:ascii="Arial" w:hAnsi="Arial" w:cs="Arial"/>
          <w:i/>
        </w:rPr>
      </w:pPr>
    </w:p>
    <w:p w:rsidR="00017F4D" w:rsidRPr="00E32E75" w:rsidRDefault="00017F4D" w:rsidP="00017F4D">
      <w:pPr>
        <w:pStyle w:val="Sangradetextonormal"/>
        <w:ind w:left="567" w:right="20"/>
        <w:jc w:val="both"/>
        <w:rPr>
          <w:rFonts w:ascii="Arial" w:hAnsi="Arial" w:cs="Arial"/>
          <w:i/>
        </w:rPr>
      </w:pPr>
      <w:r w:rsidRPr="00E32E75">
        <w:rPr>
          <w:rFonts w:ascii="Arial" w:hAnsi="Arial" w:cs="Arial"/>
          <w:i/>
        </w:rPr>
        <w:t xml:space="preserve">Del anterior contexto se infiere que a la SECAB como órgano ejecutor de las políticas de la Organización Convenio Andrés Bello, le concierne propender por la integración de los países signatarios del acuerdo organizacional, en las áreas de educación, cultura, ciencia y tecnología, estimulando el conocimiento y el desarrollo equilibrado y sostenible de los Estados miembros, fomentado y ejecutando planes y programas conjuntos de fortalecimiento para conseguir beneficios mutuos y el progreso igualitario de éstos, concepción que guarda armonía con el objetivo general de los órganos de derecho internacional de </w:t>
      </w:r>
      <w:r w:rsidRPr="00E32E75">
        <w:rPr>
          <w:rFonts w:ascii="Arial" w:hAnsi="Arial" w:cs="Arial"/>
          <w:i/>
        </w:rPr>
        <w:lastRenderedPageBreak/>
        <w:t xml:space="preserve">acción conjunta creados por dos o más Estados con funciones específicas determinados por el interés común. </w:t>
      </w:r>
    </w:p>
    <w:p w:rsidR="00017F4D" w:rsidRPr="00E32E75" w:rsidRDefault="00017F4D" w:rsidP="00017F4D">
      <w:pPr>
        <w:pStyle w:val="Sangradetextonormal"/>
        <w:ind w:left="567" w:right="20"/>
        <w:jc w:val="both"/>
        <w:rPr>
          <w:rFonts w:ascii="Arial" w:hAnsi="Arial" w:cs="Arial"/>
          <w:i/>
        </w:rPr>
      </w:pPr>
    </w:p>
    <w:p w:rsidR="00017F4D" w:rsidRPr="00E32E75" w:rsidRDefault="00017F4D" w:rsidP="00017F4D">
      <w:pPr>
        <w:pStyle w:val="Sangradetextonormal"/>
        <w:ind w:left="567" w:right="20"/>
        <w:jc w:val="both"/>
        <w:rPr>
          <w:rFonts w:ascii="Arial" w:hAnsi="Arial" w:cs="Arial"/>
          <w:i/>
        </w:rPr>
      </w:pPr>
      <w:r w:rsidRPr="00E32E75">
        <w:rPr>
          <w:rFonts w:ascii="Arial" w:hAnsi="Arial" w:cs="Arial"/>
          <w:i/>
        </w:rPr>
        <w:t>Particularmente, el Contrato No. 001 de 2002 cuya declaratoria de incumplimiento se depreca de manera principal, fue celebrado entre el Consorcio INTERSIDRI y la Secretaría Ejecutiva del Convenio Andrés Bello, con el objeto de interventoriar los proyectos financiados con recursos del Fondo DRI para las vigencias 2001 y 2002.</w:t>
      </w:r>
    </w:p>
    <w:p w:rsidR="00017F4D" w:rsidRPr="00E32E75" w:rsidRDefault="00017F4D" w:rsidP="00017F4D">
      <w:pPr>
        <w:pStyle w:val="Sangradetextonormal"/>
        <w:ind w:left="567" w:right="20"/>
        <w:jc w:val="both"/>
        <w:rPr>
          <w:rFonts w:ascii="Arial" w:hAnsi="Arial" w:cs="Arial"/>
          <w:i/>
        </w:rPr>
      </w:pPr>
      <w:r w:rsidRPr="00E32E75">
        <w:rPr>
          <w:rFonts w:ascii="Arial" w:hAnsi="Arial" w:cs="Arial"/>
          <w:i/>
        </w:rPr>
        <w:t>(…)</w:t>
      </w:r>
    </w:p>
    <w:p w:rsidR="00017F4D" w:rsidRPr="00E32E75" w:rsidRDefault="00017F4D" w:rsidP="00017F4D">
      <w:pPr>
        <w:pStyle w:val="Sangradetextonormal"/>
        <w:ind w:left="567" w:right="20"/>
        <w:jc w:val="both"/>
        <w:rPr>
          <w:rFonts w:ascii="Arial" w:hAnsi="Arial" w:cs="Arial"/>
          <w:i/>
        </w:rPr>
      </w:pPr>
      <w:r w:rsidRPr="00E32E75">
        <w:rPr>
          <w:rFonts w:ascii="Arial" w:hAnsi="Arial" w:cs="Arial"/>
          <w:i/>
        </w:rPr>
        <w:t>Con base en las anteriores precisiones, considera la Sala que el objeto del Convenio de Cooperación celebrado entre el Fondo DRI y la SECAB, no guarda  una relación directa con las finalidades de la Organización - Convenio Andrés Bello, menos aún con las finalidades de la SECAB en Colombia, pues dicho objeto no se enmarca dentro de los servicios al desarrollo, al incentivo, a la promoción, a la divulgación o a la integración de los Estados signatarios del Convenio Andrés Bello, en áreas como la educación, la cultura, la ciencia y la tecnología, el objeto se contrajo a la supervisión y a la prestación de apoyo técnico y administrativo respecto de los Convenios cofinanciados con recursos del Fondo DRI, lo cual pareciera indicar que el fin determinante por parte de éste era el impulso de la gestión institucional en el área a su cargo, es decir, en el desarrollo rural, de suerte que los Contratos celebrados en virtud del Convenio Matriz, naturalmente tuvieron la misma connotación, con el ingrediente adicional que en el específico evento, el proceso de selección, la escogencia del contratista y la celebración del negocio jurídico estuvo a cargo de la Secretaría Ejecutiva del Convenio Andrés Bello, circunstancia que por sí misma no desnaturaliza el fin de la contratación que, como se dijo anteriormente, era la gestión institucional del Fondo DRI, razón por la cual la Sala no encuentra una relación causal entre la función de la SECAB y el objeto de los negocios jurídicos celebrados, ni siquiera en el área de desarrollo corporativo.</w:t>
      </w:r>
      <w:r w:rsidRPr="00E32E75">
        <w:rPr>
          <w:rStyle w:val="Refdenotaalpie"/>
          <w:rFonts w:ascii="Arial" w:eastAsia="MS Gothic" w:hAnsi="Arial" w:cs="Arial"/>
          <w:i/>
        </w:rPr>
        <w:footnoteReference w:id="15"/>
      </w:r>
    </w:p>
    <w:p w:rsidR="00017F4D" w:rsidRPr="00E32E75" w:rsidRDefault="00017F4D" w:rsidP="00017F4D">
      <w:pPr>
        <w:pStyle w:val="Sangradetextonormal"/>
        <w:ind w:left="567" w:right="20"/>
        <w:jc w:val="both"/>
        <w:rPr>
          <w:rFonts w:ascii="Arial" w:hAnsi="Arial" w:cs="Arial"/>
          <w:i/>
        </w:rPr>
      </w:pPr>
    </w:p>
    <w:p w:rsidR="00017F4D" w:rsidRPr="00E32E75" w:rsidRDefault="00017F4D" w:rsidP="00017F4D">
      <w:pPr>
        <w:pStyle w:val="Sangradetextonormal"/>
        <w:ind w:left="567" w:right="20"/>
        <w:jc w:val="both"/>
        <w:rPr>
          <w:rFonts w:ascii="Arial" w:hAnsi="Arial" w:cs="Arial"/>
          <w:i/>
        </w:rPr>
      </w:pPr>
      <w:r w:rsidRPr="00E32E75">
        <w:rPr>
          <w:rFonts w:ascii="Arial" w:hAnsi="Arial" w:cs="Arial"/>
          <w:i/>
        </w:rPr>
        <w:t>Las anteriores circunstancias permiten concluir que la cláusula de inmunidad de jurisdicción que ampara a la SECAB no puede extenderse al específico evento, como quiera que la controversia que se pretende someter al conocimiento de la Jurisdicción del Estado Colombiano, es ajena, reitera la Sala, a la finalidad intrínseca del órgano de derecho internacional y, por ende, no puede predicarse una eventual afectación de la autonomía e independencia funcional en los términos del artículo 15 del Tratado Internacional de la Organización -Convenio Andrés Bello, pues la actuación desprovista de tal connotación equivale a la misma de un particular, por ausencia de objeto del principio de no injerencia.</w:t>
      </w:r>
    </w:p>
    <w:p w:rsidR="00017F4D" w:rsidRPr="00E32E75" w:rsidRDefault="00017F4D" w:rsidP="00017F4D">
      <w:pPr>
        <w:pStyle w:val="Sangradetextonormal"/>
        <w:ind w:left="567" w:right="20"/>
        <w:jc w:val="both"/>
        <w:rPr>
          <w:rFonts w:ascii="Arial" w:hAnsi="Arial" w:cs="Arial"/>
          <w:i/>
        </w:rPr>
      </w:pPr>
    </w:p>
    <w:p w:rsidR="00017F4D" w:rsidRPr="00E32E75" w:rsidRDefault="00017F4D" w:rsidP="00017F4D">
      <w:pPr>
        <w:pStyle w:val="Sangradetextonormal"/>
        <w:ind w:left="567" w:right="20"/>
        <w:jc w:val="both"/>
        <w:rPr>
          <w:rFonts w:ascii="Arial" w:hAnsi="Arial" w:cs="Arial"/>
          <w:i/>
        </w:rPr>
      </w:pPr>
      <w:r w:rsidRPr="00E32E75">
        <w:rPr>
          <w:rFonts w:ascii="Arial" w:hAnsi="Arial" w:cs="Arial"/>
          <w:i/>
        </w:rPr>
        <w:t xml:space="preserve">Extender en el específico evento la inmunidad de jurisdicción equivaldría a reconocer la misma de manera absoluta, materializando el criterio subjetivo que, como se ha venido diciendo, no es de recibo para la Sala, pues no es aceptable que la simple verificación de la existencia de la prerrogativa en el instrumento de derecho internacional conduzca indefectiblemente a la exclusión del poder jurisdiccional interno, sin razonamiento jurídico válido. </w:t>
      </w:r>
    </w:p>
    <w:p w:rsidR="00017F4D" w:rsidRPr="00E32E75" w:rsidRDefault="00017F4D" w:rsidP="00017F4D">
      <w:pPr>
        <w:pStyle w:val="Sangradetextonormal"/>
        <w:ind w:left="567" w:right="20"/>
        <w:jc w:val="both"/>
        <w:rPr>
          <w:rFonts w:ascii="Arial" w:hAnsi="Arial" w:cs="Arial"/>
          <w:i/>
        </w:rPr>
      </w:pPr>
    </w:p>
    <w:p w:rsidR="00017F4D" w:rsidRPr="00E32E75" w:rsidRDefault="00017F4D" w:rsidP="00017F4D">
      <w:pPr>
        <w:pStyle w:val="Sangradetextonormal"/>
        <w:ind w:left="567" w:right="20"/>
        <w:jc w:val="both"/>
        <w:rPr>
          <w:rFonts w:ascii="Arial" w:hAnsi="Arial" w:cs="Arial"/>
          <w:i/>
        </w:rPr>
      </w:pPr>
      <w:r w:rsidRPr="00E32E75">
        <w:rPr>
          <w:rFonts w:ascii="Arial" w:hAnsi="Arial" w:cs="Arial"/>
          <w:i/>
        </w:rPr>
        <w:lastRenderedPageBreak/>
        <w:t>Por otra parte, cabe anotar que el Convenio Matriz de Cooperación y el Contrato celebrado con el Consorcio Intersidri, fueron ejecutados con dineros del Estado colombiano, razón que aunada a la anterior, reafirma la inaplicabilidad de la prerrogativa de inmunidad de jurisdicción.</w:t>
      </w:r>
    </w:p>
    <w:p w:rsidR="00017F4D" w:rsidRPr="00E32E75" w:rsidRDefault="00017F4D" w:rsidP="00017F4D">
      <w:pPr>
        <w:pStyle w:val="Sangradetextonormal"/>
        <w:ind w:left="567" w:right="20"/>
        <w:jc w:val="both"/>
        <w:rPr>
          <w:rFonts w:ascii="Arial" w:hAnsi="Arial" w:cs="Arial"/>
          <w:i/>
        </w:rPr>
      </w:pPr>
    </w:p>
    <w:p w:rsidR="00017F4D" w:rsidRPr="00E32E75" w:rsidRDefault="00017F4D" w:rsidP="00017F4D">
      <w:pPr>
        <w:pStyle w:val="Sangradetextonormal"/>
        <w:ind w:left="567" w:right="20"/>
        <w:jc w:val="both"/>
        <w:rPr>
          <w:rFonts w:ascii="Arial" w:hAnsi="Arial" w:cs="Arial"/>
          <w:i/>
        </w:rPr>
      </w:pPr>
      <w:r w:rsidRPr="00E32E75">
        <w:rPr>
          <w:rFonts w:ascii="Arial" w:hAnsi="Arial" w:cs="Arial"/>
          <w:i/>
        </w:rPr>
        <w:t>En efecto, la simple celebración del negocio jurídico con un contratante amparado con dicha prerrogativa sitúa a su co-contratante en un plano de desigualdad relativo, porque puede verse comprometida la eficacia del principio –pacta sunt servanda- en la medida en que un contrato válidamente celebrado obliga a las partes intervinientes a cumplirlo y, en este evento, una de las partes no podría ser conminada a cumplirlo, afectándose eventualmente la conmutatividad que, por regla general, informa los contratos. No obstante, la situación de desigualdad es de mayor proporción cuando la relación negocial se ejecuta en su totalidad con dineros del Estado colombiano y se impide a éste ejercer el poder jurisdiccional sobre la controversia que se suscita en torno al contrato, porque en este caso, dada la relación funcional y el contenido obligacional del negocio, el organismo internacional debe someterse al derecho interno y a la jurisdicción interna.</w:t>
      </w:r>
      <w:r w:rsidRPr="00E32E75">
        <w:rPr>
          <w:rStyle w:val="Refdenotaalpie"/>
          <w:rFonts w:ascii="Arial" w:eastAsia="MS Gothic" w:hAnsi="Arial" w:cs="Arial"/>
          <w:i/>
        </w:rPr>
        <w:footnoteReference w:id="16"/>
      </w:r>
      <w:r w:rsidRPr="00E32E75">
        <w:rPr>
          <w:rFonts w:ascii="Arial" w:hAnsi="Arial" w:cs="Arial"/>
          <w:i/>
        </w:rPr>
        <w:t xml:space="preserve"> Lo contrario implicaría una cesión desproporcionada de los atributos de independencia y soberanía del Estado, traducida en el completo desconocimiento de la plenitud, autonomía y exclusividad del ordenamiento jurídico, sin que medie justificación válida.</w:t>
      </w:r>
    </w:p>
    <w:p w:rsidR="00017F4D" w:rsidRPr="00E32E75" w:rsidRDefault="00017F4D" w:rsidP="00017F4D">
      <w:pPr>
        <w:pStyle w:val="Sangradetextonormal"/>
        <w:ind w:left="567" w:right="20"/>
        <w:jc w:val="both"/>
        <w:rPr>
          <w:rFonts w:ascii="Arial" w:hAnsi="Arial" w:cs="Arial"/>
          <w:i/>
        </w:rPr>
      </w:pPr>
    </w:p>
    <w:p w:rsidR="00017F4D" w:rsidRPr="00E32E75" w:rsidRDefault="00017F4D" w:rsidP="00017F4D">
      <w:pPr>
        <w:pStyle w:val="Sangradetextonormal"/>
        <w:ind w:left="567" w:right="20"/>
        <w:jc w:val="both"/>
        <w:rPr>
          <w:rFonts w:ascii="Arial" w:hAnsi="Arial" w:cs="Arial"/>
          <w:i/>
        </w:rPr>
      </w:pPr>
      <w:r w:rsidRPr="00E32E75">
        <w:rPr>
          <w:rFonts w:ascii="Arial" w:hAnsi="Arial" w:cs="Arial"/>
          <w:i/>
        </w:rPr>
        <w:t>En conclusión, la inmunidad de jurisdicción que ampara a la Secretaría Ejecutiva del Convenio Andrés Bello, reconocida por el Estado colombiano mediante la Ley 122 de 1985, no es aplicable en el asunto sub – lite y, por ende, el Estado colombiano puede ejercer jurisdicción sobre el organismo.</w:t>
      </w:r>
    </w:p>
    <w:p w:rsidR="00017F4D" w:rsidRPr="00E32E75" w:rsidRDefault="00017F4D" w:rsidP="00017F4D">
      <w:pPr>
        <w:pStyle w:val="Sangradetextonormal"/>
        <w:ind w:left="567" w:right="20"/>
        <w:jc w:val="both"/>
        <w:rPr>
          <w:rFonts w:ascii="Arial" w:hAnsi="Arial" w:cs="Arial"/>
          <w:i/>
        </w:rPr>
      </w:pPr>
    </w:p>
    <w:p w:rsidR="00017F4D" w:rsidRPr="00E32E75" w:rsidRDefault="00017F4D" w:rsidP="00017F4D">
      <w:pPr>
        <w:pStyle w:val="Sangradetextonormal"/>
        <w:ind w:left="567" w:right="20"/>
        <w:jc w:val="both"/>
        <w:rPr>
          <w:rFonts w:ascii="Arial" w:hAnsi="Arial" w:cs="Arial"/>
          <w:i/>
        </w:rPr>
      </w:pPr>
      <w:r w:rsidRPr="00E32E75">
        <w:rPr>
          <w:rFonts w:ascii="Arial" w:hAnsi="Arial" w:cs="Arial"/>
          <w:i/>
        </w:rPr>
        <w:t>Es de anotar que la SECAB tiene capacidad para ser parte dentro del proceso, por cuanto el artículo vigésimo de la Ley 122 de 1985, le reconoció personería jurídica como organismo intergubernamental, razón por la cual está facultada para ejercer actos jurídicos en Colombia.</w:t>
      </w:r>
      <w:r w:rsidRPr="00E32E75">
        <w:rPr>
          <w:rStyle w:val="Refdenotaalpie"/>
          <w:rFonts w:ascii="Arial" w:eastAsia="MS Gothic" w:hAnsi="Arial" w:cs="Arial"/>
          <w:i/>
        </w:rPr>
        <w:footnoteReference w:id="17"/>
      </w:r>
      <w:r w:rsidRPr="00E32E75">
        <w:rPr>
          <w:rFonts w:ascii="Arial" w:hAnsi="Arial" w:cs="Arial"/>
          <w:i/>
        </w:rPr>
        <w:t xml:space="preserve"> </w:t>
      </w:r>
    </w:p>
    <w:p w:rsidR="00017F4D" w:rsidRPr="00E32E75" w:rsidRDefault="00017F4D" w:rsidP="00017F4D">
      <w:pPr>
        <w:pStyle w:val="Sangradetextonormal"/>
        <w:ind w:right="20" w:firstLine="567"/>
        <w:rPr>
          <w:rFonts w:ascii="Arial" w:hAnsi="Arial" w:cs="Arial"/>
        </w:rPr>
      </w:pPr>
    </w:p>
    <w:p w:rsidR="00017F4D" w:rsidRPr="00E32E75" w:rsidRDefault="00017F4D" w:rsidP="00017F4D">
      <w:pPr>
        <w:pStyle w:val="Sangradetextonormal"/>
        <w:ind w:right="20" w:firstLine="567"/>
        <w:rPr>
          <w:rFonts w:ascii="Arial" w:hAnsi="Arial" w:cs="Arial"/>
        </w:rPr>
      </w:pPr>
    </w:p>
    <w:p w:rsidR="00017F4D" w:rsidRPr="00E32E75" w:rsidRDefault="00017F4D" w:rsidP="00017F4D">
      <w:pPr>
        <w:pStyle w:val="Sangradetextonormal"/>
        <w:spacing w:after="0" w:line="360" w:lineRule="auto"/>
        <w:ind w:left="0"/>
        <w:jc w:val="both"/>
        <w:rPr>
          <w:rFonts w:ascii="Arial" w:hAnsi="Arial" w:cs="Arial"/>
        </w:rPr>
      </w:pPr>
      <w:r w:rsidRPr="00E32E75">
        <w:rPr>
          <w:rFonts w:ascii="Arial" w:hAnsi="Arial" w:cs="Arial"/>
        </w:rPr>
        <w:t xml:space="preserve">En este panorama, al margen de la finalidad del organismo internacional, es claro que la inmunidad de la que goza el Convenio Andrés Bello habrá de valorarse en cada caso, conforme al alcance de las previsiones contenidas en las Leyes 20 de 1992 y 122 de 1985, teniendo presente que como privilegio, se aplican con restricciones, pues lo general es la sujeción de todas las personas naturales y jurídicas a la jurisdicción nacional, pues lo contrario implicaría poner en riesgo el </w:t>
      </w:r>
      <w:r w:rsidRPr="00E32E75">
        <w:rPr>
          <w:rFonts w:ascii="Arial" w:hAnsi="Arial" w:cs="Arial"/>
        </w:rPr>
        <w:lastRenderedPageBreak/>
        <w:t xml:space="preserve">principio de acceso a la administración de justicia e igualdad de los asociados ante las cargas públicas. </w:t>
      </w:r>
    </w:p>
    <w:p w:rsidR="00017F4D" w:rsidRPr="00E32E75" w:rsidRDefault="00017F4D" w:rsidP="00017F4D">
      <w:pPr>
        <w:pStyle w:val="Sangradetextonormal"/>
        <w:spacing w:after="0" w:line="360" w:lineRule="auto"/>
        <w:ind w:left="0"/>
        <w:jc w:val="both"/>
        <w:rPr>
          <w:rFonts w:ascii="Arial" w:hAnsi="Arial" w:cs="Arial"/>
        </w:rPr>
      </w:pPr>
    </w:p>
    <w:p w:rsidR="00017F4D" w:rsidRPr="00E32E75" w:rsidRDefault="00017F4D" w:rsidP="00017F4D">
      <w:pPr>
        <w:pStyle w:val="Sangradetextonormal"/>
        <w:spacing w:after="0" w:line="360" w:lineRule="auto"/>
        <w:ind w:left="0"/>
        <w:jc w:val="both"/>
        <w:rPr>
          <w:rFonts w:ascii="Arial" w:hAnsi="Arial" w:cs="Arial"/>
        </w:rPr>
      </w:pPr>
      <w:r w:rsidRPr="00E32E75">
        <w:rPr>
          <w:rFonts w:ascii="Arial" w:hAnsi="Arial" w:cs="Arial"/>
        </w:rPr>
        <w:t>Ahora, teniendo presente que los objetivos y los instrumentos para lograrlos, es claro que el convenio nada tiene que ver con la realización de las encuestas para seleccionar los beneficiarios del SISBÉN. Esto es así si se considera que el organismo intergubernamental busca la integración educativa, científica, tecnológica y cultural de los Estados miembros, y que para el efecto se comprometen a concertar esfuerzos con el fin de i) estimular el conocimiento recíproco y la fraternidad; ii) contribuir al logro de un adecuado equilibrio en el proceso de desarrollo educativo, científico, tecnológico y cultural; iii)  realizar esfuerzos conjuntos en favor de la educación, la ciencia, la tecnología y la cultura para lograr el desarrollo integral de sus naciones y iv)aplicar la ciencia y la tecnología a la elevación del nivel de vida de sus pueblos.</w:t>
      </w:r>
      <w:r w:rsidRPr="00E32E75">
        <w:rPr>
          <w:rStyle w:val="Refdenotaalpie"/>
          <w:rFonts w:ascii="Arial" w:eastAsia="MS Gothic" w:hAnsi="Arial" w:cs="Arial"/>
        </w:rPr>
        <w:footnoteReference w:id="18"/>
      </w:r>
      <w:r w:rsidRPr="00E32E75">
        <w:rPr>
          <w:rFonts w:ascii="Arial" w:hAnsi="Arial" w:cs="Arial"/>
        </w:rPr>
        <w:t xml:space="preserve"> </w:t>
      </w:r>
    </w:p>
    <w:p w:rsidR="00017F4D" w:rsidRPr="00E32E75" w:rsidRDefault="00017F4D" w:rsidP="00017F4D">
      <w:pPr>
        <w:pStyle w:val="Sangradetextonormal"/>
        <w:spacing w:after="0" w:line="360" w:lineRule="auto"/>
        <w:ind w:left="0"/>
        <w:jc w:val="both"/>
        <w:rPr>
          <w:rFonts w:ascii="Arial" w:hAnsi="Arial" w:cs="Arial"/>
        </w:rPr>
      </w:pPr>
    </w:p>
    <w:p w:rsidR="00017F4D" w:rsidRPr="00E32E75" w:rsidRDefault="00017F4D" w:rsidP="00017F4D">
      <w:pPr>
        <w:pStyle w:val="Sangradetextonormal"/>
        <w:spacing w:after="0" w:line="360" w:lineRule="auto"/>
        <w:ind w:left="0"/>
        <w:jc w:val="both"/>
        <w:rPr>
          <w:rFonts w:ascii="Arial" w:hAnsi="Arial" w:cs="Arial"/>
        </w:rPr>
      </w:pPr>
      <w:r w:rsidRPr="00E32E75">
        <w:rPr>
          <w:rFonts w:ascii="Arial" w:hAnsi="Arial" w:cs="Arial"/>
        </w:rPr>
        <w:t>Además para alcanzar sus propósitos la organización impulsa i) la formulación y ejecución de planes, programas y actividades integradas; ii) proyectos de desarrollo conjunto, que contribuyan a mejorar la productividad en las áreas de la Organización; iii) relaciones de cooperación con otros países y con organismos nacionales e internacionales, gubernamentales y no gubernamentales; iv) acuerdos sobre protección y defensa del patrimonio cultural, teniendo en cuenta las convenciones internacionales sobre la materia; v) el otorgamiento de becas recíprocas; vi) en condiciones de reciprocidad, el establecimiento de cupos para que los alumnos procedentes de los Estados miembros ingresen o continúen sus estudios en establecimientos de educación superior; vii) criterios para reconocer niveles de conocimiento y/o habilidades en oficios adquiridos, al margen de la educación formal, por nacionales de cualquiera de los Estados miembros; viii) la difusión de la cultura de los Estados miembros y de los avances en educación, ciencia y tecnología, a través de la prensa, la radio, la televisión, el cine y otros medios de comunicación social y ix) la publicación y difusión de valores literarios y científicos entre los Estados miembros</w:t>
      </w:r>
      <w:r w:rsidRPr="00E32E75">
        <w:rPr>
          <w:rStyle w:val="Refdenotaalpie"/>
          <w:rFonts w:ascii="Arial" w:eastAsia="MS Gothic" w:hAnsi="Arial" w:cs="Arial"/>
        </w:rPr>
        <w:footnoteReference w:id="19"/>
      </w:r>
      <w:r w:rsidRPr="00E32E75">
        <w:rPr>
          <w:rFonts w:ascii="Arial" w:hAnsi="Arial" w:cs="Arial"/>
        </w:rPr>
        <w:t>.</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line="360" w:lineRule="auto"/>
        <w:ind w:left="0" w:right="20"/>
        <w:jc w:val="both"/>
        <w:rPr>
          <w:rFonts w:ascii="Arial" w:hAnsi="Arial" w:cs="Arial"/>
        </w:rPr>
      </w:pPr>
      <w:r w:rsidRPr="00E32E75">
        <w:rPr>
          <w:rFonts w:ascii="Arial" w:hAnsi="Arial" w:cs="Arial"/>
        </w:rPr>
        <w:t xml:space="preserve">Siendo así y dado que el contrato de prestación de servicios suscrito entre la SECRETARÍA EJECUTIVA DEL CONVENIO ANDRÉS BELLO-SECAB- y el </w:t>
      </w:r>
      <w:r w:rsidRPr="00E32E75">
        <w:rPr>
          <w:rFonts w:ascii="Arial" w:hAnsi="Arial" w:cs="Arial"/>
        </w:rPr>
        <w:lastRenderedPageBreak/>
        <w:t xml:space="preserve">CENTRO DE INVESTIGACIONES PROFESIONALES-CENINP- el 16 de junio de 1997, no guarda  relación directa con los fines de la Organización intergubernamental, en tanto no tiene correspondencia con actividades relacionadas con integración </w:t>
      </w:r>
      <w:r w:rsidRPr="00E32E75">
        <w:rPr>
          <w:rFonts w:ascii="Arial" w:hAnsi="Arial" w:cs="Arial"/>
          <w:lang w:val="es-ES"/>
        </w:rPr>
        <w:t xml:space="preserve">educativa, científica, tecnológica y cultural entre los Estados miembros, dado que su objeto solo tuvo que ver con la elaboración de un número determinado de encuestas, en sectores vulnerables para identificar a los posibles beneficiarios del SISBÉN, es claro que la cláusula de inmunidad de que goza la contratante no lo cobija y </w:t>
      </w:r>
      <w:r w:rsidRPr="00E32E75">
        <w:rPr>
          <w:rFonts w:ascii="Arial" w:hAnsi="Arial" w:cs="Arial"/>
        </w:rPr>
        <w:t xml:space="preserve">bajo esa línea de pensamiento la excepción planteada, fundada en la inmunidad de jurisdicción no tiene vocación de prosperidad. </w:t>
      </w:r>
    </w:p>
    <w:p w:rsidR="00017F4D" w:rsidRPr="00E32E75" w:rsidRDefault="00017F4D" w:rsidP="00017F4D">
      <w:pPr>
        <w:pStyle w:val="Sangradetextonormal"/>
        <w:spacing w:line="360" w:lineRule="auto"/>
        <w:ind w:left="0" w:right="20"/>
        <w:jc w:val="both"/>
        <w:rPr>
          <w:rFonts w:ascii="Arial" w:hAnsi="Arial" w:cs="Arial"/>
        </w:rPr>
      </w:pPr>
    </w:p>
    <w:p w:rsidR="00017F4D" w:rsidRPr="00E32E75" w:rsidRDefault="00017F4D" w:rsidP="00017F4D">
      <w:pPr>
        <w:pStyle w:val="Sangradetextonormal"/>
        <w:spacing w:after="0" w:line="360" w:lineRule="auto"/>
        <w:ind w:left="0"/>
        <w:jc w:val="both"/>
        <w:rPr>
          <w:rFonts w:ascii="Arial" w:hAnsi="Arial" w:cs="Arial"/>
        </w:rPr>
      </w:pPr>
      <w:r w:rsidRPr="00E32E75">
        <w:rPr>
          <w:rFonts w:ascii="Arial" w:hAnsi="Arial" w:cs="Arial"/>
        </w:rPr>
        <w:t xml:space="preserve">Ahora, se tiene que en el caso concreto, la demanda fue dirigida contra la Secretaría Ejecutiva del Convenio Andrés Bello –SECAB-; el Fondo Financiero Distrital y el Distrito Capital-Secretaría Distrital del Salud, en razón de un contrato celebrado y ejecutado con dineros públicos y al amparo de un convenio marco de asistencia técnica suscrito el 11 de octubre de 1996-n.° 642- entre el Fondo Financiero Distrital de Salud y la Secretaría Ejecutiva-SECAB, que tenía que ver con el proyecto de restauración, creación e implementación del sistema local de Salud en el Distrito Capital-, por lo que dicha vinculación no resultaba caprichosa. Sin embargo, no ocurre igual con la vinculación al Distrito Capital-Secretaría Distrital de Salud en cuanto entidad ajena al contrato a uno y otro contrato. </w:t>
      </w:r>
    </w:p>
    <w:p w:rsidR="00017F4D" w:rsidRPr="00E32E75" w:rsidRDefault="00017F4D" w:rsidP="00017F4D">
      <w:pPr>
        <w:pStyle w:val="Sangradetextonormal"/>
        <w:spacing w:after="0" w:line="360" w:lineRule="auto"/>
        <w:ind w:left="0"/>
        <w:jc w:val="both"/>
        <w:rPr>
          <w:rFonts w:ascii="Arial" w:hAnsi="Arial" w:cs="Arial"/>
        </w:rPr>
      </w:pPr>
    </w:p>
    <w:p w:rsidR="00017F4D" w:rsidRPr="00E32E75" w:rsidRDefault="00017F4D" w:rsidP="00017F4D">
      <w:pPr>
        <w:pStyle w:val="Sangradetextonormal"/>
        <w:spacing w:after="0" w:line="360" w:lineRule="auto"/>
        <w:ind w:left="0"/>
        <w:jc w:val="both"/>
        <w:rPr>
          <w:rFonts w:ascii="Arial" w:hAnsi="Arial" w:cs="Arial"/>
        </w:rPr>
      </w:pPr>
      <w:r w:rsidRPr="00E32E75">
        <w:rPr>
          <w:rFonts w:ascii="Arial" w:hAnsi="Arial" w:cs="Arial"/>
        </w:rPr>
        <w:t xml:space="preserve">En consecuencia, pese a la condición de organismo intergubernamental de la SECAB, la vinculación del Fondo Financiero Distrital resulta razonable, en tanto la fuente de financiación del contrato proviene de la entidad distrital, al margen que la demandante también le imputa una serie de hechos que tienen que ver con la ejecución, estos en relación de conexidad con el convenio marco suscrito entre la demandada y el Fondo, por lo que dicho factor de conexión permite operar el fuero de atracción, para que los demandados respondan ante la misma jurisdicción. </w:t>
      </w:r>
    </w:p>
    <w:p w:rsidR="00017F4D" w:rsidRPr="00E32E75" w:rsidRDefault="00017F4D" w:rsidP="00017F4D">
      <w:pPr>
        <w:pStyle w:val="Sangradetextonormal"/>
        <w:spacing w:after="0" w:line="360" w:lineRule="auto"/>
        <w:ind w:left="0"/>
        <w:jc w:val="both"/>
        <w:rPr>
          <w:rFonts w:ascii="Arial" w:hAnsi="Arial" w:cs="Arial"/>
        </w:rPr>
      </w:pPr>
    </w:p>
    <w:p w:rsidR="00017F4D" w:rsidRPr="00E32E75" w:rsidRDefault="00017F4D" w:rsidP="00017F4D">
      <w:pPr>
        <w:pStyle w:val="Sangradetextonormal"/>
        <w:spacing w:after="0" w:line="360" w:lineRule="auto"/>
        <w:ind w:left="0"/>
        <w:jc w:val="both"/>
        <w:rPr>
          <w:rFonts w:ascii="Arial" w:hAnsi="Arial" w:cs="Arial"/>
        </w:rPr>
      </w:pPr>
      <w:r w:rsidRPr="00E32E75">
        <w:rPr>
          <w:rFonts w:ascii="Arial" w:hAnsi="Arial" w:cs="Arial"/>
        </w:rPr>
        <w:t>Es así como en la misma providencia referida sobre el particular se dijo</w:t>
      </w:r>
      <w:r w:rsidRPr="00E32E75">
        <w:rPr>
          <w:rStyle w:val="Refdenotaalpie"/>
          <w:rFonts w:ascii="Arial" w:eastAsia="MS Gothic" w:hAnsi="Arial" w:cs="Arial"/>
        </w:rPr>
        <w:footnoteReference w:id="20"/>
      </w:r>
      <w:r w:rsidRPr="00E32E75">
        <w:rPr>
          <w:rFonts w:ascii="Arial" w:hAnsi="Arial" w:cs="Arial"/>
        </w:rPr>
        <w:t xml:space="preserve">: </w:t>
      </w:r>
    </w:p>
    <w:p w:rsidR="00017F4D" w:rsidRPr="00E32E75" w:rsidRDefault="00017F4D" w:rsidP="00017F4D">
      <w:pPr>
        <w:pStyle w:val="Sangradetextonormal"/>
        <w:spacing w:after="0"/>
        <w:ind w:left="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La demanda se encuentra dirigida contra la Secretaría Ejecutiva del Convenio Andrés Bello, la Nación Colombiana – Ministerio de Agricultura y Desarrollo Rural y el Fondo de Cofinanciación para la Inversión Rural –DRI-.</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lastRenderedPageBreak/>
        <w:t>Sin embargo, la vinculación del Fondo de Cofinanciación para la Inversión Rural –DRI-, no resulta materialmente viable, porque dicho establecimiento público fue suprimido y liquidado en virtud de lo dispuesto por el Decreto 1290 de 2003,</w:t>
      </w:r>
      <w:r w:rsidRPr="00E32E75">
        <w:rPr>
          <w:rStyle w:val="Refdenotaalpie"/>
          <w:rFonts w:ascii="Arial" w:eastAsia="MS Gothic" w:hAnsi="Arial" w:cs="Arial"/>
          <w:i/>
        </w:rPr>
        <w:footnoteReference w:id="21"/>
      </w:r>
      <w:r w:rsidRPr="00E32E75">
        <w:rPr>
          <w:rFonts w:ascii="Arial" w:hAnsi="Arial" w:cs="Arial"/>
          <w:i/>
        </w:rPr>
        <w:t xml:space="preserve"> encontrándose para la fecha culminado el proceso de liquidación, de manera que en los términos del inciso segundo del artículo 17 ibidem</w:t>
      </w:r>
      <w:r w:rsidRPr="00E32E75">
        <w:rPr>
          <w:rStyle w:val="Refdenotaalpie"/>
          <w:rFonts w:ascii="Arial" w:eastAsia="MS Gothic" w:hAnsi="Arial" w:cs="Arial"/>
          <w:i/>
        </w:rPr>
        <w:footnoteReference w:id="22"/>
      </w:r>
      <w:r w:rsidRPr="00E32E75">
        <w:rPr>
          <w:rFonts w:ascii="Arial" w:hAnsi="Arial" w:cs="Arial"/>
          <w:i/>
        </w:rPr>
        <w:t xml:space="preserve">, es la Nación Colombiana quien deben comparecer al proceso representada por el Ministerio de Agricultura, por los hechos atribuibles al desaparecido Fondo. </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Sobra anotar que la vinculación de la Nación Colombiana – Ministerio de Agricultura y Desarrollo Rural resulta procedente, no sólo por cuanto, el contrato en torno del cual gira la controversia fue celebrado con dineros del desaparecido Fondo -DRI -sino que, además, dicho establecimiento público era quien Cofinanciaba los proyectos sobre los cuales recaía la interventoría contratada por la SECAB con el Consorcio Intersidri,</w:t>
      </w:r>
      <w:r w:rsidRPr="00E32E75">
        <w:rPr>
          <w:rStyle w:val="Refdenotaalpie"/>
          <w:rFonts w:ascii="Arial" w:eastAsia="MS Gothic" w:hAnsi="Arial" w:cs="Arial"/>
          <w:i/>
        </w:rPr>
        <w:footnoteReference w:id="23"/>
      </w:r>
      <w:r w:rsidRPr="00E32E75">
        <w:rPr>
          <w:rFonts w:ascii="Arial" w:hAnsi="Arial" w:cs="Arial"/>
          <w:i/>
        </w:rPr>
        <w:t xml:space="preserve"> circunstancia que los liga en una relación jurídica única e inescindible que implica la necesaria comparecencia al proceso tanto de la SECAB como de la Nación Colombiana para definir la eventual responsabilidad que se atribuye a las Entidades demandadas de manera solidaria, con un fundamento en los hechos que estructuran la demanda y las pretensiones de la misma que, a juicio de la Sala resulta válidas así formuladas. </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rPr>
      </w:pPr>
      <w:r w:rsidRPr="00E32E75">
        <w:rPr>
          <w:rFonts w:ascii="Arial" w:hAnsi="Arial" w:cs="Arial"/>
          <w:i/>
        </w:rPr>
        <w:t>Finalmente, precisa la Sala que pese a la condición de particular con que actuó la –SECAB-, en el evento sub – lite, la vinculación de la Nación Colombiana al proceso implica que se produzca el denominado factor de conexión, dando lugar a que se genere el fuero de atracción respecto de aquélla y sea la jurisdicción de lo Contencioso Administrativo la competente para conocer de la controversia.</w:t>
      </w:r>
    </w:p>
    <w:p w:rsidR="00017F4D" w:rsidRPr="00E32E75" w:rsidRDefault="00017F4D" w:rsidP="00017F4D">
      <w:pPr>
        <w:pStyle w:val="Sangradetextonormal"/>
        <w:spacing w:after="0"/>
        <w:ind w:left="567" w:firstLine="567"/>
        <w:jc w:val="both"/>
        <w:rPr>
          <w:rFonts w:ascii="Arial" w:hAnsi="Arial" w:cs="Arial"/>
          <w:i/>
        </w:rPr>
      </w:pPr>
    </w:p>
    <w:p w:rsidR="00017F4D" w:rsidRPr="00E32E75" w:rsidRDefault="00017F4D" w:rsidP="00017F4D">
      <w:pPr>
        <w:pStyle w:val="Sangradetextonormal"/>
        <w:spacing w:after="0"/>
        <w:ind w:left="567"/>
        <w:jc w:val="both"/>
        <w:rPr>
          <w:rFonts w:ascii="Arial" w:hAnsi="Arial" w:cs="Arial"/>
          <w:i/>
          <w:iCs/>
          <w:spacing w:val="-3"/>
        </w:rPr>
      </w:pPr>
      <w:r w:rsidRPr="00E32E75">
        <w:rPr>
          <w:rFonts w:ascii="Arial" w:hAnsi="Arial" w:cs="Arial"/>
          <w:i/>
        </w:rPr>
        <w:t xml:space="preserve">En efecto, el Consejo ha sostenido en diversas oportunidades que en virtud del fuero de atracción, al demandarse de forma concurrente a una entidad estatal, demanda cuyo conocimiento corresponde a esa jurisdicción y a otra entidad, en un caso en el que la competencia corresponde a la jurisdicción ordinaria, el proceso debe adelantarse ante la primera, </w:t>
      </w:r>
      <w:r w:rsidRPr="00E32E75">
        <w:rPr>
          <w:rFonts w:ascii="Arial" w:hAnsi="Arial" w:cs="Arial"/>
          <w:i/>
          <w:iCs/>
          <w:spacing w:val="-3"/>
        </w:rPr>
        <w:t>la cual tiene competencia, entonces, para fallar acerca de la responsabilidad de las dos demandadas</w:t>
      </w:r>
      <w:r w:rsidRPr="00E32E75">
        <w:rPr>
          <w:rStyle w:val="Refdenotaalpie"/>
          <w:rFonts w:ascii="Arial" w:eastAsia="MS Gothic" w:hAnsi="Arial" w:cs="Arial"/>
          <w:i/>
          <w:iCs/>
          <w:spacing w:val="-3"/>
        </w:rPr>
        <w:footnoteReference w:id="24"/>
      </w:r>
      <w:r w:rsidRPr="00E32E75">
        <w:rPr>
          <w:rFonts w:ascii="Arial" w:hAnsi="Arial" w:cs="Arial"/>
          <w:i/>
          <w:iCs/>
          <w:spacing w:val="-3"/>
        </w:rPr>
        <w:t>.</w:t>
      </w:r>
    </w:p>
    <w:p w:rsidR="00017F4D" w:rsidRPr="00E32E75" w:rsidRDefault="00017F4D" w:rsidP="00017F4D">
      <w:pPr>
        <w:pStyle w:val="Sangradetextonormal"/>
        <w:spacing w:after="0"/>
        <w:ind w:left="567" w:firstLine="567"/>
        <w:jc w:val="both"/>
        <w:rPr>
          <w:rFonts w:ascii="Arial" w:hAnsi="Arial" w:cs="Arial"/>
          <w:i/>
          <w:iCs/>
          <w:spacing w:val="-3"/>
        </w:rPr>
      </w:pPr>
    </w:p>
    <w:p w:rsidR="00017F4D" w:rsidRPr="00E32E75" w:rsidRDefault="00017F4D" w:rsidP="00017F4D">
      <w:pPr>
        <w:pStyle w:val="Sangradetextonormal"/>
        <w:spacing w:after="0"/>
        <w:ind w:left="567" w:firstLine="567"/>
        <w:jc w:val="both"/>
        <w:rPr>
          <w:rFonts w:ascii="Arial" w:hAnsi="Arial" w:cs="Arial"/>
          <w:i/>
          <w:iCs/>
          <w:spacing w:val="-3"/>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lastRenderedPageBreak/>
        <w:t xml:space="preserve">Las razones expuestas son suficientes para despachar negativamente la  excepción propuesta. </w:t>
      </w:r>
    </w:p>
    <w:p w:rsidR="00017F4D" w:rsidRPr="00E32E75" w:rsidRDefault="00017F4D" w:rsidP="00017F4D">
      <w:pPr>
        <w:spacing w:line="360" w:lineRule="auto"/>
        <w:jc w:val="both"/>
        <w:rPr>
          <w:rFonts w:ascii="Arial" w:hAnsi="Arial" w:cs="Arial"/>
          <w:b/>
          <w:sz w:val="24"/>
          <w:szCs w:val="24"/>
        </w:rPr>
      </w:pPr>
    </w:p>
    <w:p w:rsidR="00017F4D" w:rsidRPr="00E32E75" w:rsidRDefault="00017F4D" w:rsidP="00017F4D">
      <w:pPr>
        <w:spacing w:line="360" w:lineRule="auto"/>
        <w:jc w:val="both"/>
        <w:rPr>
          <w:rFonts w:ascii="Arial" w:hAnsi="Arial" w:cs="Arial"/>
          <w:b/>
          <w:sz w:val="24"/>
          <w:szCs w:val="24"/>
          <w:lang w:val="es-ES"/>
        </w:rPr>
      </w:pPr>
      <w:r w:rsidRPr="00E32E75">
        <w:rPr>
          <w:rFonts w:ascii="Arial" w:hAnsi="Arial" w:cs="Arial"/>
          <w:b/>
          <w:sz w:val="24"/>
          <w:szCs w:val="24"/>
        </w:rPr>
        <w:t xml:space="preserve">6. </w:t>
      </w:r>
      <w:r w:rsidRPr="00E32E75">
        <w:rPr>
          <w:rFonts w:ascii="Arial" w:hAnsi="Arial" w:cs="Arial"/>
          <w:b/>
          <w:sz w:val="24"/>
          <w:szCs w:val="24"/>
          <w:lang w:val="es-ES"/>
        </w:rPr>
        <w:t xml:space="preserve">La excepción de cosa juzgada planteada por la SECAB y el acta de terminación y liquidación del contrato.   </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La Secretaría Ejecutiva del Convenio Andrés Bello solicitó mantener la decisión del tribunal, al tiempo que insistió en que se declare probada la excepción de cosa juzgada, esto porque las partes resolvieron sus diferencias en el acta de terminación y liquidación del contrato y renunciaron a cualquier reclamación judicial.</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rPr>
        <w:t xml:space="preserve">La cosa juzgada comporta una </w:t>
      </w:r>
      <w:r w:rsidRPr="00E32E75">
        <w:rPr>
          <w:rFonts w:ascii="Arial" w:hAnsi="Arial" w:cs="Arial"/>
          <w:sz w:val="24"/>
          <w:szCs w:val="24"/>
          <w:lang w:val="es-ES"/>
        </w:rPr>
        <w:t>institución jurídico procesal, mediante la cual se otorga a las decisiones plasmadas en una sentencia y en algunas otras providencias, el carácter de inmutables y definitivas, con el fin de lograr la terminación de las controversias, al tiempo de lograr  seguridad jurídica en las decisiones, de suerte que, desde el punto de vista formal y material, una vez en firme la decisión no queda sino cumplirla sin perjuicio de la procedencia del recurso extraordinario de revisión. De modo que no cabe considerar cosa juzgada sin el pronunciamiento de juez competente.</w:t>
      </w:r>
    </w:p>
    <w:p w:rsidR="00017F4D" w:rsidRPr="00E32E75" w:rsidRDefault="00017F4D" w:rsidP="00017F4D">
      <w:pPr>
        <w:spacing w:line="360" w:lineRule="auto"/>
        <w:jc w:val="both"/>
        <w:rPr>
          <w:rFonts w:ascii="Arial" w:hAnsi="Arial" w:cs="Arial"/>
          <w:sz w:val="24"/>
          <w:szCs w:val="24"/>
          <w:lang w:val="es-ES"/>
        </w:rPr>
      </w:pPr>
    </w:p>
    <w:p w:rsidR="00017F4D" w:rsidRPr="00E32E75" w:rsidRDefault="00017F4D" w:rsidP="00017F4D">
      <w:pPr>
        <w:spacing w:line="360" w:lineRule="auto"/>
        <w:jc w:val="both"/>
        <w:rPr>
          <w:rFonts w:ascii="Arial" w:hAnsi="Arial" w:cs="Arial"/>
          <w:sz w:val="24"/>
          <w:szCs w:val="24"/>
          <w:lang w:val="es-ES"/>
        </w:rPr>
      </w:pPr>
      <w:r w:rsidRPr="00E32E75">
        <w:rPr>
          <w:rFonts w:ascii="Arial" w:hAnsi="Arial" w:cs="Arial"/>
          <w:sz w:val="24"/>
          <w:szCs w:val="24"/>
          <w:lang w:val="es-ES"/>
        </w:rPr>
        <w:t>La cosa juzgada de que habla la SECAB nada tiene que ver con una decisión judicial, por lo que su planteamiento resulta equivocado, esto porque, aunque el acta de liquidación bilateral no podrá impugnarse por vía judicial, salvo por vicios del consentimiento o en los puntos objeto de  reservas consignadas en el acta, no comporta de suyo una decisión judicial, en cambio sí un acuerdo de voluntades liberador de obligaciones, por lo que la mentada excepción habrá de entenderse referida al balance definitivo convenido por las partes y así mismo vinculante.</w:t>
      </w:r>
    </w:p>
    <w:p w:rsidR="00017F4D" w:rsidRPr="00E32E75" w:rsidRDefault="00017F4D" w:rsidP="00017F4D">
      <w:pPr>
        <w:spacing w:line="360" w:lineRule="auto"/>
        <w:jc w:val="both"/>
        <w:rPr>
          <w:rFonts w:ascii="Arial" w:hAnsi="Arial" w:cs="Arial"/>
          <w:sz w:val="24"/>
          <w:szCs w:val="24"/>
          <w:lang w:val="es-ES"/>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lang w:val="es-ES"/>
        </w:rPr>
        <w:t xml:space="preserve">En efecto, el contrato fue liquidado de manera bilateral, asunto que no se encuentra en discusión. El acta de terminación, suscrita el 27 de octubre de 1997, dio cuenta de que el contratista cumplió parcialmente con el objeto, pues de las 21.105 encuestas, ejecutó aproximadamente el 50 %, en cuanto  entregó 10.196 y por tal concepto, el saldo a su favor arrojó la suma de $20.302.200,oo. En la misma actuación, las partes se declararon a paz y salvo y renunciaron a cualquier reclamación posterior. Convenio este liberador de obligaciones, que puso fin </w:t>
      </w:r>
      <w:r w:rsidRPr="00E32E75">
        <w:rPr>
          <w:rFonts w:ascii="Arial" w:hAnsi="Arial" w:cs="Arial"/>
          <w:sz w:val="24"/>
          <w:szCs w:val="24"/>
        </w:rPr>
        <w:t xml:space="preserve">a la relación contractual, finiquitó las prestaciones, determinó los créditos y deudas recíprocas e hizo claridad sobre el desarrollo del contrato. En este panorama, </w:t>
      </w:r>
      <w:r w:rsidRPr="00E32E75">
        <w:rPr>
          <w:rFonts w:ascii="Arial" w:hAnsi="Arial" w:cs="Arial"/>
          <w:sz w:val="24"/>
          <w:szCs w:val="24"/>
        </w:rPr>
        <w:lastRenderedPageBreak/>
        <w:t>liquidada bilateralmente la relación sin reservas de ninguna índole, en principio, el acta se torna irrevisable por el contratista, pues en ejercicio de la autonomía de la voluntad se avino a ella, dejando a salvo el crédito existente a su favor.</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 xml:space="preserve">Finalmente, el acta de liquidación bilateral comportó un acuerdo negocial, con efectos transaccionales sobre las diferencias. En tanto con el entendimiento de que no operó la cosa juzgada, empero, el acuerdo no le permitía a la actora volver sobre el contrato liquidado. </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 xml:space="preserve">Siendo así, la Sala queda relevada de entrar a resolver sobre las  pretensiones de incumplimiento, fundadas en que la contratante terminó intempestivamente el contrato y modificó las condiciones pactadas, pues lo cierto tiene que ver con que el </w:t>
      </w:r>
      <w:r w:rsidRPr="00E32E75">
        <w:rPr>
          <w:rFonts w:ascii="Arial" w:hAnsi="Arial" w:cs="Arial"/>
          <w:sz w:val="24"/>
          <w:szCs w:val="24"/>
          <w:lang w:val="es-ES"/>
        </w:rPr>
        <w:t>CENTRO DE INVESTIGACIONES PROFESIONALES –</w:t>
      </w:r>
      <w:r w:rsidR="00C83325">
        <w:rPr>
          <w:rFonts w:ascii="Arial" w:hAnsi="Arial" w:cs="Arial"/>
          <w:sz w:val="24"/>
          <w:szCs w:val="24"/>
          <w:lang w:val="es-ES"/>
        </w:rPr>
        <w:t>CENINP- se declaró a paz y salvo</w:t>
      </w:r>
      <w:r w:rsidRPr="00E32E75">
        <w:rPr>
          <w:rFonts w:ascii="Arial" w:hAnsi="Arial" w:cs="Arial"/>
          <w:sz w:val="24"/>
          <w:szCs w:val="24"/>
          <w:lang w:val="es-ES"/>
        </w:rPr>
        <w:t xml:space="preserve"> por todo concepto, sin perjuicio que la prueba documental, especialmente los requerimientos e informes de interventoría  dan cuenta de su propio incumplimiento, lo que condujo a que las partes convinieran disminuir el número de encuestas a ejecutar en más de un 50%, así como el valor del contrato, sin que se observe que la demandada hubiese faltado a su compromiso. </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En esta panorama se revocara la sentencia apelada y en su lugar se negarán las súplicas de la demanda por las razones expuestas en la parte motiva.</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No se condenará en costas por no aparecer causadas.</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sz w:val="24"/>
          <w:szCs w:val="24"/>
        </w:rPr>
        <w:t>En mérito de lo expuesto, el Consejo de Estado, Sala de lo Contencioso Administrativo, Sección Tercera, administrando justicia en nombre de la República de Colombia y por autoridad de la ley,</w:t>
      </w:r>
    </w:p>
    <w:p w:rsidR="00C657FD" w:rsidRPr="00E32E75" w:rsidRDefault="00C657FD" w:rsidP="00017F4D">
      <w:pPr>
        <w:spacing w:line="360" w:lineRule="auto"/>
        <w:jc w:val="both"/>
        <w:rPr>
          <w:rFonts w:ascii="Arial" w:hAnsi="Arial" w:cs="Arial"/>
          <w:sz w:val="24"/>
          <w:szCs w:val="24"/>
        </w:rPr>
      </w:pPr>
    </w:p>
    <w:p w:rsidR="00017F4D" w:rsidRPr="00E32E75" w:rsidRDefault="00017F4D" w:rsidP="00017F4D">
      <w:pPr>
        <w:keepNext/>
        <w:spacing w:before="240"/>
        <w:jc w:val="center"/>
        <w:rPr>
          <w:rFonts w:ascii="Arial" w:hAnsi="Arial" w:cs="Arial"/>
          <w:b/>
          <w:bCs/>
          <w:sz w:val="24"/>
          <w:szCs w:val="24"/>
        </w:rPr>
      </w:pPr>
      <w:r w:rsidRPr="00E32E75">
        <w:rPr>
          <w:rFonts w:ascii="Arial" w:hAnsi="Arial" w:cs="Arial"/>
          <w:b/>
          <w:bCs/>
          <w:sz w:val="24"/>
          <w:szCs w:val="24"/>
        </w:rPr>
        <w:t>FALLA:</w:t>
      </w:r>
    </w:p>
    <w:p w:rsidR="00017F4D" w:rsidRPr="00E32E75" w:rsidRDefault="00017F4D" w:rsidP="00017F4D">
      <w:pPr>
        <w:keepNext/>
        <w:spacing w:before="240"/>
        <w:jc w:val="center"/>
        <w:rPr>
          <w:rFonts w:ascii="Arial" w:hAnsi="Arial" w:cs="Arial"/>
          <w:b/>
          <w:bCs/>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b/>
          <w:bCs/>
          <w:sz w:val="24"/>
          <w:szCs w:val="24"/>
        </w:rPr>
        <w:t xml:space="preserve">REVÓCASE </w:t>
      </w:r>
      <w:r w:rsidRPr="00E32E75">
        <w:rPr>
          <w:rFonts w:ascii="Arial" w:hAnsi="Arial" w:cs="Arial"/>
          <w:sz w:val="24"/>
          <w:szCs w:val="24"/>
        </w:rPr>
        <w:t xml:space="preserve">la sentencia proferida el 22 de enero de 2004, por el Tribunal Administrativo de Cundinamarca -Sala de Descongestión y en su lugar </w:t>
      </w:r>
    </w:p>
    <w:p w:rsidR="00017F4D" w:rsidRPr="00E32E75" w:rsidRDefault="00017F4D" w:rsidP="00017F4D">
      <w:pPr>
        <w:spacing w:line="360" w:lineRule="auto"/>
        <w:jc w:val="both"/>
        <w:rPr>
          <w:rFonts w:ascii="Arial" w:hAnsi="Arial" w:cs="Arial"/>
          <w:sz w:val="24"/>
          <w:szCs w:val="24"/>
        </w:rPr>
      </w:pPr>
    </w:p>
    <w:p w:rsidR="00017F4D" w:rsidRPr="00E32E75" w:rsidRDefault="00017F4D" w:rsidP="00017F4D">
      <w:pPr>
        <w:spacing w:line="360" w:lineRule="auto"/>
        <w:jc w:val="both"/>
        <w:rPr>
          <w:rFonts w:ascii="Arial" w:hAnsi="Arial" w:cs="Arial"/>
          <w:bCs/>
          <w:sz w:val="24"/>
          <w:szCs w:val="24"/>
        </w:rPr>
      </w:pPr>
      <w:r w:rsidRPr="00E32E75">
        <w:rPr>
          <w:rFonts w:ascii="Arial" w:hAnsi="Arial" w:cs="Arial"/>
          <w:b/>
          <w:sz w:val="24"/>
          <w:szCs w:val="24"/>
        </w:rPr>
        <w:t xml:space="preserve">NEGAR </w:t>
      </w:r>
      <w:r w:rsidRPr="00E32E75">
        <w:rPr>
          <w:rFonts w:ascii="Arial" w:hAnsi="Arial" w:cs="Arial"/>
          <w:sz w:val="24"/>
          <w:szCs w:val="24"/>
        </w:rPr>
        <w:t>las súplicas de la demanda por las razones expuestas en la parte motiva.</w:t>
      </w:r>
    </w:p>
    <w:p w:rsidR="00017F4D" w:rsidRPr="00E32E75" w:rsidRDefault="00017F4D" w:rsidP="00017F4D">
      <w:pPr>
        <w:spacing w:line="360" w:lineRule="auto"/>
        <w:jc w:val="both"/>
        <w:rPr>
          <w:rFonts w:ascii="Arial" w:hAnsi="Arial" w:cs="Arial"/>
          <w:b/>
          <w:bCs/>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b/>
          <w:bCs/>
          <w:sz w:val="24"/>
          <w:szCs w:val="24"/>
        </w:rPr>
        <w:t xml:space="preserve">SIN COSTAS </w:t>
      </w:r>
      <w:r w:rsidRPr="00E32E75">
        <w:rPr>
          <w:rFonts w:ascii="Arial" w:hAnsi="Arial" w:cs="Arial"/>
          <w:sz w:val="24"/>
          <w:szCs w:val="24"/>
        </w:rPr>
        <w:t>por no aparecer causadas.</w:t>
      </w:r>
    </w:p>
    <w:p w:rsidR="00017F4D" w:rsidRPr="00E32E75" w:rsidRDefault="00017F4D" w:rsidP="00017F4D">
      <w:pPr>
        <w:spacing w:line="360" w:lineRule="auto"/>
        <w:jc w:val="both"/>
        <w:rPr>
          <w:rFonts w:ascii="Arial" w:hAnsi="Arial" w:cs="Arial"/>
          <w:b/>
          <w:bCs/>
          <w:sz w:val="24"/>
          <w:szCs w:val="24"/>
        </w:rPr>
      </w:pPr>
    </w:p>
    <w:p w:rsidR="00017F4D" w:rsidRPr="00E32E75" w:rsidRDefault="00017F4D" w:rsidP="00017F4D">
      <w:pPr>
        <w:spacing w:line="360" w:lineRule="auto"/>
        <w:jc w:val="both"/>
        <w:rPr>
          <w:rFonts w:ascii="Arial" w:hAnsi="Arial" w:cs="Arial"/>
          <w:sz w:val="24"/>
          <w:szCs w:val="24"/>
        </w:rPr>
      </w:pPr>
      <w:r w:rsidRPr="00E32E75">
        <w:rPr>
          <w:rFonts w:ascii="Arial" w:hAnsi="Arial" w:cs="Arial"/>
          <w:b/>
          <w:bCs/>
          <w:sz w:val="24"/>
          <w:szCs w:val="24"/>
        </w:rPr>
        <w:t xml:space="preserve">DEVUÉLVASE </w:t>
      </w:r>
      <w:r w:rsidRPr="00E32E75">
        <w:rPr>
          <w:rFonts w:ascii="Arial" w:hAnsi="Arial" w:cs="Arial"/>
          <w:sz w:val="24"/>
          <w:szCs w:val="24"/>
        </w:rPr>
        <w:t xml:space="preserve">el expediente al Tribunal de origen, una vez ejecutoriada la presente sentencia. </w:t>
      </w:r>
    </w:p>
    <w:p w:rsidR="00017F4D" w:rsidRPr="00E32E75" w:rsidRDefault="00017F4D" w:rsidP="00017F4D">
      <w:pPr>
        <w:spacing w:line="360" w:lineRule="auto"/>
        <w:jc w:val="center"/>
        <w:rPr>
          <w:rFonts w:ascii="Arial" w:hAnsi="Arial" w:cs="Arial"/>
          <w:b/>
          <w:bCs/>
          <w:sz w:val="24"/>
          <w:szCs w:val="24"/>
        </w:rPr>
      </w:pPr>
    </w:p>
    <w:p w:rsidR="00017F4D" w:rsidRPr="00E32E75" w:rsidRDefault="00017F4D" w:rsidP="00017F4D">
      <w:pPr>
        <w:spacing w:line="360" w:lineRule="auto"/>
        <w:jc w:val="center"/>
        <w:rPr>
          <w:rFonts w:ascii="Arial" w:hAnsi="Arial" w:cs="Arial"/>
          <w:b/>
          <w:bCs/>
          <w:sz w:val="24"/>
          <w:szCs w:val="24"/>
        </w:rPr>
      </w:pPr>
      <w:r w:rsidRPr="00E32E75">
        <w:rPr>
          <w:rFonts w:ascii="Arial" w:hAnsi="Arial" w:cs="Arial"/>
          <w:b/>
          <w:bCs/>
          <w:sz w:val="24"/>
          <w:szCs w:val="24"/>
        </w:rPr>
        <w:t>CÓPIESE, NOTIFÍQUESE Y CÚMPLASE</w:t>
      </w:r>
    </w:p>
    <w:p w:rsidR="00017F4D" w:rsidRPr="00E32E75" w:rsidRDefault="00017F4D" w:rsidP="00C657FD">
      <w:pPr>
        <w:widowControl w:val="0"/>
        <w:jc w:val="center"/>
        <w:rPr>
          <w:rFonts w:ascii="Arial" w:hAnsi="Arial" w:cs="Arial"/>
          <w:b/>
          <w:bCs/>
          <w:sz w:val="24"/>
          <w:szCs w:val="24"/>
        </w:rPr>
      </w:pPr>
    </w:p>
    <w:p w:rsidR="00C657FD" w:rsidRPr="00E32E75" w:rsidRDefault="00C657FD" w:rsidP="00C657FD">
      <w:pPr>
        <w:widowControl w:val="0"/>
        <w:jc w:val="center"/>
        <w:rPr>
          <w:rFonts w:ascii="Arial" w:hAnsi="Arial" w:cs="Arial"/>
          <w:b/>
          <w:bCs/>
          <w:sz w:val="24"/>
          <w:szCs w:val="24"/>
        </w:rPr>
      </w:pPr>
    </w:p>
    <w:p w:rsidR="00017F4D" w:rsidRPr="00E32E75" w:rsidRDefault="00017F4D" w:rsidP="00C657FD">
      <w:pPr>
        <w:widowControl w:val="0"/>
        <w:jc w:val="center"/>
        <w:rPr>
          <w:rFonts w:ascii="Arial" w:hAnsi="Arial" w:cs="Arial"/>
          <w:b/>
          <w:bCs/>
          <w:sz w:val="24"/>
          <w:szCs w:val="24"/>
        </w:rPr>
      </w:pPr>
    </w:p>
    <w:p w:rsidR="00017F4D" w:rsidRPr="00E32E75" w:rsidRDefault="00017F4D" w:rsidP="00C657FD">
      <w:pPr>
        <w:widowControl w:val="0"/>
        <w:jc w:val="center"/>
        <w:rPr>
          <w:rFonts w:ascii="Arial" w:hAnsi="Arial" w:cs="Arial"/>
          <w:b/>
          <w:bCs/>
          <w:sz w:val="24"/>
          <w:szCs w:val="24"/>
        </w:rPr>
      </w:pPr>
    </w:p>
    <w:p w:rsidR="00017F4D" w:rsidRPr="00E32E75" w:rsidRDefault="00017F4D" w:rsidP="00C657FD">
      <w:pPr>
        <w:widowControl w:val="0"/>
        <w:jc w:val="center"/>
        <w:rPr>
          <w:rFonts w:ascii="Arial" w:hAnsi="Arial" w:cs="Arial"/>
          <w:b/>
          <w:bCs/>
          <w:sz w:val="24"/>
          <w:szCs w:val="24"/>
        </w:rPr>
      </w:pPr>
      <w:r w:rsidRPr="00E32E75">
        <w:rPr>
          <w:rFonts w:ascii="Arial" w:hAnsi="Arial" w:cs="Arial"/>
          <w:b/>
          <w:bCs/>
          <w:sz w:val="24"/>
          <w:szCs w:val="24"/>
        </w:rPr>
        <w:t>RAMIRO DE JESÚS PAZOS GUERRERO</w:t>
      </w:r>
    </w:p>
    <w:p w:rsidR="00017F4D" w:rsidRPr="00E32E75" w:rsidRDefault="00017F4D" w:rsidP="00C657FD">
      <w:pPr>
        <w:widowControl w:val="0"/>
        <w:jc w:val="center"/>
        <w:rPr>
          <w:rFonts w:ascii="Arial" w:hAnsi="Arial" w:cs="Arial"/>
          <w:b/>
          <w:bCs/>
          <w:sz w:val="24"/>
          <w:szCs w:val="24"/>
        </w:rPr>
      </w:pPr>
      <w:r w:rsidRPr="00E32E75">
        <w:rPr>
          <w:rFonts w:ascii="Arial" w:hAnsi="Arial" w:cs="Arial"/>
          <w:b/>
          <w:bCs/>
          <w:sz w:val="24"/>
          <w:szCs w:val="24"/>
        </w:rPr>
        <w:t>Presidente</w:t>
      </w:r>
    </w:p>
    <w:p w:rsidR="00017F4D" w:rsidRPr="00E32E75" w:rsidRDefault="00017F4D" w:rsidP="00C657FD">
      <w:pPr>
        <w:widowControl w:val="0"/>
        <w:jc w:val="center"/>
        <w:rPr>
          <w:rFonts w:ascii="Arial" w:hAnsi="Arial" w:cs="Arial"/>
          <w:b/>
          <w:bCs/>
          <w:sz w:val="24"/>
          <w:szCs w:val="24"/>
        </w:rPr>
      </w:pPr>
    </w:p>
    <w:p w:rsidR="00017F4D" w:rsidRPr="00E32E75" w:rsidRDefault="00017F4D" w:rsidP="00C657FD">
      <w:pPr>
        <w:widowControl w:val="0"/>
        <w:jc w:val="center"/>
        <w:rPr>
          <w:rFonts w:ascii="Arial" w:hAnsi="Arial" w:cs="Arial"/>
          <w:b/>
          <w:bCs/>
          <w:sz w:val="24"/>
          <w:szCs w:val="24"/>
        </w:rPr>
      </w:pPr>
    </w:p>
    <w:p w:rsidR="00017F4D" w:rsidRPr="00E32E75" w:rsidRDefault="00017F4D" w:rsidP="00C657FD">
      <w:pPr>
        <w:widowControl w:val="0"/>
        <w:jc w:val="center"/>
        <w:rPr>
          <w:rFonts w:ascii="Arial" w:hAnsi="Arial" w:cs="Arial"/>
          <w:b/>
          <w:bCs/>
          <w:sz w:val="24"/>
          <w:szCs w:val="24"/>
        </w:rPr>
      </w:pPr>
    </w:p>
    <w:p w:rsidR="00017F4D" w:rsidRPr="00E32E75" w:rsidRDefault="00017F4D" w:rsidP="00C657FD">
      <w:pPr>
        <w:widowControl w:val="0"/>
        <w:jc w:val="center"/>
        <w:rPr>
          <w:rFonts w:ascii="Arial" w:hAnsi="Arial" w:cs="Arial"/>
          <w:b/>
          <w:bCs/>
          <w:sz w:val="24"/>
          <w:szCs w:val="24"/>
        </w:rPr>
      </w:pPr>
    </w:p>
    <w:p w:rsidR="00017F4D" w:rsidRPr="00E32E75" w:rsidRDefault="00017F4D" w:rsidP="00C657FD">
      <w:pPr>
        <w:widowControl w:val="0"/>
        <w:jc w:val="center"/>
        <w:rPr>
          <w:rFonts w:ascii="Arial" w:hAnsi="Arial" w:cs="Arial"/>
          <w:b/>
          <w:bCs/>
          <w:sz w:val="24"/>
          <w:szCs w:val="24"/>
        </w:rPr>
      </w:pPr>
      <w:r w:rsidRPr="00E32E75">
        <w:rPr>
          <w:rFonts w:ascii="Arial" w:hAnsi="Arial" w:cs="Arial"/>
          <w:b/>
          <w:bCs/>
          <w:sz w:val="24"/>
          <w:szCs w:val="24"/>
        </w:rPr>
        <w:t xml:space="preserve">STELLA CONTO </w:t>
      </w:r>
      <w:r w:rsidR="00C657FD" w:rsidRPr="00E32E75">
        <w:rPr>
          <w:rFonts w:ascii="Arial" w:hAnsi="Arial" w:cs="Arial"/>
          <w:b/>
          <w:bCs/>
          <w:sz w:val="24"/>
          <w:szCs w:val="24"/>
        </w:rPr>
        <w:t>DÍAZ</w:t>
      </w:r>
      <w:r w:rsidRPr="00E32E75">
        <w:rPr>
          <w:rFonts w:ascii="Arial" w:hAnsi="Arial" w:cs="Arial"/>
          <w:b/>
          <w:bCs/>
          <w:sz w:val="24"/>
          <w:szCs w:val="24"/>
        </w:rPr>
        <w:t xml:space="preserve"> DEL CASTILLO</w:t>
      </w:r>
    </w:p>
    <w:p w:rsidR="00017F4D" w:rsidRPr="00E32E75" w:rsidRDefault="00017F4D" w:rsidP="00C657FD">
      <w:pPr>
        <w:widowControl w:val="0"/>
        <w:jc w:val="center"/>
        <w:rPr>
          <w:rFonts w:ascii="Arial" w:hAnsi="Arial" w:cs="Arial"/>
          <w:b/>
          <w:bCs/>
          <w:sz w:val="24"/>
          <w:szCs w:val="24"/>
        </w:rPr>
      </w:pPr>
      <w:r w:rsidRPr="00E32E75">
        <w:rPr>
          <w:rFonts w:ascii="Arial" w:hAnsi="Arial" w:cs="Arial"/>
          <w:b/>
          <w:bCs/>
          <w:sz w:val="24"/>
          <w:szCs w:val="24"/>
        </w:rPr>
        <w:t>Magistrada</w:t>
      </w:r>
    </w:p>
    <w:p w:rsidR="00017F4D" w:rsidRPr="00E32E75" w:rsidRDefault="00017F4D" w:rsidP="00C657FD">
      <w:pPr>
        <w:widowControl w:val="0"/>
        <w:jc w:val="center"/>
        <w:rPr>
          <w:rFonts w:ascii="Arial" w:hAnsi="Arial" w:cs="Arial"/>
          <w:b/>
          <w:bCs/>
          <w:sz w:val="24"/>
          <w:szCs w:val="24"/>
        </w:rPr>
      </w:pPr>
    </w:p>
    <w:p w:rsidR="00017F4D" w:rsidRPr="00E32E75" w:rsidRDefault="00017F4D" w:rsidP="00C657FD">
      <w:pPr>
        <w:widowControl w:val="0"/>
        <w:jc w:val="center"/>
        <w:rPr>
          <w:rFonts w:ascii="Arial" w:hAnsi="Arial" w:cs="Arial"/>
          <w:b/>
          <w:bCs/>
          <w:sz w:val="24"/>
          <w:szCs w:val="24"/>
        </w:rPr>
      </w:pPr>
    </w:p>
    <w:p w:rsidR="00017F4D" w:rsidRPr="00E32E75" w:rsidRDefault="00017F4D" w:rsidP="00C657FD">
      <w:pPr>
        <w:widowControl w:val="0"/>
        <w:jc w:val="center"/>
        <w:rPr>
          <w:rFonts w:ascii="Arial" w:hAnsi="Arial" w:cs="Arial"/>
          <w:b/>
          <w:bCs/>
          <w:sz w:val="24"/>
          <w:szCs w:val="24"/>
        </w:rPr>
      </w:pPr>
    </w:p>
    <w:p w:rsidR="00017F4D" w:rsidRPr="00E32E75" w:rsidRDefault="00017F4D" w:rsidP="00C657FD">
      <w:pPr>
        <w:widowControl w:val="0"/>
        <w:jc w:val="center"/>
        <w:rPr>
          <w:rFonts w:ascii="Arial" w:hAnsi="Arial" w:cs="Arial"/>
          <w:b/>
          <w:bCs/>
          <w:sz w:val="24"/>
          <w:szCs w:val="24"/>
        </w:rPr>
      </w:pPr>
    </w:p>
    <w:p w:rsidR="00017F4D" w:rsidRPr="00E32E75" w:rsidRDefault="00017F4D" w:rsidP="00C657FD">
      <w:pPr>
        <w:widowControl w:val="0"/>
        <w:jc w:val="center"/>
        <w:rPr>
          <w:rFonts w:ascii="Arial" w:hAnsi="Arial" w:cs="Arial"/>
          <w:b/>
          <w:bCs/>
          <w:sz w:val="24"/>
          <w:szCs w:val="24"/>
        </w:rPr>
      </w:pPr>
      <w:r w:rsidRPr="00E32E75">
        <w:rPr>
          <w:rFonts w:ascii="Arial" w:hAnsi="Arial" w:cs="Arial"/>
          <w:b/>
          <w:bCs/>
          <w:sz w:val="24"/>
          <w:szCs w:val="24"/>
        </w:rPr>
        <w:t>DANILO ROJAS BETANCOURTH</w:t>
      </w:r>
    </w:p>
    <w:p w:rsidR="00B3794A" w:rsidRPr="00E32E75" w:rsidRDefault="00017F4D" w:rsidP="00C657FD">
      <w:pPr>
        <w:widowControl w:val="0"/>
        <w:jc w:val="center"/>
        <w:rPr>
          <w:rFonts w:ascii="Arial" w:hAnsi="Arial" w:cs="Arial"/>
          <w:sz w:val="24"/>
          <w:szCs w:val="24"/>
        </w:rPr>
      </w:pPr>
      <w:r w:rsidRPr="00E32E75">
        <w:rPr>
          <w:rFonts w:ascii="Arial" w:hAnsi="Arial" w:cs="Arial"/>
          <w:b/>
          <w:bCs/>
          <w:sz w:val="24"/>
          <w:szCs w:val="24"/>
        </w:rPr>
        <w:t>Magistrado</w:t>
      </w:r>
    </w:p>
    <w:sectPr w:rsidR="00B3794A" w:rsidRPr="00E32E75" w:rsidSect="007C5D43">
      <w:pgSz w:w="12242" w:h="18722" w:code="120"/>
      <w:pgMar w:top="1701" w:right="1701" w:bottom="1701" w:left="1701"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1D3E" w:rsidRDefault="00B91D3E" w:rsidP="00017F4D">
      <w:r>
        <w:separator/>
      </w:r>
    </w:p>
  </w:endnote>
  <w:endnote w:type="continuationSeparator" w:id="0">
    <w:p w:rsidR="00B91D3E" w:rsidRDefault="00B91D3E" w:rsidP="00017F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1D3E" w:rsidRDefault="00B91D3E" w:rsidP="00017F4D">
      <w:r>
        <w:separator/>
      </w:r>
    </w:p>
  </w:footnote>
  <w:footnote w:type="continuationSeparator" w:id="0">
    <w:p w:rsidR="00B91D3E" w:rsidRDefault="00B91D3E" w:rsidP="00017F4D">
      <w:r>
        <w:continuationSeparator/>
      </w:r>
    </w:p>
  </w:footnote>
  <w:footnote w:id="1">
    <w:p w:rsidR="00017F4D" w:rsidRDefault="00017F4D" w:rsidP="00017F4D">
      <w:pPr>
        <w:jc w:val="both"/>
      </w:pPr>
      <w:r>
        <w:rPr>
          <w:rStyle w:val="Refdenotaalpie"/>
        </w:rPr>
        <w:footnoteRef/>
      </w:r>
      <w:r>
        <w:t xml:space="preserve"> </w:t>
      </w:r>
      <w:r w:rsidRPr="009605EE">
        <w:rPr>
          <w:rFonts w:ascii="Arial" w:hAnsi="Arial" w:cs="Arial"/>
          <w:i/>
        </w:rPr>
        <w:t>Mediante escritura pública n.° 355 de 27 de febrer</w:t>
      </w:r>
      <w:r>
        <w:rPr>
          <w:rFonts w:ascii="Arial" w:hAnsi="Arial" w:cs="Arial"/>
          <w:i/>
        </w:rPr>
        <w:t xml:space="preserve">o de 1995 de la Notaría 53 </w:t>
      </w:r>
      <w:r w:rsidRPr="009605EE">
        <w:rPr>
          <w:rFonts w:ascii="Arial" w:hAnsi="Arial" w:cs="Arial"/>
          <w:i/>
        </w:rPr>
        <w:t xml:space="preserve">de Bogotá, se constituyó el </w:t>
      </w:r>
      <w:r w:rsidRPr="009605EE">
        <w:rPr>
          <w:rFonts w:ascii="Arial" w:hAnsi="Arial" w:cs="Arial"/>
          <w:i/>
          <w:lang w:val="es-ES"/>
        </w:rPr>
        <w:t>CENTRO DE INVESTIGACIONES PROFESIONALES</w:t>
      </w:r>
      <w:r>
        <w:rPr>
          <w:rFonts w:ascii="Arial" w:hAnsi="Arial" w:cs="Arial"/>
          <w:i/>
        </w:rPr>
        <w:t xml:space="preserve"> –</w:t>
      </w:r>
      <w:r w:rsidRPr="009605EE">
        <w:rPr>
          <w:rFonts w:ascii="Arial" w:hAnsi="Arial" w:cs="Arial"/>
          <w:i/>
          <w:lang w:val="es-ES"/>
        </w:rPr>
        <w:t>CENINP</w:t>
      </w:r>
      <w:r>
        <w:rPr>
          <w:rFonts w:ascii="Arial" w:hAnsi="Arial" w:cs="Arial"/>
          <w:i/>
          <w:lang w:val="es-ES"/>
        </w:rPr>
        <w:t>-</w:t>
      </w:r>
      <w:r w:rsidRPr="009605EE">
        <w:rPr>
          <w:rFonts w:ascii="Arial" w:hAnsi="Arial" w:cs="Arial"/>
          <w:i/>
          <w:lang w:val="es-ES"/>
        </w:rPr>
        <w:t xml:space="preserve"> </w:t>
      </w:r>
      <w:r>
        <w:rPr>
          <w:rFonts w:ascii="Arial" w:hAnsi="Arial" w:cs="Arial"/>
          <w:i/>
        </w:rPr>
        <w:t>inscrito</w:t>
      </w:r>
      <w:r w:rsidRPr="009605EE">
        <w:rPr>
          <w:rFonts w:ascii="Arial" w:hAnsi="Arial" w:cs="Arial"/>
          <w:i/>
        </w:rPr>
        <w:t xml:space="preserve"> en la Cámara de Comercio de Bogotá bajo el n.° de matrícula</w:t>
      </w:r>
      <w:r>
        <w:rPr>
          <w:rFonts w:ascii="Arial" w:hAnsi="Arial" w:cs="Arial"/>
          <w:i/>
        </w:rPr>
        <w:t xml:space="preserve"> </w:t>
      </w:r>
      <w:r w:rsidRPr="009605EE">
        <w:rPr>
          <w:rFonts w:ascii="Arial" w:hAnsi="Arial" w:cs="Arial"/>
          <w:i/>
          <w:lang w:val="pt-BR"/>
        </w:rPr>
        <w:t>00635715</w:t>
      </w:r>
      <w:r>
        <w:rPr>
          <w:rFonts w:ascii="Arial" w:hAnsi="Arial" w:cs="Arial"/>
          <w:i/>
          <w:lang w:val="pt-BR"/>
        </w:rPr>
        <w:t>.</w:t>
      </w:r>
    </w:p>
  </w:footnote>
  <w:footnote w:id="2">
    <w:p w:rsidR="00017F4D" w:rsidRPr="00057E7E" w:rsidRDefault="00017F4D" w:rsidP="00017F4D">
      <w:pPr>
        <w:jc w:val="both"/>
        <w:rPr>
          <w:rFonts w:ascii="Arial" w:hAnsi="Arial" w:cs="Arial"/>
          <w:i/>
        </w:rPr>
      </w:pPr>
      <w:r>
        <w:rPr>
          <w:rStyle w:val="Refdenotaalpie"/>
        </w:rPr>
        <w:footnoteRef/>
      </w:r>
      <w:r>
        <w:t xml:space="preserve"> </w:t>
      </w:r>
      <w:r w:rsidRPr="00057E7E">
        <w:rPr>
          <w:rFonts w:ascii="Arial" w:hAnsi="Arial" w:cs="Arial"/>
          <w:i/>
        </w:rPr>
        <w:t xml:space="preserve">La cuantía exigida para que la acción </w:t>
      </w:r>
      <w:r>
        <w:rPr>
          <w:rFonts w:ascii="Arial" w:hAnsi="Arial" w:cs="Arial"/>
          <w:i/>
        </w:rPr>
        <w:t xml:space="preserve">contractual </w:t>
      </w:r>
      <w:r w:rsidRPr="00057E7E">
        <w:rPr>
          <w:rFonts w:ascii="Arial" w:hAnsi="Arial" w:cs="Arial"/>
          <w:i/>
        </w:rPr>
        <w:t>tuviera vocación de doble instancia</w:t>
      </w:r>
      <w:r>
        <w:rPr>
          <w:rFonts w:ascii="Arial" w:hAnsi="Arial" w:cs="Arial"/>
          <w:i/>
        </w:rPr>
        <w:t xml:space="preserve"> antes esta Corporación </w:t>
      </w:r>
      <w:r w:rsidRPr="00057E7E">
        <w:rPr>
          <w:rFonts w:ascii="Arial" w:hAnsi="Arial" w:cs="Arial"/>
          <w:i/>
        </w:rPr>
        <w:t>era de $ 1</w:t>
      </w:r>
      <w:r>
        <w:rPr>
          <w:rFonts w:ascii="Arial" w:hAnsi="Arial" w:cs="Arial"/>
          <w:i/>
        </w:rPr>
        <w:t>3.46</w:t>
      </w:r>
      <w:r w:rsidRPr="00057E7E">
        <w:rPr>
          <w:rFonts w:ascii="Arial" w:hAnsi="Arial" w:cs="Arial"/>
          <w:i/>
        </w:rPr>
        <w:t xml:space="preserve">0.000,oo  y el monto de la pretensión mayor para el </w:t>
      </w:r>
      <w:r>
        <w:rPr>
          <w:rFonts w:ascii="Arial" w:hAnsi="Arial" w:cs="Arial"/>
          <w:i/>
        </w:rPr>
        <w:t>25 de junio de 1999</w:t>
      </w:r>
      <w:r w:rsidRPr="00266DC0">
        <w:rPr>
          <w:rFonts w:ascii="Arial" w:hAnsi="Arial" w:cs="Arial"/>
          <w:i/>
        </w:rPr>
        <w:t>,</w:t>
      </w:r>
      <w:r>
        <w:rPr>
          <w:rFonts w:ascii="Arial" w:hAnsi="Arial" w:cs="Arial"/>
          <w:sz w:val="26"/>
          <w:szCs w:val="26"/>
        </w:rPr>
        <w:t xml:space="preserve"> </w:t>
      </w:r>
      <w:r w:rsidRPr="00057E7E">
        <w:rPr>
          <w:rFonts w:ascii="Arial" w:hAnsi="Arial" w:cs="Arial"/>
          <w:i/>
        </w:rPr>
        <w:t xml:space="preserve">cuando se presentó la demanda superaba </w:t>
      </w:r>
      <w:r>
        <w:rPr>
          <w:rFonts w:ascii="Arial" w:hAnsi="Arial" w:cs="Arial"/>
          <w:i/>
        </w:rPr>
        <w:t>la suma de $ 18.850.000,oo</w:t>
      </w:r>
      <w:r w:rsidRPr="00057E7E">
        <w:rPr>
          <w:rFonts w:ascii="Arial" w:hAnsi="Arial" w:cs="Arial"/>
          <w:i/>
        </w:rPr>
        <w:t>.</w:t>
      </w:r>
    </w:p>
    <w:p w:rsidR="00017F4D" w:rsidRPr="00057E7E" w:rsidRDefault="00017F4D" w:rsidP="00017F4D">
      <w:pPr>
        <w:pStyle w:val="Textonotapie"/>
        <w:jc w:val="both"/>
        <w:rPr>
          <w:rFonts w:ascii="Arial" w:hAnsi="Arial" w:cs="Arial"/>
          <w:i/>
          <w:sz w:val="22"/>
          <w:szCs w:val="22"/>
        </w:rPr>
      </w:pPr>
    </w:p>
  </w:footnote>
  <w:footnote w:id="3">
    <w:p w:rsidR="00017F4D" w:rsidRPr="00172D2D" w:rsidRDefault="00017F4D" w:rsidP="00017F4D">
      <w:pPr>
        <w:pStyle w:val="NormalWeb"/>
        <w:spacing w:before="0" w:beforeAutospacing="0" w:after="0" w:afterAutospacing="0"/>
        <w:jc w:val="both"/>
        <w:rPr>
          <w:rFonts w:ascii="Arial" w:hAnsi="Arial" w:cs="Arial"/>
          <w:i/>
          <w:sz w:val="22"/>
          <w:szCs w:val="22"/>
        </w:rPr>
      </w:pPr>
      <w:r>
        <w:rPr>
          <w:rStyle w:val="Refdenotaalpie"/>
          <w:rFonts w:eastAsia="MS Gothic"/>
        </w:rPr>
        <w:footnoteRef/>
      </w:r>
      <w:r>
        <w:t xml:space="preserve"> </w:t>
      </w:r>
      <w:r w:rsidRPr="00172D2D">
        <w:rPr>
          <w:rFonts w:ascii="Arial" w:hAnsi="Arial" w:cs="Arial"/>
          <w:b/>
          <w:bCs/>
          <w:i/>
          <w:sz w:val="22"/>
          <w:szCs w:val="22"/>
        </w:rPr>
        <w:t>Artículo </w:t>
      </w:r>
      <w:bookmarkStart w:id="1" w:name="70"/>
      <w:r w:rsidRPr="00172D2D">
        <w:rPr>
          <w:rFonts w:ascii="Arial" w:hAnsi="Arial" w:cs="Arial"/>
          <w:b/>
          <w:bCs/>
          <w:i/>
          <w:sz w:val="22"/>
          <w:szCs w:val="22"/>
        </w:rPr>
        <w:t> </w:t>
      </w:r>
      <w:bookmarkEnd w:id="1"/>
      <w:r w:rsidRPr="00172D2D">
        <w:rPr>
          <w:rFonts w:ascii="Arial" w:hAnsi="Arial" w:cs="Arial"/>
          <w:b/>
          <w:bCs/>
          <w:i/>
          <w:sz w:val="22"/>
          <w:szCs w:val="22"/>
        </w:rPr>
        <w:t xml:space="preserve">70º.- </w:t>
      </w:r>
      <w:r w:rsidRPr="00172D2D">
        <w:rPr>
          <w:rFonts w:ascii="Arial" w:hAnsi="Arial" w:cs="Arial"/>
          <w:i/>
          <w:iCs/>
          <w:sz w:val="22"/>
          <w:szCs w:val="22"/>
        </w:rPr>
        <w:t>De la Cláusula Compromisoria.</w:t>
      </w:r>
      <w:r w:rsidRPr="00172D2D">
        <w:rPr>
          <w:rFonts w:ascii="Arial" w:hAnsi="Arial" w:cs="Arial"/>
          <w:i/>
          <w:sz w:val="22"/>
          <w:szCs w:val="22"/>
        </w:rPr>
        <w:t xml:space="preserve"> En  los contratos estatales podrá incluirse la cláusula compromisoria a fin de someter a la decisión de árbitros las distintas diferencias que puedan surgir por razón de la celebración del contrato y de su ejecución, desarrollo, determinación o liquidación.</w:t>
      </w:r>
    </w:p>
    <w:p w:rsidR="00017F4D" w:rsidRPr="00172D2D" w:rsidRDefault="00017F4D" w:rsidP="00017F4D">
      <w:pPr>
        <w:pStyle w:val="NormalWeb"/>
        <w:spacing w:before="0" w:beforeAutospacing="0" w:after="0" w:afterAutospacing="0"/>
        <w:jc w:val="both"/>
        <w:rPr>
          <w:rFonts w:ascii="Arial" w:hAnsi="Arial" w:cs="Arial"/>
          <w:i/>
          <w:sz w:val="22"/>
          <w:szCs w:val="22"/>
        </w:rPr>
      </w:pPr>
      <w:r w:rsidRPr="00172D2D">
        <w:rPr>
          <w:rFonts w:ascii="Arial" w:hAnsi="Arial" w:cs="Arial"/>
          <w:i/>
          <w:sz w:val="22"/>
          <w:szCs w:val="22"/>
        </w:rPr>
        <w:t>El arbitramento será en derecho. Los árbitros serán tres (3), a menos que las partes decidan acudir a un árbitro único. En las controversias de menor cuantía habrá un solo árbitro.</w:t>
      </w:r>
    </w:p>
    <w:p w:rsidR="00017F4D" w:rsidRPr="00172D2D" w:rsidRDefault="00017F4D" w:rsidP="00017F4D">
      <w:pPr>
        <w:pStyle w:val="NormalWeb"/>
        <w:spacing w:before="0" w:beforeAutospacing="0" w:after="0" w:afterAutospacing="0"/>
        <w:jc w:val="both"/>
        <w:rPr>
          <w:rFonts w:ascii="Arial" w:hAnsi="Arial" w:cs="Arial"/>
          <w:i/>
          <w:sz w:val="22"/>
          <w:szCs w:val="22"/>
        </w:rPr>
      </w:pPr>
      <w:r w:rsidRPr="00172D2D">
        <w:rPr>
          <w:rFonts w:ascii="Arial" w:hAnsi="Arial" w:cs="Arial"/>
          <w:i/>
          <w:sz w:val="22"/>
          <w:szCs w:val="22"/>
        </w:rPr>
        <w:t>La designación, requerimiento, constitución y funcionamiento del tribunal de arbitramiento se regirá por las normas vigentes sobre la materia.</w:t>
      </w:r>
    </w:p>
    <w:p w:rsidR="00017F4D" w:rsidRPr="00172D2D" w:rsidRDefault="00017F4D" w:rsidP="00017F4D">
      <w:pPr>
        <w:pStyle w:val="NormalWeb"/>
        <w:spacing w:before="0" w:beforeAutospacing="0" w:after="0" w:afterAutospacing="0"/>
        <w:jc w:val="both"/>
        <w:rPr>
          <w:rFonts w:ascii="Arial" w:hAnsi="Arial" w:cs="Arial"/>
          <w:i/>
          <w:sz w:val="22"/>
          <w:szCs w:val="22"/>
        </w:rPr>
      </w:pPr>
      <w:r w:rsidRPr="00172D2D">
        <w:rPr>
          <w:rFonts w:ascii="Arial" w:hAnsi="Arial" w:cs="Arial"/>
          <w:i/>
          <w:sz w:val="22"/>
          <w:szCs w:val="22"/>
        </w:rPr>
        <w:t xml:space="preserve">Los árbitros podrán ampliar el término de duración del Tribunal por la mitad del inicialmente acordado o legalmente establecido, si ello fuere necesario para la producción del laudo respectivo. </w:t>
      </w:r>
    </w:p>
    <w:p w:rsidR="00017F4D" w:rsidRPr="00172D2D" w:rsidRDefault="00017F4D" w:rsidP="00017F4D">
      <w:pPr>
        <w:pStyle w:val="NormalWeb"/>
        <w:spacing w:before="0" w:beforeAutospacing="0" w:after="0" w:afterAutospacing="0"/>
        <w:jc w:val="both"/>
        <w:rPr>
          <w:rFonts w:ascii="Arial" w:hAnsi="Arial" w:cs="Arial"/>
          <w:i/>
          <w:sz w:val="22"/>
          <w:szCs w:val="22"/>
        </w:rPr>
      </w:pPr>
      <w:r w:rsidRPr="00172D2D">
        <w:rPr>
          <w:rStyle w:val="Textoennegrita"/>
          <w:rFonts w:ascii="Arial" w:hAnsi="Arial" w:cs="Arial"/>
          <w:i/>
          <w:sz w:val="22"/>
          <w:szCs w:val="22"/>
        </w:rPr>
        <w:t>Artículo </w:t>
      </w:r>
      <w:bookmarkStart w:id="2" w:name="71"/>
      <w:r w:rsidRPr="00172D2D">
        <w:rPr>
          <w:rStyle w:val="Textoennegrita"/>
          <w:rFonts w:ascii="Arial" w:hAnsi="Arial" w:cs="Arial"/>
          <w:i/>
          <w:sz w:val="22"/>
          <w:szCs w:val="22"/>
        </w:rPr>
        <w:t> </w:t>
      </w:r>
      <w:bookmarkEnd w:id="2"/>
      <w:r w:rsidRPr="00172D2D">
        <w:rPr>
          <w:rStyle w:val="Textoennegrita"/>
          <w:rFonts w:ascii="Arial" w:hAnsi="Arial" w:cs="Arial"/>
          <w:i/>
          <w:sz w:val="22"/>
          <w:szCs w:val="22"/>
        </w:rPr>
        <w:t xml:space="preserve">71º.- </w:t>
      </w:r>
      <w:r w:rsidRPr="00172D2D">
        <w:rPr>
          <w:rFonts w:ascii="Arial" w:hAnsi="Arial" w:cs="Arial"/>
          <w:i/>
          <w:iCs/>
          <w:sz w:val="22"/>
          <w:szCs w:val="22"/>
        </w:rPr>
        <w:t>Del Compromiso.</w:t>
      </w:r>
      <w:r w:rsidRPr="00172D2D">
        <w:rPr>
          <w:rFonts w:ascii="Arial" w:hAnsi="Arial" w:cs="Arial"/>
          <w:i/>
          <w:sz w:val="22"/>
          <w:szCs w:val="22"/>
        </w:rPr>
        <w:t>  Cuando  en el contrato no se hubiere pactado cláusula compromisoria, cualquiera de las partes podrá solicitar a la otra la suscripción de un compromiso para la convocatoria de un Tribunal de arbitramento a fin de resolver las diferencias presentadas por razón de la celebración del contrato y su ejecución, desarrollo, terminación o liquidación.</w:t>
      </w:r>
    </w:p>
    <w:p w:rsidR="00017F4D" w:rsidRPr="006C2BBA" w:rsidRDefault="00017F4D" w:rsidP="00017F4D">
      <w:pPr>
        <w:pStyle w:val="NormalWeb"/>
        <w:spacing w:before="0" w:beforeAutospacing="0" w:after="0" w:afterAutospacing="0"/>
        <w:jc w:val="both"/>
        <w:rPr>
          <w:rFonts w:ascii="Arial" w:hAnsi="Arial" w:cs="Arial"/>
          <w:i/>
          <w:sz w:val="22"/>
          <w:szCs w:val="22"/>
        </w:rPr>
      </w:pPr>
      <w:r w:rsidRPr="00172D2D">
        <w:rPr>
          <w:rFonts w:ascii="Arial" w:hAnsi="Arial" w:cs="Arial"/>
          <w:i/>
          <w:sz w:val="22"/>
          <w:szCs w:val="22"/>
        </w:rPr>
        <w:t>En el documento de compromiso que se suscriba se señalarán la materia objeto del arbitramento, la designación de árbitros, el lugar de funcionamiento del tribunal y la forma de proveer los costos del mismo.</w:t>
      </w:r>
    </w:p>
  </w:footnote>
  <w:footnote w:id="4">
    <w:p w:rsidR="00017F4D" w:rsidRPr="00B82EDB" w:rsidRDefault="00017F4D" w:rsidP="00017F4D">
      <w:pPr>
        <w:pStyle w:val="Textonotapie"/>
        <w:jc w:val="both"/>
        <w:rPr>
          <w:sz w:val="22"/>
          <w:szCs w:val="22"/>
        </w:rPr>
      </w:pPr>
      <w:r>
        <w:rPr>
          <w:rStyle w:val="Refdenotaalpie"/>
          <w:rFonts w:eastAsia="MS Gothic"/>
        </w:rPr>
        <w:footnoteRef/>
      </w:r>
      <w:r>
        <w:t xml:space="preserve"> </w:t>
      </w:r>
      <w:r w:rsidRPr="00B82EDB">
        <w:rPr>
          <w:rFonts w:ascii="Arial" w:hAnsi="Arial" w:cs="Arial"/>
          <w:b/>
          <w:i/>
          <w:sz w:val="22"/>
          <w:szCs w:val="22"/>
        </w:rPr>
        <w:t>DÉCIMA QUINTA: CLÁUSULA DE SOLUCIÓN DE CONTROVERSIAS CONTRACTUALES –</w:t>
      </w:r>
      <w:r w:rsidRPr="00B82EDB">
        <w:rPr>
          <w:rFonts w:ascii="Arial" w:hAnsi="Arial" w:cs="Arial"/>
          <w:i/>
          <w:sz w:val="22"/>
          <w:szCs w:val="22"/>
        </w:rPr>
        <w:t xml:space="preserve"> Toda controversia o diferencia relativa al presente contrato en cuanto a su celebración, ejecución, desarrollo, terminación, liquidación, se resolverá inicialmente por las vías del arreglo directo establecidas en el artículo 68 de la Ley 80/93 y si ello no fuese posible por un árbitro de conformidad con las siguientes reglas: </w:t>
      </w:r>
      <w:r w:rsidRPr="00B82EDB">
        <w:rPr>
          <w:rFonts w:ascii="Arial" w:hAnsi="Arial" w:cs="Arial"/>
          <w:b/>
          <w:i/>
          <w:sz w:val="22"/>
          <w:szCs w:val="22"/>
        </w:rPr>
        <w:t>a)</w:t>
      </w:r>
      <w:r w:rsidRPr="00B82EDB">
        <w:rPr>
          <w:rFonts w:ascii="Arial" w:hAnsi="Arial" w:cs="Arial"/>
          <w:i/>
          <w:sz w:val="22"/>
          <w:szCs w:val="22"/>
        </w:rPr>
        <w:t xml:space="preserve"> El árbitro será asignado por la Cámara de Comercio de Bogotá, en la forma prevista por el derecho privado; </w:t>
      </w:r>
      <w:r w:rsidRPr="00B82EDB">
        <w:rPr>
          <w:rFonts w:ascii="Arial" w:hAnsi="Arial" w:cs="Arial"/>
          <w:b/>
          <w:i/>
          <w:sz w:val="22"/>
          <w:szCs w:val="22"/>
        </w:rPr>
        <w:t>b)</w:t>
      </w:r>
      <w:r w:rsidRPr="00B82EDB">
        <w:rPr>
          <w:rFonts w:ascii="Arial" w:hAnsi="Arial" w:cs="Arial"/>
          <w:i/>
          <w:sz w:val="22"/>
          <w:szCs w:val="22"/>
        </w:rPr>
        <w:t xml:space="preserve"> El árbitro funcionará en Santafé de Bogotá, en el ligar que se acuerde por las partes; </w:t>
      </w:r>
      <w:r w:rsidRPr="00B82EDB">
        <w:rPr>
          <w:rFonts w:ascii="Arial" w:hAnsi="Arial" w:cs="Arial"/>
          <w:b/>
          <w:i/>
          <w:sz w:val="22"/>
          <w:szCs w:val="22"/>
        </w:rPr>
        <w:t>c)</w:t>
      </w:r>
      <w:r w:rsidRPr="00B82EDB">
        <w:rPr>
          <w:rFonts w:ascii="Arial" w:hAnsi="Arial" w:cs="Arial"/>
          <w:i/>
          <w:sz w:val="22"/>
          <w:szCs w:val="22"/>
        </w:rPr>
        <w:t xml:space="preserve"> El arbitraje se regirá por las disposiciones espec</w:t>
      </w:r>
      <w:r>
        <w:rPr>
          <w:rFonts w:ascii="Arial" w:hAnsi="Arial" w:cs="Arial"/>
          <w:i/>
          <w:sz w:val="22"/>
          <w:szCs w:val="22"/>
        </w:rPr>
        <w:t>í</w:t>
      </w:r>
      <w:r w:rsidRPr="00B82EDB">
        <w:rPr>
          <w:rFonts w:ascii="Arial" w:hAnsi="Arial" w:cs="Arial"/>
          <w:i/>
          <w:sz w:val="22"/>
          <w:szCs w:val="22"/>
        </w:rPr>
        <w:t xml:space="preserve">ficas contenidas en la Ley 80/93 y en lo no previsto en ella por las normas del derecho privado que rigen la materia; </w:t>
      </w:r>
      <w:r w:rsidRPr="00B82EDB">
        <w:rPr>
          <w:rFonts w:ascii="Arial" w:hAnsi="Arial" w:cs="Arial"/>
          <w:b/>
          <w:i/>
          <w:sz w:val="22"/>
          <w:szCs w:val="22"/>
        </w:rPr>
        <w:t>d)</w:t>
      </w:r>
      <w:r w:rsidRPr="00B82EDB">
        <w:rPr>
          <w:rFonts w:ascii="Arial" w:hAnsi="Arial" w:cs="Arial"/>
          <w:i/>
          <w:sz w:val="22"/>
          <w:szCs w:val="22"/>
        </w:rPr>
        <w:t xml:space="preserve"> Las partes fijan como domicilio y dirección para efecto de notificaciones a cada una de las partes el siguiente: (…)</w:t>
      </w:r>
    </w:p>
  </w:footnote>
  <w:footnote w:id="5">
    <w:p w:rsidR="00017F4D" w:rsidRPr="00FB0676" w:rsidRDefault="00017F4D" w:rsidP="00017F4D">
      <w:pPr>
        <w:pStyle w:val="Textonotapie"/>
        <w:jc w:val="both"/>
        <w:rPr>
          <w:rFonts w:ascii="Arial" w:hAnsi="Arial" w:cs="Arial"/>
          <w:i/>
          <w:sz w:val="22"/>
          <w:szCs w:val="22"/>
        </w:rPr>
      </w:pPr>
      <w:r>
        <w:rPr>
          <w:rStyle w:val="Refdenotaalpie"/>
          <w:rFonts w:eastAsia="MS Gothic"/>
        </w:rPr>
        <w:footnoteRef/>
      </w:r>
      <w:r>
        <w:t xml:space="preserve"> </w:t>
      </w:r>
      <w:r w:rsidRPr="00FB0676">
        <w:rPr>
          <w:rFonts w:ascii="Arial" w:hAnsi="Arial" w:cs="Arial"/>
          <w:i/>
          <w:sz w:val="22"/>
          <w:szCs w:val="22"/>
        </w:rPr>
        <w:t xml:space="preserve">Consejo de Estado. Sala de lo Contencioso Administrativo. Sección tercera. Expediente n.°  34460. M.P.  MYRIAM GUERRERO DE ESCOBAR. </w:t>
      </w:r>
    </w:p>
  </w:footnote>
  <w:footnote w:id="6">
    <w:p w:rsidR="00017F4D" w:rsidRPr="00FB0676" w:rsidRDefault="00017F4D" w:rsidP="00017F4D">
      <w:pPr>
        <w:pStyle w:val="Textonotapie"/>
        <w:jc w:val="both"/>
        <w:rPr>
          <w:rFonts w:ascii="Arial" w:hAnsi="Arial" w:cs="Arial"/>
          <w:i/>
          <w:sz w:val="22"/>
          <w:szCs w:val="22"/>
        </w:rPr>
      </w:pPr>
      <w:r w:rsidRPr="00FB0676">
        <w:rPr>
          <w:rStyle w:val="Refdenotaalpie"/>
          <w:rFonts w:ascii="Arial" w:eastAsia="MS Gothic" w:hAnsi="Arial" w:cs="Arial"/>
          <w:i/>
          <w:sz w:val="22"/>
          <w:szCs w:val="22"/>
        </w:rPr>
        <w:footnoteRef/>
      </w:r>
      <w:r w:rsidRPr="00FB0676">
        <w:rPr>
          <w:rFonts w:ascii="Arial" w:hAnsi="Arial" w:cs="Arial"/>
          <w:i/>
          <w:sz w:val="22"/>
          <w:szCs w:val="22"/>
        </w:rPr>
        <w:t xml:space="preserve"> Hans Kelsen. Principios de Derecho Internacional Público. “El Ateneo”, librería Editorial. Edición Traducida al Español por Hugo Caminos y Ernesto C. Hermida. Buenos Aires Argentina 1965. </w:t>
      </w:r>
    </w:p>
  </w:footnote>
  <w:footnote w:id="7">
    <w:p w:rsidR="00017F4D" w:rsidRPr="00FB0676" w:rsidRDefault="00017F4D" w:rsidP="00017F4D">
      <w:pPr>
        <w:pStyle w:val="Textonotapie"/>
        <w:jc w:val="both"/>
        <w:rPr>
          <w:rFonts w:ascii="Arial" w:hAnsi="Arial" w:cs="Arial"/>
          <w:i/>
          <w:sz w:val="22"/>
          <w:szCs w:val="22"/>
        </w:rPr>
      </w:pPr>
      <w:r w:rsidRPr="00FB0676">
        <w:rPr>
          <w:rStyle w:val="Refdenotaalpie"/>
          <w:rFonts w:ascii="Arial" w:eastAsia="MS Gothic" w:hAnsi="Arial" w:cs="Arial"/>
          <w:i/>
          <w:sz w:val="22"/>
          <w:szCs w:val="22"/>
        </w:rPr>
        <w:footnoteRef/>
      </w:r>
      <w:r w:rsidRPr="00FB0676">
        <w:rPr>
          <w:rFonts w:ascii="Arial" w:hAnsi="Arial" w:cs="Arial"/>
          <w:i/>
          <w:sz w:val="22"/>
          <w:szCs w:val="22"/>
        </w:rPr>
        <w:t xml:space="preserve"> Para un estudio más completo ver Jaime Paz y Puente. Cfr. P. de P. Num. 2. </w:t>
      </w:r>
    </w:p>
  </w:footnote>
  <w:footnote w:id="8">
    <w:p w:rsidR="00017F4D" w:rsidRPr="00FB0676" w:rsidRDefault="00017F4D" w:rsidP="00017F4D">
      <w:pPr>
        <w:pStyle w:val="Textonotapie"/>
        <w:jc w:val="both"/>
        <w:rPr>
          <w:rFonts w:ascii="Arial" w:hAnsi="Arial" w:cs="Arial"/>
          <w:i/>
          <w:sz w:val="22"/>
          <w:szCs w:val="22"/>
        </w:rPr>
      </w:pPr>
      <w:r w:rsidRPr="00FB0676">
        <w:rPr>
          <w:rStyle w:val="Refdenotaalpie"/>
          <w:rFonts w:ascii="Arial" w:eastAsia="MS Gothic" w:hAnsi="Arial" w:cs="Arial"/>
          <w:i/>
          <w:sz w:val="22"/>
          <w:szCs w:val="22"/>
        </w:rPr>
        <w:footnoteRef/>
      </w:r>
      <w:r w:rsidRPr="00FB0676">
        <w:rPr>
          <w:rFonts w:ascii="Arial" w:hAnsi="Arial" w:cs="Arial"/>
          <w:i/>
          <w:sz w:val="22"/>
          <w:szCs w:val="22"/>
        </w:rPr>
        <w:t xml:space="preserve"> En este sentido ver González Campos Julio D. Sánchez Rodríguez Luis I. y De Santa María Paz Andrés. Curso de Derecho Internacional Público. Sexta Edición. Editorial Civitas páginas 424 y ss. Dicha posición ha sido adoptada por la Corte Constitucional.  </w:t>
      </w:r>
    </w:p>
  </w:footnote>
  <w:footnote w:id="9">
    <w:p w:rsidR="00017F4D" w:rsidRPr="00FB0676" w:rsidRDefault="00017F4D" w:rsidP="00017F4D">
      <w:pPr>
        <w:pStyle w:val="Textonotapie"/>
        <w:jc w:val="both"/>
        <w:rPr>
          <w:rFonts w:ascii="Arial" w:hAnsi="Arial" w:cs="Arial"/>
          <w:i/>
          <w:sz w:val="22"/>
          <w:szCs w:val="22"/>
        </w:rPr>
      </w:pPr>
      <w:r w:rsidRPr="00FB0676">
        <w:rPr>
          <w:rStyle w:val="Refdenotaalpie"/>
          <w:rFonts w:ascii="Arial" w:eastAsia="MS Gothic" w:hAnsi="Arial" w:cs="Arial"/>
          <w:i/>
          <w:sz w:val="22"/>
          <w:szCs w:val="22"/>
        </w:rPr>
        <w:footnoteRef/>
      </w:r>
      <w:r w:rsidRPr="00FB0676">
        <w:rPr>
          <w:rFonts w:ascii="Arial" w:hAnsi="Arial" w:cs="Arial"/>
          <w:i/>
          <w:sz w:val="22"/>
          <w:szCs w:val="22"/>
        </w:rPr>
        <w:t xml:space="preserve"> Corte Suprema de Justicia, Sala de Casación Laboral. Auto de fecha 13 de enero de 2007. Radicación 32096. Magistrado Ponente, Doctor Camilo Tarquino Gallego. </w:t>
      </w:r>
    </w:p>
  </w:footnote>
  <w:footnote w:id="10">
    <w:p w:rsidR="00017F4D" w:rsidRPr="00FB0676" w:rsidRDefault="00017F4D" w:rsidP="00017F4D">
      <w:pPr>
        <w:pStyle w:val="Textonotapie"/>
        <w:jc w:val="both"/>
        <w:rPr>
          <w:rFonts w:ascii="Arial" w:hAnsi="Arial" w:cs="Arial"/>
          <w:i/>
          <w:sz w:val="22"/>
          <w:szCs w:val="22"/>
        </w:rPr>
      </w:pPr>
      <w:r w:rsidRPr="00FB0676">
        <w:rPr>
          <w:rStyle w:val="Refdenotaalpie"/>
          <w:rFonts w:ascii="Arial" w:eastAsia="MS Gothic" w:hAnsi="Arial" w:cs="Arial"/>
          <w:i/>
          <w:sz w:val="22"/>
          <w:szCs w:val="22"/>
        </w:rPr>
        <w:footnoteRef/>
      </w:r>
      <w:r w:rsidRPr="00FB0676">
        <w:rPr>
          <w:rFonts w:ascii="Arial" w:hAnsi="Arial" w:cs="Arial"/>
          <w:i/>
          <w:sz w:val="22"/>
          <w:szCs w:val="22"/>
        </w:rPr>
        <w:t xml:space="preserve"> Ver entre otras. Sentencia C-137 de 1996. </w:t>
      </w:r>
    </w:p>
  </w:footnote>
  <w:footnote w:id="11">
    <w:p w:rsidR="00017F4D" w:rsidRPr="00FB0676" w:rsidRDefault="00017F4D" w:rsidP="00017F4D">
      <w:pPr>
        <w:pStyle w:val="Textonotapie"/>
        <w:jc w:val="both"/>
        <w:rPr>
          <w:rFonts w:ascii="Arial" w:hAnsi="Arial" w:cs="Arial"/>
          <w:i/>
          <w:sz w:val="22"/>
          <w:szCs w:val="22"/>
        </w:rPr>
      </w:pPr>
      <w:r w:rsidRPr="00FB0676">
        <w:rPr>
          <w:rStyle w:val="Refdenotaalpie"/>
          <w:rFonts w:ascii="Arial" w:eastAsia="MS Gothic" w:hAnsi="Arial" w:cs="Arial"/>
          <w:i/>
          <w:sz w:val="22"/>
          <w:szCs w:val="22"/>
        </w:rPr>
        <w:footnoteRef/>
      </w:r>
      <w:r w:rsidRPr="00FB0676">
        <w:rPr>
          <w:rFonts w:ascii="Arial" w:hAnsi="Arial" w:cs="Arial"/>
          <w:i/>
          <w:sz w:val="22"/>
          <w:szCs w:val="22"/>
        </w:rPr>
        <w:t xml:space="preserve"> Sentencia C-137 de 1996.</w:t>
      </w:r>
    </w:p>
  </w:footnote>
  <w:footnote w:id="12">
    <w:p w:rsidR="00017F4D" w:rsidRDefault="00017F4D" w:rsidP="00017F4D">
      <w:pPr>
        <w:pStyle w:val="Textonotapie"/>
        <w:jc w:val="both"/>
      </w:pPr>
      <w:r w:rsidRPr="00FB0676">
        <w:rPr>
          <w:rStyle w:val="Refdenotaalpie"/>
          <w:rFonts w:ascii="Arial" w:eastAsia="MS Gothic" w:hAnsi="Arial" w:cs="Arial"/>
          <w:i/>
          <w:sz w:val="22"/>
          <w:szCs w:val="22"/>
        </w:rPr>
        <w:footnoteRef/>
      </w:r>
      <w:r w:rsidRPr="00FB0676">
        <w:rPr>
          <w:rFonts w:ascii="Arial" w:hAnsi="Arial" w:cs="Arial"/>
          <w:i/>
          <w:sz w:val="22"/>
          <w:szCs w:val="22"/>
        </w:rPr>
        <w:t xml:space="preserve"> Ver entre otras la sentencia proferida el 25 de agosto de 1998 por la Sala de lo Contencioso Administrativo - Sección Tercera; Consejo de Estado. Consejero Ponente, Doctor  Jesús María Carrillo Ballesteros. Actor: Vitelvina Rojas Robles</w:t>
      </w:r>
      <w:r>
        <w:t>.</w:t>
      </w:r>
    </w:p>
  </w:footnote>
  <w:footnote w:id="13">
    <w:p w:rsidR="00017F4D" w:rsidRPr="00774C1A" w:rsidRDefault="00017F4D" w:rsidP="00017F4D">
      <w:pPr>
        <w:pStyle w:val="Textonotapie"/>
        <w:jc w:val="both"/>
        <w:rPr>
          <w:rFonts w:ascii="Arial" w:hAnsi="Arial" w:cs="Arial"/>
          <w:sz w:val="22"/>
          <w:szCs w:val="22"/>
        </w:rPr>
      </w:pPr>
      <w:r w:rsidRPr="00780BB3">
        <w:rPr>
          <w:rStyle w:val="Refdenotaalpie"/>
          <w:rFonts w:eastAsia="MS Gothic"/>
        </w:rPr>
        <w:footnoteRef/>
      </w:r>
      <w:r w:rsidRPr="00780BB3">
        <w:t xml:space="preserve"> </w:t>
      </w:r>
      <w:r w:rsidRPr="00774C1A">
        <w:rPr>
          <w:rFonts w:ascii="Arial" w:hAnsi="Arial" w:cs="Arial"/>
          <w:sz w:val="22"/>
          <w:szCs w:val="22"/>
        </w:rPr>
        <w:t>Artículo 2º del Convenio celebrado el 27 de noviembre de 1990, aprobado mediante la Ley 20 de 1992.</w:t>
      </w:r>
    </w:p>
  </w:footnote>
  <w:footnote w:id="14">
    <w:p w:rsidR="00017F4D" w:rsidRPr="0012606B" w:rsidRDefault="00017F4D" w:rsidP="00017F4D">
      <w:pPr>
        <w:pStyle w:val="Textonotapie"/>
        <w:jc w:val="both"/>
        <w:rPr>
          <w:rFonts w:ascii="Arial" w:hAnsi="Arial" w:cs="Arial"/>
          <w:sz w:val="22"/>
          <w:szCs w:val="22"/>
        </w:rPr>
      </w:pPr>
      <w:r w:rsidRPr="00780BB3">
        <w:rPr>
          <w:rStyle w:val="Refdenotaalpie"/>
          <w:rFonts w:eastAsia="MS Gothic"/>
        </w:rPr>
        <w:footnoteRef/>
      </w:r>
      <w:r w:rsidRPr="00780BB3">
        <w:t xml:space="preserve"> </w:t>
      </w:r>
      <w:r w:rsidRPr="0012606B">
        <w:rPr>
          <w:rFonts w:ascii="Arial" w:hAnsi="Arial" w:cs="Arial"/>
          <w:sz w:val="22"/>
          <w:szCs w:val="22"/>
        </w:rPr>
        <w:t>Artículo 4, ibídem.</w:t>
      </w:r>
    </w:p>
  </w:footnote>
  <w:footnote w:id="15">
    <w:p w:rsidR="00017F4D" w:rsidRPr="00892F4A" w:rsidRDefault="00017F4D" w:rsidP="00017F4D">
      <w:pPr>
        <w:pStyle w:val="Textonotapie"/>
        <w:jc w:val="both"/>
      </w:pPr>
      <w:r w:rsidRPr="00892F4A">
        <w:rPr>
          <w:rStyle w:val="Refdenotaalpie"/>
          <w:rFonts w:eastAsia="MS Gothic"/>
        </w:rPr>
        <w:footnoteRef/>
      </w:r>
      <w:r w:rsidRPr="00892F4A">
        <w:t xml:space="preserve"> </w:t>
      </w:r>
      <w:r w:rsidRPr="0012606B">
        <w:rPr>
          <w:rFonts w:ascii="Arial" w:hAnsi="Arial" w:cs="Arial"/>
          <w:sz w:val="22"/>
          <w:szCs w:val="22"/>
        </w:rPr>
        <w:t>Educación, cultura, ciencia y tecnología.</w:t>
      </w:r>
    </w:p>
  </w:footnote>
  <w:footnote w:id="16">
    <w:p w:rsidR="00017F4D" w:rsidRPr="00CB42A9" w:rsidRDefault="00017F4D" w:rsidP="00017F4D">
      <w:pPr>
        <w:pStyle w:val="Textonotapie"/>
        <w:jc w:val="both"/>
        <w:rPr>
          <w:rFonts w:ascii="Arial" w:hAnsi="Arial" w:cs="Arial"/>
          <w:i/>
          <w:sz w:val="22"/>
          <w:szCs w:val="22"/>
        </w:rPr>
      </w:pPr>
      <w:r w:rsidRPr="00892F4A">
        <w:rPr>
          <w:rStyle w:val="Refdenotaalpie"/>
          <w:rFonts w:eastAsia="MS Gothic"/>
        </w:rPr>
        <w:footnoteRef/>
      </w:r>
      <w:r w:rsidRPr="00892F4A">
        <w:t xml:space="preserve"> </w:t>
      </w:r>
      <w:r w:rsidRPr="00CB42A9">
        <w:rPr>
          <w:rFonts w:ascii="Arial" w:hAnsi="Arial" w:cs="Arial"/>
          <w:i/>
          <w:sz w:val="22"/>
          <w:szCs w:val="22"/>
        </w:rPr>
        <w:t>A este respecto resultan ilustrativas las razones esgrimidas por la Corte Constitucional al analizar la constitucionalidad de la norma contenida en el inciso 4º del artículo 13 de la Ley 80 de 1993. Sentencia C-249 de 2004.</w:t>
      </w:r>
    </w:p>
  </w:footnote>
  <w:footnote w:id="17">
    <w:p w:rsidR="00017F4D" w:rsidRPr="00892F4A" w:rsidRDefault="00017F4D" w:rsidP="00017F4D">
      <w:pPr>
        <w:pStyle w:val="NormalWeb"/>
        <w:spacing w:before="0" w:beforeAutospacing="0" w:after="0" w:afterAutospacing="0"/>
        <w:jc w:val="both"/>
      </w:pPr>
      <w:r w:rsidRPr="00CB42A9">
        <w:rPr>
          <w:rStyle w:val="Refdenotaalpie"/>
          <w:rFonts w:ascii="Arial" w:eastAsia="MS Gothic" w:hAnsi="Arial" w:cs="Arial"/>
          <w:i/>
          <w:sz w:val="22"/>
          <w:szCs w:val="22"/>
        </w:rPr>
        <w:footnoteRef/>
      </w:r>
      <w:r w:rsidRPr="00CB42A9">
        <w:rPr>
          <w:rFonts w:ascii="Arial" w:hAnsi="Arial" w:cs="Arial"/>
          <w:i/>
          <w:sz w:val="22"/>
          <w:szCs w:val="22"/>
        </w:rPr>
        <w:t xml:space="preserve"> </w:t>
      </w:r>
      <w:r w:rsidRPr="00CB42A9">
        <w:rPr>
          <w:rFonts w:ascii="Arial" w:hAnsi="Arial" w:cs="Arial"/>
          <w:i/>
          <w:color w:val="001C32"/>
          <w:sz w:val="22"/>
          <w:szCs w:val="22"/>
        </w:rPr>
        <w:t>VIGÉSIMO. El Gobierno reconoce la personería jurídica de la Secab como organismo intergubernamental y por lo tanto su capacidad legal para ejercer en Colombia los actos jurídicos necesarios para el ejercicio de sus funciones.</w:t>
      </w:r>
    </w:p>
  </w:footnote>
  <w:footnote w:id="18">
    <w:p w:rsidR="00017F4D" w:rsidRPr="0012606B" w:rsidRDefault="00017F4D" w:rsidP="00017F4D">
      <w:pPr>
        <w:pStyle w:val="Textonotapie"/>
        <w:jc w:val="both"/>
        <w:rPr>
          <w:rFonts w:ascii="Arial" w:hAnsi="Arial" w:cs="Arial"/>
          <w:sz w:val="22"/>
          <w:szCs w:val="22"/>
        </w:rPr>
      </w:pPr>
      <w:r w:rsidRPr="0012606B">
        <w:rPr>
          <w:rStyle w:val="Refdenotaalpie"/>
          <w:rFonts w:ascii="Arial" w:eastAsia="MS Gothic" w:hAnsi="Arial" w:cs="Arial"/>
          <w:sz w:val="22"/>
          <w:szCs w:val="22"/>
        </w:rPr>
        <w:footnoteRef/>
      </w:r>
      <w:r w:rsidRPr="0012606B">
        <w:rPr>
          <w:rFonts w:ascii="Arial" w:hAnsi="Arial" w:cs="Arial"/>
          <w:sz w:val="22"/>
          <w:szCs w:val="22"/>
        </w:rPr>
        <w:t xml:space="preserve"> Artículo 2º del Convenio celebrado el 27 de noviembre de 1990, aprobado mediante la Ley 20 de 1992.</w:t>
      </w:r>
    </w:p>
  </w:footnote>
  <w:footnote w:id="19">
    <w:p w:rsidR="00017F4D" w:rsidRPr="0012606B" w:rsidRDefault="00017F4D" w:rsidP="00017F4D">
      <w:pPr>
        <w:pStyle w:val="Textonotapie"/>
        <w:jc w:val="both"/>
        <w:rPr>
          <w:rFonts w:ascii="Arial" w:hAnsi="Arial" w:cs="Arial"/>
          <w:sz w:val="22"/>
          <w:szCs w:val="22"/>
        </w:rPr>
      </w:pPr>
      <w:r w:rsidRPr="00780BB3">
        <w:rPr>
          <w:rStyle w:val="Refdenotaalpie"/>
          <w:rFonts w:eastAsia="MS Gothic"/>
        </w:rPr>
        <w:footnoteRef/>
      </w:r>
      <w:r w:rsidRPr="00780BB3">
        <w:t xml:space="preserve"> </w:t>
      </w:r>
      <w:r w:rsidRPr="0012606B">
        <w:rPr>
          <w:rFonts w:ascii="Arial" w:hAnsi="Arial" w:cs="Arial"/>
          <w:sz w:val="22"/>
          <w:szCs w:val="22"/>
        </w:rPr>
        <w:t>Artículo 4, ibídem.</w:t>
      </w:r>
    </w:p>
  </w:footnote>
  <w:footnote w:id="20">
    <w:p w:rsidR="00017F4D" w:rsidRPr="006B56CE" w:rsidRDefault="00017F4D" w:rsidP="00017F4D">
      <w:pPr>
        <w:pStyle w:val="Textonotapie"/>
        <w:rPr>
          <w:rFonts w:ascii="Arial" w:hAnsi="Arial" w:cs="Arial"/>
          <w:i/>
          <w:sz w:val="22"/>
          <w:szCs w:val="22"/>
        </w:rPr>
      </w:pPr>
      <w:r>
        <w:rPr>
          <w:rStyle w:val="Refdenotaalpie"/>
          <w:rFonts w:eastAsia="MS Gothic"/>
        </w:rPr>
        <w:footnoteRef/>
      </w:r>
      <w:r>
        <w:t xml:space="preserve"> </w:t>
      </w:r>
      <w:r w:rsidRPr="006B56CE">
        <w:rPr>
          <w:rFonts w:ascii="Arial" w:hAnsi="Arial" w:cs="Arial"/>
          <w:i/>
          <w:sz w:val="22"/>
          <w:szCs w:val="22"/>
        </w:rPr>
        <w:t>Ibidem</w:t>
      </w:r>
    </w:p>
  </w:footnote>
  <w:footnote w:id="21">
    <w:p w:rsidR="00017F4D" w:rsidRPr="006B56CE" w:rsidRDefault="00017F4D" w:rsidP="00017F4D">
      <w:pPr>
        <w:pStyle w:val="Textonotapie"/>
        <w:jc w:val="both"/>
        <w:rPr>
          <w:rFonts w:ascii="Arial" w:hAnsi="Arial" w:cs="Arial"/>
          <w:i/>
          <w:sz w:val="22"/>
          <w:szCs w:val="22"/>
        </w:rPr>
      </w:pPr>
      <w:r w:rsidRPr="006B56CE">
        <w:rPr>
          <w:rStyle w:val="Refdenotaalpie"/>
          <w:rFonts w:ascii="Arial" w:eastAsia="MS Gothic" w:hAnsi="Arial" w:cs="Arial"/>
          <w:i/>
          <w:sz w:val="22"/>
          <w:szCs w:val="22"/>
        </w:rPr>
        <w:footnoteRef/>
      </w:r>
      <w:r w:rsidRPr="006B56CE">
        <w:rPr>
          <w:rFonts w:ascii="Arial" w:hAnsi="Arial" w:cs="Arial"/>
          <w:i/>
          <w:sz w:val="22"/>
          <w:szCs w:val="22"/>
        </w:rPr>
        <w:t xml:space="preserve"> El inciso segundo del artículo 1º del Decreto 1290 de 2003 señaló el término de dos años contados a partir de la vigencia de la norma para liquidar el Fondo DRI, vencido el cual desaparece la existencia del establecimiento público. El mencionado Decreto fue publicado en DIARIO OFICIAL. AÑO CXXXIX. N. 45196. 23, MAYO, 2003. PAG. 22 </w:t>
      </w:r>
    </w:p>
  </w:footnote>
  <w:footnote w:id="22">
    <w:p w:rsidR="00017F4D" w:rsidRPr="006B56CE" w:rsidRDefault="00017F4D" w:rsidP="00017F4D">
      <w:pPr>
        <w:jc w:val="both"/>
        <w:rPr>
          <w:rFonts w:ascii="Arial" w:hAnsi="Arial" w:cs="Arial"/>
          <w:i/>
        </w:rPr>
      </w:pPr>
      <w:r w:rsidRPr="006B56CE">
        <w:rPr>
          <w:rStyle w:val="Refdenotaalpie"/>
          <w:rFonts w:ascii="Arial" w:hAnsi="Arial" w:cs="Arial"/>
          <w:i/>
        </w:rPr>
        <w:footnoteRef/>
      </w:r>
      <w:r w:rsidRPr="006B56CE">
        <w:rPr>
          <w:rFonts w:ascii="Arial" w:hAnsi="Arial" w:cs="Arial"/>
          <w:i/>
        </w:rPr>
        <w:t xml:space="preserve"> “Artículo 17.- Procesos judiciales (…) El Ministerio de Agricultura y Desarrollo Rural asumirá, una vez culminada la liquidación del Fondo de Cofinanciación para la Inversión Rural, DRI en Liquidación, la totalidad de los procesos judiciales y reclamaciones en que fuere parte dicha entidad, al igual que las obligaciones derivadas de estos”.</w:t>
      </w:r>
    </w:p>
  </w:footnote>
  <w:footnote w:id="23">
    <w:p w:rsidR="00017F4D" w:rsidRPr="00892F4A" w:rsidRDefault="00017F4D" w:rsidP="00017F4D">
      <w:pPr>
        <w:pStyle w:val="Textonotapie"/>
        <w:jc w:val="both"/>
      </w:pPr>
      <w:r w:rsidRPr="006B56CE">
        <w:rPr>
          <w:rStyle w:val="Refdenotaalpie"/>
          <w:rFonts w:ascii="Arial" w:eastAsia="MS Gothic" w:hAnsi="Arial" w:cs="Arial"/>
          <w:i/>
          <w:sz w:val="22"/>
          <w:szCs w:val="22"/>
        </w:rPr>
        <w:footnoteRef/>
      </w:r>
      <w:r w:rsidRPr="006B56CE">
        <w:rPr>
          <w:rFonts w:ascii="Arial" w:hAnsi="Arial" w:cs="Arial"/>
          <w:i/>
          <w:sz w:val="22"/>
          <w:szCs w:val="22"/>
        </w:rPr>
        <w:t xml:space="preserve"> A través del Contrato No. 001 de 2002 celebrado entre la SECAB y el Consorcio Intersidri.</w:t>
      </w:r>
      <w:r w:rsidRPr="00892F4A">
        <w:t xml:space="preserve"> </w:t>
      </w:r>
    </w:p>
  </w:footnote>
  <w:footnote w:id="24">
    <w:p w:rsidR="00017F4D" w:rsidRPr="00892F4A" w:rsidRDefault="00017F4D" w:rsidP="00017F4D">
      <w:pPr>
        <w:pStyle w:val="Piedepgina"/>
        <w:jc w:val="both"/>
        <w:rPr>
          <w:sz w:val="20"/>
          <w:szCs w:val="20"/>
        </w:rPr>
      </w:pPr>
      <w:r w:rsidRPr="00892F4A">
        <w:rPr>
          <w:rStyle w:val="Refdenotaalpie"/>
          <w:rFonts w:eastAsia="MS Gothic"/>
          <w:sz w:val="20"/>
          <w:szCs w:val="20"/>
        </w:rPr>
        <w:footnoteRef/>
      </w:r>
      <w:r w:rsidRPr="00892F4A">
        <w:rPr>
          <w:sz w:val="20"/>
          <w:szCs w:val="20"/>
        </w:rPr>
        <w:t xml:space="preserve"> </w:t>
      </w:r>
      <w:r w:rsidRPr="006B56CE">
        <w:rPr>
          <w:rFonts w:ascii="Arial" w:hAnsi="Arial" w:cs="Arial"/>
          <w:i/>
          <w:sz w:val="22"/>
          <w:szCs w:val="22"/>
        </w:rPr>
        <w:t xml:space="preserve">Consejo de Estado, Sala de lo Contencioso Administrativo, Sección Tercera, sentencia del 29 de agosto de 2007. Radicación número 15526. Consejero Ponente Doctor Mauricio Fajardo Gómez. Nota original traída de la sentencia del 15 de febrero de mil novecientos noventa y uno 1991; Consejero Ponente Doctor Rodrigo Vieira Puerta; Radicación número: 1170de la sentencia citada: Ver sentencias </w:t>
      </w:r>
      <w:r w:rsidRPr="006B56CE">
        <w:rPr>
          <w:rFonts w:ascii="Arial" w:hAnsi="Arial" w:cs="Arial"/>
          <w:i/>
          <w:iCs/>
          <w:sz w:val="22"/>
          <w:szCs w:val="22"/>
        </w:rPr>
        <w:t xml:space="preserve">del 4 de febrero de 1.993, exp. 7.506; 25 de marzo de 1993, exp. 7.476; </w:t>
      </w:r>
      <w:r w:rsidRPr="006B56CE">
        <w:rPr>
          <w:rFonts w:ascii="Arial" w:hAnsi="Arial" w:cs="Arial"/>
          <w:i/>
          <w:sz w:val="22"/>
          <w:szCs w:val="22"/>
        </w:rPr>
        <w:t xml:space="preserve">12 de septiembre 1997, exp. 11.224; 30 de abril 1997, exp.12.967.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590B0E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CC66CE"/>
    <w:multiLevelType w:val="hybridMultilevel"/>
    <w:tmpl w:val="23D0504E"/>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A0B075E"/>
    <w:multiLevelType w:val="hybridMultilevel"/>
    <w:tmpl w:val="9FF27CAE"/>
    <w:lvl w:ilvl="0" w:tplc="C1D49D72">
      <w:numFmt w:val="bullet"/>
      <w:lvlText w:val="-"/>
      <w:lvlJc w:val="left"/>
      <w:pPr>
        <w:tabs>
          <w:tab w:val="num" w:pos="720"/>
        </w:tabs>
        <w:ind w:left="720" w:hanging="360"/>
      </w:pPr>
      <w:rPr>
        <w:rFonts w:ascii="Arial" w:eastAsia="Times New Roman" w:hAnsi="Arial" w:cs="Arial" w:hint="default"/>
        <w:b/>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DF15BE"/>
    <w:multiLevelType w:val="hybridMultilevel"/>
    <w:tmpl w:val="9DF2C582"/>
    <w:lvl w:ilvl="0" w:tplc="31D2C19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CF1100A"/>
    <w:multiLevelType w:val="hybridMultilevel"/>
    <w:tmpl w:val="C644CD9C"/>
    <w:lvl w:ilvl="0" w:tplc="137855CC">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3D56827"/>
    <w:multiLevelType w:val="hybridMultilevel"/>
    <w:tmpl w:val="BF78F230"/>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8033421"/>
    <w:multiLevelType w:val="hybridMultilevel"/>
    <w:tmpl w:val="ECE83754"/>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8370967"/>
    <w:multiLevelType w:val="hybridMultilevel"/>
    <w:tmpl w:val="F66E9D56"/>
    <w:lvl w:ilvl="0" w:tplc="48F68F90">
      <w:numFmt w:val="bullet"/>
      <w:lvlText w:val="-"/>
      <w:lvlJc w:val="left"/>
      <w:pPr>
        <w:tabs>
          <w:tab w:val="num" w:pos="720"/>
        </w:tabs>
        <w:ind w:left="720" w:hanging="360"/>
      </w:pPr>
      <w:rPr>
        <w:rFonts w:ascii="Arial" w:eastAsia="Times New Roman" w:hAnsi="Arial" w:cs="Arial" w:hint="default"/>
        <w:b/>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73A7A95"/>
    <w:multiLevelType w:val="hybridMultilevel"/>
    <w:tmpl w:val="6AD255BC"/>
    <w:lvl w:ilvl="0" w:tplc="E280ED40">
      <w:start w:val="1"/>
      <w:numFmt w:val="upperRoman"/>
      <w:lvlText w:val="%1."/>
      <w:lvlJc w:val="left"/>
      <w:pPr>
        <w:ind w:left="1287" w:hanging="720"/>
      </w:pPr>
      <w:rPr>
        <w:rFonts w:hint="default"/>
      </w:rPr>
    </w:lvl>
    <w:lvl w:ilvl="1" w:tplc="240A0019" w:tentative="1">
      <w:start w:val="1"/>
      <w:numFmt w:val="lowerLetter"/>
      <w:lvlText w:val="%2."/>
      <w:lvlJc w:val="left"/>
      <w:pPr>
        <w:ind w:left="1647" w:hanging="360"/>
      </w:pPr>
    </w:lvl>
    <w:lvl w:ilvl="2" w:tplc="240A001B" w:tentative="1">
      <w:start w:val="1"/>
      <w:numFmt w:val="lowerRoman"/>
      <w:lvlText w:val="%3."/>
      <w:lvlJc w:val="right"/>
      <w:pPr>
        <w:ind w:left="2367" w:hanging="180"/>
      </w:pPr>
    </w:lvl>
    <w:lvl w:ilvl="3" w:tplc="240A000F" w:tentative="1">
      <w:start w:val="1"/>
      <w:numFmt w:val="decimal"/>
      <w:lvlText w:val="%4."/>
      <w:lvlJc w:val="left"/>
      <w:pPr>
        <w:ind w:left="3087" w:hanging="360"/>
      </w:pPr>
    </w:lvl>
    <w:lvl w:ilvl="4" w:tplc="240A0019" w:tentative="1">
      <w:start w:val="1"/>
      <w:numFmt w:val="lowerLetter"/>
      <w:lvlText w:val="%5."/>
      <w:lvlJc w:val="left"/>
      <w:pPr>
        <w:ind w:left="3807" w:hanging="360"/>
      </w:pPr>
    </w:lvl>
    <w:lvl w:ilvl="5" w:tplc="240A001B" w:tentative="1">
      <w:start w:val="1"/>
      <w:numFmt w:val="lowerRoman"/>
      <w:lvlText w:val="%6."/>
      <w:lvlJc w:val="right"/>
      <w:pPr>
        <w:ind w:left="4527" w:hanging="180"/>
      </w:pPr>
    </w:lvl>
    <w:lvl w:ilvl="6" w:tplc="240A000F" w:tentative="1">
      <w:start w:val="1"/>
      <w:numFmt w:val="decimal"/>
      <w:lvlText w:val="%7."/>
      <w:lvlJc w:val="left"/>
      <w:pPr>
        <w:ind w:left="5247" w:hanging="360"/>
      </w:pPr>
    </w:lvl>
    <w:lvl w:ilvl="7" w:tplc="240A0019" w:tentative="1">
      <w:start w:val="1"/>
      <w:numFmt w:val="lowerLetter"/>
      <w:lvlText w:val="%8."/>
      <w:lvlJc w:val="left"/>
      <w:pPr>
        <w:ind w:left="5967" w:hanging="360"/>
      </w:pPr>
    </w:lvl>
    <w:lvl w:ilvl="8" w:tplc="240A001B" w:tentative="1">
      <w:start w:val="1"/>
      <w:numFmt w:val="lowerRoman"/>
      <w:lvlText w:val="%9."/>
      <w:lvlJc w:val="right"/>
      <w:pPr>
        <w:ind w:left="6687" w:hanging="180"/>
      </w:pPr>
    </w:lvl>
  </w:abstractNum>
  <w:abstractNum w:abstractNumId="9" w15:restartNumberingAfterBreak="0">
    <w:nsid w:val="37475BD3"/>
    <w:multiLevelType w:val="hybridMultilevel"/>
    <w:tmpl w:val="04E66A3A"/>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BDA5BF5"/>
    <w:multiLevelType w:val="hybridMultilevel"/>
    <w:tmpl w:val="EBA8151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51CA69C7"/>
    <w:multiLevelType w:val="hybridMultilevel"/>
    <w:tmpl w:val="BC42A0DA"/>
    <w:lvl w:ilvl="0" w:tplc="41EA3836">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2" w15:restartNumberingAfterBreak="0">
    <w:nsid w:val="53BB734A"/>
    <w:multiLevelType w:val="hybridMultilevel"/>
    <w:tmpl w:val="E3E2FD66"/>
    <w:lvl w:ilvl="0" w:tplc="0E5AF46E">
      <w:numFmt w:val="bullet"/>
      <w:lvlText w:val="-"/>
      <w:lvlJc w:val="left"/>
      <w:pPr>
        <w:tabs>
          <w:tab w:val="num" w:pos="720"/>
        </w:tabs>
        <w:ind w:left="720" w:hanging="360"/>
      </w:pPr>
      <w:rPr>
        <w:rFonts w:ascii="Arial" w:eastAsia="Times New Roman" w:hAnsi="Arial" w:cs="Arial" w:hint="default"/>
        <w:b/>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7A94259"/>
    <w:multiLevelType w:val="hybridMultilevel"/>
    <w:tmpl w:val="7F8EF130"/>
    <w:lvl w:ilvl="0" w:tplc="2D7EB476">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4" w15:restartNumberingAfterBreak="0">
    <w:nsid w:val="64113C53"/>
    <w:multiLevelType w:val="hybridMultilevel"/>
    <w:tmpl w:val="7C7872DE"/>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5" w15:restartNumberingAfterBreak="0">
    <w:nsid w:val="6AC566DA"/>
    <w:multiLevelType w:val="hybridMultilevel"/>
    <w:tmpl w:val="A66E769A"/>
    <w:lvl w:ilvl="0" w:tplc="72664A2A">
      <w:numFmt w:val="bullet"/>
      <w:lvlText w:val="-"/>
      <w:lvlJc w:val="left"/>
      <w:pPr>
        <w:tabs>
          <w:tab w:val="num" w:pos="720"/>
        </w:tabs>
        <w:ind w:left="720" w:hanging="360"/>
      </w:pPr>
      <w:rPr>
        <w:rFonts w:ascii="Arial" w:eastAsia="Times New Roman" w:hAnsi="Arial" w:cs="Arial" w:hint="default"/>
        <w:b/>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0D14F6B"/>
    <w:multiLevelType w:val="hybridMultilevel"/>
    <w:tmpl w:val="4EEE74F8"/>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730B3DF5"/>
    <w:multiLevelType w:val="multilevel"/>
    <w:tmpl w:val="63A2A8B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7B6490A"/>
    <w:multiLevelType w:val="hybridMultilevel"/>
    <w:tmpl w:val="2EC22E7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E0B39DE"/>
    <w:multiLevelType w:val="hybridMultilevel"/>
    <w:tmpl w:val="082E482E"/>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12"/>
  </w:num>
  <w:num w:numId="3">
    <w:abstractNumId w:val="15"/>
  </w:num>
  <w:num w:numId="4">
    <w:abstractNumId w:val="7"/>
  </w:num>
  <w:num w:numId="5">
    <w:abstractNumId w:val="17"/>
  </w:num>
  <w:num w:numId="6">
    <w:abstractNumId w:val="8"/>
  </w:num>
  <w:num w:numId="7">
    <w:abstractNumId w:val="14"/>
  </w:num>
  <w:num w:numId="8">
    <w:abstractNumId w:val="19"/>
  </w:num>
  <w:num w:numId="9">
    <w:abstractNumId w:val="4"/>
  </w:num>
  <w:num w:numId="10">
    <w:abstractNumId w:val="1"/>
  </w:num>
  <w:num w:numId="11">
    <w:abstractNumId w:val="5"/>
  </w:num>
  <w:num w:numId="12">
    <w:abstractNumId w:val="13"/>
  </w:num>
  <w:num w:numId="13">
    <w:abstractNumId w:val="18"/>
  </w:num>
  <w:num w:numId="14">
    <w:abstractNumId w:val="9"/>
  </w:num>
  <w:num w:numId="15">
    <w:abstractNumId w:val="16"/>
  </w:num>
  <w:num w:numId="16">
    <w:abstractNumId w:val="6"/>
  </w:num>
  <w:num w:numId="17">
    <w:abstractNumId w:val="10"/>
  </w:num>
  <w:num w:numId="18">
    <w:abstractNumId w:val="11"/>
  </w:num>
  <w:num w:numId="19">
    <w:abstractNumId w:val="0"/>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EC4"/>
    <w:rsid w:val="00017F4D"/>
    <w:rsid w:val="00124CEA"/>
    <w:rsid w:val="00166EED"/>
    <w:rsid w:val="001C70E3"/>
    <w:rsid w:val="00385754"/>
    <w:rsid w:val="003C7FE0"/>
    <w:rsid w:val="00413E33"/>
    <w:rsid w:val="00494D41"/>
    <w:rsid w:val="004F0F69"/>
    <w:rsid w:val="00563C48"/>
    <w:rsid w:val="005C3725"/>
    <w:rsid w:val="00654C9D"/>
    <w:rsid w:val="006A21FE"/>
    <w:rsid w:val="00713AB3"/>
    <w:rsid w:val="007B0EC4"/>
    <w:rsid w:val="007C5D43"/>
    <w:rsid w:val="00807F22"/>
    <w:rsid w:val="00833FFD"/>
    <w:rsid w:val="00A41A7C"/>
    <w:rsid w:val="00A47A73"/>
    <w:rsid w:val="00AF5D49"/>
    <w:rsid w:val="00B331BE"/>
    <w:rsid w:val="00B3794A"/>
    <w:rsid w:val="00B85127"/>
    <w:rsid w:val="00B91D3E"/>
    <w:rsid w:val="00C1016B"/>
    <w:rsid w:val="00C41CA8"/>
    <w:rsid w:val="00C657FD"/>
    <w:rsid w:val="00C83325"/>
    <w:rsid w:val="00CA1436"/>
    <w:rsid w:val="00CE05A0"/>
    <w:rsid w:val="00D808E4"/>
    <w:rsid w:val="00E32E75"/>
    <w:rsid w:val="00E56F23"/>
    <w:rsid w:val="00E85BE0"/>
    <w:rsid w:val="00EB2F2F"/>
    <w:rsid w:val="00EE6C4C"/>
    <w:rsid w:val="00F43E3C"/>
    <w:rsid w:val="00FE68CC"/>
    <w:rsid w:val="00FE6E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341BD"/>
  <w15:chartTrackingRefBased/>
  <w15:docId w15:val="{87290885-8A4D-44EE-98B5-6DC9A077D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s-CO"/>
    </w:rPr>
  </w:style>
  <w:style w:type="paragraph" w:styleId="Ttulo1">
    <w:name w:val="heading 1"/>
    <w:basedOn w:val="Normal"/>
    <w:next w:val="Normal"/>
    <w:link w:val="Ttulo1Car"/>
    <w:qFormat/>
    <w:rsid w:val="00017F4D"/>
    <w:pPr>
      <w:keepNext/>
      <w:jc w:val="both"/>
      <w:outlineLvl w:val="0"/>
    </w:pPr>
    <w:rPr>
      <w:rFonts w:ascii="Arial" w:eastAsia="Times New Roman" w:hAnsi="Arial"/>
      <w:b/>
      <w:sz w:val="24"/>
      <w:szCs w:val="20"/>
      <w:lang w:val="es-ES" w:eastAsia="es-ES"/>
    </w:rPr>
  </w:style>
  <w:style w:type="paragraph" w:styleId="Ttulo2">
    <w:name w:val="heading 2"/>
    <w:basedOn w:val="Normal"/>
    <w:next w:val="Normal"/>
    <w:link w:val="Ttulo2Car"/>
    <w:semiHidden/>
    <w:unhideWhenUsed/>
    <w:qFormat/>
    <w:rsid w:val="00017F4D"/>
    <w:pPr>
      <w:keepNext/>
      <w:keepLines/>
      <w:spacing w:before="200"/>
      <w:outlineLvl w:val="1"/>
    </w:pPr>
    <w:rPr>
      <w:rFonts w:eastAsia="MS Gothic"/>
      <w:b/>
      <w:bCs/>
      <w:color w:val="4F81BD"/>
      <w:sz w:val="26"/>
      <w:szCs w:val="2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017F4D"/>
    <w:rPr>
      <w:rFonts w:ascii="Arial" w:eastAsia="Times New Roman" w:hAnsi="Arial"/>
      <w:b/>
      <w:sz w:val="24"/>
      <w:lang w:val="es-ES" w:eastAsia="es-ES"/>
    </w:rPr>
  </w:style>
  <w:style w:type="character" w:customStyle="1" w:styleId="Ttulo2Car">
    <w:name w:val="Título 2 Car"/>
    <w:link w:val="Ttulo2"/>
    <w:semiHidden/>
    <w:rsid w:val="00017F4D"/>
    <w:rPr>
      <w:rFonts w:eastAsia="MS Gothic"/>
      <w:b/>
      <w:bCs/>
      <w:color w:val="4F81BD"/>
      <w:sz w:val="26"/>
      <w:szCs w:val="26"/>
      <w:lang w:eastAsia="es-ES"/>
    </w:rPr>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texto de nota al p,FA Fu Car Car Car"/>
    <w:basedOn w:val="Normal"/>
    <w:link w:val="TextonotapieCar"/>
    <w:rsid w:val="00017F4D"/>
    <w:rPr>
      <w:rFonts w:ascii="Times New Roman" w:eastAsia="Times New Roman" w:hAnsi="Times New Roman"/>
      <w:sz w:val="20"/>
      <w:szCs w:val="20"/>
      <w:lang w:eastAsia="es-ES"/>
    </w:rPr>
  </w:style>
  <w:style w:type="character" w:customStyle="1" w:styleId="TextonotapieCar">
    <w:name w:val="Texto nota pie Car"/>
    <w:aliases w:val="Footnote Text Char Char Char Char Char Car1,Footnote Text Char Char Char Char Car1,Footnote reference Car1,FA Fu Car1,Footnote Text Cha Car1,Footnote Text Char Char Char Car1,FA Fußnotentext Car1,FA Fuﬂnotentext Car1"/>
    <w:link w:val="Textonotapie"/>
    <w:rsid w:val="00017F4D"/>
    <w:rPr>
      <w:rFonts w:ascii="Times New Roman" w:eastAsia="Times New Roman" w:hAnsi="Times New Roman"/>
      <w:lang w:eastAsia="es-ES"/>
    </w:rPr>
  </w:style>
  <w:style w:type="character" w:styleId="Refdenotaalpie">
    <w:name w:val="footnote reference"/>
    <w:aliases w:val="Ref. de nota al pie 2,Texto de nota al pie,Pie de Página,FC,Texto de nota al p,Pie de Pàgina,F,Pie de P_gin,Pie de P_,Pie de P_g,Texto de nota al pi,referencia nota al pie,Nota de pie,Texto nota al pie,Appel note de bas de page,BVI f"/>
    <w:rsid w:val="00017F4D"/>
    <w:rPr>
      <w:vertAlign w:val="superscript"/>
    </w:rPr>
  </w:style>
  <w:style w:type="character" w:customStyle="1" w:styleId="TextonotapieCar1">
    <w:name w:val="Texto nota pie Car1"/>
    <w:aliases w:val="Footnote Text Char Char Char Char Char Car,Footnote Text Char Char Char Char Car,Footnote reference Car,FA Fu Car,Footnote Text Cha Car,Footnote Text Char Char Char Car,FA Fußnotentext Car,FA Fuﬂnotentext Car,texto de nota al p Car"/>
    <w:rsid w:val="00017F4D"/>
    <w:rPr>
      <w:lang w:val="es-CO"/>
    </w:rPr>
  </w:style>
  <w:style w:type="paragraph" w:styleId="Encabezado">
    <w:name w:val="header"/>
    <w:basedOn w:val="Normal"/>
    <w:link w:val="EncabezadoCar"/>
    <w:uiPriority w:val="99"/>
    <w:rsid w:val="00017F4D"/>
    <w:pPr>
      <w:tabs>
        <w:tab w:val="center" w:pos="4252"/>
        <w:tab w:val="right" w:pos="8504"/>
      </w:tabs>
    </w:pPr>
    <w:rPr>
      <w:rFonts w:ascii="Times New Roman" w:eastAsia="Times New Roman" w:hAnsi="Times New Roman"/>
      <w:sz w:val="24"/>
      <w:szCs w:val="24"/>
      <w:lang w:eastAsia="es-ES"/>
    </w:rPr>
  </w:style>
  <w:style w:type="character" w:customStyle="1" w:styleId="EncabezadoCar">
    <w:name w:val="Encabezado Car"/>
    <w:link w:val="Encabezado"/>
    <w:uiPriority w:val="99"/>
    <w:rsid w:val="00017F4D"/>
    <w:rPr>
      <w:rFonts w:ascii="Times New Roman" w:eastAsia="Times New Roman" w:hAnsi="Times New Roman"/>
      <w:sz w:val="24"/>
      <w:szCs w:val="24"/>
      <w:lang w:eastAsia="es-ES"/>
    </w:rPr>
  </w:style>
  <w:style w:type="character" w:styleId="Nmerodepgina">
    <w:name w:val="page number"/>
    <w:rsid w:val="00017F4D"/>
  </w:style>
  <w:style w:type="paragraph" w:styleId="Piedepgina">
    <w:name w:val="footer"/>
    <w:basedOn w:val="Normal"/>
    <w:link w:val="PiedepginaCar"/>
    <w:rsid w:val="00017F4D"/>
    <w:pPr>
      <w:tabs>
        <w:tab w:val="center" w:pos="4252"/>
        <w:tab w:val="right" w:pos="8504"/>
      </w:tabs>
    </w:pPr>
    <w:rPr>
      <w:rFonts w:ascii="Times New Roman" w:eastAsia="Times New Roman" w:hAnsi="Times New Roman"/>
      <w:sz w:val="24"/>
      <w:szCs w:val="24"/>
      <w:lang w:eastAsia="es-ES"/>
    </w:rPr>
  </w:style>
  <w:style w:type="character" w:customStyle="1" w:styleId="PiedepginaCar">
    <w:name w:val="Pie de página Car"/>
    <w:link w:val="Piedepgina"/>
    <w:rsid w:val="00017F4D"/>
    <w:rPr>
      <w:rFonts w:ascii="Times New Roman" w:eastAsia="Times New Roman" w:hAnsi="Times New Roman"/>
      <w:sz w:val="24"/>
      <w:szCs w:val="24"/>
      <w:lang w:eastAsia="es-ES"/>
    </w:rPr>
  </w:style>
  <w:style w:type="paragraph" w:styleId="Textodeglobo">
    <w:name w:val="Balloon Text"/>
    <w:basedOn w:val="Normal"/>
    <w:link w:val="TextodegloboCar"/>
    <w:rsid w:val="00017F4D"/>
    <w:rPr>
      <w:rFonts w:ascii="Tahoma" w:eastAsia="Times New Roman" w:hAnsi="Tahoma" w:cs="Tahoma"/>
      <w:sz w:val="16"/>
      <w:szCs w:val="16"/>
      <w:lang w:eastAsia="es-ES"/>
    </w:rPr>
  </w:style>
  <w:style w:type="character" w:customStyle="1" w:styleId="TextodegloboCar">
    <w:name w:val="Texto de globo Car"/>
    <w:link w:val="Textodeglobo"/>
    <w:rsid w:val="00017F4D"/>
    <w:rPr>
      <w:rFonts w:ascii="Tahoma" w:eastAsia="Times New Roman" w:hAnsi="Tahoma" w:cs="Tahoma"/>
      <w:sz w:val="16"/>
      <w:szCs w:val="16"/>
      <w:lang w:eastAsia="es-ES"/>
    </w:rPr>
  </w:style>
  <w:style w:type="paragraph" w:customStyle="1" w:styleId="Puesto">
    <w:name w:val="Puesto"/>
    <w:aliases w:val="Title"/>
    <w:basedOn w:val="Normal"/>
    <w:link w:val="TtuloCar"/>
    <w:qFormat/>
    <w:rsid w:val="00017F4D"/>
    <w:pPr>
      <w:jc w:val="center"/>
    </w:pPr>
    <w:rPr>
      <w:rFonts w:ascii="Arial" w:eastAsia="Times New Roman" w:hAnsi="Arial"/>
      <w:b/>
      <w:sz w:val="24"/>
      <w:szCs w:val="20"/>
      <w:lang w:val="es-ES" w:eastAsia="es-ES"/>
    </w:rPr>
  </w:style>
  <w:style w:type="character" w:customStyle="1" w:styleId="TtuloCar">
    <w:name w:val="Título Car"/>
    <w:link w:val="Puesto"/>
    <w:rsid w:val="00017F4D"/>
    <w:rPr>
      <w:rFonts w:ascii="Arial" w:eastAsia="Times New Roman" w:hAnsi="Arial"/>
      <w:b/>
      <w:sz w:val="24"/>
      <w:lang w:val="es-ES" w:eastAsia="es-ES"/>
    </w:rPr>
  </w:style>
  <w:style w:type="paragraph" w:styleId="Textoindependiente2">
    <w:name w:val="Body Text 2"/>
    <w:basedOn w:val="Normal"/>
    <w:link w:val="Textoindependiente2Car"/>
    <w:rsid w:val="00017F4D"/>
    <w:pPr>
      <w:spacing w:after="120" w:line="480" w:lineRule="auto"/>
    </w:pPr>
    <w:rPr>
      <w:rFonts w:ascii="Times New Roman" w:eastAsia="Times New Roman" w:hAnsi="Times New Roman"/>
      <w:sz w:val="24"/>
      <w:szCs w:val="24"/>
      <w:lang w:eastAsia="es-ES"/>
    </w:rPr>
  </w:style>
  <w:style w:type="character" w:customStyle="1" w:styleId="Textoindependiente2Car">
    <w:name w:val="Texto independiente 2 Car"/>
    <w:link w:val="Textoindependiente2"/>
    <w:rsid w:val="00017F4D"/>
    <w:rPr>
      <w:rFonts w:ascii="Times New Roman" w:eastAsia="Times New Roman" w:hAnsi="Times New Roman"/>
      <w:sz w:val="24"/>
      <w:szCs w:val="24"/>
      <w:lang w:eastAsia="es-ES"/>
    </w:rPr>
  </w:style>
  <w:style w:type="character" w:customStyle="1" w:styleId="textonavy1">
    <w:name w:val="texto_navy1"/>
    <w:rsid w:val="00017F4D"/>
    <w:rPr>
      <w:color w:val="000080"/>
    </w:rPr>
  </w:style>
  <w:style w:type="paragraph" w:customStyle="1" w:styleId="Sangra2detdecuerpo1">
    <w:name w:val="Sangría 2 de t. de cuerpo1"/>
    <w:basedOn w:val="Normal"/>
    <w:rsid w:val="00017F4D"/>
    <w:pPr>
      <w:overflowPunct w:val="0"/>
      <w:autoSpaceDE w:val="0"/>
      <w:autoSpaceDN w:val="0"/>
      <w:adjustRightInd w:val="0"/>
      <w:spacing w:line="360" w:lineRule="auto"/>
      <w:ind w:firstLine="1440"/>
      <w:jc w:val="both"/>
    </w:pPr>
    <w:rPr>
      <w:rFonts w:ascii="Arial" w:eastAsia="Times New Roman" w:hAnsi="Arial"/>
      <w:sz w:val="24"/>
      <w:szCs w:val="20"/>
      <w:lang w:val="es-ES" w:eastAsia="es-ES"/>
    </w:rPr>
  </w:style>
  <w:style w:type="character" w:styleId="Hipervnculo">
    <w:name w:val="Hyperlink"/>
    <w:rsid w:val="00017F4D"/>
    <w:rPr>
      <w:color w:val="0000FF"/>
      <w:u w:val="single"/>
    </w:rPr>
  </w:style>
  <w:style w:type="paragraph" w:styleId="Textoindependiente">
    <w:name w:val="Body Text"/>
    <w:basedOn w:val="Normal"/>
    <w:link w:val="TextoindependienteCar"/>
    <w:rsid w:val="00017F4D"/>
    <w:pPr>
      <w:spacing w:after="120"/>
    </w:pPr>
    <w:rPr>
      <w:rFonts w:ascii="Times New Roman" w:eastAsia="Times New Roman" w:hAnsi="Times New Roman"/>
      <w:sz w:val="24"/>
      <w:szCs w:val="24"/>
      <w:lang w:eastAsia="es-ES"/>
    </w:rPr>
  </w:style>
  <w:style w:type="character" w:customStyle="1" w:styleId="TextoindependienteCar">
    <w:name w:val="Texto independiente Car"/>
    <w:link w:val="Textoindependiente"/>
    <w:rsid w:val="00017F4D"/>
    <w:rPr>
      <w:rFonts w:ascii="Times New Roman" w:eastAsia="Times New Roman" w:hAnsi="Times New Roman"/>
      <w:sz w:val="24"/>
      <w:szCs w:val="24"/>
      <w:lang w:eastAsia="es-ES"/>
    </w:rPr>
  </w:style>
  <w:style w:type="paragraph" w:customStyle="1" w:styleId="Textodecuerpo21">
    <w:name w:val="Texto de cuerpo 21"/>
    <w:basedOn w:val="Normal"/>
    <w:rsid w:val="00017F4D"/>
    <w:pPr>
      <w:overflowPunct w:val="0"/>
      <w:autoSpaceDE w:val="0"/>
      <w:autoSpaceDN w:val="0"/>
      <w:adjustRightInd w:val="0"/>
      <w:spacing w:line="480" w:lineRule="auto"/>
      <w:jc w:val="both"/>
      <w:textAlignment w:val="baseline"/>
    </w:pPr>
    <w:rPr>
      <w:rFonts w:ascii="Arial" w:eastAsia="Times New Roman" w:hAnsi="Arial"/>
      <w:sz w:val="24"/>
      <w:szCs w:val="20"/>
      <w:lang w:val="es-ES" w:eastAsia="es-ES"/>
    </w:rPr>
  </w:style>
  <w:style w:type="paragraph" w:styleId="Sinespaciado">
    <w:name w:val="No Spacing"/>
    <w:uiPriority w:val="1"/>
    <w:qFormat/>
    <w:rsid w:val="00017F4D"/>
    <w:rPr>
      <w:sz w:val="22"/>
      <w:szCs w:val="22"/>
      <w:lang w:val="es-ES"/>
    </w:rPr>
  </w:style>
  <w:style w:type="paragraph" w:styleId="NormalWeb">
    <w:name w:val="Normal (Web)"/>
    <w:basedOn w:val="Normal"/>
    <w:rsid w:val="00017F4D"/>
    <w:pPr>
      <w:spacing w:before="100" w:beforeAutospacing="1" w:after="100" w:afterAutospacing="1"/>
    </w:pPr>
    <w:rPr>
      <w:rFonts w:ascii="Times New Roman" w:eastAsia="Times New Roman" w:hAnsi="Times New Roman"/>
      <w:sz w:val="24"/>
      <w:szCs w:val="24"/>
      <w:lang w:val="es-ES" w:eastAsia="es-ES"/>
    </w:rPr>
  </w:style>
  <w:style w:type="paragraph" w:customStyle="1" w:styleId="Cuadrculamediana21">
    <w:name w:val="Cuadrícula mediana 21"/>
    <w:qFormat/>
    <w:rsid w:val="00017F4D"/>
    <w:rPr>
      <w:sz w:val="22"/>
      <w:szCs w:val="22"/>
      <w:lang w:val="es-ES"/>
    </w:rPr>
  </w:style>
  <w:style w:type="paragraph" w:customStyle="1" w:styleId="PlainText1">
    <w:name w:val="Plain Text1"/>
    <w:basedOn w:val="Normal"/>
    <w:rsid w:val="00017F4D"/>
    <w:pPr>
      <w:overflowPunct w:val="0"/>
      <w:autoSpaceDE w:val="0"/>
      <w:autoSpaceDN w:val="0"/>
      <w:adjustRightInd w:val="0"/>
      <w:textAlignment w:val="baseline"/>
    </w:pPr>
    <w:rPr>
      <w:rFonts w:ascii="Courier New" w:eastAsia="Times New Roman" w:hAnsi="Courier New"/>
      <w:sz w:val="20"/>
      <w:szCs w:val="20"/>
    </w:rPr>
  </w:style>
  <w:style w:type="character" w:styleId="Textoennegrita">
    <w:name w:val="Strong"/>
    <w:uiPriority w:val="22"/>
    <w:qFormat/>
    <w:rsid w:val="00017F4D"/>
    <w:rPr>
      <w:b/>
      <w:bCs/>
    </w:rPr>
  </w:style>
  <w:style w:type="paragraph" w:styleId="Sangradetextonormal">
    <w:name w:val="Body Text Indent"/>
    <w:basedOn w:val="Normal"/>
    <w:link w:val="SangradetextonormalCar"/>
    <w:rsid w:val="00017F4D"/>
    <w:pPr>
      <w:spacing w:after="120"/>
      <w:ind w:left="283"/>
    </w:pPr>
    <w:rPr>
      <w:rFonts w:ascii="Times New Roman" w:eastAsia="Times New Roman" w:hAnsi="Times New Roman"/>
      <w:sz w:val="24"/>
      <w:szCs w:val="24"/>
      <w:lang w:eastAsia="es-ES"/>
    </w:rPr>
  </w:style>
  <w:style w:type="character" w:customStyle="1" w:styleId="SangradetextonormalCar">
    <w:name w:val="Sangría de texto normal Car"/>
    <w:link w:val="Sangradetextonormal"/>
    <w:rsid w:val="00017F4D"/>
    <w:rPr>
      <w:rFonts w:ascii="Times New Roman" w:eastAsia="Times New Roman" w:hAnsi="Times New Roman"/>
      <w:sz w:val="24"/>
      <w:szCs w:val="24"/>
      <w:lang w:eastAsia="es-ES"/>
    </w:rPr>
  </w:style>
  <w:style w:type="character" w:customStyle="1" w:styleId="textonavy">
    <w:name w:val="texto_navy"/>
    <w:rsid w:val="00017F4D"/>
  </w:style>
  <w:style w:type="paragraph" w:customStyle="1" w:styleId="Default">
    <w:name w:val="Default"/>
    <w:rsid w:val="00713AB3"/>
    <w:pPr>
      <w:autoSpaceDE w:val="0"/>
      <w:autoSpaceDN w:val="0"/>
      <w:adjustRightInd w:val="0"/>
    </w:pPr>
    <w:rPr>
      <w:rFonts w:ascii="Arial" w:eastAsia="Times New Roman" w:hAnsi="Arial" w:cs="Arial"/>
      <w:color w:val="000000"/>
      <w:kern w:val="28"/>
      <w:sz w:val="24"/>
      <w:szCs w:val="24"/>
      <w:lang w:val="es-ES" w:eastAsia="es-ES"/>
    </w:rPr>
  </w:style>
  <w:style w:type="character" w:styleId="nfasis">
    <w:name w:val="Emphasis"/>
    <w:uiPriority w:val="20"/>
    <w:qFormat/>
    <w:rsid w:val="00C8332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401940D1-8F96-4C11-9626-70C5BB34F008}">
  <ds:schemaRefs>
    <ds:schemaRef ds:uri="http://schemas.microsoft.com/sharepoint/v3/contenttype/forms"/>
  </ds:schemaRefs>
</ds:datastoreItem>
</file>

<file path=customXml/itemProps2.xml><?xml version="1.0" encoding="utf-8"?>
<ds:datastoreItem xmlns:ds="http://schemas.openxmlformats.org/officeDocument/2006/customXml" ds:itemID="{83063C7D-4758-40C0-9074-BE1F8B01C1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3196D9-C7DC-488F-A2BE-804ED795D089}">
  <ds:schemaRefs>
    <ds:schemaRef ds:uri="http://schemas.microsoft.com/office/2006/metadata/properti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13459</Words>
  <Characters>76722</Characters>
  <Application>Microsoft Office Word</Application>
  <DocSecurity>0</DocSecurity>
  <Lines>639</Lines>
  <Paragraphs>180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Marcela Rodriguez Novoa</dc:creator>
  <cp:keywords/>
  <dc:description/>
  <cp:lastModifiedBy>Nina María Padrón</cp:lastModifiedBy>
  <cp:revision>2</cp:revision>
  <dcterms:created xsi:type="dcterms:W3CDTF">2020-06-11T19:32:00Z</dcterms:created>
  <dcterms:modified xsi:type="dcterms:W3CDTF">2020-06-11T19:32:00Z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