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1849" w:rsidRPr="00504EE7" w:rsidRDefault="00EF1849" w:rsidP="00EF1849">
      <w:pPr>
        <w:spacing w:line="240" w:lineRule="auto"/>
        <w:jc w:val="both"/>
        <w:rPr>
          <w:rFonts w:ascii="Arial" w:hAnsi="Arial" w:cs="Arial"/>
          <w:b/>
          <w:sz w:val="24"/>
          <w:szCs w:val="24"/>
        </w:rPr>
      </w:pPr>
      <w:r w:rsidRPr="00504EE7">
        <w:rPr>
          <w:rFonts w:ascii="Arial" w:hAnsi="Arial" w:cs="Arial"/>
          <w:b/>
          <w:sz w:val="24"/>
          <w:szCs w:val="24"/>
        </w:rPr>
        <w:t xml:space="preserve">REGISTRO </w:t>
      </w:r>
      <w:r w:rsidR="002B4077">
        <w:rPr>
          <w:rFonts w:ascii="Arial" w:hAnsi="Arial" w:cs="Arial"/>
          <w:b/>
          <w:sz w:val="24"/>
          <w:szCs w:val="24"/>
        </w:rPr>
        <w:t>ÚNICO</w:t>
      </w:r>
      <w:r w:rsidRPr="00504EE7">
        <w:rPr>
          <w:rFonts w:ascii="Arial" w:hAnsi="Arial" w:cs="Arial"/>
          <w:b/>
          <w:sz w:val="24"/>
          <w:szCs w:val="24"/>
        </w:rPr>
        <w:t xml:space="preserve"> DE PROPONENTES – Nueva reglamentación </w:t>
      </w:r>
    </w:p>
    <w:p w:rsidR="00EF1849" w:rsidRPr="00DE4AD5" w:rsidRDefault="00EF1849" w:rsidP="00EF1849">
      <w:pPr>
        <w:spacing w:line="240" w:lineRule="auto"/>
        <w:jc w:val="both"/>
        <w:rPr>
          <w:rFonts w:ascii="Arial" w:hAnsi="Arial" w:cs="Arial"/>
        </w:rPr>
      </w:pPr>
      <w:r w:rsidRPr="00DE4AD5">
        <w:rPr>
          <w:rFonts w:ascii="Arial" w:hAnsi="Arial" w:cs="Arial"/>
        </w:rPr>
        <w:t>Tal como lo entendió el juzgador de instancia, hubo una nueva regulación sobre el Registro Único de Proponentes, y en tal sentido, lo que en su momento dispuso el artículo 81 de la ley 80 de 1993 sobre la materia. Un cambio de tal magnitud fue lo que llevó a que su entrada en vigencia se realizara un año después de promulgada la ley, de manera que estas disposiciones sólo resultaron vinculantes a partir del 28 de octubre de 1994.</w:t>
      </w:r>
    </w:p>
    <w:p w:rsidR="00EF1849" w:rsidRPr="00504EE7" w:rsidRDefault="00EF1849" w:rsidP="00EF1849">
      <w:pPr>
        <w:spacing w:line="240" w:lineRule="auto"/>
        <w:jc w:val="both"/>
        <w:rPr>
          <w:rFonts w:ascii="Arial" w:hAnsi="Arial" w:cs="Arial"/>
          <w:b/>
          <w:sz w:val="24"/>
          <w:szCs w:val="24"/>
        </w:rPr>
      </w:pPr>
      <w:r w:rsidRPr="00504EE7">
        <w:rPr>
          <w:rFonts w:ascii="Arial" w:hAnsi="Arial" w:cs="Arial"/>
          <w:b/>
          <w:sz w:val="24"/>
          <w:szCs w:val="24"/>
        </w:rPr>
        <w:t xml:space="preserve">REGISTRO </w:t>
      </w:r>
      <w:r w:rsidR="002B4077">
        <w:rPr>
          <w:rFonts w:ascii="Arial" w:hAnsi="Arial" w:cs="Arial"/>
          <w:b/>
          <w:sz w:val="24"/>
          <w:szCs w:val="24"/>
        </w:rPr>
        <w:t>ÚNICO</w:t>
      </w:r>
      <w:r w:rsidRPr="00504EE7">
        <w:rPr>
          <w:rFonts w:ascii="Arial" w:hAnsi="Arial" w:cs="Arial"/>
          <w:b/>
          <w:sz w:val="24"/>
          <w:szCs w:val="24"/>
        </w:rPr>
        <w:t xml:space="preserve"> DE PROPONENTES – Decreto 222 de 1983 </w:t>
      </w:r>
      <w:r w:rsidR="002B4077">
        <w:rPr>
          <w:rFonts w:ascii="Arial" w:hAnsi="Arial" w:cs="Arial"/>
          <w:b/>
          <w:sz w:val="24"/>
          <w:szCs w:val="24"/>
        </w:rPr>
        <w:t xml:space="preserve">– No era Requisito Habilitante – Contrato de obra pública – Adjudicación </w:t>
      </w:r>
    </w:p>
    <w:p w:rsidR="00EF1849" w:rsidRPr="00DE4AD5" w:rsidRDefault="00EF1849" w:rsidP="00EF1849">
      <w:pPr>
        <w:spacing w:line="240" w:lineRule="auto"/>
        <w:jc w:val="both"/>
        <w:rPr>
          <w:rFonts w:ascii="Arial" w:hAnsi="Arial" w:cs="Arial"/>
        </w:rPr>
      </w:pPr>
      <w:r w:rsidRPr="00DE4AD5">
        <w:rPr>
          <w:rFonts w:ascii="Arial" w:hAnsi="Arial" w:cs="Arial"/>
        </w:rPr>
        <w:t>En vigencia del decreto ley 222 de 1983 podían inscribirse en el registro de proponentes (recuérdese que antes de la ley 80 de 1993 no había un registro de proponentes único, sino que cada entidad podía llevar su propio registro, arts. 44 y 45 ibídem), y por ende, podían contratar con las entidades del Estado tanto la sociedad como sus socios o miembros individualmente considerados. Esto se desprendía de lo dispuesto en el inciso octavo del art. 2º del decreto reglamentario 1522 de 1983, por el cual se dictaron normas sobre registro de proponentes y concurso de méritos: “En todos aquellos casos en que se produzcan inscripciones de personas jurídicas -que no sean sociedades anónimas- y cualquiera de las personas naturales o jurídicas, que las integren como socios, las entidades contratantes, al señalar los requisitos de inscripción, tomarán medidas especiales tendientes al pleno respeto de los principios de la moral de la contratación pública, las necesidades del servicio, las normas de ética profesional y la conveniencia de la entidad”. En el sub lite, no existe prueba alguna que acreditara que el municipio de Bolívar Santander, llevase su propio registro de proponentes, en los términos de los  artículos antes citados, por lo que carece de fundamento el reparo que hace el actor por este concepto. Tampoco comparte la Sala la afirmación del a quo cuando dijo que “Descendiendo al caso bajo estudio, encuentra la Sala que conforme a la licitación pública No 01 de marzo de 1994 se requería que los participantes se encontraran debidamente registrados en la “Secretaría de Planeación y Desarrollo del municipio” (Fl 124); porque basta con leer el citado documento, para concluir que el registro de proponentes no era exigido en la referida licitación. En consecuencia, al no existir en el municipio de Bolívar Santander, un procedimiento que regulara el Registro de Proponentes, los artículos 25, 27, 30, 33, 44 y 45 del Decreto No. 222 de 1983, son inaplicables en materia de contratación a nivel local, y no siendo las normas citadas aplicables en el evento sub lite, mal puede haberse incurrido en violación de las mismas, tal como ya se anotó.</w:t>
      </w:r>
    </w:p>
    <w:p w:rsidR="00EF1849" w:rsidRPr="00504EE7" w:rsidRDefault="00EF1849" w:rsidP="00EF1849">
      <w:pPr>
        <w:spacing w:line="240" w:lineRule="auto"/>
        <w:jc w:val="both"/>
        <w:rPr>
          <w:rFonts w:ascii="Arial" w:hAnsi="Arial" w:cs="Arial"/>
          <w:b/>
          <w:sz w:val="24"/>
          <w:szCs w:val="24"/>
        </w:rPr>
      </w:pPr>
      <w:r w:rsidRPr="00504EE7">
        <w:rPr>
          <w:rFonts w:ascii="Arial" w:hAnsi="Arial" w:cs="Arial"/>
          <w:b/>
          <w:sz w:val="24"/>
          <w:szCs w:val="24"/>
        </w:rPr>
        <w:t xml:space="preserve">INHABILIDADES E INCOMPATIBILIDADES – </w:t>
      </w:r>
      <w:r w:rsidR="002B4077" w:rsidRPr="00504EE7">
        <w:rPr>
          <w:rFonts w:ascii="Arial" w:hAnsi="Arial" w:cs="Arial"/>
          <w:b/>
          <w:sz w:val="24"/>
          <w:szCs w:val="24"/>
        </w:rPr>
        <w:t>Contratación</w:t>
      </w:r>
      <w:r w:rsidRPr="00504EE7">
        <w:rPr>
          <w:rFonts w:ascii="Arial" w:hAnsi="Arial" w:cs="Arial"/>
          <w:b/>
          <w:sz w:val="24"/>
          <w:szCs w:val="24"/>
        </w:rPr>
        <w:t xml:space="preserve"> estatal – No existía la inhabilidad del cargo</w:t>
      </w:r>
    </w:p>
    <w:p w:rsidR="00EF1849" w:rsidRPr="00DE4AD5" w:rsidRDefault="00EF1849" w:rsidP="00EF1849">
      <w:pPr>
        <w:spacing w:line="240" w:lineRule="auto"/>
        <w:jc w:val="both"/>
        <w:rPr>
          <w:rFonts w:ascii="Arial" w:hAnsi="Arial" w:cs="Arial"/>
        </w:rPr>
      </w:pPr>
      <w:r w:rsidRPr="00DE4AD5">
        <w:rPr>
          <w:rFonts w:ascii="Arial" w:hAnsi="Arial" w:cs="Arial"/>
        </w:rPr>
        <w:t>Las inhabilidades y las incompatibilidades relativas a la contratación del sector público se consagran en diversas normas jurídicas, entre ellas se destacan las consagradas en el artículo 8  del Estatuto General de Contratación Estatal, contenido en Ley 80, expedida en el año de 1993, norma que se itera, era la que resultaba aplicable al procedimiento administrativo de selección adelantado por la entidad pública demandada; sin que en ninguna de ellas se establezca como causal de inhabilidad la que menciona el actor en este caso. Por lo tanto acertó el a quo al desestimar el cargo.</w:t>
      </w:r>
    </w:p>
    <w:p w:rsidR="00EF1849" w:rsidRPr="00504EE7" w:rsidRDefault="002B4077" w:rsidP="00EF1849">
      <w:pPr>
        <w:spacing w:line="240" w:lineRule="auto"/>
        <w:jc w:val="both"/>
        <w:rPr>
          <w:rFonts w:ascii="Arial" w:hAnsi="Arial" w:cs="Arial"/>
          <w:b/>
          <w:sz w:val="24"/>
          <w:szCs w:val="24"/>
        </w:rPr>
      </w:pPr>
      <w:r>
        <w:rPr>
          <w:rFonts w:ascii="Arial" w:hAnsi="Arial" w:cs="Arial"/>
          <w:b/>
          <w:sz w:val="24"/>
          <w:szCs w:val="24"/>
        </w:rPr>
        <w:t>PRINCIPIOS DE LA CONTRATACIÓ</w:t>
      </w:r>
      <w:r w:rsidR="00EF1849" w:rsidRPr="00504EE7">
        <w:rPr>
          <w:rFonts w:ascii="Arial" w:hAnsi="Arial" w:cs="Arial"/>
          <w:b/>
          <w:sz w:val="24"/>
          <w:szCs w:val="24"/>
        </w:rPr>
        <w:t>N E</w:t>
      </w:r>
      <w:r>
        <w:rPr>
          <w:rFonts w:ascii="Arial" w:hAnsi="Arial" w:cs="Arial"/>
          <w:b/>
          <w:sz w:val="24"/>
          <w:szCs w:val="24"/>
        </w:rPr>
        <w:t>STATAL – Contrato estatal – Cri</w:t>
      </w:r>
      <w:r w:rsidR="00EF1849" w:rsidRPr="00504EE7">
        <w:rPr>
          <w:rFonts w:ascii="Arial" w:hAnsi="Arial" w:cs="Arial"/>
          <w:b/>
          <w:sz w:val="24"/>
          <w:szCs w:val="24"/>
        </w:rPr>
        <w:t>terios de selección objetiva – Propuesta</w:t>
      </w:r>
    </w:p>
    <w:p w:rsidR="00EF1849" w:rsidRPr="00DE4AD5" w:rsidRDefault="00EF1849" w:rsidP="00EF1849">
      <w:pPr>
        <w:spacing w:line="240" w:lineRule="auto"/>
        <w:jc w:val="both"/>
        <w:rPr>
          <w:rFonts w:ascii="Arial" w:hAnsi="Arial" w:cs="Arial"/>
        </w:rPr>
      </w:pPr>
      <w:r w:rsidRPr="00DE4AD5">
        <w:rPr>
          <w:rFonts w:ascii="Arial" w:hAnsi="Arial" w:cs="Arial"/>
        </w:rPr>
        <w:t xml:space="preserve">No debe perderse de vista que la gestión contractual de la Administración Pública, básicamente regulada por la Ley 80 de 1993, para la época de los hechos, está al servicio del interés general y afecta los fines esenciales del Estado, por lo cual debe cumplirse con sujeción a los principios que rigen la contratación estatal, entre los cuales se destacan los de transparencia, economía y responsabilidad. La entidad pública, al efectuar el examen comparativo de las propuestas, tendrá presente el deber legal que le asiste de: a) aplicar estrictamente los criterios de selección y ponderación establecidos en el pliego de condiciones; b) dar a conocer oportunamente los informes de las evaluaciones realizadas; c) atender y dar respuesta motivada a las observaciones que sean efectuadas a los estudios, actividad que estará orientada por los principios de transparencia, de igualdad, de </w:t>
      </w:r>
      <w:r w:rsidRPr="00DE4AD5">
        <w:rPr>
          <w:rFonts w:ascii="Arial" w:hAnsi="Arial" w:cs="Arial"/>
        </w:rPr>
        <w:lastRenderedPageBreak/>
        <w:t>imparcialidad y de selección objetiva, establecidos por la ley para asegurar la escogencia de la propuesta más favorable para la Administración.</w:t>
      </w:r>
    </w:p>
    <w:p w:rsidR="00EF1849" w:rsidRPr="00504EE7" w:rsidRDefault="002B4077" w:rsidP="00EF1849">
      <w:pPr>
        <w:spacing w:line="240" w:lineRule="auto"/>
        <w:jc w:val="both"/>
        <w:rPr>
          <w:rFonts w:ascii="Arial" w:hAnsi="Arial" w:cs="Arial"/>
          <w:b/>
          <w:sz w:val="24"/>
          <w:szCs w:val="24"/>
        </w:rPr>
      </w:pPr>
      <w:r>
        <w:rPr>
          <w:rFonts w:ascii="Arial" w:hAnsi="Arial" w:cs="Arial"/>
          <w:b/>
          <w:sz w:val="24"/>
          <w:szCs w:val="24"/>
        </w:rPr>
        <w:t>ACTO DE ADJUDICACIÓ</w:t>
      </w:r>
      <w:r w:rsidR="00EF1849" w:rsidRPr="00504EE7">
        <w:rPr>
          <w:rFonts w:ascii="Arial" w:hAnsi="Arial" w:cs="Arial"/>
          <w:b/>
          <w:sz w:val="24"/>
          <w:szCs w:val="24"/>
        </w:rPr>
        <w:t xml:space="preserve">N – </w:t>
      </w:r>
      <w:bookmarkStart w:id="0" w:name="_GoBack"/>
      <w:r w:rsidR="00EF1849" w:rsidRPr="00504EE7">
        <w:rPr>
          <w:rFonts w:ascii="Arial" w:hAnsi="Arial" w:cs="Arial"/>
          <w:b/>
          <w:sz w:val="24"/>
          <w:szCs w:val="24"/>
        </w:rPr>
        <w:t>Contrato de obra pública – Propuesta descartada – No cumplía requisitos técnicos y financieros</w:t>
      </w:r>
      <w:bookmarkEnd w:id="0"/>
    </w:p>
    <w:p w:rsidR="00EF1849" w:rsidRPr="00DE4AD5" w:rsidRDefault="00EF1849" w:rsidP="00EF1849">
      <w:pPr>
        <w:spacing w:line="240" w:lineRule="auto"/>
        <w:jc w:val="both"/>
        <w:rPr>
          <w:rFonts w:ascii="Arial" w:hAnsi="Arial" w:cs="Arial"/>
        </w:rPr>
      </w:pPr>
      <w:r w:rsidRPr="00DE4AD5">
        <w:rPr>
          <w:rFonts w:ascii="Arial" w:hAnsi="Arial" w:cs="Arial"/>
        </w:rPr>
        <w:t>De los planteamientos anteriores concluye la Sala con absoluta certeza, que el actor no solamente no tenía mejor derecho a la adjudicación de la Licitación que la firma a la que ella fue adjudicada, sino que además no podía ser beneficiado con dicha adjudicación, pues no cumplía los requisitos técnicos y financieros para ello. Tampoco se logró establecer en el proceso que el acto impugnado adolezca de irregularidad alguna constitutiva de causal de nulidad. (…) A la luz de los lineamientos diseñados por la jurisprudencia de la Sala, correspondía a la parte actora, no solamente probar los cargos de ilegalidad formulados contra el acto administrativo acusado, sino que, adicionalmente, se encontraba en el deber de demostrar que su propuesta se ajustaba en un todo a los requisitos establecidos en el pliego de condiciones y que era la mejor en los aspectos técnicos y financieros, circunstancias que la harían acreedora al derecho de ser la adjudicataria de la Licitación Pública 01 de 1994 y por tanto a la indemnización, cosa que nunca aconteció.La Sala destaca que no cuenta con elementos suficientes que le permitan afirmar que la oferta del demandante hubiese sido la mejor y que, por lo mismo, le correspondía ser preferida en la adjudicación. Por lo anterior se confirmará la sentencia del 12 de septiembre de 2002, proferida por el Tribunal Administrativo de Santander.</w:t>
      </w:r>
    </w:p>
    <w:p w:rsidR="00A55F5A" w:rsidRDefault="00A55F5A" w:rsidP="00A55F5A">
      <w:pPr>
        <w:pStyle w:val="Ttulo"/>
        <w:widowControl w:val="0"/>
        <w:spacing w:line="240" w:lineRule="auto"/>
        <w:rPr>
          <w:rFonts w:cs="Arial"/>
          <w:szCs w:val="24"/>
        </w:rPr>
      </w:pPr>
    </w:p>
    <w:p w:rsidR="00A55F5A" w:rsidRDefault="00A55F5A" w:rsidP="00A55F5A">
      <w:pPr>
        <w:pStyle w:val="Ttulo"/>
        <w:widowControl w:val="0"/>
        <w:spacing w:line="240" w:lineRule="auto"/>
        <w:rPr>
          <w:rFonts w:cs="Arial"/>
          <w:szCs w:val="24"/>
        </w:rPr>
      </w:pPr>
    </w:p>
    <w:p w:rsidR="001F7ECD" w:rsidRPr="00A87E5D" w:rsidRDefault="001F7ECD" w:rsidP="00A55F5A">
      <w:pPr>
        <w:pStyle w:val="Ttulo"/>
        <w:widowControl w:val="0"/>
        <w:spacing w:line="240" w:lineRule="auto"/>
        <w:rPr>
          <w:rFonts w:cs="Arial"/>
          <w:szCs w:val="24"/>
        </w:rPr>
      </w:pPr>
      <w:r w:rsidRPr="00A87E5D">
        <w:rPr>
          <w:rFonts w:cs="Arial"/>
          <w:szCs w:val="24"/>
        </w:rPr>
        <w:t>CONSEJO DE ESTADO</w:t>
      </w:r>
    </w:p>
    <w:p w:rsidR="00550A37" w:rsidRPr="00A87E5D" w:rsidRDefault="00550A37" w:rsidP="00A55F5A">
      <w:pPr>
        <w:pStyle w:val="Ttulo"/>
        <w:widowControl w:val="0"/>
        <w:spacing w:line="240" w:lineRule="auto"/>
        <w:rPr>
          <w:rFonts w:cs="Arial"/>
          <w:szCs w:val="24"/>
        </w:rPr>
      </w:pPr>
    </w:p>
    <w:p w:rsidR="001F7ECD" w:rsidRPr="00A87E5D" w:rsidRDefault="001F7ECD" w:rsidP="00A55F5A">
      <w:pPr>
        <w:widowControl w:val="0"/>
        <w:spacing w:after="0" w:line="240" w:lineRule="auto"/>
        <w:jc w:val="center"/>
        <w:rPr>
          <w:rFonts w:ascii="Arial" w:hAnsi="Arial" w:cs="Arial"/>
          <w:b/>
          <w:sz w:val="24"/>
          <w:szCs w:val="24"/>
        </w:rPr>
      </w:pPr>
      <w:r w:rsidRPr="00A87E5D">
        <w:rPr>
          <w:rFonts w:ascii="Arial" w:hAnsi="Arial" w:cs="Arial"/>
          <w:b/>
          <w:sz w:val="24"/>
          <w:szCs w:val="24"/>
        </w:rPr>
        <w:t xml:space="preserve"> SALA DE LO CONTENCIOSO ADMINISTRATIVO</w:t>
      </w:r>
    </w:p>
    <w:p w:rsidR="001F7ECD" w:rsidRPr="00A87E5D" w:rsidRDefault="001F7ECD" w:rsidP="00A55F5A">
      <w:pPr>
        <w:widowControl w:val="0"/>
        <w:spacing w:after="0" w:line="240" w:lineRule="auto"/>
        <w:jc w:val="center"/>
        <w:rPr>
          <w:rFonts w:ascii="Arial" w:hAnsi="Arial" w:cs="Arial"/>
          <w:sz w:val="24"/>
          <w:szCs w:val="24"/>
          <w:lang w:val="es-ES_tradnl"/>
        </w:rPr>
      </w:pPr>
    </w:p>
    <w:p w:rsidR="00550A37" w:rsidRPr="00A87E5D" w:rsidRDefault="00550A37" w:rsidP="00A55F5A">
      <w:pPr>
        <w:pStyle w:val="Ttulo6"/>
        <w:keepNext w:val="0"/>
        <w:widowControl w:val="0"/>
        <w:ind w:right="0"/>
        <w:rPr>
          <w:rFonts w:ascii="Arial" w:hAnsi="Arial" w:cs="Arial"/>
          <w:sz w:val="24"/>
          <w:szCs w:val="24"/>
        </w:rPr>
      </w:pPr>
      <w:r w:rsidRPr="00A87E5D">
        <w:rPr>
          <w:rFonts w:ascii="Arial" w:hAnsi="Arial" w:cs="Arial"/>
          <w:sz w:val="24"/>
          <w:szCs w:val="24"/>
        </w:rPr>
        <w:t xml:space="preserve">SECCION TERCERA </w:t>
      </w:r>
    </w:p>
    <w:p w:rsidR="00550A37" w:rsidRPr="00A87E5D" w:rsidRDefault="00550A37" w:rsidP="00A55F5A">
      <w:pPr>
        <w:widowControl w:val="0"/>
        <w:spacing w:after="0" w:line="240" w:lineRule="auto"/>
        <w:jc w:val="center"/>
        <w:rPr>
          <w:rFonts w:ascii="Arial" w:hAnsi="Arial" w:cs="Arial"/>
          <w:sz w:val="24"/>
          <w:szCs w:val="24"/>
          <w:lang w:val="es-ES_tradnl" w:eastAsia="es-ES"/>
        </w:rPr>
      </w:pPr>
    </w:p>
    <w:p w:rsidR="00550A37" w:rsidRPr="00A87E5D" w:rsidRDefault="00550A37" w:rsidP="00A55F5A">
      <w:pPr>
        <w:pStyle w:val="Ttulo6"/>
        <w:keepNext w:val="0"/>
        <w:widowControl w:val="0"/>
        <w:ind w:right="0"/>
        <w:rPr>
          <w:rFonts w:ascii="Arial" w:hAnsi="Arial" w:cs="Arial"/>
          <w:sz w:val="24"/>
          <w:szCs w:val="24"/>
        </w:rPr>
      </w:pPr>
      <w:r w:rsidRPr="00A87E5D">
        <w:rPr>
          <w:rFonts w:ascii="Arial" w:hAnsi="Arial" w:cs="Arial"/>
          <w:sz w:val="24"/>
          <w:szCs w:val="24"/>
        </w:rPr>
        <w:t>SUBSECCION C</w:t>
      </w:r>
    </w:p>
    <w:p w:rsidR="001F7ECD" w:rsidRPr="00A87E5D" w:rsidRDefault="001F7ECD" w:rsidP="00A55F5A">
      <w:pPr>
        <w:widowControl w:val="0"/>
        <w:spacing w:after="0" w:line="240" w:lineRule="auto"/>
        <w:jc w:val="center"/>
        <w:rPr>
          <w:rFonts w:ascii="Arial" w:hAnsi="Arial" w:cs="Arial"/>
          <w:b/>
          <w:sz w:val="24"/>
          <w:szCs w:val="24"/>
        </w:rPr>
      </w:pPr>
    </w:p>
    <w:p w:rsidR="001F7ECD" w:rsidRPr="00A87E5D" w:rsidRDefault="00BC13E5" w:rsidP="00A55F5A">
      <w:pPr>
        <w:pStyle w:val="Ttulo1"/>
        <w:keepNext w:val="0"/>
        <w:widowControl w:val="0"/>
        <w:ind w:right="0"/>
        <w:jc w:val="center"/>
        <w:rPr>
          <w:rFonts w:cs="Arial"/>
          <w:szCs w:val="24"/>
        </w:rPr>
      </w:pPr>
      <w:r>
        <w:rPr>
          <w:rFonts w:cs="Arial"/>
          <w:szCs w:val="24"/>
        </w:rPr>
        <w:t>Consejera ponente: OLGA ME</w:t>
      </w:r>
      <w:r w:rsidR="001F7ECD" w:rsidRPr="00A87E5D">
        <w:rPr>
          <w:rFonts w:cs="Arial"/>
          <w:szCs w:val="24"/>
        </w:rPr>
        <w:t>LIDA VALLE DE DE LA HOZ</w:t>
      </w:r>
    </w:p>
    <w:p w:rsidR="001F7ECD" w:rsidRPr="00A87E5D" w:rsidRDefault="001F7ECD" w:rsidP="00A55F5A">
      <w:pPr>
        <w:widowControl w:val="0"/>
        <w:spacing w:after="0" w:line="240" w:lineRule="auto"/>
        <w:jc w:val="both"/>
        <w:rPr>
          <w:rFonts w:ascii="Arial" w:hAnsi="Arial" w:cs="Arial"/>
          <w:b/>
          <w:sz w:val="24"/>
          <w:szCs w:val="24"/>
        </w:rPr>
      </w:pPr>
    </w:p>
    <w:p w:rsidR="001F7ECD" w:rsidRPr="00A87E5D" w:rsidRDefault="001F7ECD" w:rsidP="00A55F5A">
      <w:pPr>
        <w:widowControl w:val="0"/>
        <w:spacing w:after="0" w:line="240" w:lineRule="auto"/>
        <w:jc w:val="both"/>
        <w:rPr>
          <w:rFonts w:ascii="Arial" w:hAnsi="Arial" w:cs="Arial"/>
          <w:sz w:val="24"/>
          <w:szCs w:val="24"/>
        </w:rPr>
      </w:pPr>
      <w:r w:rsidRPr="00A87E5D">
        <w:rPr>
          <w:rFonts w:ascii="Arial" w:hAnsi="Arial" w:cs="Arial"/>
          <w:sz w:val="24"/>
          <w:szCs w:val="24"/>
        </w:rPr>
        <w:t>Bogotá D.C., veintidós (22) de mayo de</w:t>
      </w:r>
      <w:r w:rsidR="00550A37" w:rsidRPr="00A87E5D">
        <w:rPr>
          <w:rFonts w:ascii="Arial" w:hAnsi="Arial" w:cs="Arial"/>
          <w:sz w:val="24"/>
          <w:szCs w:val="24"/>
        </w:rPr>
        <w:t xml:space="preserve"> dos mil trece (2013).</w:t>
      </w:r>
    </w:p>
    <w:p w:rsidR="001F7ECD" w:rsidRPr="00A87E5D" w:rsidRDefault="001F7ECD" w:rsidP="00A55F5A">
      <w:pPr>
        <w:widowControl w:val="0"/>
        <w:spacing w:after="0" w:line="240" w:lineRule="auto"/>
        <w:jc w:val="both"/>
        <w:rPr>
          <w:rFonts w:ascii="Arial" w:hAnsi="Arial" w:cs="Arial"/>
          <w:b/>
          <w:sz w:val="24"/>
          <w:szCs w:val="24"/>
        </w:rPr>
      </w:pPr>
    </w:p>
    <w:p w:rsidR="001F7ECD" w:rsidRPr="00A87E5D" w:rsidRDefault="001F7ECD" w:rsidP="00A55F5A">
      <w:pPr>
        <w:pStyle w:val="Standard"/>
        <w:suppressAutoHyphens w:val="0"/>
        <w:jc w:val="both"/>
        <w:rPr>
          <w:rFonts w:ascii="Arial" w:hAnsi="Arial" w:cs="Arial"/>
          <w:b/>
          <w:lang w:val="es-CO"/>
        </w:rPr>
      </w:pPr>
      <w:r w:rsidRPr="00A87E5D">
        <w:rPr>
          <w:rFonts w:ascii="Arial" w:hAnsi="Arial" w:cs="Arial"/>
          <w:b/>
          <w:lang w:val="es-CO"/>
        </w:rPr>
        <w:t xml:space="preserve">Radicación </w:t>
      </w:r>
      <w:r w:rsidR="00550A37" w:rsidRPr="00A87E5D">
        <w:rPr>
          <w:rFonts w:ascii="Arial" w:hAnsi="Arial" w:cs="Arial"/>
          <w:b/>
          <w:lang w:val="es-CO"/>
        </w:rPr>
        <w:t>número:</w:t>
      </w:r>
      <w:r w:rsidR="00EB697E" w:rsidRPr="00A87E5D">
        <w:rPr>
          <w:rFonts w:ascii="Arial" w:hAnsi="Arial" w:cs="Arial"/>
          <w:b/>
          <w:lang w:val="es-CO"/>
        </w:rPr>
        <w:t xml:space="preserve"> 68001-23-15-000-1995-00152-01</w:t>
      </w:r>
      <w:r w:rsidRPr="00A87E5D">
        <w:rPr>
          <w:rFonts w:ascii="Arial" w:hAnsi="Arial" w:cs="Arial"/>
          <w:b/>
          <w:lang w:val="es-CO"/>
        </w:rPr>
        <w:t>(24057)</w:t>
      </w:r>
    </w:p>
    <w:p w:rsidR="00550A37" w:rsidRPr="00A87E5D" w:rsidRDefault="00550A37" w:rsidP="00A55F5A">
      <w:pPr>
        <w:pStyle w:val="Standard"/>
        <w:suppressAutoHyphens w:val="0"/>
        <w:jc w:val="both"/>
        <w:rPr>
          <w:rFonts w:ascii="Arial" w:hAnsi="Arial" w:cs="Arial"/>
          <w:b/>
          <w:lang w:val="es-CO"/>
        </w:rPr>
      </w:pPr>
    </w:p>
    <w:p w:rsidR="001F7ECD" w:rsidRPr="00A87E5D" w:rsidRDefault="001F7ECD" w:rsidP="00A55F5A">
      <w:pPr>
        <w:pStyle w:val="Standard"/>
        <w:suppressAutoHyphens w:val="0"/>
        <w:jc w:val="both"/>
        <w:rPr>
          <w:rFonts w:ascii="Arial" w:hAnsi="Arial" w:cs="Arial"/>
          <w:b/>
          <w:lang w:val="es-CO"/>
        </w:rPr>
      </w:pPr>
      <w:r w:rsidRPr="00A87E5D">
        <w:rPr>
          <w:rFonts w:ascii="Arial" w:hAnsi="Arial" w:cs="Arial"/>
          <w:b/>
          <w:lang w:val="es-CO"/>
        </w:rPr>
        <w:t xml:space="preserve">Actor: </w:t>
      </w:r>
      <w:r w:rsidR="00550A37" w:rsidRPr="00A87E5D">
        <w:rPr>
          <w:rFonts w:ascii="Arial" w:hAnsi="Arial" w:cs="Arial"/>
          <w:b/>
          <w:lang w:val="es-CO"/>
        </w:rPr>
        <w:t>ABELARDO ZABALA OTERO</w:t>
      </w:r>
    </w:p>
    <w:p w:rsidR="00550A37" w:rsidRPr="00A87E5D" w:rsidRDefault="00550A37" w:rsidP="00A55F5A">
      <w:pPr>
        <w:pStyle w:val="Standard"/>
        <w:suppressAutoHyphens w:val="0"/>
        <w:jc w:val="both"/>
        <w:rPr>
          <w:rFonts w:ascii="Arial" w:hAnsi="Arial" w:cs="Arial"/>
          <w:b/>
          <w:lang w:val="es-CO"/>
        </w:rPr>
      </w:pPr>
    </w:p>
    <w:p w:rsidR="001F7ECD" w:rsidRPr="00A87E5D" w:rsidRDefault="001F7ECD" w:rsidP="00A55F5A">
      <w:pPr>
        <w:pStyle w:val="Standard"/>
        <w:suppressAutoHyphens w:val="0"/>
        <w:jc w:val="both"/>
        <w:rPr>
          <w:rFonts w:ascii="Arial" w:hAnsi="Arial" w:cs="Arial"/>
          <w:b/>
          <w:lang w:val="es-CO"/>
        </w:rPr>
      </w:pPr>
      <w:r w:rsidRPr="00A87E5D">
        <w:rPr>
          <w:rFonts w:ascii="Arial" w:hAnsi="Arial" w:cs="Arial"/>
          <w:b/>
          <w:lang w:val="es-CO"/>
        </w:rPr>
        <w:t xml:space="preserve">Demandado: </w:t>
      </w:r>
      <w:r w:rsidR="00550A37" w:rsidRPr="00A87E5D">
        <w:rPr>
          <w:rFonts w:ascii="Arial" w:hAnsi="Arial" w:cs="Arial"/>
          <w:b/>
          <w:lang w:val="es-CO"/>
        </w:rPr>
        <w:t>MUNICIPIO DE BOLIVAR SANTANDER</w:t>
      </w:r>
    </w:p>
    <w:p w:rsidR="001F7ECD" w:rsidRPr="00A87E5D" w:rsidRDefault="001F7ECD" w:rsidP="00A55F5A">
      <w:pPr>
        <w:pStyle w:val="Ttulo"/>
        <w:widowControl w:val="0"/>
        <w:spacing w:line="240" w:lineRule="auto"/>
        <w:jc w:val="both"/>
        <w:rPr>
          <w:rFonts w:cs="Arial"/>
          <w:szCs w:val="24"/>
        </w:rPr>
      </w:pPr>
    </w:p>
    <w:p w:rsidR="00550A37" w:rsidRPr="00A87E5D" w:rsidRDefault="00550A37" w:rsidP="00A55F5A">
      <w:pPr>
        <w:pStyle w:val="Ttulo"/>
        <w:widowControl w:val="0"/>
        <w:spacing w:line="240" w:lineRule="auto"/>
        <w:jc w:val="both"/>
        <w:rPr>
          <w:rFonts w:cs="Arial"/>
          <w:szCs w:val="24"/>
        </w:rPr>
      </w:pPr>
    </w:p>
    <w:p w:rsidR="00550A37" w:rsidRPr="00A87E5D" w:rsidRDefault="00550A37" w:rsidP="00A55F5A">
      <w:pPr>
        <w:pStyle w:val="Ttulo"/>
        <w:widowControl w:val="0"/>
        <w:spacing w:line="240" w:lineRule="auto"/>
        <w:jc w:val="both"/>
        <w:rPr>
          <w:rFonts w:cs="Arial"/>
          <w:szCs w:val="24"/>
        </w:rPr>
      </w:pPr>
    </w:p>
    <w:p w:rsidR="001F7ECD" w:rsidRPr="00A87E5D" w:rsidRDefault="00550A37" w:rsidP="00A55F5A">
      <w:pPr>
        <w:pStyle w:val="Ttulo"/>
        <w:widowControl w:val="0"/>
        <w:spacing w:line="240" w:lineRule="auto"/>
        <w:jc w:val="both"/>
        <w:rPr>
          <w:rFonts w:cs="Arial"/>
          <w:szCs w:val="24"/>
        </w:rPr>
      </w:pPr>
      <w:r w:rsidRPr="00A87E5D">
        <w:rPr>
          <w:rFonts w:cs="Arial"/>
          <w:szCs w:val="24"/>
        </w:rPr>
        <w:t>Referencia: ACCION DE NULIDAD Y RESTABLECIMIENTO DEL DERECHO</w:t>
      </w:r>
    </w:p>
    <w:p w:rsidR="001F7ECD" w:rsidRPr="00A87E5D" w:rsidRDefault="001F7ECD" w:rsidP="00A55F5A">
      <w:pPr>
        <w:pStyle w:val="Textoindependiente"/>
        <w:widowControl w:val="0"/>
        <w:ind w:right="0"/>
        <w:rPr>
          <w:rFonts w:ascii="Arial" w:hAnsi="Arial" w:cs="Arial"/>
          <w:sz w:val="24"/>
        </w:rPr>
      </w:pPr>
    </w:p>
    <w:p w:rsidR="00550A37" w:rsidRPr="00A87E5D" w:rsidRDefault="00550A37" w:rsidP="00A55F5A">
      <w:pPr>
        <w:pStyle w:val="Textoindependiente"/>
        <w:widowControl w:val="0"/>
        <w:ind w:right="0"/>
        <w:rPr>
          <w:rFonts w:ascii="Arial" w:hAnsi="Arial" w:cs="Arial"/>
          <w:sz w:val="24"/>
        </w:rPr>
      </w:pPr>
    </w:p>
    <w:p w:rsidR="00550A37" w:rsidRPr="00A87E5D" w:rsidRDefault="00550A37" w:rsidP="00A55F5A">
      <w:pPr>
        <w:pStyle w:val="Textoindependiente"/>
        <w:widowControl w:val="0"/>
        <w:ind w:right="0"/>
        <w:rPr>
          <w:rFonts w:ascii="Arial" w:hAnsi="Arial" w:cs="Arial"/>
          <w:sz w:val="24"/>
        </w:rPr>
      </w:pPr>
    </w:p>
    <w:p w:rsidR="001F7ECD" w:rsidRPr="00A87E5D" w:rsidRDefault="001F7ECD" w:rsidP="00A55F5A">
      <w:pPr>
        <w:pStyle w:val="Textoindependiente"/>
        <w:spacing w:line="360" w:lineRule="auto"/>
        <w:ind w:right="0"/>
        <w:rPr>
          <w:rFonts w:ascii="Arial" w:hAnsi="Arial" w:cs="Arial"/>
          <w:sz w:val="24"/>
        </w:rPr>
      </w:pPr>
      <w:r w:rsidRPr="00A87E5D">
        <w:rPr>
          <w:rFonts w:ascii="Arial" w:hAnsi="Arial" w:cs="Arial"/>
          <w:sz w:val="24"/>
        </w:rPr>
        <w:t xml:space="preserve">Resuelve la Sala el recurso de apelación interpuesto por la parte demandante contra la sentencia del 12 de septiembre de 2002, proferida por el Tribunal Administrativo de Santander, en la que se decidió lo siguiente: </w:t>
      </w:r>
    </w:p>
    <w:p w:rsidR="001F7ECD" w:rsidRPr="00A87E5D" w:rsidRDefault="001F7ECD" w:rsidP="00A55F5A">
      <w:pPr>
        <w:pStyle w:val="Textoindependiente"/>
        <w:spacing w:line="360" w:lineRule="auto"/>
        <w:ind w:right="0"/>
        <w:rPr>
          <w:rFonts w:ascii="Arial" w:hAnsi="Arial" w:cs="Arial"/>
          <w:sz w:val="24"/>
        </w:rPr>
      </w:pPr>
    </w:p>
    <w:p w:rsidR="001F7ECD" w:rsidRPr="00A87E5D" w:rsidRDefault="001F7ECD" w:rsidP="00A55F5A">
      <w:pPr>
        <w:pStyle w:val="Textoindependiente"/>
        <w:spacing w:line="360" w:lineRule="auto"/>
        <w:ind w:right="0"/>
        <w:rPr>
          <w:rFonts w:ascii="Arial" w:hAnsi="Arial" w:cs="Arial"/>
          <w:sz w:val="24"/>
        </w:rPr>
      </w:pPr>
      <w:r w:rsidRPr="00A87E5D">
        <w:rPr>
          <w:rFonts w:ascii="Arial" w:hAnsi="Arial" w:cs="Arial"/>
          <w:b/>
          <w:i/>
          <w:iCs/>
          <w:sz w:val="24"/>
        </w:rPr>
        <w:t>“</w:t>
      </w:r>
      <w:r w:rsidRPr="00A87E5D">
        <w:rPr>
          <w:rFonts w:ascii="Arial" w:hAnsi="Arial" w:cs="Arial"/>
          <w:b/>
          <w:iCs/>
          <w:sz w:val="24"/>
        </w:rPr>
        <w:t xml:space="preserve">PRIMERO.- </w:t>
      </w:r>
      <w:r w:rsidRPr="00A87E5D">
        <w:rPr>
          <w:rFonts w:ascii="Arial" w:hAnsi="Arial" w:cs="Arial"/>
          <w:iCs/>
          <w:sz w:val="24"/>
        </w:rPr>
        <w:t xml:space="preserve">Deniéguense las pretensiones de la demanda. </w:t>
      </w:r>
    </w:p>
    <w:p w:rsidR="001F7ECD" w:rsidRPr="00A87E5D" w:rsidRDefault="001F7ECD" w:rsidP="00A55F5A">
      <w:pPr>
        <w:spacing w:after="0" w:line="360" w:lineRule="auto"/>
        <w:rPr>
          <w:rFonts w:ascii="Arial" w:hAnsi="Arial" w:cs="Arial"/>
          <w:b/>
          <w:sz w:val="24"/>
          <w:szCs w:val="24"/>
        </w:rPr>
      </w:pPr>
    </w:p>
    <w:p w:rsidR="001F7ECD" w:rsidRDefault="001F7ECD" w:rsidP="00A55F5A">
      <w:pPr>
        <w:numPr>
          <w:ilvl w:val="0"/>
          <w:numId w:val="1"/>
        </w:numPr>
        <w:spacing w:after="0" w:line="360" w:lineRule="auto"/>
        <w:ind w:left="0"/>
        <w:jc w:val="center"/>
        <w:rPr>
          <w:rFonts w:ascii="Arial" w:hAnsi="Arial" w:cs="Arial"/>
          <w:b/>
          <w:sz w:val="24"/>
          <w:szCs w:val="24"/>
        </w:rPr>
      </w:pPr>
      <w:r w:rsidRPr="00A87E5D">
        <w:rPr>
          <w:rFonts w:ascii="Arial" w:hAnsi="Arial" w:cs="Arial"/>
          <w:b/>
          <w:sz w:val="24"/>
          <w:szCs w:val="24"/>
        </w:rPr>
        <w:lastRenderedPageBreak/>
        <w:t>ANTECEDENTES</w:t>
      </w:r>
    </w:p>
    <w:p w:rsidR="00A55F5A" w:rsidRPr="00A87E5D" w:rsidRDefault="00A55F5A" w:rsidP="00A55F5A">
      <w:pPr>
        <w:spacing w:after="0" w:line="360" w:lineRule="auto"/>
        <w:rPr>
          <w:rFonts w:ascii="Arial" w:hAnsi="Arial" w:cs="Arial"/>
          <w:b/>
          <w:sz w:val="24"/>
          <w:szCs w:val="24"/>
        </w:rPr>
      </w:pPr>
    </w:p>
    <w:p w:rsidR="001F7ECD" w:rsidRPr="00A87E5D" w:rsidRDefault="001F7ECD" w:rsidP="00A55F5A">
      <w:pPr>
        <w:pStyle w:val="NormalWeb"/>
        <w:spacing w:before="0" w:beforeAutospacing="0" w:after="0" w:afterAutospacing="0" w:line="360" w:lineRule="auto"/>
        <w:jc w:val="both"/>
        <w:rPr>
          <w:rFonts w:ascii="Arial" w:hAnsi="Arial" w:cs="Arial"/>
          <w:b/>
          <w:bCs/>
        </w:rPr>
      </w:pPr>
      <w:r w:rsidRPr="00A87E5D">
        <w:rPr>
          <w:rFonts w:ascii="Arial" w:hAnsi="Arial" w:cs="Arial"/>
          <w:b/>
          <w:bCs/>
        </w:rPr>
        <w:t>1. Lo pretendido</w:t>
      </w:r>
    </w:p>
    <w:p w:rsidR="00A87E5D" w:rsidRPr="00A87E5D" w:rsidRDefault="00A87E5D" w:rsidP="00A55F5A">
      <w:pPr>
        <w:pStyle w:val="NormalWeb"/>
        <w:spacing w:before="0" w:beforeAutospacing="0" w:after="0" w:afterAutospacing="0" w:line="360" w:lineRule="auto"/>
        <w:jc w:val="both"/>
        <w:rPr>
          <w:rFonts w:ascii="Arial" w:hAnsi="Arial" w:cs="Arial"/>
          <w:b/>
          <w:bCs/>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El 26 de agosto de 1994, mediante apoderado judicial, el señor Abelardo Zabala Otero., interpuso demanda de nulidad y restablecimiento del derecho contra el Municipio de Bolívar (Santander) y por auto del 8 de agosto de 1995, se ordenó la integración del contradictorio ordenando la vinculación al proceso de la sociedad Ingeac Ltda., con la finalidad de que se hagan las siguientes declaraciones y condenas:</w:t>
      </w:r>
    </w:p>
    <w:p w:rsidR="001F7ECD" w:rsidRPr="00A87E5D" w:rsidRDefault="001F7ECD" w:rsidP="00A55F5A">
      <w:pPr>
        <w:spacing w:after="0" w:line="360" w:lineRule="auto"/>
        <w:jc w:val="both"/>
        <w:rPr>
          <w:rFonts w:ascii="Arial" w:hAnsi="Arial" w:cs="Arial"/>
          <w:b/>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b/>
          <w:sz w:val="24"/>
          <w:szCs w:val="24"/>
        </w:rPr>
        <w:t>“Primera.</w:t>
      </w:r>
      <w:r w:rsidRPr="00A87E5D">
        <w:rPr>
          <w:rFonts w:ascii="Arial" w:hAnsi="Arial" w:cs="Arial"/>
          <w:sz w:val="24"/>
          <w:szCs w:val="24"/>
        </w:rPr>
        <w:t xml:space="preserve"> Declarar la nulidad de la Resolución No. 045 del 25 de abril de 1994, por medio de la cual se adjudica la licitación pública No 01 de 1994, para la construcción de catorce viviendas de interés social en el casco urbano del municipio de Bolívar departamento de Santander, a la firma INGEAC LTDA. </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b/>
          <w:sz w:val="24"/>
          <w:szCs w:val="24"/>
        </w:rPr>
        <w:t>“Segunda.</w:t>
      </w:r>
      <w:r w:rsidRPr="00A87E5D">
        <w:rPr>
          <w:rFonts w:ascii="Arial" w:hAnsi="Arial" w:cs="Arial"/>
          <w:sz w:val="24"/>
          <w:szCs w:val="24"/>
        </w:rPr>
        <w:t xml:space="preserve"> Declarar que el Ing. Abelardo Zabala Otero, presentó la mejor propuesta en el concurso de la licitación No 01 de 1994, a que hace referencia por (sic) la resolución No 032 de 1994.</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b/>
          <w:sz w:val="24"/>
          <w:szCs w:val="24"/>
        </w:rPr>
        <w:t xml:space="preserve">“Tercera. </w:t>
      </w:r>
      <w:r w:rsidRPr="00A87E5D">
        <w:rPr>
          <w:rFonts w:ascii="Arial" w:hAnsi="Arial" w:cs="Arial"/>
          <w:sz w:val="24"/>
          <w:szCs w:val="24"/>
        </w:rPr>
        <w:t xml:space="preserve"> Declarar que la firma INGEAC LTDA., estaba inhabilitada para concursar, y con mayor razón para contratar en esta licitación efectuada en el municipio de Bolívar departamento de Santander.</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b/>
          <w:sz w:val="24"/>
          <w:szCs w:val="24"/>
        </w:rPr>
        <w:t xml:space="preserve">“Cuarta. </w:t>
      </w:r>
      <w:r w:rsidRPr="00A87E5D">
        <w:rPr>
          <w:rFonts w:ascii="Arial" w:hAnsi="Arial" w:cs="Arial"/>
          <w:sz w:val="24"/>
          <w:szCs w:val="24"/>
        </w:rPr>
        <w:t xml:space="preserve"> Condenar al municipio de Bolívar a pagar los daños y perjuicios causados al demandante, por no haberle adjudicado la licitación teniendo en cuenta el lucro cesante y el daño emergente y en la cuantía que resulte determinada y probada.</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b/>
          <w:sz w:val="24"/>
          <w:szCs w:val="24"/>
        </w:rPr>
        <w:t xml:space="preserve">“Quinta. </w:t>
      </w:r>
      <w:r w:rsidRPr="00A87E5D">
        <w:rPr>
          <w:rFonts w:ascii="Arial" w:hAnsi="Arial" w:cs="Arial"/>
          <w:sz w:val="24"/>
          <w:szCs w:val="24"/>
        </w:rPr>
        <w:t xml:space="preserve"> Declarar que los valores determinados en las anteriores declaraciones deben ser indexados de acuerdo con el contenido del artículo 178 del C.C.A., y que se ejecute la sentencia de acuerdo a los parámetros de los artículos 176 y 177 del Código Contencioso Administrativo.</w:t>
      </w:r>
    </w:p>
    <w:p w:rsidR="001F7ECD" w:rsidRPr="00A87E5D" w:rsidRDefault="001F7ECD" w:rsidP="00A55F5A">
      <w:pPr>
        <w:spacing w:after="0" w:line="360" w:lineRule="auto"/>
        <w:jc w:val="both"/>
        <w:rPr>
          <w:rFonts w:ascii="Arial" w:hAnsi="Arial" w:cs="Arial"/>
          <w:b/>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b/>
          <w:sz w:val="24"/>
          <w:szCs w:val="24"/>
        </w:rPr>
        <w:t xml:space="preserve">“6. </w:t>
      </w:r>
      <w:r w:rsidRPr="00A87E5D">
        <w:rPr>
          <w:rFonts w:ascii="Arial" w:hAnsi="Arial" w:cs="Arial"/>
          <w:sz w:val="24"/>
          <w:szCs w:val="24"/>
        </w:rPr>
        <w:t xml:space="preserve">Condenar en costas a la parte demandada. </w:t>
      </w:r>
    </w:p>
    <w:p w:rsidR="001F7ECD" w:rsidRPr="00A87E5D" w:rsidRDefault="001F7ECD" w:rsidP="00A55F5A">
      <w:pPr>
        <w:spacing w:after="0" w:line="360" w:lineRule="auto"/>
        <w:jc w:val="both"/>
        <w:rPr>
          <w:rFonts w:ascii="Arial" w:hAnsi="Arial" w:cs="Arial"/>
          <w:b/>
          <w:bCs/>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b/>
          <w:bCs/>
          <w:sz w:val="24"/>
          <w:szCs w:val="24"/>
        </w:rPr>
        <w:t>2. Los hechos en que se fundamentan las pretensiones</w:t>
      </w:r>
    </w:p>
    <w:p w:rsidR="001F7ECD" w:rsidRPr="00A87E5D" w:rsidRDefault="001F7ECD" w:rsidP="00A55F5A">
      <w:pPr>
        <w:pStyle w:val="Textoindependiente"/>
        <w:ind w:right="0"/>
        <w:rPr>
          <w:rFonts w:ascii="Arial" w:hAnsi="Arial" w:cs="Arial"/>
          <w:sz w:val="24"/>
        </w:rPr>
      </w:pPr>
    </w:p>
    <w:p w:rsidR="001F7ECD" w:rsidRPr="00A87E5D" w:rsidRDefault="001F7ECD" w:rsidP="00A55F5A">
      <w:pPr>
        <w:pStyle w:val="Textoindependiente"/>
        <w:ind w:right="0"/>
        <w:rPr>
          <w:rFonts w:ascii="Arial" w:hAnsi="Arial" w:cs="Arial"/>
          <w:sz w:val="24"/>
        </w:rPr>
      </w:pPr>
      <w:r w:rsidRPr="00A87E5D">
        <w:rPr>
          <w:rFonts w:ascii="Arial" w:hAnsi="Arial" w:cs="Arial"/>
          <w:sz w:val="24"/>
        </w:rPr>
        <w:lastRenderedPageBreak/>
        <w:t>Los demandantes narraron en síntesis, los siguientes hechos:</w:t>
      </w:r>
    </w:p>
    <w:p w:rsidR="001F7ECD" w:rsidRPr="00A87E5D" w:rsidRDefault="001F7ECD" w:rsidP="00A55F5A">
      <w:pPr>
        <w:pStyle w:val="Textoindependiente"/>
        <w:ind w:right="0"/>
        <w:rPr>
          <w:rFonts w:ascii="Arial" w:hAnsi="Arial" w:cs="Arial"/>
          <w:sz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 xml:space="preserve">2.1. La administración municipal de Bolívar por medio de la Resolución No 032 de marzo 17 de 1994 convocó a licitación pública de obras para construir 14 viviendas de interés social en el barrio la Estancia de dicho municipio. </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 xml:space="preserve">2.2. A esta convocatoria no concurrió ningún proponente, por lo que a través del acta No 002 del 8 de abril de 1994 la administración municipal amplió el plazo de venta de pliegos y presentación de propuestas hasta el día 13 de abril de 1994. </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2.3. Al vencimiento del plazo señalado se presentaron dos propuestas las cuales correspondían a la firma INGEAC LTDA., y el Ingeniero Abelardo Zabala Otero.</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2.4. Mediante acta No 003 de abril 13 de 1994 se señalaron 8 días hábiles de plazo para estudios, selección y clasificación de los proponentes. El plazo inicial se extendió hasta el 25 de abril de 1994 y se señaló para la firma del contrato el término de 5 días posteriores a esa fecha.</w:t>
      </w:r>
    </w:p>
    <w:p w:rsidR="001F7ECD" w:rsidRPr="00A87E5D" w:rsidRDefault="001F7ECD" w:rsidP="00A55F5A">
      <w:pPr>
        <w:spacing w:after="0" w:line="360" w:lineRule="auto"/>
        <w:jc w:val="both"/>
        <w:rPr>
          <w:rFonts w:ascii="Arial" w:hAnsi="Arial" w:cs="Arial"/>
          <w:sz w:val="24"/>
          <w:szCs w:val="24"/>
        </w:rPr>
      </w:pPr>
    </w:p>
    <w:p w:rsidR="001F7ECD" w:rsidRDefault="001F7ECD" w:rsidP="00A55F5A">
      <w:pPr>
        <w:spacing w:after="0" w:line="360" w:lineRule="auto"/>
        <w:jc w:val="both"/>
        <w:rPr>
          <w:rFonts w:ascii="Arial" w:hAnsi="Arial" w:cs="Arial"/>
          <w:sz w:val="24"/>
          <w:szCs w:val="24"/>
        </w:rPr>
      </w:pPr>
      <w:r w:rsidRPr="00A87E5D">
        <w:rPr>
          <w:rFonts w:ascii="Arial" w:hAnsi="Arial" w:cs="Arial"/>
          <w:sz w:val="24"/>
          <w:szCs w:val="24"/>
        </w:rPr>
        <w:t>2.5. Según se indica en la demanda, el Ingeniero Abelardo Zabala Otero cumplió a cabalidad con los requisitos y exigencias de la licitación. Presentó en original y copia la propuesta por valor de $ 154.089.407, y en ella contenía las especificaciones exigida en los pliegos de la licitación.</w:t>
      </w:r>
    </w:p>
    <w:p w:rsidR="00A87E5D" w:rsidRPr="00A87E5D" w:rsidRDefault="00A87E5D" w:rsidP="00A55F5A">
      <w:pPr>
        <w:spacing w:after="0" w:line="360" w:lineRule="auto"/>
        <w:jc w:val="both"/>
        <w:rPr>
          <w:rFonts w:ascii="Arial" w:hAnsi="Arial" w:cs="Arial"/>
          <w:sz w:val="24"/>
          <w:szCs w:val="24"/>
        </w:rPr>
      </w:pPr>
    </w:p>
    <w:p w:rsidR="001F7ECD" w:rsidRPr="00A87E5D" w:rsidRDefault="001F7ECD" w:rsidP="00A55F5A">
      <w:pPr>
        <w:pStyle w:val="Ttulo1"/>
        <w:spacing w:line="360" w:lineRule="auto"/>
        <w:ind w:right="0"/>
        <w:rPr>
          <w:rFonts w:cs="Arial"/>
          <w:b w:val="0"/>
          <w:szCs w:val="24"/>
        </w:rPr>
      </w:pPr>
      <w:r w:rsidRPr="00A87E5D">
        <w:rPr>
          <w:rFonts w:cs="Arial"/>
          <w:b w:val="0"/>
          <w:szCs w:val="24"/>
        </w:rPr>
        <w:t>2.6. El Ingeniero Zabala Otero observó fallas de origen técnico y constructivo que no contemplaban los pliegos, lo que comentó con el señor alcalde municipal y con el funcionario de la secretaría de obras públicas. Allegó una nueva propuesta a solicitud del alcalde por valor de $ 129.829.021, rebajando los precios y adjuntando las especificaciones técnicas corregidas respecto al pliego de condiciones de la propuesta inicial por él presentada.</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2.7. Mediante Resolución No 045 de abril 25 de 1994 le fue adjudicada la licitación a la firma INGEAC LTDA., y el contrato se firmó el 2 de mayo de 1994 por un valor de $ 112.000.000.</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2.8. La propuesta que presentó la firma INGEAC LTDA., estuvo por debajo del precio que el Ingeniero Zabala presentó,; $ 112.000.000 la primera y $ 129.829.021 la segunda.</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lastRenderedPageBreak/>
        <w:t>2.9. Afirma el accionante que la firma INGEAC  no estaba inscrita en el registro de proponentes del municipio de Bolívar ni en el departamento de Santander. Igualmente informa que el alcalde del municipio de Bolívar, mediante la orden de trabajo de fecha septiembre 15 de 1993, autorizó realizar el estudio del diseño de las 14 viviendas de interés social, las redes de alumbrado, instalaciones eléctricas, sanitarias con la elaboración del presupuesto general de la obra a la firma INGEAC LTDA.</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 xml:space="preserve">2.10. Con la no adjudicación del contrato al Ingeniero Abelardo Zabala Otero, se causaron daños de orden material al demandante, en la modalidad de daño emergente y lucro cesante. </w:t>
      </w:r>
    </w:p>
    <w:p w:rsidR="001F7ECD" w:rsidRPr="00A87E5D" w:rsidRDefault="001F7ECD" w:rsidP="00A55F5A">
      <w:pPr>
        <w:widowControl w:val="0"/>
        <w:autoSpaceDE w:val="0"/>
        <w:autoSpaceDN w:val="0"/>
        <w:adjustRightInd w:val="0"/>
        <w:spacing w:after="0" w:line="360" w:lineRule="auto"/>
        <w:jc w:val="both"/>
        <w:rPr>
          <w:rFonts w:ascii="Arial" w:hAnsi="Arial" w:cs="Arial"/>
          <w:b/>
          <w:sz w:val="24"/>
          <w:szCs w:val="24"/>
        </w:rPr>
      </w:pPr>
    </w:p>
    <w:p w:rsidR="001F7ECD" w:rsidRPr="00A87E5D" w:rsidRDefault="001F7ECD" w:rsidP="00A55F5A">
      <w:pPr>
        <w:widowControl w:val="0"/>
        <w:autoSpaceDE w:val="0"/>
        <w:autoSpaceDN w:val="0"/>
        <w:adjustRightInd w:val="0"/>
        <w:spacing w:after="0" w:line="360" w:lineRule="auto"/>
        <w:jc w:val="both"/>
        <w:rPr>
          <w:rFonts w:ascii="Arial" w:hAnsi="Arial" w:cs="Arial"/>
          <w:b/>
          <w:sz w:val="24"/>
          <w:szCs w:val="24"/>
        </w:rPr>
      </w:pPr>
      <w:r w:rsidRPr="00A87E5D">
        <w:rPr>
          <w:rFonts w:ascii="Arial" w:hAnsi="Arial" w:cs="Arial"/>
          <w:b/>
          <w:sz w:val="24"/>
          <w:szCs w:val="24"/>
        </w:rPr>
        <w:t>3. Normas violadas y concepto de la violación.</w:t>
      </w:r>
    </w:p>
    <w:p w:rsidR="001F7ECD" w:rsidRPr="00A87E5D" w:rsidRDefault="001F7ECD" w:rsidP="00A55F5A">
      <w:pPr>
        <w:widowControl w:val="0"/>
        <w:autoSpaceDE w:val="0"/>
        <w:autoSpaceDN w:val="0"/>
        <w:adjustRightInd w:val="0"/>
        <w:spacing w:after="0" w:line="360" w:lineRule="auto"/>
        <w:jc w:val="both"/>
        <w:rPr>
          <w:rFonts w:ascii="Arial" w:hAnsi="Arial" w:cs="Arial"/>
          <w:b/>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 xml:space="preserve">Invocó como vulnerados los artículos 192 y 243 del Código Fiscal  de Santander (Decreto No 0601 de 1989), al considerar que la administración municipal adjudicó un contrato a un proponente que no estaba inscrito ni en el respectivo municipio ni en la gobernación departamental contrariando lo normado en el artículo 192 del Código Fiscal, el cual establece lo siguiente: </w:t>
      </w:r>
      <w:r w:rsidRPr="00A87E5D">
        <w:rPr>
          <w:rFonts w:ascii="Arial" w:hAnsi="Arial" w:cs="Arial"/>
          <w:i/>
          <w:sz w:val="24"/>
          <w:szCs w:val="24"/>
        </w:rPr>
        <w:t>“Registro de proponentes: Los contratos sobre obras públicas, compra venta de bienes muebles y consultoría que deben celebrar el Departamento y sus entidades descentralizadas, respectivamente, no podrán suscribirse si no con las personas que, conforme a las disposiciones siguientes, se hallen debidamente inscritas, calificadas y clasificadas en el registro de proponentes, con anterioridad a la apertura de la licitación o concurso o  la celebración del contrato según el caso”</w:t>
      </w:r>
      <w:r w:rsidRPr="00A87E5D">
        <w:rPr>
          <w:rFonts w:ascii="Arial" w:hAnsi="Arial" w:cs="Arial"/>
          <w:sz w:val="24"/>
          <w:szCs w:val="24"/>
        </w:rPr>
        <w:t xml:space="preserve">. </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 xml:space="preserve">E igualmente alega que al suscribirse el contrato con la sociedad  INGEAC LTDA., se desconoció el artículo 243, ibídem, el cual dispone lo siguiente: </w:t>
      </w:r>
      <w:r w:rsidRPr="00A87E5D">
        <w:rPr>
          <w:rFonts w:ascii="Arial" w:hAnsi="Arial" w:cs="Arial"/>
          <w:i/>
          <w:sz w:val="24"/>
          <w:szCs w:val="24"/>
        </w:rPr>
        <w:t xml:space="preserve">“Prohibiciones especiales para ciertos contratos: la ejecución de las obras a que se refiere el artículo 238 de este código no podrá contratarse con quienes directa o indirectamente hubieren participado en la elaboración de los respectivos diseños, términos de referencia y pliego de condiciones”, </w:t>
      </w:r>
      <w:r w:rsidRPr="00A87E5D">
        <w:rPr>
          <w:rFonts w:ascii="Arial" w:hAnsi="Arial" w:cs="Arial"/>
          <w:sz w:val="24"/>
          <w:szCs w:val="24"/>
        </w:rPr>
        <w:t>en razón a que dicha firma había realizado los estudios y diseños de la obra objeto del mencionado contrato.</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 xml:space="preserve">Afirma que en el presente caso se adjudicó una licitación observando solo el criterio de la cuantía, dejando a un lado el desarrollo constructivo de cada uno de los ítems que conformaban la propuesta técnica. Además los pliegos fueron elaborados de </w:t>
      </w:r>
      <w:r w:rsidRPr="00A87E5D">
        <w:rPr>
          <w:rFonts w:ascii="Arial" w:hAnsi="Arial" w:cs="Arial"/>
          <w:sz w:val="24"/>
          <w:szCs w:val="24"/>
        </w:rPr>
        <w:lastRenderedPageBreak/>
        <w:t>una forma “incompleta”. De otra parte alega que, el “municipio de Bolívar actuó de manera parcializada con la firma INGEAC LTDA., pues esta firma ya conocía de antemano los pliegos de condiciones técnicas, constructivas y el presupuesto general de la oferta, ya que ellos fueron los que elaboraron los diseños generales para la licitación”.</w:t>
      </w:r>
    </w:p>
    <w:p w:rsidR="001F7ECD" w:rsidRPr="00A87E5D" w:rsidRDefault="001F7ECD" w:rsidP="00A55F5A">
      <w:pPr>
        <w:spacing w:after="0" w:line="360" w:lineRule="auto"/>
        <w:jc w:val="both"/>
        <w:rPr>
          <w:rFonts w:ascii="Arial" w:hAnsi="Arial" w:cs="Arial"/>
          <w:b/>
          <w:bCs/>
          <w:iCs/>
          <w:sz w:val="24"/>
          <w:szCs w:val="24"/>
        </w:rPr>
      </w:pPr>
    </w:p>
    <w:p w:rsidR="001F7ECD" w:rsidRPr="00A87E5D" w:rsidRDefault="001F7ECD" w:rsidP="00A55F5A">
      <w:pPr>
        <w:spacing w:after="0" w:line="360" w:lineRule="auto"/>
        <w:jc w:val="both"/>
        <w:rPr>
          <w:rFonts w:ascii="Arial" w:hAnsi="Arial" w:cs="Arial"/>
          <w:b/>
          <w:iCs/>
          <w:sz w:val="24"/>
          <w:szCs w:val="24"/>
          <w:lang w:val="es-ES_tradnl"/>
        </w:rPr>
      </w:pPr>
      <w:r w:rsidRPr="00A87E5D">
        <w:rPr>
          <w:rFonts w:ascii="Arial" w:hAnsi="Arial" w:cs="Arial"/>
          <w:b/>
          <w:bCs/>
          <w:sz w:val="24"/>
          <w:szCs w:val="24"/>
          <w:lang w:val="es-ES_tradnl"/>
        </w:rPr>
        <w:t>4.- Actuación Procesal</w:t>
      </w:r>
    </w:p>
    <w:p w:rsidR="001F7ECD" w:rsidRPr="00A87E5D" w:rsidRDefault="001F7ECD" w:rsidP="00A55F5A">
      <w:pPr>
        <w:spacing w:after="0" w:line="360" w:lineRule="auto"/>
        <w:jc w:val="both"/>
        <w:rPr>
          <w:rFonts w:ascii="Arial" w:hAnsi="Arial" w:cs="Arial"/>
          <w:bCs/>
          <w:sz w:val="24"/>
          <w:szCs w:val="24"/>
          <w:lang w:val="es-ES_tradnl"/>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bCs/>
          <w:sz w:val="24"/>
          <w:szCs w:val="24"/>
          <w:lang w:val="es-ES_tradnl"/>
        </w:rPr>
        <w:t xml:space="preserve">4.1.- </w:t>
      </w:r>
      <w:r w:rsidRPr="00A87E5D">
        <w:rPr>
          <w:rFonts w:ascii="Arial" w:hAnsi="Arial" w:cs="Arial"/>
          <w:sz w:val="24"/>
          <w:szCs w:val="24"/>
        </w:rPr>
        <w:t>El Tribunal Administrativo de Santander admitió la demanda el 27 de abril de 1995</w:t>
      </w:r>
      <w:r w:rsidRPr="00A87E5D">
        <w:rPr>
          <w:rStyle w:val="Refdenotaalpie"/>
          <w:rFonts w:ascii="Arial" w:hAnsi="Arial" w:cs="Arial"/>
          <w:sz w:val="24"/>
          <w:szCs w:val="24"/>
        </w:rPr>
        <w:footnoteReference w:id="1"/>
      </w:r>
      <w:r w:rsidRPr="00A87E5D">
        <w:rPr>
          <w:rFonts w:ascii="Arial" w:hAnsi="Arial" w:cs="Arial"/>
          <w:sz w:val="24"/>
          <w:szCs w:val="24"/>
        </w:rPr>
        <w:t>; por auto del 8 de agosto de 1995</w:t>
      </w:r>
      <w:r w:rsidRPr="00A87E5D">
        <w:rPr>
          <w:rStyle w:val="Refdenotaalpie"/>
          <w:rFonts w:ascii="Arial" w:hAnsi="Arial" w:cs="Arial"/>
          <w:sz w:val="24"/>
          <w:szCs w:val="24"/>
        </w:rPr>
        <w:footnoteReference w:id="2"/>
      </w:r>
      <w:r w:rsidRPr="00A87E5D">
        <w:rPr>
          <w:rFonts w:ascii="Arial" w:hAnsi="Arial" w:cs="Arial"/>
          <w:sz w:val="24"/>
          <w:szCs w:val="24"/>
        </w:rPr>
        <w:t>, se ordenó integrar el contradictorio, vinculando al proceso a la sociedad INGEAC LTDA., en providencia del 18 de enero de 1996, se abrió a pruebas el proceso</w:t>
      </w:r>
      <w:r w:rsidRPr="00A87E5D">
        <w:rPr>
          <w:rStyle w:val="Refdenotaalpie"/>
          <w:rFonts w:ascii="Arial" w:hAnsi="Arial" w:cs="Arial"/>
          <w:sz w:val="24"/>
          <w:szCs w:val="24"/>
        </w:rPr>
        <w:footnoteReference w:id="3"/>
      </w:r>
      <w:r w:rsidRPr="00A87E5D">
        <w:rPr>
          <w:rFonts w:ascii="Arial" w:hAnsi="Arial" w:cs="Arial"/>
          <w:sz w:val="24"/>
          <w:szCs w:val="24"/>
        </w:rPr>
        <w:t xml:space="preserve">  y, por último, en auto del 26 de enero de 2001, se corrió traslado a las partes y al Ministerio Público para que alegaran de conclusión</w:t>
      </w:r>
      <w:r w:rsidRPr="00A87E5D">
        <w:rPr>
          <w:rStyle w:val="Refdenotaalpie"/>
          <w:rFonts w:ascii="Arial" w:hAnsi="Arial" w:cs="Arial"/>
          <w:sz w:val="24"/>
          <w:szCs w:val="24"/>
        </w:rPr>
        <w:footnoteReference w:id="4"/>
      </w:r>
      <w:r w:rsidRPr="00A87E5D">
        <w:rPr>
          <w:rFonts w:ascii="Arial" w:hAnsi="Arial" w:cs="Arial"/>
          <w:sz w:val="24"/>
          <w:szCs w:val="24"/>
        </w:rPr>
        <w:t xml:space="preserve">. </w:t>
      </w:r>
    </w:p>
    <w:p w:rsidR="001F7ECD" w:rsidRPr="00A87E5D" w:rsidRDefault="001F7ECD" w:rsidP="00A55F5A">
      <w:pPr>
        <w:pStyle w:val="Ttulo"/>
        <w:jc w:val="both"/>
        <w:rPr>
          <w:rFonts w:cs="Arial"/>
          <w:bCs/>
          <w:szCs w:val="24"/>
          <w:lang w:val="es-ES_tradnl"/>
        </w:rPr>
      </w:pPr>
    </w:p>
    <w:p w:rsidR="001F7ECD" w:rsidRPr="00A87E5D" w:rsidRDefault="001F7ECD" w:rsidP="00A55F5A">
      <w:pPr>
        <w:pStyle w:val="Ttulo"/>
        <w:jc w:val="both"/>
        <w:rPr>
          <w:rFonts w:cs="Arial"/>
          <w:b w:val="0"/>
          <w:bCs/>
          <w:szCs w:val="24"/>
          <w:lang w:val="es-ES_tradnl"/>
        </w:rPr>
      </w:pPr>
      <w:r w:rsidRPr="00A87E5D">
        <w:rPr>
          <w:rFonts w:cs="Arial"/>
          <w:bCs/>
          <w:szCs w:val="24"/>
          <w:lang w:val="es-ES_tradnl"/>
        </w:rPr>
        <w:t>5.</w:t>
      </w:r>
      <w:r w:rsidRPr="00A87E5D">
        <w:rPr>
          <w:rFonts w:cs="Arial"/>
          <w:b w:val="0"/>
          <w:bCs/>
          <w:szCs w:val="24"/>
          <w:lang w:val="es-ES_tradnl"/>
        </w:rPr>
        <w:t xml:space="preserve"> </w:t>
      </w:r>
      <w:r w:rsidRPr="00A87E5D">
        <w:rPr>
          <w:rFonts w:cs="Arial"/>
          <w:bCs/>
          <w:szCs w:val="24"/>
          <w:lang w:val="es-ES_tradnl"/>
        </w:rPr>
        <w:t>Contestación de la demanda</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5.1. El municipio de Bolívar Santander, en escrito presentado el 28 de junio de 1995, contestó la demanda,</w:t>
      </w:r>
      <w:r w:rsidRPr="00A87E5D">
        <w:rPr>
          <w:rStyle w:val="Refdenotaalpie"/>
          <w:rFonts w:ascii="Arial" w:hAnsi="Arial" w:cs="Arial"/>
          <w:sz w:val="24"/>
          <w:szCs w:val="24"/>
        </w:rPr>
        <w:footnoteReference w:id="5"/>
      </w:r>
      <w:r w:rsidRPr="00A87E5D">
        <w:rPr>
          <w:rFonts w:ascii="Arial" w:hAnsi="Arial" w:cs="Arial"/>
          <w:sz w:val="24"/>
          <w:szCs w:val="24"/>
        </w:rPr>
        <w:t xml:space="preserve"> oponiéndose a todas y cada una de las pretensiones de la demanda y formula como excepciones de fondo, las que denominó: i).- Ausencia de capacidad procesal para actuar, ii).- Ausencia de demanda en forma y iii).- Inexistencia de motivo o fundamento de la acción. Sobre el particular indicó que el argumento expuesto por el actor carece de fundamento, la cual no tiene base fáctica ni jurídica, pues el señor alcalde municipal de Bolívar Santander, procedió en desarrollo del proceso de licitación pública No 01 de marzo de 1994, con arreglo a los principios de transparencia, economía y responsabilidad a que se contrae la ley 80 de 1993. </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5.2. La sociedad INGEAC LTDA., en escrito presentado el 27 de septiembre de 1995 también contestó el libelo de demanda,</w:t>
      </w:r>
      <w:r w:rsidRPr="00A87E5D">
        <w:rPr>
          <w:rStyle w:val="Refdenotaalpie"/>
          <w:rFonts w:ascii="Arial" w:hAnsi="Arial" w:cs="Arial"/>
          <w:sz w:val="24"/>
          <w:szCs w:val="24"/>
        </w:rPr>
        <w:footnoteReference w:id="6"/>
      </w:r>
      <w:r w:rsidRPr="00A87E5D">
        <w:rPr>
          <w:rFonts w:ascii="Arial" w:hAnsi="Arial" w:cs="Arial"/>
          <w:sz w:val="24"/>
          <w:szCs w:val="24"/>
        </w:rPr>
        <w:t xml:space="preserve"> aceptando, negando y estarse a lo probado respecto algunos hechos. Igualmente, se opuso a todas y cada una de las pretensiones de la demanda. Sostuvo que la propuesta favorecida era más económica que la del demandante, siendo éste uno de los objetivos primordiales de </w:t>
      </w:r>
      <w:r w:rsidRPr="00A87E5D">
        <w:rPr>
          <w:rFonts w:ascii="Arial" w:hAnsi="Arial" w:cs="Arial"/>
          <w:sz w:val="24"/>
          <w:szCs w:val="24"/>
        </w:rPr>
        <w:lastRenderedPageBreak/>
        <w:t xml:space="preserve">la ley 80 de 1993 que reglamenta la contratación administrativa. Que el señor Zabala Otero no superó su propuesta, pese a que el municipio de Bolívar le ofreció una nueva oportunidad de presentar una contrapropuesta para disminuir el costo de la obra ejecutada. Que el hecho de haber realizado estudios y diseños de la obra objeto de la contratación con anterioridad, no constituye causal de inhabilidad o impedimento para participar en una licitación pública; más bien puede pensarse, que es más objetiva la propuesta de quién conoce desde sus inicios el trabajo a realizar. Que el criterio económico que se tuvo en cuenta para hacer la adjudicación de la licitación, se ajustan a los criterios exigidos en el pliego de condiciones y de conformidad a los parámetros que señala la ley 80 de 1993 para las licitaciones públicas. Formuló como excepción la que denominó: “Inexistencia de los presupuestos procesales y sustantivos para instaurar la acción de nulidad y restablecimiento del derecho”. </w:t>
      </w:r>
    </w:p>
    <w:p w:rsidR="001F7ECD" w:rsidRPr="00A87E5D" w:rsidRDefault="001F7ECD" w:rsidP="00A55F5A">
      <w:pPr>
        <w:spacing w:after="0" w:line="360" w:lineRule="auto"/>
        <w:jc w:val="both"/>
        <w:rPr>
          <w:rFonts w:ascii="Arial" w:hAnsi="Arial" w:cs="Arial"/>
          <w:b/>
          <w:kern w:val="28"/>
          <w:sz w:val="24"/>
          <w:szCs w:val="24"/>
          <w:lang w:val="es-ES_tradnl"/>
        </w:rPr>
      </w:pPr>
    </w:p>
    <w:p w:rsidR="001F7ECD" w:rsidRPr="00A87E5D" w:rsidRDefault="001F7ECD" w:rsidP="00A55F5A">
      <w:pPr>
        <w:spacing w:after="0" w:line="360" w:lineRule="auto"/>
        <w:jc w:val="both"/>
        <w:rPr>
          <w:rFonts w:ascii="Arial" w:hAnsi="Arial" w:cs="Arial"/>
          <w:b/>
          <w:sz w:val="24"/>
          <w:szCs w:val="24"/>
          <w:lang w:val="es-ES_tradnl"/>
        </w:rPr>
      </w:pPr>
      <w:r w:rsidRPr="00A87E5D">
        <w:rPr>
          <w:rFonts w:ascii="Arial" w:hAnsi="Arial" w:cs="Arial"/>
          <w:b/>
          <w:sz w:val="24"/>
          <w:szCs w:val="24"/>
        </w:rPr>
        <w:t xml:space="preserve">6. </w:t>
      </w:r>
      <w:r w:rsidRPr="00A87E5D">
        <w:rPr>
          <w:rFonts w:ascii="Arial" w:hAnsi="Arial" w:cs="Arial"/>
          <w:b/>
          <w:sz w:val="24"/>
          <w:szCs w:val="24"/>
          <w:lang w:val="es-ES_tradnl"/>
        </w:rPr>
        <w:t xml:space="preserve"> La sentencia apelada</w:t>
      </w:r>
    </w:p>
    <w:p w:rsidR="001F7ECD" w:rsidRPr="00A87E5D" w:rsidRDefault="001F7ECD" w:rsidP="00A55F5A">
      <w:pPr>
        <w:pStyle w:val="Textodebloque1"/>
        <w:numPr>
          <w:ilvl w:val="12"/>
          <w:numId w:val="0"/>
        </w:numPr>
        <w:tabs>
          <w:tab w:val="left" w:pos="7230"/>
          <w:tab w:val="left" w:pos="7655"/>
        </w:tabs>
        <w:ind w:right="0"/>
        <w:rPr>
          <w:rFonts w:ascii="Arial" w:hAnsi="Arial" w:cs="Arial"/>
          <w:sz w:val="24"/>
          <w:szCs w:val="24"/>
        </w:rPr>
      </w:pP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sz w:val="24"/>
          <w:szCs w:val="24"/>
        </w:rPr>
      </w:pPr>
      <w:r w:rsidRPr="00A87E5D">
        <w:rPr>
          <w:rFonts w:ascii="Arial" w:hAnsi="Arial" w:cs="Arial"/>
          <w:sz w:val="24"/>
          <w:szCs w:val="24"/>
        </w:rPr>
        <w:t xml:space="preserve">En sentencia del 12 de septiembre de 2002, el Tribunal Administrativo de Santander negó las súplicas de la demanda al encontrar luego de relatar los antecedentes del proceso y de evaluar el material probatorio existente dentro del mismo, afirma que el contrato se adjudicó a la firma INGEAC LTDA., por ser la propuesta más acorde a las necesidades y capacidad económica del municipio y así quedó demostrado. </w:t>
      </w: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sz w:val="24"/>
          <w:szCs w:val="24"/>
        </w:rPr>
      </w:pP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sz w:val="24"/>
          <w:szCs w:val="24"/>
        </w:rPr>
      </w:pPr>
      <w:r w:rsidRPr="00A87E5D">
        <w:rPr>
          <w:rFonts w:ascii="Arial" w:hAnsi="Arial" w:cs="Arial"/>
          <w:sz w:val="24"/>
          <w:szCs w:val="24"/>
        </w:rPr>
        <w:t xml:space="preserve">Entre otros aspectos, el </w:t>
      </w:r>
      <w:r w:rsidRPr="00A87E5D">
        <w:rPr>
          <w:rFonts w:ascii="Arial" w:hAnsi="Arial" w:cs="Arial"/>
          <w:i/>
          <w:sz w:val="24"/>
          <w:szCs w:val="24"/>
        </w:rPr>
        <w:t>a quo</w:t>
      </w:r>
      <w:r w:rsidRPr="00A87E5D">
        <w:rPr>
          <w:rFonts w:ascii="Arial" w:hAnsi="Arial" w:cs="Arial"/>
          <w:sz w:val="24"/>
          <w:szCs w:val="24"/>
        </w:rPr>
        <w:t xml:space="preserve">, puntualizó lo siguiente: </w:t>
      </w: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sz w:val="24"/>
          <w:szCs w:val="24"/>
        </w:rPr>
      </w:pP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r w:rsidRPr="00A87E5D">
        <w:rPr>
          <w:rFonts w:ascii="Arial" w:hAnsi="Arial" w:cs="Arial"/>
          <w:i/>
          <w:sz w:val="24"/>
          <w:szCs w:val="24"/>
        </w:rPr>
        <w:t>“(…) El artículo 192 del Código Fiscal de Santander resulta inaplicable al caso sub examine, en la medida en que la norma hace referencia a los contratos que deba celebrar el “Departamento y sus entidades descentralizadas”, y el municipio de Bolívar como ente territorial autónomo, suscribió el contrato de obra pública bajo el régimen previsto en la ley 80 de 1993, normatividad vigente para la fecha en que se llevó a cabo el proceso licitatorio, según se desprende de las documentales aportadas a la presente actuación.</w:t>
      </w: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r w:rsidRPr="00A87E5D">
        <w:rPr>
          <w:rFonts w:ascii="Arial" w:hAnsi="Arial" w:cs="Arial"/>
          <w:i/>
          <w:sz w:val="24"/>
          <w:szCs w:val="24"/>
        </w:rPr>
        <w:t>“(…)</w:t>
      </w: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r w:rsidRPr="00A87E5D">
        <w:rPr>
          <w:rFonts w:ascii="Arial" w:hAnsi="Arial" w:cs="Arial"/>
          <w:i/>
          <w:sz w:val="24"/>
          <w:szCs w:val="24"/>
        </w:rPr>
        <w:t xml:space="preserve">Basta entonces la simple interpretación gramatical del texto jurídico para establecer que la exigencia sobre la inscripción, calificación y clasificación el registro de proponentes con anterioridad a la apertura de la licitación en los términos referidos, </w:t>
      </w:r>
      <w:r w:rsidRPr="00A87E5D">
        <w:rPr>
          <w:rFonts w:ascii="Arial" w:hAnsi="Arial" w:cs="Arial"/>
          <w:i/>
          <w:sz w:val="24"/>
          <w:szCs w:val="24"/>
        </w:rPr>
        <w:lastRenderedPageBreak/>
        <w:t>recae sobre los contratos que suscriban las entidades de derecho público del orden departamental allí mencionadas, sin que se incluyan los entes territoriales que formen parte de la misma jurisdicción como acontece con el municipio de Bolívar.</w:t>
      </w: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r w:rsidRPr="00A87E5D">
        <w:rPr>
          <w:rFonts w:ascii="Arial" w:hAnsi="Arial" w:cs="Arial"/>
          <w:i/>
          <w:sz w:val="24"/>
          <w:szCs w:val="24"/>
        </w:rPr>
        <w:t>No obstante la precisión que antecede, observa el Tribunal que si bien la actuación administrativa se surtió bajo la vigencia de la ley 80 de 1993, esta última normatividad estableció que las normas sobre registro, clasificación y calificación de proponentes, cobrarían vigencia un año después de la promulgación de la ley (Art. 81 inciso 3).</w:t>
      </w: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r w:rsidRPr="00A87E5D">
        <w:rPr>
          <w:rFonts w:ascii="Arial" w:hAnsi="Arial" w:cs="Arial"/>
          <w:i/>
          <w:sz w:val="24"/>
          <w:szCs w:val="24"/>
        </w:rPr>
        <w:t>En este orden de ideas y atendiendo el transito legislativo debe la Sala remitirse a las normas que regulaban con anterioridad a la expedición del Estatuto General de Contratación de la Administración Pública lo concerniente al registro de proponentes. Y, sobre el particular el artículo 44 del decreto 222 de 1983 establecía que sólo en los casos especiales en que dispusieran los respectivos reglamentos, la administración no podía licitar, adjudicar o suscribir contratos con personas naturales o jurídicas que no se hallaren debidamente inscritas, calificadas en su registro correspondiente.</w:t>
      </w: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r w:rsidRPr="00A87E5D">
        <w:rPr>
          <w:rFonts w:ascii="Arial" w:hAnsi="Arial" w:cs="Arial"/>
          <w:i/>
          <w:sz w:val="24"/>
          <w:szCs w:val="24"/>
        </w:rPr>
        <w:t>El Gobierno mediante el decreto reglamentario 1522 de 1983 reguló algunos aspectos relacionados con el registro de contratistas, esto es, con las personas naturales o jurídicas que se encontraran aptos para celebrar contratos con la administración pública, y determinó los contratos en los cuales se requería estar inscritos para poder contratar, clasificando a su vez las tres clases de registro: de constructores, proveedores y consultores.</w:t>
      </w: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r w:rsidRPr="00A87E5D">
        <w:rPr>
          <w:rFonts w:ascii="Arial" w:hAnsi="Arial" w:cs="Arial"/>
          <w:i/>
          <w:sz w:val="24"/>
          <w:szCs w:val="24"/>
        </w:rPr>
        <w:t>Descendiendo al caso bajo estudio, encuentra la Sala que conforme a la licitación pública No 01 de marzo de 1994 se requería que los participantes se encontraran debidamente registrados en la “Secretaría de Planeación y Desarrollo del municipio” (Fl 124), exigencia esta última que no cumplía ninguno de los proponentes, circunstancia que los ubica en una situación de igualdad de condiciones, motivo por el cual el cargo formulado en punto a este aspecto carece de la capacidad para invalidar el acto, pues de manera tacita la administración desechó esta condición y fue aceptada en su momento por los oferentes.</w:t>
      </w: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r w:rsidRPr="00A87E5D">
        <w:rPr>
          <w:rFonts w:ascii="Arial" w:hAnsi="Arial" w:cs="Arial"/>
          <w:i/>
          <w:sz w:val="24"/>
          <w:szCs w:val="24"/>
        </w:rPr>
        <w:t>“(…)</w:t>
      </w: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r w:rsidRPr="00A87E5D">
        <w:rPr>
          <w:rFonts w:ascii="Arial" w:hAnsi="Arial" w:cs="Arial"/>
          <w:i/>
          <w:sz w:val="24"/>
          <w:szCs w:val="24"/>
        </w:rPr>
        <w:lastRenderedPageBreak/>
        <w:t>El contrato se adjudicó a la firma INGEAC LTDA., según el decir de la administración por ser la propuesta más acorde a las necesidades y capacidad económica del municipio, y así quedó demostrado.</w:t>
      </w: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r w:rsidRPr="00A87E5D">
        <w:rPr>
          <w:rFonts w:ascii="Arial" w:hAnsi="Arial" w:cs="Arial"/>
          <w:i/>
          <w:sz w:val="24"/>
          <w:szCs w:val="24"/>
        </w:rPr>
        <w:t>Tampoco logró demostrar el accionante a través de la prueba idónea las razones de orden fáctico y jurídico por las cuales consideraba que su oferta resultaba la más favorable según las especificaciones técnicas del pliego de condiciones.</w:t>
      </w: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r w:rsidRPr="00A87E5D">
        <w:rPr>
          <w:rFonts w:ascii="Arial" w:hAnsi="Arial" w:cs="Arial"/>
          <w:i/>
          <w:sz w:val="24"/>
          <w:szCs w:val="24"/>
        </w:rPr>
        <w:t>“(…)</w:t>
      </w: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r w:rsidRPr="00A87E5D">
        <w:rPr>
          <w:rFonts w:ascii="Arial" w:hAnsi="Arial" w:cs="Arial"/>
          <w:i/>
          <w:sz w:val="24"/>
          <w:szCs w:val="24"/>
        </w:rPr>
        <w:t>Siendo dichas reglas la ley del proceso de adjudicación, en momento alguno el accionante se refiere a la evaluación objetiva de las ofertas, para establecer conforme él insiste, que la de él fue la mejor propuesta y no ser solamente el precio el factor determinante, aunque en la presente licitación dicho factor influyó notablemente como lo afirma la administración.</w:t>
      </w: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r w:rsidRPr="00A87E5D">
        <w:rPr>
          <w:rFonts w:ascii="Arial" w:hAnsi="Arial" w:cs="Arial"/>
          <w:i/>
          <w:sz w:val="24"/>
          <w:szCs w:val="24"/>
        </w:rPr>
        <w:t>“(…)</w:t>
      </w: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r w:rsidRPr="00A87E5D">
        <w:rPr>
          <w:rFonts w:ascii="Arial" w:hAnsi="Arial" w:cs="Arial"/>
          <w:i/>
          <w:sz w:val="24"/>
          <w:szCs w:val="24"/>
        </w:rPr>
        <w:t>De tal manera que no se evidencia violación alguna al proceso de selección del contratista efectuado por el municipio contratante toda vez que las propuestas fueron estudiadas y evaluadas, escogiéndose por razones de conveniencia técnica y financiera a la firma INGEAC LTDA.</w:t>
      </w: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r w:rsidRPr="00A87E5D">
        <w:rPr>
          <w:rFonts w:ascii="Arial" w:hAnsi="Arial" w:cs="Arial"/>
          <w:i/>
          <w:sz w:val="24"/>
          <w:szCs w:val="24"/>
        </w:rPr>
        <w:t>“(…)</w:t>
      </w: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r w:rsidRPr="00A87E5D">
        <w:rPr>
          <w:rFonts w:ascii="Arial" w:hAnsi="Arial" w:cs="Arial"/>
          <w:i/>
          <w:sz w:val="24"/>
          <w:szCs w:val="24"/>
        </w:rPr>
        <w:t>Por último, no desconoce la Sala el hecho de que la firma adjudicataria suscribió la orden de trabajo para los estudios y diseños de las Viviendas de Interés Social, en un lote de 3.200 metros cuadrados aproximadamente, el 15 de septiembre de 1993, no obstante, esta circunstancia por sí sola no constituye a juicio de la Sala causal de inhabilidad que invalide el contrato en los términos del artículo 8 de la ley 80 de 1993, normatividad aplicable a la fecha de suscripción del contrato de obra pública de que tratan los autos. Lo anterior, por cuanto si bien es cierto ello le da ventaja en la oportunidad de información al oferente que efectuó el diseño, también es cierto que dicho oferente dispone de los pliegos y/o condicione técnicas en igualdad de condiciones de los demás oferentes.</w:t>
      </w: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p>
    <w:p w:rsidR="001F7ECD" w:rsidRPr="00A87E5D" w:rsidRDefault="001F7ECD" w:rsidP="00A55F5A">
      <w:pPr>
        <w:pStyle w:val="Textodebloque1"/>
        <w:numPr>
          <w:ilvl w:val="12"/>
          <w:numId w:val="0"/>
        </w:numPr>
        <w:tabs>
          <w:tab w:val="left" w:pos="7230"/>
          <w:tab w:val="left" w:pos="7655"/>
        </w:tabs>
        <w:spacing w:line="360" w:lineRule="auto"/>
        <w:ind w:right="0"/>
        <w:rPr>
          <w:rFonts w:ascii="Arial" w:hAnsi="Arial" w:cs="Arial"/>
          <w:i/>
          <w:sz w:val="24"/>
          <w:szCs w:val="24"/>
        </w:rPr>
      </w:pPr>
      <w:r w:rsidRPr="00A87E5D">
        <w:rPr>
          <w:rFonts w:ascii="Arial" w:hAnsi="Arial" w:cs="Arial"/>
          <w:i/>
          <w:sz w:val="24"/>
          <w:szCs w:val="24"/>
        </w:rPr>
        <w:t xml:space="preserve">Además, en el caso en particular, el demandante no demostró que la circunstancia de que la firma adjudicataria hubiera suscrito la orden de trabajo para los estudios y diseños de las viviendas de interés social, le generó una condición de privilegio </w:t>
      </w:r>
      <w:r w:rsidRPr="00A87E5D">
        <w:rPr>
          <w:rFonts w:ascii="Arial" w:hAnsi="Arial" w:cs="Arial"/>
          <w:i/>
          <w:sz w:val="24"/>
          <w:szCs w:val="24"/>
        </w:rPr>
        <w:lastRenderedPageBreak/>
        <w:t>frente al proceso de contratación que se le invitaba en la licitación pública No 01 de 1984.</w:t>
      </w:r>
    </w:p>
    <w:p w:rsidR="001F7ECD" w:rsidRPr="00A87E5D" w:rsidRDefault="001F7ECD" w:rsidP="00A55F5A">
      <w:pPr>
        <w:pStyle w:val="Textodebloque1"/>
        <w:numPr>
          <w:ilvl w:val="12"/>
          <w:numId w:val="0"/>
        </w:numPr>
        <w:tabs>
          <w:tab w:val="left" w:pos="7655"/>
        </w:tabs>
        <w:spacing w:line="360" w:lineRule="auto"/>
        <w:ind w:right="0"/>
        <w:rPr>
          <w:rFonts w:ascii="Arial" w:hAnsi="Arial" w:cs="Arial"/>
          <w:i/>
          <w:sz w:val="24"/>
          <w:szCs w:val="24"/>
        </w:rPr>
      </w:pPr>
    </w:p>
    <w:p w:rsidR="001F7ECD" w:rsidRPr="00A87E5D" w:rsidRDefault="001F7ECD" w:rsidP="00A55F5A">
      <w:pPr>
        <w:pStyle w:val="Textodebloque1"/>
        <w:numPr>
          <w:ilvl w:val="12"/>
          <w:numId w:val="0"/>
        </w:numPr>
        <w:tabs>
          <w:tab w:val="left" w:pos="7655"/>
        </w:tabs>
        <w:spacing w:line="360" w:lineRule="auto"/>
        <w:ind w:right="0"/>
        <w:rPr>
          <w:rFonts w:ascii="Arial" w:hAnsi="Arial" w:cs="Arial"/>
          <w:i/>
          <w:sz w:val="24"/>
          <w:szCs w:val="24"/>
        </w:rPr>
      </w:pPr>
      <w:r w:rsidRPr="00A87E5D">
        <w:rPr>
          <w:rFonts w:ascii="Arial" w:hAnsi="Arial" w:cs="Arial"/>
          <w:i/>
          <w:sz w:val="24"/>
          <w:szCs w:val="24"/>
        </w:rPr>
        <w:t>“(…)”.</w:t>
      </w:r>
    </w:p>
    <w:p w:rsidR="001F7ECD" w:rsidRPr="00A87E5D" w:rsidRDefault="001F7ECD" w:rsidP="00A55F5A">
      <w:pPr>
        <w:pStyle w:val="Textodebloque1"/>
        <w:numPr>
          <w:ilvl w:val="12"/>
          <w:numId w:val="0"/>
        </w:numPr>
        <w:tabs>
          <w:tab w:val="left" w:pos="7655"/>
        </w:tabs>
        <w:ind w:right="0"/>
        <w:rPr>
          <w:rFonts w:ascii="Arial" w:hAnsi="Arial" w:cs="Arial"/>
          <w:sz w:val="24"/>
          <w:szCs w:val="24"/>
        </w:rPr>
      </w:pPr>
    </w:p>
    <w:p w:rsidR="001F7ECD" w:rsidRPr="00A87E5D" w:rsidRDefault="001F7ECD" w:rsidP="00A55F5A">
      <w:pPr>
        <w:pStyle w:val="Ttulo"/>
        <w:jc w:val="both"/>
        <w:rPr>
          <w:rFonts w:cs="Arial"/>
          <w:szCs w:val="24"/>
          <w:lang w:val="es-ES_tradnl"/>
        </w:rPr>
      </w:pPr>
      <w:r w:rsidRPr="00A87E5D">
        <w:rPr>
          <w:rFonts w:cs="Arial"/>
          <w:szCs w:val="24"/>
        </w:rPr>
        <w:t xml:space="preserve">7. </w:t>
      </w:r>
      <w:r w:rsidRPr="00A87E5D">
        <w:rPr>
          <w:rFonts w:cs="Arial"/>
          <w:szCs w:val="24"/>
          <w:lang w:val="es-ES_tradnl"/>
        </w:rPr>
        <w:t xml:space="preserve">El recurso de apelación. </w:t>
      </w:r>
    </w:p>
    <w:p w:rsidR="001F7ECD" w:rsidRPr="00A87E5D" w:rsidRDefault="001F7ECD" w:rsidP="00A55F5A">
      <w:pPr>
        <w:pStyle w:val="Textodebloque1"/>
        <w:tabs>
          <w:tab w:val="left" w:pos="7655"/>
        </w:tabs>
        <w:spacing w:line="360" w:lineRule="auto"/>
        <w:ind w:left="0" w:right="0"/>
        <w:rPr>
          <w:rFonts w:ascii="Arial" w:hAnsi="Arial" w:cs="Arial"/>
          <w:b/>
          <w:sz w:val="24"/>
          <w:szCs w:val="24"/>
        </w:rPr>
      </w:pPr>
    </w:p>
    <w:p w:rsidR="001F7ECD" w:rsidRPr="00A87E5D" w:rsidRDefault="001F7ECD" w:rsidP="00A55F5A">
      <w:pPr>
        <w:pStyle w:val="Textodebloque1"/>
        <w:tabs>
          <w:tab w:val="left" w:pos="7655"/>
        </w:tabs>
        <w:spacing w:line="360" w:lineRule="auto"/>
        <w:ind w:left="0" w:right="0"/>
        <w:rPr>
          <w:rFonts w:ascii="Arial" w:hAnsi="Arial" w:cs="Arial"/>
          <w:sz w:val="24"/>
          <w:szCs w:val="24"/>
        </w:rPr>
      </w:pPr>
      <w:r w:rsidRPr="00A87E5D">
        <w:rPr>
          <w:rFonts w:ascii="Arial" w:hAnsi="Arial" w:cs="Arial"/>
          <w:sz w:val="24"/>
          <w:szCs w:val="24"/>
        </w:rPr>
        <w:t xml:space="preserve">Inconforme con lo decidido, la parte demandante interpuso recurso de apelación que fue concedido por el </w:t>
      </w:r>
      <w:r w:rsidRPr="00A87E5D">
        <w:rPr>
          <w:rFonts w:ascii="Arial" w:hAnsi="Arial" w:cs="Arial"/>
          <w:i/>
          <w:sz w:val="24"/>
          <w:szCs w:val="24"/>
        </w:rPr>
        <w:t>a quo</w:t>
      </w:r>
      <w:r w:rsidRPr="00A87E5D">
        <w:rPr>
          <w:rFonts w:ascii="Arial" w:hAnsi="Arial" w:cs="Arial"/>
          <w:sz w:val="24"/>
          <w:szCs w:val="24"/>
        </w:rPr>
        <w:t xml:space="preserve"> en proveído del 24 de octubre de 2002.</w:t>
      </w:r>
      <w:r w:rsidRPr="00A87E5D">
        <w:rPr>
          <w:rStyle w:val="Refdenotaalpie"/>
          <w:rFonts w:ascii="Arial" w:hAnsi="Arial" w:cs="Arial"/>
          <w:sz w:val="24"/>
          <w:szCs w:val="24"/>
        </w:rPr>
        <w:footnoteReference w:id="7"/>
      </w:r>
      <w:r w:rsidRPr="00A87E5D">
        <w:rPr>
          <w:rFonts w:ascii="Arial" w:hAnsi="Arial" w:cs="Arial"/>
          <w:sz w:val="24"/>
          <w:szCs w:val="24"/>
        </w:rPr>
        <w:t xml:space="preserve">  </w:t>
      </w:r>
    </w:p>
    <w:p w:rsidR="001F7ECD" w:rsidRPr="00A87E5D" w:rsidRDefault="001F7ECD" w:rsidP="00A55F5A">
      <w:pPr>
        <w:pStyle w:val="Textodebloque1"/>
        <w:tabs>
          <w:tab w:val="left" w:pos="7655"/>
        </w:tabs>
        <w:spacing w:line="360" w:lineRule="auto"/>
        <w:ind w:left="0" w:right="0"/>
        <w:rPr>
          <w:rFonts w:ascii="Arial" w:hAnsi="Arial" w:cs="Arial"/>
          <w:sz w:val="24"/>
          <w:szCs w:val="24"/>
        </w:rPr>
      </w:pPr>
    </w:p>
    <w:p w:rsidR="001F7ECD" w:rsidRPr="00A87E5D" w:rsidRDefault="001F7ECD" w:rsidP="00A55F5A">
      <w:pPr>
        <w:pStyle w:val="Textodebloque1"/>
        <w:tabs>
          <w:tab w:val="left" w:pos="7655"/>
        </w:tabs>
        <w:spacing w:line="360" w:lineRule="auto"/>
        <w:ind w:left="0" w:right="0"/>
        <w:rPr>
          <w:rFonts w:ascii="Arial" w:hAnsi="Arial" w:cs="Arial"/>
          <w:sz w:val="24"/>
          <w:szCs w:val="24"/>
        </w:rPr>
      </w:pPr>
      <w:r w:rsidRPr="00A87E5D">
        <w:rPr>
          <w:rFonts w:ascii="Arial" w:hAnsi="Arial" w:cs="Arial"/>
          <w:sz w:val="24"/>
          <w:szCs w:val="24"/>
        </w:rPr>
        <w:t>El fundamento del recurso son los mismos que se reiteran en los alegatos de conclusión e insiste que en este caso no hay duda que la administración demandada, licitó la construcción de una obra pública con una firma que había realizado los diseños de las viviendas objeto de la licitación, por lo tanto no hay duda que el a quo desconoció el contenido del artículo 81 de la ley 80 de 1993 y los artículos 80 y 85 del decreto 222 de 1983.</w:t>
      </w:r>
    </w:p>
    <w:p w:rsidR="001F7ECD" w:rsidRPr="00A87E5D" w:rsidRDefault="001F7ECD" w:rsidP="00A55F5A">
      <w:pPr>
        <w:pStyle w:val="Textodebloque1"/>
        <w:tabs>
          <w:tab w:val="left" w:pos="7655"/>
        </w:tabs>
        <w:spacing w:line="360" w:lineRule="auto"/>
        <w:ind w:left="0" w:right="0"/>
        <w:rPr>
          <w:rFonts w:ascii="Arial" w:hAnsi="Arial" w:cs="Arial"/>
          <w:sz w:val="24"/>
          <w:szCs w:val="24"/>
        </w:rPr>
      </w:pPr>
    </w:p>
    <w:p w:rsidR="001F7ECD" w:rsidRPr="00A87E5D" w:rsidRDefault="001F7ECD" w:rsidP="00A55F5A">
      <w:pPr>
        <w:pStyle w:val="Ttulo"/>
        <w:jc w:val="both"/>
        <w:rPr>
          <w:rFonts w:cs="Arial"/>
          <w:bCs/>
          <w:iCs/>
          <w:szCs w:val="24"/>
        </w:rPr>
      </w:pPr>
      <w:r w:rsidRPr="00A87E5D">
        <w:rPr>
          <w:rFonts w:cs="Arial"/>
          <w:bCs/>
          <w:szCs w:val="24"/>
          <w:lang w:val="es-ES_tradnl"/>
        </w:rPr>
        <w:t>8. Actuación en segunda instancia.</w:t>
      </w:r>
    </w:p>
    <w:p w:rsidR="001F7ECD" w:rsidRPr="00A87E5D" w:rsidRDefault="001F7ECD" w:rsidP="00A55F5A">
      <w:pPr>
        <w:pStyle w:val="Ttulo"/>
        <w:jc w:val="both"/>
        <w:rPr>
          <w:rFonts w:cs="Arial"/>
          <w:b w:val="0"/>
          <w:iCs/>
          <w:szCs w:val="24"/>
        </w:rPr>
      </w:pPr>
    </w:p>
    <w:p w:rsidR="001F7ECD" w:rsidRPr="00A87E5D" w:rsidRDefault="001F7ECD" w:rsidP="00A55F5A">
      <w:pPr>
        <w:pStyle w:val="Textodebloque1"/>
        <w:tabs>
          <w:tab w:val="left" w:pos="7655"/>
        </w:tabs>
        <w:spacing w:line="360" w:lineRule="auto"/>
        <w:ind w:left="0" w:right="0"/>
        <w:rPr>
          <w:rFonts w:ascii="Arial" w:hAnsi="Arial" w:cs="Arial"/>
          <w:b/>
          <w:bCs/>
          <w:sz w:val="24"/>
          <w:szCs w:val="24"/>
        </w:rPr>
      </w:pPr>
      <w:r w:rsidRPr="00A87E5D">
        <w:rPr>
          <w:rFonts w:ascii="Arial" w:hAnsi="Arial" w:cs="Arial"/>
          <w:b/>
          <w:sz w:val="24"/>
          <w:szCs w:val="24"/>
        </w:rPr>
        <w:t xml:space="preserve">8.1. </w:t>
      </w:r>
      <w:r w:rsidRPr="00A87E5D">
        <w:rPr>
          <w:rFonts w:ascii="Arial" w:hAnsi="Arial" w:cs="Arial"/>
          <w:sz w:val="24"/>
          <w:szCs w:val="24"/>
        </w:rPr>
        <w:t>Por auto del 30  de enero de 2003,</w:t>
      </w:r>
      <w:r w:rsidRPr="00A87E5D">
        <w:rPr>
          <w:rStyle w:val="Refdenotaalpie"/>
          <w:rFonts w:ascii="Arial" w:hAnsi="Arial" w:cs="Arial"/>
          <w:sz w:val="24"/>
          <w:szCs w:val="24"/>
        </w:rPr>
        <w:footnoteReference w:id="8"/>
      </w:r>
      <w:r w:rsidRPr="00A87E5D">
        <w:rPr>
          <w:rFonts w:ascii="Arial" w:hAnsi="Arial" w:cs="Arial"/>
          <w:sz w:val="24"/>
          <w:szCs w:val="24"/>
        </w:rPr>
        <w:t xml:space="preserve"> se admitió el recurso.</w:t>
      </w:r>
      <w:r w:rsidRPr="00A87E5D">
        <w:rPr>
          <w:rFonts w:ascii="Arial" w:hAnsi="Arial" w:cs="Arial"/>
          <w:bCs/>
          <w:sz w:val="24"/>
          <w:szCs w:val="24"/>
        </w:rPr>
        <w:t xml:space="preserve"> En providencia del 20 de febrero de 2003, se corrió traslado a las partes y al Ministerio Público para alegar de conclusión</w:t>
      </w:r>
      <w:r w:rsidRPr="00A87E5D">
        <w:rPr>
          <w:rStyle w:val="Refdenotaalpie"/>
          <w:rFonts w:ascii="Arial" w:hAnsi="Arial" w:cs="Arial"/>
          <w:bCs/>
          <w:sz w:val="24"/>
          <w:szCs w:val="24"/>
        </w:rPr>
        <w:footnoteReference w:id="9"/>
      </w:r>
      <w:r w:rsidRPr="00A87E5D">
        <w:rPr>
          <w:rFonts w:ascii="Arial" w:hAnsi="Arial" w:cs="Arial"/>
          <w:bCs/>
          <w:sz w:val="24"/>
          <w:szCs w:val="24"/>
        </w:rPr>
        <w:t>, etapa en la que no intervino ninguno de los sujetos procesales.</w:t>
      </w:r>
      <w:r w:rsidRPr="00A87E5D">
        <w:rPr>
          <w:rFonts w:ascii="Arial" w:hAnsi="Arial" w:cs="Arial"/>
          <w:b/>
          <w:bCs/>
          <w:sz w:val="24"/>
          <w:szCs w:val="24"/>
        </w:rPr>
        <w:t xml:space="preserve"> </w:t>
      </w:r>
    </w:p>
    <w:p w:rsidR="001F7ECD" w:rsidRPr="00A87E5D" w:rsidRDefault="001F7ECD" w:rsidP="00A55F5A">
      <w:pPr>
        <w:pStyle w:val="Textodebloque1"/>
        <w:tabs>
          <w:tab w:val="left" w:pos="7655"/>
        </w:tabs>
        <w:spacing w:line="360" w:lineRule="auto"/>
        <w:ind w:left="0" w:right="0"/>
        <w:rPr>
          <w:rFonts w:ascii="Arial" w:hAnsi="Arial" w:cs="Arial"/>
          <w:sz w:val="24"/>
          <w:szCs w:val="24"/>
        </w:rPr>
      </w:pPr>
    </w:p>
    <w:p w:rsidR="001F7ECD" w:rsidRPr="00A87E5D" w:rsidRDefault="001F7ECD" w:rsidP="00A55F5A">
      <w:pPr>
        <w:pStyle w:val="Textodebloque1"/>
        <w:numPr>
          <w:ilvl w:val="12"/>
          <w:numId w:val="0"/>
        </w:numPr>
        <w:tabs>
          <w:tab w:val="left" w:pos="7655"/>
        </w:tabs>
        <w:spacing w:line="360" w:lineRule="auto"/>
        <w:ind w:right="0"/>
        <w:jc w:val="center"/>
        <w:rPr>
          <w:rFonts w:ascii="Arial" w:hAnsi="Arial" w:cs="Arial"/>
          <w:b/>
          <w:bCs/>
          <w:sz w:val="24"/>
          <w:szCs w:val="24"/>
        </w:rPr>
      </w:pPr>
      <w:r w:rsidRPr="00A87E5D">
        <w:rPr>
          <w:rFonts w:ascii="Arial" w:hAnsi="Arial" w:cs="Arial"/>
          <w:b/>
          <w:bCs/>
          <w:sz w:val="24"/>
          <w:szCs w:val="24"/>
        </w:rPr>
        <w:t>II. CONSIDERACIONES</w:t>
      </w:r>
    </w:p>
    <w:p w:rsidR="001F7ECD" w:rsidRPr="00A87E5D" w:rsidRDefault="001F7ECD" w:rsidP="00A55F5A">
      <w:pPr>
        <w:pStyle w:val="Sangra2detindependiente"/>
        <w:numPr>
          <w:ilvl w:val="0"/>
          <w:numId w:val="0"/>
        </w:numPr>
        <w:rPr>
          <w:rFonts w:ascii="Arial" w:hAnsi="Arial" w:cs="Arial"/>
          <w:sz w:val="24"/>
        </w:rPr>
      </w:pPr>
    </w:p>
    <w:p w:rsidR="001F7ECD" w:rsidRPr="00A87E5D" w:rsidRDefault="001F7ECD" w:rsidP="00A55F5A">
      <w:pPr>
        <w:pStyle w:val="Textoindependiente21"/>
        <w:overflowPunct/>
        <w:autoSpaceDE/>
        <w:autoSpaceDN/>
        <w:adjustRightInd/>
        <w:ind w:firstLine="0"/>
        <w:textAlignment w:val="auto"/>
        <w:rPr>
          <w:rFonts w:ascii="Arial" w:hAnsi="Arial" w:cs="Arial"/>
          <w:kern w:val="0"/>
          <w:sz w:val="24"/>
          <w:szCs w:val="24"/>
          <w:lang w:val="es-ES"/>
        </w:rPr>
      </w:pPr>
      <w:r w:rsidRPr="00A87E5D">
        <w:rPr>
          <w:rFonts w:ascii="Arial" w:hAnsi="Arial" w:cs="Arial"/>
          <w:kern w:val="0"/>
          <w:sz w:val="24"/>
          <w:szCs w:val="24"/>
          <w:lang w:val="es-ES"/>
        </w:rPr>
        <w:t xml:space="preserve">Cumplidos los trámites propios del proceso, sin que exista causal alguna de nulidad que invalide lo actuado, procede la Sala a resolver el asunto sometido a consideración, a través del siguiente derrotero: 1) competencia de la Sala; 2) hechos probados; 3) problema jurídico; 4) caso concreto, y 5) condena en costas. </w:t>
      </w:r>
    </w:p>
    <w:p w:rsidR="001F7ECD" w:rsidRPr="00A87E5D" w:rsidRDefault="001F7ECD" w:rsidP="00A55F5A">
      <w:pPr>
        <w:pStyle w:val="Sangra2detindependiente"/>
        <w:numPr>
          <w:ilvl w:val="0"/>
          <w:numId w:val="0"/>
        </w:numPr>
        <w:rPr>
          <w:rFonts w:ascii="Arial" w:hAnsi="Arial" w:cs="Arial"/>
          <w:sz w:val="24"/>
        </w:rPr>
      </w:pPr>
    </w:p>
    <w:p w:rsidR="001F7ECD" w:rsidRPr="00A87E5D" w:rsidRDefault="001F7ECD" w:rsidP="00A55F5A">
      <w:pPr>
        <w:spacing w:after="0" w:line="360" w:lineRule="auto"/>
        <w:jc w:val="both"/>
        <w:rPr>
          <w:rFonts w:ascii="Arial" w:hAnsi="Arial" w:cs="Arial"/>
          <w:b/>
          <w:sz w:val="24"/>
          <w:szCs w:val="24"/>
        </w:rPr>
      </w:pPr>
      <w:r w:rsidRPr="00A87E5D">
        <w:rPr>
          <w:rFonts w:ascii="Arial" w:hAnsi="Arial" w:cs="Arial"/>
          <w:b/>
          <w:sz w:val="24"/>
          <w:szCs w:val="24"/>
        </w:rPr>
        <w:t>1. Competencia de la Sala</w:t>
      </w:r>
    </w:p>
    <w:p w:rsidR="001F7ECD" w:rsidRPr="00A87E5D" w:rsidRDefault="001F7ECD" w:rsidP="00A55F5A">
      <w:pPr>
        <w:spacing w:after="0" w:line="360" w:lineRule="auto"/>
        <w:jc w:val="both"/>
        <w:rPr>
          <w:rFonts w:ascii="Arial" w:hAnsi="Arial" w:cs="Arial"/>
          <w:b/>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 xml:space="preserve">Se es competente para conocer de este proceso en segunda instancia, toda vez que la pretensión mayor individualmente considerada por concepto de lucro cesante </w:t>
      </w:r>
      <w:r w:rsidRPr="00A87E5D">
        <w:rPr>
          <w:rFonts w:ascii="Arial" w:hAnsi="Arial" w:cs="Arial"/>
          <w:sz w:val="24"/>
          <w:szCs w:val="24"/>
        </w:rPr>
        <w:lastRenderedPageBreak/>
        <w:t xml:space="preserve">asciende a $38.948.706.oo, la cual es superior a la cuantía exigida para que un proceso iniciado en el año 1994, tuviera vocación de doble instancia, esto es, $9.610.000.oo, de conformidad con las reglas de competencia establecidas en el Decreto 597 de 1988. </w:t>
      </w:r>
    </w:p>
    <w:p w:rsidR="001F7ECD" w:rsidRPr="00A87E5D" w:rsidRDefault="001F7ECD" w:rsidP="00A55F5A">
      <w:pPr>
        <w:spacing w:after="0" w:line="360" w:lineRule="auto"/>
        <w:jc w:val="both"/>
        <w:rPr>
          <w:rFonts w:ascii="Arial" w:hAnsi="Arial" w:cs="Arial"/>
          <w:sz w:val="24"/>
          <w:szCs w:val="24"/>
        </w:rPr>
      </w:pPr>
    </w:p>
    <w:p w:rsidR="001F7ECD" w:rsidRDefault="001F7ECD" w:rsidP="00A55F5A">
      <w:pPr>
        <w:spacing w:after="0" w:line="360" w:lineRule="auto"/>
        <w:jc w:val="both"/>
        <w:rPr>
          <w:rFonts w:ascii="Arial" w:hAnsi="Arial" w:cs="Arial"/>
          <w:sz w:val="24"/>
          <w:szCs w:val="24"/>
        </w:rPr>
      </w:pPr>
      <w:r w:rsidRPr="00A87E5D">
        <w:rPr>
          <w:rFonts w:ascii="Arial" w:hAnsi="Arial" w:cs="Arial"/>
          <w:sz w:val="24"/>
          <w:szCs w:val="24"/>
        </w:rPr>
        <w:t xml:space="preserve">En  lo que respecta al término para intentar la acción de nulidad y restablecimiento del derecho contra el acto de adjudicación, se tiene que de acuerdo con lo dispuesto en el parágrafo del artículo 77 de la Ley 80 de 1993 ese aspecto se rige </w:t>
      </w:r>
      <w:r w:rsidRPr="00A87E5D">
        <w:rPr>
          <w:rFonts w:ascii="Arial" w:hAnsi="Arial" w:cs="Arial"/>
          <w:i/>
          <w:sz w:val="24"/>
          <w:szCs w:val="24"/>
        </w:rPr>
        <w:t>“conforme a la reglas del código contencioso administrativo”</w:t>
      </w:r>
      <w:r w:rsidRPr="00A87E5D">
        <w:rPr>
          <w:rFonts w:ascii="Arial" w:hAnsi="Arial" w:cs="Arial"/>
          <w:sz w:val="24"/>
          <w:szCs w:val="24"/>
        </w:rPr>
        <w:t xml:space="preserve"> y, para la época de presentación de la demanda que motivó el presente proceso, el artículo 136 del Decreto 01 de 1984 -subrogado por el artículo 23 del Decreto 2304 de 1989- lo señaló en 4 meses contados a partir de la publicación, notificación o ejecución del acto, según el caso</w:t>
      </w:r>
      <w:r w:rsidRPr="00A87E5D">
        <w:rPr>
          <w:rStyle w:val="Refdenotaalpie"/>
          <w:rFonts w:ascii="Arial" w:hAnsi="Arial" w:cs="Arial"/>
          <w:sz w:val="24"/>
          <w:szCs w:val="24"/>
        </w:rPr>
        <w:footnoteReference w:id="10"/>
      </w:r>
      <w:r w:rsidRPr="00A87E5D">
        <w:rPr>
          <w:rFonts w:ascii="Arial" w:hAnsi="Arial" w:cs="Arial"/>
          <w:sz w:val="24"/>
          <w:szCs w:val="24"/>
        </w:rPr>
        <w:t>.</w:t>
      </w:r>
    </w:p>
    <w:p w:rsidR="00A87E5D" w:rsidRPr="00A87E5D" w:rsidRDefault="00A87E5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 xml:space="preserve">Por lo tanto, el cómputo del término para intentar la acción de nulidad y restablecimiento del derecho contra el acto administrativo de adjudicación, comenzó en la fecha en que el mismo fue conocido por el interesado. En el caso concreto el acto se comunicó el 26 de abril de 1994 y la demanda se presentó el  26 de agosto de 1994, razón por la cual se impone concluir que la acción se ejerció de manera oportuna. </w:t>
      </w:r>
    </w:p>
    <w:p w:rsidR="001F7ECD" w:rsidRPr="00A87E5D" w:rsidRDefault="001F7ECD" w:rsidP="00A55F5A">
      <w:pPr>
        <w:spacing w:after="0" w:line="360" w:lineRule="auto"/>
        <w:jc w:val="both"/>
        <w:rPr>
          <w:rFonts w:ascii="Arial" w:hAnsi="Arial" w:cs="Arial"/>
          <w:sz w:val="24"/>
          <w:szCs w:val="24"/>
        </w:rPr>
      </w:pPr>
    </w:p>
    <w:p w:rsidR="001F7ECD" w:rsidRDefault="001F7ECD" w:rsidP="00A55F5A">
      <w:pPr>
        <w:spacing w:after="0" w:line="360" w:lineRule="auto"/>
        <w:jc w:val="both"/>
        <w:rPr>
          <w:rFonts w:ascii="Arial" w:hAnsi="Arial" w:cs="Arial"/>
          <w:b/>
          <w:sz w:val="24"/>
          <w:szCs w:val="24"/>
        </w:rPr>
      </w:pPr>
      <w:r w:rsidRPr="00A87E5D">
        <w:rPr>
          <w:rFonts w:ascii="Arial" w:hAnsi="Arial" w:cs="Arial"/>
          <w:b/>
          <w:sz w:val="24"/>
          <w:szCs w:val="24"/>
        </w:rPr>
        <w:t xml:space="preserve">2. Hechos probados </w:t>
      </w:r>
    </w:p>
    <w:p w:rsidR="00A87E5D" w:rsidRPr="00A87E5D" w:rsidRDefault="00A87E5D" w:rsidP="00A55F5A">
      <w:pPr>
        <w:spacing w:after="0" w:line="360" w:lineRule="auto"/>
        <w:jc w:val="both"/>
        <w:rPr>
          <w:rFonts w:ascii="Arial" w:hAnsi="Arial" w:cs="Arial"/>
          <w:b/>
          <w:sz w:val="24"/>
          <w:szCs w:val="24"/>
        </w:rPr>
      </w:pPr>
    </w:p>
    <w:p w:rsidR="001F7ECD" w:rsidRDefault="001F7ECD" w:rsidP="00A55F5A">
      <w:pPr>
        <w:pStyle w:val="NormalWeb"/>
        <w:spacing w:before="0" w:beforeAutospacing="0" w:after="0" w:afterAutospacing="0" w:line="360" w:lineRule="auto"/>
        <w:jc w:val="both"/>
        <w:rPr>
          <w:rFonts w:ascii="Arial" w:hAnsi="Arial" w:cs="Arial"/>
        </w:rPr>
      </w:pPr>
      <w:r w:rsidRPr="00A87E5D">
        <w:rPr>
          <w:rFonts w:ascii="Arial" w:hAnsi="Arial" w:cs="Arial"/>
        </w:rPr>
        <w:t xml:space="preserve">Teniendo en cuenta los medios de prueba regularmente allegados al proceso, se acreditan los siguientes hechos relevantes para la litis: </w:t>
      </w:r>
    </w:p>
    <w:p w:rsidR="00A87E5D" w:rsidRPr="00A87E5D" w:rsidRDefault="00A87E5D" w:rsidP="00A55F5A">
      <w:pPr>
        <w:pStyle w:val="NormalWeb"/>
        <w:spacing w:before="0" w:beforeAutospacing="0" w:after="0" w:afterAutospacing="0" w:line="360" w:lineRule="auto"/>
        <w:jc w:val="both"/>
        <w:rPr>
          <w:rFonts w:ascii="Arial" w:hAnsi="Arial" w:cs="Arial"/>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 xml:space="preserve">2.1. Copia auténtica de la Resolución No 032 de marzo 17 de 1994, expedida por el Alcalde Municipal de Bolívar Santander, por medio de la cual “se convoca a licitación </w:t>
      </w:r>
      <w:r w:rsidRPr="00A87E5D">
        <w:rPr>
          <w:rFonts w:ascii="Arial" w:hAnsi="Arial" w:cs="Arial"/>
          <w:sz w:val="24"/>
          <w:szCs w:val="24"/>
        </w:rPr>
        <w:lastRenderedPageBreak/>
        <w:t>pública la Obra de Construcción de Vivienda de Interés Social en el municipio de Bolívar Santander</w:t>
      </w:r>
      <w:r w:rsidRPr="00A87E5D">
        <w:rPr>
          <w:rStyle w:val="Refdenotaalpie"/>
          <w:rFonts w:ascii="Arial" w:hAnsi="Arial" w:cs="Arial"/>
          <w:sz w:val="24"/>
          <w:szCs w:val="24"/>
        </w:rPr>
        <w:footnoteReference w:id="11"/>
      </w:r>
      <w:r w:rsidRPr="00A87E5D">
        <w:rPr>
          <w:rFonts w:ascii="Arial" w:hAnsi="Arial" w:cs="Arial"/>
          <w:sz w:val="24"/>
          <w:szCs w:val="24"/>
        </w:rPr>
        <w:t xml:space="preserve">”. </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2.2. Copia auténtica de la Licitación Pública No 01 de marzo de 1994</w:t>
      </w:r>
      <w:r w:rsidRPr="00A87E5D">
        <w:rPr>
          <w:rStyle w:val="Refdenotaalpie"/>
          <w:rFonts w:ascii="Arial" w:hAnsi="Arial" w:cs="Arial"/>
          <w:sz w:val="24"/>
          <w:szCs w:val="24"/>
        </w:rPr>
        <w:footnoteReference w:id="12"/>
      </w:r>
      <w:r w:rsidRPr="00A87E5D">
        <w:rPr>
          <w:rFonts w:ascii="Arial" w:hAnsi="Arial" w:cs="Arial"/>
          <w:sz w:val="24"/>
          <w:szCs w:val="24"/>
        </w:rPr>
        <w:t xml:space="preserve">, abierta para la construcción de 14 Viviendas Unifamiliares e instalación de redes de acueducto y alcantarillado. Del citado documento resulta pertinente transcribir lo siguiente: </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i/>
          <w:sz w:val="24"/>
          <w:szCs w:val="24"/>
        </w:rPr>
      </w:pPr>
      <w:r w:rsidRPr="00A87E5D">
        <w:rPr>
          <w:rFonts w:ascii="Arial" w:hAnsi="Arial" w:cs="Arial"/>
          <w:b/>
          <w:i/>
          <w:sz w:val="24"/>
          <w:szCs w:val="24"/>
        </w:rPr>
        <w:t xml:space="preserve">“OBJETO: </w:t>
      </w:r>
      <w:r w:rsidRPr="00A87E5D">
        <w:rPr>
          <w:rFonts w:ascii="Arial" w:hAnsi="Arial" w:cs="Arial"/>
          <w:i/>
          <w:sz w:val="24"/>
          <w:szCs w:val="24"/>
        </w:rPr>
        <w:t>Mediante Resolución No 032 de marzo 17 de 1994, el Municipio de Bolívar convoca a Licitación Pública  Nacional, para la Construcción de 14 Viviendas Unifamiliares e Instalación de Redes de Acueducto y Alcantarillado.</w:t>
      </w:r>
    </w:p>
    <w:p w:rsidR="001F7ECD" w:rsidRPr="00A87E5D" w:rsidRDefault="001F7ECD" w:rsidP="00A55F5A">
      <w:pPr>
        <w:spacing w:after="0" w:line="360" w:lineRule="auto"/>
        <w:jc w:val="both"/>
        <w:rPr>
          <w:rFonts w:ascii="Arial" w:hAnsi="Arial" w:cs="Arial"/>
          <w:i/>
          <w:sz w:val="24"/>
          <w:szCs w:val="24"/>
        </w:rPr>
      </w:pPr>
    </w:p>
    <w:p w:rsidR="001F7ECD" w:rsidRPr="00A87E5D" w:rsidRDefault="001F7ECD" w:rsidP="00A55F5A">
      <w:pPr>
        <w:spacing w:after="0" w:line="360" w:lineRule="auto"/>
        <w:jc w:val="both"/>
        <w:rPr>
          <w:rFonts w:ascii="Arial" w:hAnsi="Arial" w:cs="Arial"/>
          <w:b/>
          <w:i/>
          <w:sz w:val="24"/>
          <w:szCs w:val="24"/>
        </w:rPr>
      </w:pPr>
      <w:r w:rsidRPr="00A87E5D">
        <w:rPr>
          <w:rFonts w:ascii="Arial" w:hAnsi="Arial" w:cs="Arial"/>
          <w:b/>
          <w:i/>
          <w:sz w:val="24"/>
          <w:szCs w:val="24"/>
        </w:rPr>
        <w:t>CANTIDADES APROXIMADAS DE OBRA</w:t>
      </w:r>
    </w:p>
    <w:p w:rsidR="001F7ECD" w:rsidRPr="00A87E5D" w:rsidRDefault="001F7ECD" w:rsidP="00A55F5A">
      <w:pPr>
        <w:spacing w:after="0" w:line="360" w:lineRule="auto"/>
        <w:jc w:val="both"/>
        <w:rPr>
          <w:rFonts w:ascii="Arial" w:hAnsi="Arial" w:cs="Arial"/>
          <w:b/>
          <w:i/>
          <w:sz w:val="24"/>
          <w:szCs w:val="24"/>
        </w:rPr>
      </w:pPr>
    </w:p>
    <w:p w:rsidR="001F7ECD" w:rsidRPr="00A87E5D" w:rsidRDefault="001F7ECD" w:rsidP="00A55F5A">
      <w:pPr>
        <w:spacing w:after="0" w:line="360" w:lineRule="auto"/>
        <w:jc w:val="both"/>
        <w:rPr>
          <w:rFonts w:ascii="Arial" w:hAnsi="Arial" w:cs="Arial"/>
          <w:b/>
          <w:i/>
          <w:sz w:val="24"/>
          <w:szCs w:val="24"/>
        </w:rPr>
      </w:pPr>
      <w:r w:rsidRPr="00A87E5D">
        <w:rPr>
          <w:rFonts w:ascii="Arial" w:hAnsi="Arial" w:cs="Arial"/>
          <w:b/>
          <w:i/>
          <w:sz w:val="24"/>
          <w:szCs w:val="24"/>
        </w:rPr>
        <w:t>CONCEPTO</w:t>
      </w:r>
    </w:p>
    <w:p w:rsidR="001F7ECD" w:rsidRPr="00A87E5D" w:rsidRDefault="001F7ECD" w:rsidP="00A55F5A">
      <w:pPr>
        <w:spacing w:after="0" w:line="360" w:lineRule="auto"/>
        <w:jc w:val="both"/>
        <w:rPr>
          <w:rFonts w:ascii="Arial" w:hAnsi="Arial" w:cs="Arial"/>
          <w:b/>
          <w:i/>
          <w:sz w:val="24"/>
          <w:szCs w:val="24"/>
        </w:rPr>
      </w:pPr>
    </w:p>
    <w:p w:rsidR="001F7ECD" w:rsidRPr="00A87E5D" w:rsidRDefault="001F7ECD" w:rsidP="00A55F5A">
      <w:pPr>
        <w:spacing w:after="0" w:line="360" w:lineRule="auto"/>
        <w:jc w:val="both"/>
        <w:rPr>
          <w:rFonts w:ascii="Arial" w:hAnsi="Arial" w:cs="Arial"/>
          <w:i/>
          <w:sz w:val="24"/>
          <w:szCs w:val="24"/>
        </w:rPr>
      </w:pPr>
      <w:r w:rsidRPr="00A87E5D">
        <w:rPr>
          <w:rFonts w:ascii="Arial" w:hAnsi="Arial" w:cs="Arial"/>
          <w:i/>
          <w:sz w:val="24"/>
          <w:szCs w:val="24"/>
        </w:rPr>
        <w:t>Construcción de 14 Viviendas de 70.4 M C/U M2    985.6</w:t>
      </w:r>
    </w:p>
    <w:p w:rsidR="001F7ECD" w:rsidRPr="00A87E5D" w:rsidRDefault="001F7ECD" w:rsidP="00A55F5A">
      <w:pPr>
        <w:spacing w:after="0" w:line="360" w:lineRule="auto"/>
        <w:jc w:val="both"/>
        <w:rPr>
          <w:rFonts w:ascii="Arial" w:hAnsi="Arial" w:cs="Arial"/>
          <w:i/>
          <w:sz w:val="24"/>
          <w:szCs w:val="24"/>
        </w:rPr>
      </w:pPr>
      <w:r w:rsidRPr="00A87E5D">
        <w:rPr>
          <w:rFonts w:ascii="Arial" w:hAnsi="Arial" w:cs="Arial"/>
          <w:i/>
          <w:sz w:val="24"/>
          <w:szCs w:val="24"/>
        </w:rPr>
        <w:t>Nivelación del Lote a Construir                M3  1.250</w:t>
      </w:r>
    </w:p>
    <w:p w:rsidR="001F7ECD" w:rsidRPr="00A87E5D" w:rsidRDefault="001F7ECD" w:rsidP="00A55F5A">
      <w:pPr>
        <w:spacing w:after="0" w:line="360" w:lineRule="auto"/>
        <w:jc w:val="both"/>
        <w:rPr>
          <w:rFonts w:ascii="Arial" w:hAnsi="Arial" w:cs="Arial"/>
          <w:i/>
          <w:sz w:val="24"/>
          <w:szCs w:val="24"/>
        </w:rPr>
      </w:pPr>
      <w:r w:rsidRPr="00A87E5D">
        <w:rPr>
          <w:rFonts w:ascii="Arial" w:hAnsi="Arial" w:cs="Arial"/>
          <w:i/>
          <w:sz w:val="24"/>
          <w:szCs w:val="24"/>
        </w:rPr>
        <w:t>Instalación de Redes de Acueducto     ML 92</w:t>
      </w:r>
    </w:p>
    <w:p w:rsidR="001F7ECD" w:rsidRPr="00A87E5D" w:rsidRDefault="001F7ECD" w:rsidP="00A55F5A">
      <w:pPr>
        <w:spacing w:after="0" w:line="360" w:lineRule="auto"/>
        <w:jc w:val="both"/>
        <w:rPr>
          <w:rFonts w:ascii="Arial" w:hAnsi="Arial" w:cs="Arial"/>
          <w:i/>
          <w:sz w:val="24"/>
          <w:szCs w:val="24"/>
        </w:rPr>
      </w:pPr>
      <w:r w:rsidRPr="00A87E5D">
        <w:rPr>
          <w:rFonts w:ascii="Arial" w:hAnsi="Arial" w:cs="Arial"/>
          <w:i/>
          <w:sz w:val="24"/>
          <w:szCs w:val="24"/>
        </w:rPr>
        <w:t>Instalación de Redes de Alcantarillado ML 155</w:t>
      </w:r>
    </w:p>
    <w:p w:rsidR="001F7ECD" w:rsidRPr="00A87E5D" w:rsidRDefault="001F7ECD" w:rsidP="00A55F5A">
      <w:pPr>
        <w:spacing w:after="0" w:line="360" w:lineRule="auto"/>
        <w:jc w:val="both"/>
        <w:rPr>
          <w:rFonts w:ascii="Arial" w:hAnsi="Arial" w:cs="Arial"/>
          <w:i/>
          <w:sz w:val="24"/>
          <w:szCs w:val="24"/>
        </w:rPr>
      </w:pPr>
    </w:p>
    <w:p w:rsidR="001F7ECD" w:rsidRPr="00A87E5D" w:rsidRDefault="001F7ECD" w:rsidP="00A55F5A">
      <w:pPr>
        <w:spacing w:after="0" w:line="360" w:lineRule="auto"/>
        <w:jc w:val="both"/>
        <w:rPr>
          <w:rFonts w:ascii="Arial" w:hAnsi="Arial" w:cs="Arial"/>
          <w:b/>
          <w:i/>
          <w:sz w:val="24"/>
          <w:szCs w:val="24"/>
        </w:rPr>
      </w:pPr>
      <w:r w:rsidRPr="00A87E5D">
        <w:rPr>
          <w:rFonts w:ascii="Arial" w:hAnsi="Arial" w:cs="Arial"/>
          <w:b/>
          <w:i/>
          <w:sz w:val="24"/>
          <w:szCs w:val="24"/>
        </w:rPr>
        <w:t>PARTICIPANTES: (…)</w:t>
      </w:r>
    </w:p>
    <w:p w:rsidR="001F7ECD" w:rsidRPr="00A87E5D" w:rsidRDefault="001F7ECD" w:rsidP="00A55F5A">
      <w:pPr>
        <w:spacing w:after="0" w:line="360" w:lineRule="auto"/>
        <w:jc w:val="both"/>
        <w:rPr>
          <w:rFonts w:ascii="Arial" w:hAnsi="Arial" w:cs="Arial"/>
          <w:b/>
          <w:i/>
          <w:sz w:val="24"/>
          <w:szCs w:val="24"/>
        </w:rPr>
      </w:pPr>
    </w:p>
    <w:p w:rsidR="001F7ECD" w:rsidRPr="00A87E5D" w:rsidRDefault="001F7ECD" w:rsidP="00A55F5A">
      <w:pPr>
        <w:spacing w:after="0" w:line="360" w:lineRule="auto"/>
        <w:jc w:val="both"/>
        <w:rPr>
          <w:rFonts w:ascii="Arial" w:hAnsi="Arial" w:cs="Arial"/>
          <w:b/>
          <w:i/>
          <w:sz w:val="24"/>
          <w:szCs w:val="24"/>
        </w:rPr>
      </w:pPr>
      <w:r w:rsidRPr="00A87E5D">
        <w:rPr>
          <w:rFonts w:ascii="Arial" w:hAnsi="Arial" w:cs="Arial"/>
          <w:b/>
          <w:i/>
          <w:sz w:val="24"/>
          <w:szCs w:val="24"/>
        </w:rPr>
        <w:t>FINANCIACIÓN: (…)</w:t>
      </w:r>
    </w:p>
    <w:p w:rsidR="001F7ECD" w:rsidRPr="00A87E5D" w:rsidRDefault="001F7ECD" w:rsidP="00A55F5A">
      <w:pPr>
        <w:spacing w:after="0" w:line="360" w:lineRule="auto"/>
        <w:jc w:val="both"/>
        <w:rPr>
          <w:rFonts w:ascii="Arial" w:hAnsi="Arial" w:cs="Arial"/>
          <w:b/>
          <w:i/>
          <w:sz w:val="24"/>
          <w:szCs w:val="24"/>
        </w:rPr>
      </w:pPr>
      <w:r w:rsidRPr="00A87E5D">
        <w:rPr>
          <w:rFonts w:ascii="Arial" w:hAnsi="Arial" w:cs="Arial"/>
          <w:b/>
          <w:i/>
          <w:sz w:val="24"/>
          <w:szCs w:val="24"/>
        </w:rPr>
        <w:t>FECHA DE APERTURA: Viernes 28 de marzo de 1994</w:t>
      </w:r>
    </w:p>
    <w:p w:rsidR="001F7ECD" w:rsidRPr="00A87E5D" w:rsidRDefault="001F7ECD" w:rsidP="00A55F5A">
      <w:pPr>
        <w:spacing w:after="0" w:line="360" w:lineRule="auto"/>
        <w:jc w:val="both"/>
        <w:rPr>
          <w:rFonts w:ascii="Arial" w:hAnsi="Arial" w:cs="Arial"/>
          <w:b/>
          <w:i/>
          <w:sz w:val="24"/>
          <w:szCs w:val="24"/>
        </w:rPr>
      </w:pPr>
      <w:r w:rsidRPr="00A87E5D">
        <w:rPr>
          <w:rFonts w:ascii="Arial" w:hAnsi="Arial" w:cs="Arial"/>
          <w:b/>
          <w:i/>
          <w:sz w:val="24"/>
          <w:szCs w:val="24"/>
        </w:rPr>
        <w:t>FECHA DE CIERRE: Abril 8 de 1994</w:t>
      </w:r>
    </w:p>
    <w:p w:rsidR="001F7ECD" w:rsidRPr="00A87E5D" w:rsidRDefault="001F7ECD" w:rsidP="00A55F5A">
      <w:pPr>
        <w:spacing w:after="0" w:line="360" w:lineRule="auto"/>
        <w:jc w:val="both"/>
        <w:rPr>
          <w:rFonts w:ascii="Arial" w:hAnsi="Arial" w:cs="Arial"/>
          <w:b/>
          <w:i/>
          <w:sz w:val="24"/>
          <w:szCs w:val="24"/>
        </w:rPr>
      </w:pPr>
    </w:p>
    <w:p w:rsidR="001F7ECD" w:rsidRPr="00A87E5D" w:rsidRDefault="001F7ECD" w:rsidP="00A55F5A">
      <w:pPr>
        <w:spacing w:after="0" w:line="360" w:lineRule="auto"/>
        <w:jc w:val="both"/>
        <w:rPr>
          <w:rFonts w:ascii="Arial" w:hAnsi="Arial" w:cs="Arial"/>
          <w:b/>
          <w:i/>
          <w:sz w:val="24"/>
          <w:szCs w:val="24"/>
        </w:rPr>
      </w:pPr>
      <w:r w:rsidRPr="00A87E5D">
        <w:rPr>
          <w:rFonts w:ascii="Arial" w:hAnsi="Arial" w:cs="Arial"/>
          <w:b/>
          <w:i/>
          <w:sz w:val="24"/>
          <w:szCs w:val="24"/>
        </w:rPr>
        <w:t>CONSULTA Y VENTA DE PLIEGOS: (…)</w:t>
      </w:r>
    </w:p>
    <w:p w:rsidR="001F7ECD" w:rsidRPr="00A87E5D" w:rsidRDefault="001F7ECD" w:rsidP="00A55F5A">
      <w:pPr>
        <w:spacing w:after="0" w:line="360" w:lineRule="auto"/>
        <w:jc w:val="both"/>
        <w:rPr>
          <w:rFonts w:ascii="Arial" w:hAnsi="Arial" w:cs="Arial"/>
          <w:b/>
          <w:i/>
          <w:sz w:val="24"/>
          <w:szCs w:val="24"/>
        </w:rPr>
      </w:pPr>
    </w:p>
    <w:p w:rsidR="001F7ECD" w:rsidRPr="00A87E5D" w:rsidRDefault="001F7ECD" w:rsidP="00A55F5A">
      <w:pPr>
        <w:spacing w:after="0" w:line="360" w:lineRule="auto"/>
        <w:jc w:val="both"/>
        <w:rPr>
          <w:rFonts w:ascii="Arial" w:hAnsi="Arial" w:cs="Arial"/>
          <w:b/>
          <w:i/>
          <w:sz w:val="24"/>
          <w:szCs w:val="24"/>
        </w:rPr>
      </w:pPr>
      <w:r w:rsidRPr="00A87E5D">
        <w:rPr>
          <w:rFonts w:ascii="Arial" w:hAnsi="Arial" w:cs="Arial"/>
          <w:b/>
          <w:i/>
          <w:sz w:val="24"/>
          <w:szCs w:val="24"/>
        </w:rPr>
        <w:t>GARANTÍA DE SERIEDAD DE LAS PROPUESTAS: (…)</w:t>
      </w:r>
    </w:p>
    <w:p w:rsidR="001F7ECD" w:rsidRPr="00A87E5D" w:rsidRDefault="001F7ECD" w:rsidP="00A55F5A">
      <w:pPr>
        <w:spacing w:after="0" w:line="360" w:lineRule="auto"/>
        <w:jc w:val="both"/>
        <w:rPr>
          <w:rFonts w:ascii="Arial" w:hAnsi="Arial" w:cs="Arial"/>
          <w:b/>
          <w:i/>
          <w:sz w:val="24"/>
          <w:szCs w:val="24"/>
        </w:rPr>
      </w:pPr>
    </w:p>
    <w:p w:rsidR="001F7ECD" w:rsidRPr="00A87E5D" w:rsidRDefault="001F7ECD" w:rsidP="00A55F5A">
      <w:pPr>
        <w:spacing w:after="0" w:line="360" w:lineRule="auto"/>
        <w:jc w:val="both"/>
        <w:rPr>
          <w:rFonts w:ascii="Arial" w:hAnsi="Arial" w:cs="Arial"/>
          <w:b/>
          <w:i/>
          <w:sz w:val="24"/>
          <w:szCs w:val="24"/>
        </w:rPr>
      </w:pPr>
      <w:r w:rsidRPr="00A87E5D">
        <w:rPr>
          <w:rFonts w:ascii="Arial" w:hAnsi="Arial" w:cs="Arial"/>
          <w:b/>
          <w:i/>
          <w:sz w:val="24"/>
          <w:szCs w:val="24"/>
        </w:rPr>
        <w:t>VISITA DEL (SIC) SITIO DE LA OBRA: Abril 5 de 1994</w:t>
      </w:r>
    </w:p>
    <w:p w:rsidR="001F7ECD" w:rsidRPr="00A87E5D" w:rsidRDefault="001F7ECD" w:rsidP="00A55F5A">
      <w:pPr>
        <w:spacing w:after="0" w:line="360" w:lineRule="auto"/>
        <w:jc w:val="both"/>
        <w:rPr>
          <w:rFonts w:ascii="Arial" w:hAnsi="Arial" w:cs="Arial"/>
          <w:b/>
          <w:i/>
          <w:sz w:val="24"/>
          <w:szCs w:val="24"/>
        </w:rPr>
      </w:pPr>
    </w:p>
    <w:p w:rsidR="001F7ECD" w:rsidRPr="00A87E5D" w:rsidRDefault="001F7ECD" w:rsidP="00A55F5A">
      <w:pPr>
        <w:spacing w:after="0" w:line="360" w:lineRule="auto"/>
        <w:jc w:val="both"/>
        <w:rPr>
          <w:rFonts w:ascii="Arial" w:hAnsi="Arial" w:cs="Arial"/>
          <w:b/>
          <w:i/>
          <w:sz w:val="24"/>
          <w:szCs w:val="24"/>
        </w:rPr>
      </w:pPr>
      <w:r w:rsidRPr="00A87E5D">
        <w:rPr>
          <w:rFonts w:ascii="Arial" w:hAnsi="Arial" w:cs="Arial"/>
          <w:b/>
          <w:i/>
          <w:sz w:val="24"/>
          <w:szCs w:val="24"/>
        </w:rPr>
        <w:t>SITIO DE REUNIÓN: Secretaría General de la Alcaldía de Bolívar Sder. Hora: 2:30 P.M.</w:t>
      </w:r>
    </w:p>
    <w:p w:rsidR="001F7ECD" w:rsidRPr="00A87E5D" w:rsidRDefault="001F7ECD" w:rsidP="00A55F5A">
      <w:pPr>
        <w:spacing w:after="0" w:line="360" w:lineRule="auto"/>
        <w:jc w:val="both"/>
        <w:rPr>
          <w:rFonts w:ascii="Arial" w:hAnsi="Arial" w:cs="Arial"/>
          <w:b/>
          <w:i/>
          <w:sz w:val="24"/>
          <w:szCs w:val="24"/>
        </w:rPr>
      </w:pPr>
    </w:p>
    <w:p w:rsidR="001F7ECD" w:rsidRPr="00A87E5D" w:rsidRDefault="001F7ECD" w:rsidP="00A55F5A">
      <w:pPr>
        <w:spacing w:after="0" w:line="360" w:lineRule="auto"/>
        <w:jc w:val="both"/>
        <w:rPr>
          <w:rFonts w:ascii="Arial" w:hAnsi="Arial" w:cs="Arial"/>
          <w:i/>
          <w:sz w:val="24"/>
          <w:szCs w:val="24"/>
        </w:rPr>
      </w:pPr>
      <w:r w:rsidRPr="00A87E5D">
        <w:rPr>
          <w:rFonts w:ascii="Arial" w:hAnsi="Arial" w:cs="Arial"/>
          <w:b/>
          <w:i/>
          <w:sz w:val="24"/>
          <w:szCs w:val="24"/>
        </w:rPr>
        <w:lastRenderedPageBreak/>
        <w:t xml:space="preserve">ENTREGA DE PROPUESTAS: </w:t>
      </w:r>
      <w:r w:rsidRPr="00A87E5D">
        <w:rPr>
          <w:rFonts w:ascii="Arial" w:hAnsi="Arial" w:cs="Arial"/>
          <w:i/>
          <w:sz w:val="24"/>
          <w:szCs w:val="24"/>
        </w:rPr>
        <w:t>Deberán ser depositadas hasta las 5:30 P.M. del 8 de Abril de 1994, en la urna ubicada en la Secretaría General de la Alcaldía Municipal de Bolívar.</w:t>
      </w:r>
    </w:p>
    <w:p w:rsidR="001F7ECD" w:rsidRPr="00A87E5D" w:rsidRDefault="001F7ECD" w:rsidP="00A55F5A">
      <w:pPr>
        <w:spacing w:after="0" w:line="360" w:lineRule="auto"/>
        <w:jc w:val="both"/>
        <w:rPr>
          <w:rFonts w:ascii="Arial" w:hAnsi="Arial" w:cs="Arial"/>
          <w:b/>
          <w:i/>
          <w:sz w:val="24"/>
          <w:szCs w:val="24"/>
        </w:rPr>
      </w:pPr>
    </w:p>
    <w:p w:rsidR="001F7ECD" w:rsidRPr="00A87E5D" w:rsidRDefault="001F7ECD" w:rsidP="00A55F5A">
      <w:pPr>
        <w:spacing w:after="0" w:line="360" w:lineRule="auto"/>
        <w:rPr>
          <w:rFonts w:ascii="Arial" w:hAnsi="Arial" w:cs="Arial"/>
          <w:sz w:val="24"/>
          <w:szCs w:val="24"/>
        </w:rPr>
      </w:pPr>
      <w:r w:rsidRPr="00A87E5D">
        <w:rPr>
          <w:rFonts w:ascii="Arial" w:hAnsi="Arial" w:cs="Arial"/>
          <w:b/>
          <w:i/>
          <w:sz w:val="24"/>
          <w:szCs w:val="24"/>
        </w:rPr>
        <w:t>REGLAS DE ADJUDICACIÓN DEL CONTRATO</w:t>
      </w:r>
    </w:p>
    <w:p w:rsidR="001F7ECD" w:rsidRPr="00A87E5D" w:rsidRDefault="001F7ECD" w:rsidP="00A55F5A">
      <w:pPr>
        <w:spacing w:after="0" w:line="360" w:lineRule="auto"/>
        <w:jc w:val="both"/>
        <w:rPr>
          <w:rFonts w:ascii="Arial" w:hAnsi="Arial" w:cs="Arial"/>
          <w:i/>
          <w:sz w:val="24"/>
          <w:szCs w:val="24"/>
        </w:rPr>
      </w:pPr>
    </w:p>
    <w:p w:rsidR="001F7ECD" w:rsidRPr="00A87E5D" w:rsidRDefault="001F7ECD" w:rsidP="00A55F5A">
      <w:pPr>
        <w:spacing w:after="0" w:line="360" w:lineRule="auto"/>
        <w:jc w:val="both"/>
        <w:rPr>
          <w:rFonts w:ascii="Arial" w:hAnsi="Arial" w:cs="Arial"/>
          <w:i/>
          <w:sz w:val="24"/>
          <w:szCs w:val="24"/>
        </w:rPr>
      </w:pPr>
      <w:r w:rsidRPr="00A87E5D">
        <w:rPr>
          <w:rFonts w:ascii="Arial" w:hAnsi="Arial" w:cs="Arial"/>
          <w:i/>
          <w:sz w:val="24"/>
          <w:szCs w:val="24"/>
        </w:rPr>
        <w:t xml:space="preserve">“La adjudicación se hará de acuerdo con la evaluación objetiva realizada conforme a los siguientes criterios: i). Cumplimientos en contratos anteriores, ii) Experiencia, iii) Organización y iv) Plazo y precios indicados en forma detallada y precisa en el pliego de condiciones”. </w:t>
      </w:r>
    </w:p>
    <w:p w:rsidR="001F7ECD" w:rsidRPr="00A87E5D" w:rsidRDefault="001F7ECD" w:rsidP="00A55F5A">
      <w:pPr>
        <w:spacing w:after="0" w:line="360" w:lineRule="auto"/>
        <w:jc w:val="both"/>
        <w:rPr>
          <w:rFonts w:ascii="Arial" w:hAnsi="Arial" w:cs="Arial"/>
          <w:i/>
          <w:sz w:val="24"/>
          <w:szCs w:val="24"/>
        </w:rPr>
      </w:pPr>
    </w:p>
    <w:p w:rsidR="001F7ECD" w:rsidRPr="00A87E5D" w:rsidRDefault="001F7ECD" w:rsidP="00A55F5A">
      <w:pPr>
        <w:spacing w:after="0" w:line="360" w:lineRule="auto"/>
        <w:jc w:val="both"/>
        <w:rPr>
          <w:rFonts w:ascii="Arial" w:hAnsi="Arial" w:cs="Arial"/>
          <w:i/>
          <w:sz w:val="24"/>
          <w:szCs w:val="24"/>
        </w:rPr>
      </w:pPr>
      <w:r w:rsidRPr="00A87E5D">
        <w:rPr>
          <w:rFonts w:ascii="Arial" w:hAnsi="Arial" w:cs="Arial"/>
          <w:sz w:val="24"/>
          <w:szCs w:val="24"/>
        </w:rPr>
        <w:t>2.3. Copia auténtica del “Pliego de Licitación. Especificaciones Técnicas de Construcción”. En dicho documento se hacen las especificaciones técnicas detalladas de la construcción, ítem por ítem., de los cuales transcribimos algunos de ellos. Así: “</w:t>
      </w:r>
      <w:r w:rsidRPr="00A87E5D">
        <w:rPr>
          <w:rFonts w:ascii="Arial" w:hAnsi="Arial" w:cs="Arial"/>
          <w:i/>
          <w:sz w:val="24"/>
          <w:szCs w:val="24"/>
        </w:rPr>
        <w:t>ITEM No 1 NIVELACIÓN DEL LOTE. 1.1. DESCRIPCIÓN: Este trabajo se refiere a la nivelación del Lote a urbanizar, en tal forma que facilite la construcción de las viviendas y la instalación de los servicios básicos necesarios.</w:t>
      </w:r>
    </w:p>
    <w:p w:rsidR="001F7ECD" w:rsidRPr="00A87E5D" w:rsidRDefault="001F7ECD" w:rsidP="00A55F5A">
      <w:pPr>
        <w:spacing w:after="0" w:line="360" w:lineRule="auto"/>
        <w:jc w:val="both"/>
        <w:rPr>
          <w:rFonts w:ascii="Arial" w:hAnsi="Arial" w:cs="Arial"/>
          <w:i/>
          <w:sz w:val="24"/>
          <w:szCs w:val="24"/>
        </w:rPr>
      </w:pPr>
    </w:p>
    <w:p w:rsidR="001F7ECD" w:rsidRPr="00A87E5D" w:rsidRDefault="001F7ECD" w:rsidP="00A55F5A">
      <w:pPr>
        <w:spacing w:after="0" w:line="360" w:lineRule="auto"/>
        <w:jc w:val="both"/>
        <w:rPr>
          <w:rFonts w:ascii="Arial" w:hAnsi="Arial" w:cs="Arial"/>
          <w:i/>
          <w:sz w:val="24"/>
          <w:szCs w:val="24"/>
        </w:rPr>
      </w:pPr>
      <w:r w:rsidRPr="00A87E5D">
        <w:rPr>
          <w:rFonts w:ascii="Arial" w:hAnsi="Arial" w:cs="Arial"/>
          <w:i/>
          <w:sz w:val="24"/>
          <w:szCs w:val="24"/>
        </w:rPr>
        <w:t xml:space="preserve">1.2. ESPECIFICACIONES: El contratista se responsabiliza por la consecución de la máquina (Bulldozer D-6) para realizar dicho trabajo y dirigir el mismo, hasta conseguir las curvas de nivel necesarias para la construcción, con base en los puntos, líneas y cotas suministradas en los planos. </w:t>
      </w:r>
    </w:p>
    <w:p w:rsidR="001F7ECD" w:rsidRPr="00A87E5D" w:rsidRDefault="001F7ECD" w:rsidP="00A55F5A">
      <w:pPr>
        <w:spacing w:after="0" w:line="360" w:lineRule="auto"/>
        <w:jc w:val="both"/>
        <w:rPr>
          <w:rFonts w:ascii="Arial" w:hAnsi="Arial" w:cs="Arial"/>
          <w:i/>
          <w:sz w:val="24"/>
          <w:szCs w:val="24"/>
        </w:rPr>
      </w:pPr>
    </w:p>
    <w:p w:rsidR="001F7ECD" w:rsidRPr="00A87E5D" w:rsidRDefault="001F7ECD" w:rsidP="00A55F5A">
      <w:pPr>
        <w:spacing w:after="0" w:line="360" w:lineRule="auto"/>
        <w:jc w:val="both"/>
        <w:rPr>
          <w:rFonts w:ascii="Arial" w:hAnsi="Arial" w:cs="Arial"/>
          <w:i/>
          <w:sz w:val="24"/>
          <w:szCs w:val="24"/>
        </w:rPr>
      </w:pPr>
      <w:r w:rsidRPr="00A87E5D">
        <w:rPr>
          <w:rFonts w:ascii="Arial" w:hAnsi="Arial" w:cs="Arial"/>
          <w:i/>
          <w:sz w:val="24"/>
          <w:szCs w:val="24"/>
        </w:rPr>
        <w:t>ITEM No 2 PRELIMINARES</w:t>
      </w:r>
    </w:p>
    <w:p w:rsidR="001F7ECD" w:rsidRPr="00A87E5D" w:rsidRDefault="001F7ECD" w:rsidP="00A55F5A">
      <w:pPr>
        <w:spacing w:after="0" w:line="360" w:lineRule="auto"/>
        <w:jc w:val="both"/>
        <w:rPr>
          <w:rFonts w:ascii="Arial" w:hAnsi="Arial" w:cs="Arial"/>
          <w:i/>
          <w:sz w:val="24"/>
          <w:szCs w:val="24"/>
        </w:rPr>
      </w:pPr>
    </w:p>
    <w:p w:rsidR="001F7ECD" w:rsidRDefault="001F7ECD" w:rsidP="00A55F5A">
      <w:pPr>
        <w:spacing w:after="0" w:line="360" w:lineRule="auto"/>
        <w:jc w:val="both"/>
        <w:rPr>
          <w:rFonts w:ascii="Arial" w:hAnsi="Arial" w:cs="Arial"/>
          <w:i/>
          <w:sz w:val="24"/>
          <w:szCs w:val="24"/>
        </w:rPr>
      </w:pPr>
      <w:r w:rsidRPr="00A87E5D">
        <w:rPr>
          <w:rFonts w:ascii="Arial" w:hAnsi="Arial" w:cs="Arial"/>
          <w:i/>
          <w:sz w:val="24"/>
          <w:szCs w:val="24"/>
        </w:rPr>
        <w:t>2.1. DESCRIPCIÓN: Se refiere este trabajo al replanteo de vías y andenes, loteo, trazado de ejes de las viviendas y excavaciones manuales.</w:t>
      </w:r>
    </w:p>
    <w:p w:rsidR="00A87E5D" w:rsidRPr="00A87E5D" w:rsidRDefault="00A87E5D" w:rsidP="00A55F5A">
      <w:pPr>
        <w:spacing w:after="0" w:line="360" w:lineRule="auto"/>
        <w:jc w:val="both"/>
        <w:rPr>
          <w:rFonts w:ascii="Arial" w:hAnsi="Arial" w:cs="Arial"/>
          <w:i/>
          <w:sz w:val="24"/>
          <w:szCs w:val="24"/>
        </w:rPr>
      </w:pPr>
    </w:p>
    <w:p w:rsidR="001F7ECD" w:rsidRPr="00A87E5D" w:rsidRDefault="001F7ECD" w:rsidP="00A55F5A">
      <w:pPr>
        <w:spacing w:after="0" w:line="360" w:lineRule="auto"/>
        <w:jc w:val="both"/>
        <w:rPr>
          <w:rFonts w:ascii="Arial" w:hAnsi="Arial" w:cs="Arial"/>
          <w:i/>
          <w:sz w:val="24"/>
          <w:szCs w:val="24"/>
        </w:rPr>
      </w:pPr>
      <w:r w:rsidRPr="00A87E5D">
        <w:rPr>
          <w:rFonts w:ascii="Arial" w:hAnsi="Arial" w:cs="Arial"/>
          <w:i/>
          <w:sz w:val="24"/>
          <w:szCs w:val="24"/>
        </w:rPr>
        <w:t xml:space="preserve">2.2. ESPECIFICACIONES: De acuerdo a los respectivos planos de diseño suministrados se debe replantear en el terreno las áreas de vías peatonales y vehiculares, zonas de recreación, áreas de constitución de las vías, división de cada lota en particular, trazado de los ejes para construcción y excavaciones para cimentaciones. </w:t>
      </w:r>
    </w:p>
    <w:p w:rsidR="001F7ECD" w:rsidRPr="00A87E5D" w:rsidRDefault="001F7ECD" w:rsidP="00A55F5A">
      <w:pPr>
        <w:spacing w:after="0" w:line="360" w:lineRule="auto"/>
        <w:jc w:val="both"/>
        <w:rPr>
          <w:rFonts w:ascii="Arial" w:hAnsi="Arial" w:cs="Arial"/>
          <w:i/>
          <w:sz w:val="24"/>
          <w:szCs w:val="24"/>
        </w:rPr>
      </w:pPr>
    </w:p>
    <w:p w:rsidR="001F7ECD" w:rsidRPr="00A87E5D" w:rsidRDefault="001F7ECD" w:rsidP="00A55F5A">
      <w:pPr>
        <w:spacing w:after="0" w:line="360" w:lineRule="auto"/>
        <w:jc w:val="both"/>
        <w:rPr>
          <w:rFonts w:ascii="Arial" w:hAnsi="Arial" w:cs="Arial"/>
          <w:i/>
          <w:sz w:val="24"/>
          <w:szCs w:val="24"/>
        </w:rPr>
      </w:pPr>
      <w:r w:rsidRPr="00A87E5D">
        <w:rPr>
          <w:rFonts w:ascii="Arial" w:hAnsi="Arial" w:cs="Arial"/>
          <w:i/>
          <w:sz w:val="24"/>
          <w:szCs w:val="24"/>
        </w:rPr>
        <w:t>“ITEM No 3 REDES DE ACUEDUCTO.</w:t>
      </w:r>
    </w:p>
    <w:p w:rsidR="001F7ECD" w:rsidRPr="00A87E5D" w:rsidRDefault="001F7ECD" w:rsidP="00A55F5A">
      <w:pPr>
        <w:spacing w:after="0" w:line="360" w:lineRule="auto"/>
        <w:jc w:val="both"/>
        <w:rPr>
          <w:rFonts w:ascii="Arial" w:hAnsi="Arial" w:cs="Arial"/>
          <w:i/>
          <w:sz w:val="24"/>
          <w:szCs w:val="24"/>
        </w:rPr>
      </w:pPr>
      <w:r w:rsidRPr="00A87E5D">
        <w:rPr>
          <w:rFonts w:ascii="Arial" w:hAnsi="Arial" w:cs="Arial"/>
          <w:i/>
          <w:sz w:val="24"/>
          <w:szCs w:val="24"/>
        </w:rPr>
        <w:t>3.1. DESCRIPCIÓN</w:t>
      </w: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i/>
          <w:sz w:val="24"/>
          <w:szCs w:val="24"/>
        </w:rPr>
        <w:lastRenderedPageBreak/>
        <w:t>(…)”</w:t>
      </w:r>
      <w:r w:rsidRPr="00A87E5D">
        <w:rPr>
          <w:rStyle w:val="Refdenotaalpie"/>
          <w:rFonts w:ascii="Arial" w:hAnsi="Arial" w:cs="Arial"/>
          <w:sz w:val="24"/>
          <w:szCs w:val="24"/>
        </w:rPr>
        <w:footnoteReference w:id="13"/>
      </w:r>
      <w:r w:rsidRPr="00A87E5D">
        <w:rPr>
          <w:rFonts w:ascii="Arial" w:hAnsi="Arial" w:cs="Arial"/>
          <w:i/>
          <w:sz w:val="24"/>
          <w:szCs w:val="24"/>
        </w:rPr>
        <w:t xml:space="preserve">                                       </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2.4. Copia Auténtica del Acta No 002 de 1994 de fecha 8 de abril, en donde consta la reunión celebrada por el Alcalde Municipal, el Secretario de Planeación Municipal, el Jefe de Obras Públicas, el Secretario del Concejo Municipal y el Secretario General de la Alcaldía, “con el fin de analizar y verificar el cumplimiento legal de la Licitación 01 de marzo de 1994, y  prolongación de plazos de venta de pliegos y presentación de propuestas para lo cual se analizó lo siguiente:</w:t>
      </w:r>
    </w:p>
    <w:p w:rsidR="001F7ECD" w:rsidRPr="00A87E5D" w:rsidRDefault="001F7ECD" w:rsidP="00A55F5A">
      <w:pPr>
        <w:spacing w:after="0" w:line="360" w:lineRule="auto"/>
        <w:jc w:val="both"/>
        <w:rPr>
          <w:rFonts w:ascii="Arial" w:hAnsi="Arial" w:cs="Arial"/>
          <w:i/>
          <w:sz w:val="24"/>
          <w:szCs w:val="24"/>
        </w:rPr>
      </w:pPr>
    </w:p>
    <w:p w:rsidR="001F7ECD" w:rsidRPr="00A87E5D" w:rsidRDefault="001F7ECD" w:rsidP="00A55F5A">
      <w:pPr>
        <w:spacing w:after="0" w:line="360" w:lineRule="auto"/>
        <w:jc w:val="both"/>
        <w:rPr>
          <w:rFonts w:ascii="Arial" w:hAnsi="Arial" w:cs="Arial"/>
          <w:i/>
          <w:sz w:val="24"/>
          <w:szCs w:val="24"/>
        </w:rPr>
      </w:pPr>
      <w:r w:rsidRPr="00A87E5D">
        <w:rPr>
          <w:rFonts w:ascii="Arial" w:hAnsi="Arial" w:cs="Arial"/>
          <w:i/>
          <w:sz w:val="24"/>
          <w:szCs w:val="24"/>
        </w:rPr>
        <w:t>1.- Que la Convocatoria fue publicada en cartelera el día 28 de marzo de 1994, hasta el día 8 de abril del mismo año, siendo publicado por alto parlante todos los días, incluyendo el día de mercado correspondiente al 30 de marzo del presente año, observando que se le dio cumplimiento a los parámetros legales contemplados en la Ley 80.</w:t>
      </w:r>
    </w:p>
    <w:p w:rsidR="001F7ECD" w:rsidRPr="00A87E5D" w:rsidRDefault="001F7ECD" w:rsidP="00A55F5A">
      <w:pPr>
        <w:spacing w:after="0" w:line="360" w:lineRule="auto"/>
        <w:jc w:val="both"/>
        <w:rPr>
          <w:rFonts w:ascii="Arial" w:hAnsi="Arial" w:cs="Arial"/>
          <w:i/>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i/>
          <w:sz w:val="24"/>
          <w:szCs w:val="24"/>
        </w:rPr>
        <w:t>2. Hasta hoy 8 de abril de 1994, se venció el plazo para presentación de propuestas  teniendo en cuenta como inconveniente que no se presentó ninguna propuesta, se hace necesario ampliar los plazos de venta de pliegos y presentación de propuestas, máximo hasta la mitad de los inicialmente fijados…El plazo para entrega de propuestas hasta el día 13 de abril de 1994 a las 5:00 P.M. (…)”</w:t>
      </w:r>
      <w:r w:rsidRPr="00A87E5D">
        <w:rPr>
          <w:rStyle w:val="Refdenotaalpie"/>
          <w:rFonts w:ascii="Arial" w:hAnsi="Arial" w:cs="Arial"/>
          <w:i/>
          <w:sz w:val="24"/>
          <w:szCs w:val="24"/>
        </w:rPr>
        <w:footnoteReference w:id="14"/>
      </w:r>
      <w:r w:rsidRPr="00A87E5D">
        <w:rPr>
          <w:rFonts w:ascii="Arial" w:hAnsi="Arial" w:cs="Arial"/>
          <w:i/>
          <w:sz w:val="24"/>
          <w:szCs w:val="24"/>
        </w:rPr>
        <w:t>.</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2.5. Copia Auténtica del Acta No 003 de abril 13 de 1994, en donde consta la reunión celebrada por el Alcalde Municipal, el Secretario de Planeación Municipal, y el Secretario General de la Alcaldía, “para dar por terminado el plazo de entrega de propuestas para la licitación 01 de marzo de 1994.</w:t>
      </w:r>
    </w:p>
    <w:p w:rsidR="001F7ECD" w:rsidRPr="00A87E5D" w:rsidRDefault="001F7ECD" w:rsidP="00A55F5A">
      <w:pPr>
        <w:spacing w:after="0" w:line="360" w:lineRule="auto"/>
        <w:jc w:val="both"/>
        <w:rPr>
          <w:rFonts w:ascii="Arial" w:hAnsi="Arial" w:cs="Arial"/>
          <w:i/>
          <w:sz w:val="24"/>
          <w:szCs w:val="24"/>
        </w:rPr>
      </w:pPr>
      <w:r w:rsidRPr="00A87E5D">
        <w:rPr>
          <w:rFonts w:ascii="Arial" w:hAnsi="Arial" w:cs="Arial"/>
          <w:i/>
          <w:sz w:val="24"/>
          <w:szCs w:val="24"/>
        </w:rPr>
        <w:t>“Habiéndose vencido el plazo se recibieron dos propuestas correspondientes a la firma INGEAC LTDA y ABELARDO ZABALA OTERO, se determinó que las fechas para el estudio, calificación y comunicación de los resultados son así:</w:t>
      </w:r>
    </w:p>
    <w:p w:rsidR="001F7ECD" w:rsidRPr="00A87E5D" w:rsidRDefault="001F7ECD" w:rsidP="00A55F5A">
      <w:pPr>
        <w:spacing w:after="0" w:line="360" w:lineRule="auto"/>
        <w:jc w:val="both"/>
        <w:rPr>
          <w:rFonts w:ascii="Arial" w:hAnsi="Arial" w:cs="Arial"/>
          <w:i/>
          <w:sz w:val="24"/>
          <w:szCs w:val="24"/>
        </w:rPr>
      </w:pPr>
    </w:p>
    <w:p w:rsidR="001F7ECD" w:rsidRPr="00A87E5D" w:rsidRDefault="001F7ECD" w:rsidP="00A55F5A">
      <w:pPr>
        <w:spacing w:after="0" w:line="360" w:lineRule="auto"/>
        <w:jc w:val="both"/>
        <w:rPr>
          <w:rFonts w:ascii="Arial" w:hAnsi="Arial" w:cs="Arial"/>
          <w:i/>
          <w:sz w:val="24"/>
          <w:szCs w:val="24"/>
        </w:rPr>
      </w:pPr>
      <w:r w:rsidRPr="00A87E5D">
        <w:rPr>
          <w:rFonts w:ascii="Arial" w:hAnsi="Arial" w:cs="Arial"/>
          <w:i/>
          <w:sz w:val="24"/>
          <w:szCs w:val="24"/>
        </w:rPr>
        <w:t>Dentro de los siguientes 8 días hábiles el (sic) se efectuará el estudio, calificación y los resultados se comunicarán a los interesados entre el 14 y 25 de abril de 1994.</w:t>
      </w:r>
    </w:p>
    <w:p w:rsidR="001F7ECD" w:rsidRPr="00A87E5D" w:rsidRDefault="001F7ECD" w:rsidP="00A55F5A">
      <w:pPr>
        <w:spacing w:after="0" w:line="360" w:lineRule="auto"/>
        <w:jc w:val="both"/>
        <w:rPr>
          <w:rFonts w:ascii="Arial" w:hAnsi="Arial" w:cs="Arial"/>
          <w:i/>
          <w:sz w:val="24"/>
          <w:szCs w:val="24"/>
        </w:rPr>
      </w:pPr>
      <w:r w:rsidRPr="00A87E5D">
        <w:rPr>
          <w:rFonts w:ascii="Arial" w:hAnsi="Arial" w:cs="Arial"/>
          <w:i/>
          <w:sz w:val="24"/>
          <w:szCs w:val="24"/>
        </w:rPr>
        <w:t>Vencido este plazo se efectuará la firma del contrato con el proponente favorecido, dentro de los 5 días hábiles siguientes al envío de comunicación del resultado.</w:t>
      </w: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i/>
          <w:sz w:val="24"/>
          <w:szCs w:val="24"/>
        </w:rPr>
        <w:t>“(…)”.</w:t>
      </w:r>
      <w:r w:rsidRPr="00A87E5D">
        <w:rPr>
          <w:rStyle w:val="Refdenotaalpie"/>
          <w:rFonts w:ascii="Arial" w:hAnsi="Arial" w:cs="Arial"/>
          <w:i/>
          <w:sz w:val="24"/>
          <w:szCs w:val="24"/>
        </w:rPr>
        <w:footnoteReference w:id="15"/>
      </w:r>
      <w:r w:rsidRPr="00A87E5D">
        <w:rPr>
          <w:rFonts w:ascii="Arial" w:hAnsi="Arial" w:cs="Arial"/>
          <w:i/>
          <w:sz w:val="24"/>
          <w:szCs w:val="24"/>
        </w:rPr>
        <w:t xml:space="preserve"> </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lastRenderedPageBreak/>
        <w:t>Es decir, que a la licitación concurrieron dos (2) proponentes: i). La Sociedad Ingeac Ltda., quien presentó su propuesta el 12 de abril de 1994</w:t>
      </w:r>
      <w:r w:rsidRPr="00A87E5D">
        <w:rPr>
          <w:rStyle w:val="Refdenotaalpie"/>
          <w:rFonts w:ascii="Arial" w:hAnsi="Arial" w:cs="Arial"/>
          <w:sz w:val="24"/>
          <w:szCs w:val="24"/>
        </w:rPr>
        <w:footnoteReference w:id="16"/>
      </w:r>
      <w:r w:rsidRPr="00A87E5D">
        <w:rPr>
          <w:rFonts w:ascii="Arial" w:hAnsi="Arial" w:cs="Arial"/>
          <w:sz w:val="24"/>
          <w:szCs w:val="24"/>
        </w:rPr>
        <w:t xml:space="preserve"> y ii) el Ingeniero Abelardo Zabala Otero, quien formuló su propuesta el 13 de abril del mismo año</w:t>
      </w:r>
      <w:r w:rsidRPr="00A87E5D">
        <w:rPr>
          <w:rStyle w:val="Refdenotaalpie"/>
          <w:rFonts w:ascii="Arial" w:hAnsi="Arial" w:cs="Arial"/>
          <w:sz w:val="24"/>
          <w:szCs w:val="24"/>
        </w:rPr>
        <w:footnoteReference w:id="17"/>
      </w:r>
      <w:r w:rsidRPr="00A87E5D">
        <w:rPr>
          <w:rFonts w:ascii="Arial" w:hAnsi="Arial" w:cs="Arial"/>
          <w:sz w:val="24"/>
          <w:szCs w:val="24"/>
        </w:rPr>
        <w:t xml:space="preserve">. </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 xml:space="preserve">2.6. Copia auténtica de la Resolución No 045 del 25 de abril de 1994, expedida por el Alcalde Municipal de Bolívar Santander, a través de la cual “se realiza la Adjudicación de la licitación pública No 01 de 1994, para la construcción de catorce (14) Viviendas de Interés Social en el casco urbano de este municipio”, en la que se lee: </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center"/>
        <w:rPr>
          <w:rFonts w:ascii="Arial" w:hAnsi="Arial" w:cs="Arial"/>
          <w:b/>
          <w:sz w:val="24"/>
          <w:szCs w:val="24"/>
        </w:rPr>
      </w:pPr>
      <w:r w:rsidRPr="00A87E5D">
        <w:rPr>
          <w:rFonts w:ascii="Arial" w:hAnsi="Arial" w:cs="Arial"/>
          <w:b/>
          <w:sz w:val="24"/>
          <w:szCs w:val="24"/>
        </w:rPr>
        <w:t>“RESOLUCIÓN NÚMERO 045 DE ABRIL 25 DE 1994”</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Por medio del cual se realiza la Adjudicación de la Licitación Pública Número 01 de 1994, para la Construcción de catorce (14) Viviendas de Interés Social.</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“El suscrito Alcalde Municipal de Bolívar Santander, en uso de sus facultades y legales y,</w:t>
      </w:r>
    </w:p>
    <w:p w:rsidR="001F7ECD" w:rsidRPr="00A87E5D" w:rsidRDefault="001F7ECD" w:rsidP="00A55F5A">
      <w:pPr>
        <w:spacing w:after="0"/>
        <w:jc w:val="both"/>
        <w:rPr>
          <w:rFonts w:ascii="Arial" w:hAnsi="Arial" w:cs="Arial"/>
          <w:sz w:val="24"/>
          <w:szCs w:val="24"/>
        </w:rPr>
      </w:pPr>
    </w:p>
    <w:p w:rsidR="001F7ECD" w:rsidRPr="00A87E5D" w:rsidRDefault="001F7ECD" w:rsidP="00A55F5A">
      <w:pPr>
        <w:tabs>
          <w:tab w:val="center" w:pos="4136"/>
          <w:tab w:val="left" w:pos="5595"/>
        </w:tabs>
        <w:spacing w:after="0"/>
        <w:rPr>
          <w:rFonts w:ascii="Arial" w:hAnsi="Arial" w:cs="Arial"/>
          <w:b/>
          <w:sz w:val="24"/>
          <w:szCs w:val="24"/>
        </w:rPr>
      </w:pPr>
      <w:r w:rsidRPr="00A87E5D">
        <w:rPr>
          <w:rFonts w:ascii="Arial" w:hAnsi="Arial" w:cs="Arial"/>
          <w:b/>
          <w:sz w:val="24"/>
          <w:szCs w:val="24"/>
        </w:rPr>
        <w:tab/>
        <w:t>CONSIDERANDO:</w:t>
      </w:r>
      <w:r w:rsidRPr="00A87E5D">
        <w:rPr>
          <w:rFonts w:ascii="Arial" w:hAnsi="Arial" w:cs="Arial"/>
          <w:b/>
          <w:sz w:val="24"/>
          <w:szCs w:val="24"/>
        </w:rPr>
        <w:tab/>
      </w:r>
    </w:p>
    <w:p w:rsidR="001F7ECD" w:rsidRPr="00A87E5D" w:rsidRDefault="001F7ECD" w:rsidP="00A55F5A">
      <w:pPr>
        <w:spacing w:after="0"/>
        <w:jc w:val="both"/>
        <w:rPr>
          <w:rFonts w:ascii="Arial" w:hAnsi="Arial" w:cs="Arial"/>
          <w:sz w:val="24"/>
          <w:szCs w:val="24"/>
        </w:rPr>
      </w:pPr>
    </w:p>
    <w:p w:rsidR="001F7ECD" w:rsidRDefault="001F7ECD" w:rsidP="00A55F5A">
      <w:pPr>
        <w:spacing w:after="0" w:line="360" w:lineRule="auto"/>
        <w:jc w:val="both"/>
        <w:rPr>
          <w:rFonts w:ascii="Arial" w:hAnsi="Arial" w:cs="Arial"/>
          <w:sz w:val="24"/>
          <w:szCs w:val="24"/>
        </w:rPr>
      </w:pPr>
      <w:r w:rsidRPr="00A87E5D">
        <w:rPr>
          <w:rFonts w:ascii="Arial" w:hAnsi="Arial" w:cs="Arial"/>
          <w:sz w:val="24"/>
          <w:szCs w:val="24"/>
        </w:rPr>
        <w:t>“(…) a.- Que el día veintiocho (28) de marzo de 1994, se inició el proceso de licitación pública para la construcción del Proyecto de Vivienda de Interés Social, el cual fue ampliado de acuerdo a los términos de ley, lapso en el cual se recibieron dos (2) propuestas de las firmas Ingeac Ltda., y Abelardo Zabala Otero.</w:t>
      </w:r>
    </w:p>
    <w:p w:rsidR="00A87E5D" w:rsidRPr="00A87E5D" w:rsidRDefault="00A87E5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b).- Que se hizo un estudio detallado de las propuestas donde se analizó: el precio, plazo, organización, experiencia y cumplimiento en contratos anteriores,</w:t>
      </w:r>
    </w:p>
    <w:p w:rsidR="001F7ECD" w:rsidRPr="00A87E5D" w:rsidRDefault="001F7ECD" w:rsidP="00A55F5A">
      <w:pPr>
        <w:spacing w:after="0"/>
        <w:jc w:val="center"/>
        <w:rPr>
          <w:rFonts w:ascii="Arial" w:hAnsi="Arial" w:cs="Arial"/>
          <w:b/>
          <w:sz w:val="24"/>
          <w:szCs w:val="24"/>
        </w:rPr>
      </w:pPr>
      <w:r w:rsidRPr="00A87E5D">
        <w:rPr>
          <w:rFonts w:ascii="Arial" w:hAnsi="Arial" w:cs="Arial"/>
          <w:b/>
          <w:sz w:val="24"/>
          <w:szCs w:val="24"/>
        </w:rPr>
        <w:t>RESUELVE:</w:t>
      </w:r>
    </w:p>
    <w:p w:rsidR="001F7ECD" w:rsidRPr="00A87E5D" w:rsidRDefault="001F7ECD" w:rsidP="00A55F5A">
      <w:pPr>
        <w:spacing w:after="0"/>
        <w:jc w:val="both"/>
        <w:rPr>
          <w:rFonts w:ascii="Arial" w:hAnsi="Arial" w:cs="Arial"/>
          <w:b/>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b/>
          <w:sz w:val="24"/>
          <w:szCs w:val="24"/>
        </w:rPr>
        <w:t>“ARTÍCULO PRIMERO:</w:t>
      </w:r>
      <w:r w:rsidRPr="00A87E5D">
        <w:rPr>
          <w:rFonts w:ascii="Arial" w:hAnsi="Arial" w:cs="Arial"/>
          <w:sz w:val="24"/>
          <w:szCs w:val="24"/>
        </w:rPr>
        <w:t xml:space="preserve"> Adjudicase el Contrato de Obras Públicas para la Construcción de Catorce (14) Viviendas de Interés Social a la firma Ingeac Ltda.,…por ajustarse a los principios de transparencia, economía y selección objetiva de acuerdo con la ley 80 de 1993 y por ser la propuesta más acorde a las necesidades y capacidad económica de la Población.. </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b/>
          <w:sz w:val="24"/>
          <w:szCs w:val="24"/>
        </w:rPr>
        <w:lastRenderedPageBreak/>
        <w:t>“ARTÍCULO SEGUNDO:</w:t>
      </w:r>
      <w:r w:rsidRPr="00A87E5D">
        <w:rPr>
          <w:rFonts w:ascii="Arial" w:hAnsi="Arial" w:cs="Arial"/>
          <w:sz w:val="24"/>
          <w:szCs w:val="24"/>
        </w:rPr>
        <w:t xml:space="preserve"> La firma del contrato se realizará dentro de los cinco (5) días hábiles siguientes a la fecha.</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jc w:val="both"/>
        <w:rPr>
          <w:rFonts w:ascii="Arial" w:hAnsi="Arial" w:cs="Arial"/>
          <w:b/>
          <w:sz w:val="24"/>
          <w:szCs w:val="24"/>
        </w:rPr>
      </w:pPr>
      <w:r w:rsidRPr="00A87E5D">
        <w:rPr>
          <w:rFonts w:ascii="Arial" w:hAnsi="Arial" w:cs="Arial"/>
          <w:b/>
          <w:sz w:val="24"/>
          <w:szCs w:val="24"/>
        </w:rPr>
        <w:t>Comuníquese y Cúmplase.</w:t>
      </w:r>
      <w:r w:rsidRPr="00A87E5D">
        <w:rPr>
          <w:rStyle w:val="Refdenotaalpie"/>
          <w:rFonts w:ascii="Arial" w:hAnsi="Arial" w:cs="Arial"/>
          <w:b/>
          <w:sz w:val="24"/>
          <w:szCs w:val="24"/>
        </w:rPr>
        <w:footnoteReference w:id="18"/>
      </w:r>
      <w:r w:rsidRPr="00A87E5D">
        <w:rPr>
          <w:rFonts w:ascii="Arial" w:hAnsi="Arial" w:cs="Arial"/>
          <w:b/>
          <w:sz w:val="24"/>
          <w:szCs w:val="24"/>
        </w:rPr>
        <w:t>”</w:t>
      </w:r>
    </w:p>
    <w:p w:rsidR="001F7ECD" w:rsidRPr="00A87E5D" w:rsidRDefault="001F7ECD" w:rsidP="00A55F5A">
      <w:pPr>
        <w:spacing w:after="0"/>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 xml:space="preserve">2.7. A folio 134 y 135 del cuaderno principal, reposa sendas copias auténticas del oficio No 235 y comunicación fechadas el 26 de abril de 1994, suscrito por el Alcalde Municipal, Darío Arnaldo Vásquez Rocha y dirigido al señor Abelardo Zabala Otero y a la sociedad Ingeac Ltda.,  en donde se les notifica que </w:t>
      </w:r>
      <w:r w:rsidRPr="00A87E5D">
        <w:rPr>
          <w:rFonts w:ascii="Arial" w:hAnsi="Arial" w:cs="Arial"/>
          <w:i/>
          <w:sz w:val="24"/>
          <w:szCs w:val="24"/>
        </w:rPr>
        <w:t xml:space="preserve">“(…) De acuerdo a los principios de transparencia, economía y selección objetiva, contemplada en la Ley 80 de 1993, se le adjudicó el contrato de obra pública a la firma INGEAC LTDA., por ser la propuesta más acorde a las necesidades y capacidad económica del Municipio. C). El plazo para la firma del Contrato, se vence el dos (2) de mayo de 1994 (…)”. </w:t>
      </w:r>
      <w:r w:rsidRPr="00A87E5D">
        <w:rPr>
          <w:rFonts w:ascii="Arial" w:hAnsi="Arial" w:cs="Arial"/>
          <w:sz w:val="24"/>
          <w:szCs w:val="24"/>
        </w:rPr>
        <w:t xml:space="preserve"> </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 xml:space="preserve">2.8. A folios 140 a 142 ibídem, aparece el contrato de obra pública suscrito entre el municipio de Bolívar Santander y la firma INGEC LTDA., adjudicado a través de la licitación pública a que se hizo referencia en el numeral 2.3. </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b/>
          <w:sz w:val="24"/>
          <w:szCs w:val="24"/>
        </w:rPr>
        <w:t>3</w:t>
      </w:r>
      <w:r w:rsidRPr="00A87E5D">
        <w:rPr>
          <w:rFonts w:ascii="Arial" w:hAnsi="Arial" w:cs="Arial"/>
          <w:b/>
          <w:bCs/>
          <w:sz w:val="24"/>
          <w:szCs w:val="24"/>
        </w:rPr>
        <w:t>. Problema jurídico</w:t>
      </w:r>
    </w:p>
    <w:p w:rsidR="001F7ECD" w:rsidRDefault="001F7ECD" w:rsidP="00A55F5A">
      <w:pPr>
        <w:pStyle w:val="NormalWeb"/>
        <w:spacing w:before="0" w:beforeAutospacing="0" w:after="0" w:afterAutospacing="0" w:line="360" w:lineRule="auto"/>
        <w:jc w:val="both"/>
        <w:rPr>
          <w:rFonts w:ascii="Arial" w:hAnsi="Arial" w:cs="Arial"/>
        </w:rPr>
      </w:pPr>
      <w:r w:rsidRPr="00A87E5D">
        <w:rPr>
          <w:rFonts w:ascii="Arial" w:hAnsi="Arial" w:cs="Arial"/>
        </w:rPr>
        <w:t>¿La adjudicación del contrato a la firma INGEAC LTDA., vulneró la normatividad pertinente que hubiera permitido al ingeniero Abelardo Zabala Otero ser el adjudicatario del contrato?</w:t>
      </w:r>
    </w:p>
    <w:p w:rsidR="00A87E5D" w:rsidRPr="00A87E5D" w:rsidRDefault="00A87E5D" w:rsidP="00A55F5A">
      <w:pPr>
        <w:pStyle w:val="NormalWeb"/>
        <w:spacing w:before="0" w:beforeAutospacing="0" w:after="0" w:afterAutospacing="0" w:line="360" w:lineRule="auto"/>
        <w:jc w:val="both"/>
        <w:rPr>
          <w:rFonts w:ascii="Arial" w:hAnsi="Arial" w:cs="Arial"/>
        </w:rPr>
      </w:pPr>
    </w:p>
    <w:p w:rsidR="001F7ECD" w:rsidRPr="00A87E5D" w:rsidRDefault="001F7ECD" w:rsidP="00A55F5A">
      <w:pPr>
        <w:pStyle w:val="NormalWeb"/>
        <w:spacing w:before="0" w:beforeAutospacing="0" w:after="0" w:afterAutospacing="0" w:line="360" w:lineRule="auto"/>
        <w:jc w:val="both"/>
        <w:rPr>
          <w:rFonts w:ascii="Arial" w:hAnsi="Arial" w:cs="Arial"/>
        </w:rPr>
      </w:pPr>
      <w:r w:rsidRPr="00A87E5D">
        <w:rPr>
          <w:rFonts w:ascii="Arial" w:hAnsi="Arial" w:cs="Arial"/>
        </w:rPr>
        <w:t>La violación de los artículos 192 y 243 del Código Fiscal de Santander; además que el actor Zabala Otero, “presentó la mejor y  más conveniente propuesta en el concurso de la licitación No 01 de 1994”, que la presentada por el oferente a quien finalmente se adjudicó el contrato, constituyen los argumentos principales del actor para impugnar el acto de adjudicación.</w:t>
      </w:r>
    </w:p>
    <w:p w:rsidR="001F7ECD" w:rsidRPr="00A87E5D" w:rsidRDefault="001F7ECD" w:rsidP="00A55F5A">
      <w:pPr>
        <w:pStyle w:val="BodyText22"/>
        <w:ind w:firstLine="0"/>
        <w:rPr>
          <w:rFonts w:ascii="Arial" w:hAnsi="Arial" w:cs="Arial"/>
          <w:sz w:val="24"/>
          <w:szCs w:val="24"/>
        </w:rPr>
      </w:pPr>
      <w:r w:rsidRPr="00A87E5D">
        <w:rPr>
          <w:rFonts w:ascii="Arial" w:hAnsi="Arial" w:cs="Arial"/>
          <w:sz w:val="24"/>
          <w:szCs w:val="24"/>
        </w:rPr>
        <w:t xml:space="preserve">Sin embargo considera la Sala que, no le asiste razón al actor, porque del material probatorio traído al proceso se concluye que, tanto el proceso de licitación pública No 01 de abril 25 de 1994, como el contrato de obra pública adjudicado – 2 de mayo de 1994- fueron celebrados en el año de 1994, cuando ya estaba vigente la Ley 80 de 28 de octubre de 1993, Estatuto General de Contratación de la Administración, por lo que su régimen jurídico sustancial se regía en su integridad por la citada normatividad, en aplicación del principio de que los contratos se rigen por las </w:t>
      </w:r>
      <w:r w:rsidRPr="00A87E5D">
        <w:rPr>
          <w:rFonts w:ascii="Arial" w:hAnsi="Arial" w:cs="Arial"/>
          <w:sz w:val="24"/>
          <w:szCs w:val="24"/>
        </w:rPr>
        <w:lastRenderedPageBreak/>
        <w:t>normas vigentes al tiempo de su celebración</w:t>
      </w:r>
      <w:r w:rsidRPr="00A87E5D">
        <w:rPr>
          <w:rStyle w:val="Refdenotaalpie"/>
          <w:rFonts w:ascii="Arial" w:hAnsi="Arial" w:cs="Arial"/>
          <w:sz w:val="24"/>
          <w:szCs w:val="24"/>
        </w:rPr>
        <w:footnoteReference w:id="19"/>
      </w:r>
      <w:r w:rsidRPr="00A87E5D">
        <w:rPr>
          <w:rFonts w:ascii="Arial" w:hAnsi="Arial" w:cs="Arial"/>
          <w:sz w:val="24"/>
          <w:szCs w:val="24"/>
        </w:rPr>
        <w:t>, de conformidad con la regla establecida en el artículo 38 de la Ley 153 de 1887, que respetó el artículo 78 de la ley 80.</w:t>
      </w:r>
      <w:r w:rsidRPr="00A87E5D">
        <w:rPr>
          <w:rStyle w:val="Refdenotaalpie"/>
          <w:rFonts w:ascii="Arial" w:hAnsi="Arial" w:cs="Arial"/>
          <w:sz w:val="24"/>
          <w:szCs w:val="24"/>
        </w:rPr>
        <w:footnoteReference w:id="20"/>
      </w:r>
    </w:p>
    <w:p w:rsidR="001F7ECD" w:rsidRPr="00A87E5D" w:rsidRDefault="001F7ECD" w:rsidP="00A55F5A">
      <w:pPr>
        <w:pStyle w:val="BodyText22"/>
        <w:ind w:firstLine="0"/>
        <w:rPr>
          <w:rFonts w:ascii="Arial" w:hAnsi="Arial" w:cs="Arial"/>
          <w:sz w:val="24"/>
          <w:szCs w:val="24"/>
        </w:rPr>
      </w:pPr>
    </w:p>
    <w:p w:rsidR="001F7ECD" w:rsidRPr="00A87E5D" w:rsidRDefault="001F7ECD" w:rsidP="00A55F5A">
      <w:pPr>
        <w:pStyle w:val="BodyText22"/>
        <w:ind w:firstLine="0"/>
        <w:rPr>
          <w:rFonts w:ascii="Arial" w:hAnsi="Arial" w:cs="Arial"/>
          <w:sz w:val="24"/>
          <w:szCs w:val="24"/>
          <w:lang w:val="es-ES_tradnl"/>
        </w:rPr>
      </w:pPr>
      <w:r w:rsidRPr="00A87E5D">
        <w:rPr>
          <w:rFonts w:ascii="Arial" w:hAnsi="Arial" w:cs="Arial"/>
          <w:sz w:val="24"/>
          <w:szCs w:val="24"/>
        </w:rPr>
        <w:t xml:space="preserve">En consecuencia, no eran aplicables a este caso, las normas del Código Fiscal de Santander, que cita el actor, en razón a que </w:t>
      </w:r>
      <w:r w:rsidRPr="00A87E5D">
        <w:rPr>
          <w:rFonts w:ascii="Arial" w:hAnsi="Arial" w:cs="Arial"/>
          <w:sz w:val="24"/>
          <w:szCs w:val="24"/>
          <w:lang w:val="es-ES_tradnl"/>
        </w:rPr>
        <w:t xml:space="preserve"> los artículos 5</w:t>
      </w:r>
      <w:r w:rsidRPr="00A87E5D">
        <w:rPr>
          <w:rStyle w:val="Refdenotaalpie"/>
          <w:rFonts w:ascii="Arial" w:hAnsi="Arial" w:cs="Arial"/>
          <w:sz w:val="24"/>
          <w:szCs w:val="24"/>
          <w:lang w:val="es-ES_tradnl"/>
        </w:rPr>
        <w:footnoteReference w:id="21"/>
      </w:r>
      <w:r w:rsidRPr="00A87E5D">
        <w:rPr>
          <w:rFonts w:ascii="Arial" w:hAnsi="Arial" w:cs="Arial"/>
          <w:sz w:val="24"/>
          <w:szCs w:val="24"/>
          <w:lang w:val="es-ES_tradnl"/>
        </w:rPr>
        <w:t xml:space="preserve"> de Ley 19 de 1982, 1</w:t>
      </w:r>
      <w:r w:rsidRPr="00A87E5D">
        <w:rPr>
          <w:rStyle w:val="Refdenotaalpie"/>
          <w:rFonts w:ascii="Arial" w:hAnsi="Arial" w:cs="Arial"/>
          <w:sz w:val="24"/>
          <w:szCs w:val="24"/>
          <w:lang w:val="es-ES_tradnl"/>
        </w:rPr>
        <w:footnoteReference w:id="22"/>
      </w:r>
      <w:r w:rsidRPr="00A87E5D">
        <w:rPr>
          <w:rFonts w:ascii="Arial" w:hAnsi="Arial" w:cs="Arial"/>
          <w:sz w:val="24"/>
          <w:szCs w:val="24"/>
          <w:lang w:val="es-ES_tradnl"/>
        </w:rPr>
        <w:t xml:space="preserve"> del Decreto - ley 222 de 1983, 5</w:t>
      </w:r>
      <w:r w:rsidRPr="00A87E5D">
        <w:rPr>
          <w:rStyle w:val="Refdenotaalpie"/>
          <w:rFonts w:ascii="Arial" w:hAnsi="Arial" w:cs="Arial"/>
          <w:sz w:val="24"/>
          <w:szCs w:val="24"/>
          <w:lang w:val="es-ES_tradnl"/>
        </w:rPr>
        <w:footnoteReference w:id="23"/>
      </w:r>
      <w:r w:rsidRPr="00A87E5D">
        <w:rPr>
          <w:rFonts w:ascii="Arial" w:hAnsi="Arial" w:cs="Arial"/>
          <w:sz w:val="24"/>
          <w:szCs w:val="24"/>
          <w:lang w:val="es-ES_tradnl"/>
        </w:rPr>
        <w:t xml:space="preserve"> de la Ley 58 de 1982, y 211</w:t>
      </w:r>
      <w:r w:rsidRPr="00A87E5D">
        <w:rPr>
          <w:rStyle w:val="Refdenotaalpie"/>
          <w:rFonts w:ascii="Arial" w:hAnsi="Arial" w:cs="Arial"/>
          <w:sz w:val="24"/>
          <w:szCs w:val="24"/>
          <w:lang w:val="es-ES_tradnl"/>
        </w:rPr>
        <w:footnoteReference w:id="24"/>
      </w:r>
      <w:r w:rsidRPr="00A87E5D">
        <w:rPr>
          <w:rFonts w:ascii="Arial" w:hAnsi="Arial" w:cs="Arial"/>
          <w:sz w:val="24"/>
          <w:szCs w:val="24"/>
          <w:lang w:val="es-ES_tradnl"/>
        </w:rPr>
        <w:t xml:space="preserve"> y 212</w:t>
      </w:r>
      <w:r w:rsidRPr="00A87E5D">
        <w:rPr>
          <w:rStyle w:val="Refdenotaalpie"/>
          <w:rFonts w:ascii="Arial" w:hAnsi="Arial" w:cs="Arial"/>
          <w:sz w:val="24"/>
          <w:szCs w:val="24"/>
          <w:lang w:val="es-ES_tradnl"/>
        </w:rPr>
        <w:footnoteReference w:id="25"/>
      </w:r>
      <w:r w:rsidRPr="00A87E5D">
        <w:rPr>
          <w:rFonts w:ascii="Arial" w:hAnsi="Arial" w:cs="Arial"/>
          <w:sz w:val="24"/>
          <w:szCs w:val="24"/>
          <w:lang w:val="es-ES_tradnl"/>
        </w:rPr>
        <w:t xml:space="preserve"> del Decreto 1222 de 1986, que eran las disposiciones que establecían que para el perfeccionamiento de los contratos en vigencia de las mismas, estaban sujetos a las normas que para esos efectos hubieran expedidos la respectiva Asamblea Departamental, habían sido derogados por la ley 80 de 1993. En consecuencia, si las disposiciones citadas como vulneradas no eran aplicables a este asunto, era un imposible jurídico su violación. </w:t>
      </w:r>
    </w:p>
    <w:p w:rsidR="001F7ECD" w:rsidRPr="00A87E5D" w:rsidRDefault="001F7ECD" w:rsidP="00A55F5A">
      <w:pPr>
        <w:pStyle w:val="BodyText22"/>
        <w:ind w:firstLine="0"/>
        <w:rPr>
          <w:rFonts w:ascii="Arial" w:hAnsi="Arial" w:cs="Arial"/>
          <w:sz w:val="24"/>
          <w:szCs w:val="24"/>
        </w:rPr>
      </w:pPr>
      <w:r w:rsidRPr="00A87E5D">
        <w:rPr>
          <w:rFonts w:ascii="Arial" w:hAnsi="Arial" w:cs="Arial"/>
          <w:sz w:val="24"/>
          <w:szCs w:val="24"/>
        </w:rPr>
        <w:t xml:space="preserve"> </w:t>
      </w:r>
    </w:p>
    <w:p w:rsidR="001F7ECD" w:rsidRPr="00A87E5D" w:rsidRDefault="001F7ECD" w:rsidP="00A55F5A">
      <w:pPr>
        <w:pStyle w:val="Default"/>
        <w:spacing w:line="360" w:lineRule="auto"/>
        <w:jc w:val="both"/>
      </w:pPr>
      <w:r w:rsidRPr="00A87E5D">
        <w:lastRenderedPageBreak/>
        <w:t>Adicionalmente, tal como lo entendió el juzgador de instancia, hubo una nueva regulación sobre el Registro Único de Proponentes, y en tal sentido, lo que en su momento dispuso el artículo 81 de la ley 80 de 1993 sobre la materia. Un cambio de tal magnitud fue lo que llevó a que su entrada en vigencia se realizara un año después de promulgada la ley, de manera que estas disposiciones sólo resultaron vinculantes a partir del 28 de octubre de 1994</w:t>
      </w:r>
      <w:r w:rsidRPr="00A87E5D">
        <w:rPr>
          <w:rStyle w:val="Refdenotaalpie"/>
        </w:rPr>
        <w:footnoteReference w:id="26"/>
      </w:r>
      <w:r w:rsidRPr="00A87E5D">
        <w:t xml:space="preserve">. </w:t>
      </w:r>
    </w:p>
    <w:p w:rsidR="001F7ECD" w:rsidRPr="00A87E5D" w:rsidRDefault="001F7ECD" w:rsidP="00A55F5A">
      <w:pPr>
        <w:pStyle w:val="Default"/>
        <w:spacing w:line="360" w:lineRule="auto"/>
        <w:jc w:val="both"/>
      </w:pPr>
    </w:p>
    <w:p w:rsidR="001F7ECD" w:rsidRPr="00A87E5D" w:rsidRDefault="001F7ECD" w:rsidP="00A55F5A">
      <w:pPr>
        <w:pStyle w:val="Default"/>
        <w:spacing w:line="360" w:lineRule="auto"/>
        <w:jc w:val="both"/>
      </w:pPr>
      <w:r w:rsidRPr="00A87E5D">
        <w:t>De esta manera, las normas que regulaban el registro de proponentes en este caso, se regirían por el artículo 44 del Decreto Ley 222 de 1983</w:t>
      </w:r>
      <w:r w:rsidRPr="00A87E5D">
        <w:rPr>
          <w:rStyle w:val="Refdenotaalpie"/>
        </w:rPr>
        <w:footnoteReference w:id="27"/>
      </w:r>
      <w:r w:rsidRPr="00A87E5D">
        <w:t xml:space="preserve">. En vigencia del decreto ley 222 de 1983 podían inscribirse en el registro de proponentes (recuérdese que antes de la ley 80 de 1993 no había un registro de proponentes único, sino que cada entidad podía llevar su propio registro, arts. 44 y 45 ibídem), y por ende, podían contratar con las entidades del Estado tanto la sociedad como sus socios o miembros individualmente considerados. Esto se desprendía de lo dispuesto en el inciso octavo del art. 2º del decreto reglamentario 1522 de 1983, por el cual se dictaron normas sobre registro de proponentes y concurso de méritos: </w:t>
      </w:r>
    </w:p>
    <w:p w:rsidR="001F7ECD" w:rsidRPr="00A87E5D" w:rsidRDefault="001F7ECD" w:rsidP="00A55F5A">
      <w:pPr>
        <w:autoSpaceDE w:val="0"/>
        <w:autoSpaceDN w:val="0"/>
        <w:adjustRightInd w:val="0"/>
        <w:spacing w:after="0" w:line="360" w:lineRule="auto"/>
        <w:jc w:val="both"/>
        <w:rPr>
          <w:rFonts w:ascii="Arial" w:hAnsi="Arial" w:cs="Arial"/>
          <w:color w:val="000000"/>
          <w:sz w:val="24"/>
          <w:szCs w:val="24"/>
          <w:lang w:val="es-CO"/>
        </w:rPr>
      </w:pPr>
    </w:p>
    <w:p w:rsidR="001F7ECD" w:rsidRPr="00A87E5D" w:rsidRDefault="001F7ECD" w:rsidP="00A55F5A">
      <w:pPr>
        <w:autoSpaceDE w:val="0"/>
        <w:autoSpaceDN w:val="0"/>
        <w:adjustRightInd w:val="0"/>
        <w:spacing w:after="0" w:line="360" w:lineRule="auto"/>
        <w:jc w:val="both"/>
        <w:rPr>
          <w:rFonts w:ascii="Arial" w:hAnsi="Arial" w:cs="Arial"/>
          <w:color w:val="000000"/>
          <w:sz w:val="24"/>
          <w:szCs w:val="24"/>
          <w:lang w:val="es-CO"/>
        </w:rPr>
      </w:pPr>
      <w:r w:rsidRPr="00A87E5D">
        <w:rPr>
          <w:rFonts w:ascii="Arial" w:hAnsi="Arial" w:cs="Arial"/>
          <w:color w:val="000000"/>
          <w:sz w:val="24"/>
          <w:szCs w:val="24"/>
          <w:lang w:val="es-CO"/>
        </w:rPr>
        <w:t>“</w:t>
      </w:r>
      <w:r w:rsidRPr="00A87E5D">
        <w:rPr>
          <w:rFonts w:ascii="Arial" w:hAnsi="Arial" w:cs="Arial"/>
          <w:i/>
          <w:iCs/>
          <w:color w:val="000000"/>
          <w:sz w:val="24"/>
          <w:szCs w:val="24"/>
          <w:lang w:val="es-CO"/>
        </w:rPr>
        <w:t xml:space="preserve">En todos aquellos casos en que se produzcan inscripciones de personas jurídicas -que no sean sociedades anónimas- y cualquiera de las personas naturales o jurídicas, que las integren como socios, las entidades contratantes, al señalar los requisitos de inscripción, tomarán medidas especiales tendientes al pleno respeto de los principios de la moral de la contratación pública, las necesidades del servicio, las normas de ética profesional y la conveniencia de la entidad”. </w:t>
      </w:r>
    </w:p>
    <w:p w:rsidR="001F7ECD" w:rsidRDefault="001F7ECD" w:rsidP="00A55F5A">
      <w:pPr>
        <w:pStyle w:val="NormalWeb"/>
        <w:spacing w:before="0" w:beforeAutospacing="0" w:after="0" w:afterAutospacing="0" w:line="360" w:lineRule="auto"/>
        <w:jc w:val="both"/>
        <w:rPr>
          <w:rFonts w:ascii="Arial" w:hAnsi="Arial" w:cs="Arial"/>
          <w:iCs/>
        </w:rPr>
      </w:pPr>
      <w:r w:rsidRPr="00A87E5D">
        <w:rPr>
          <w:rFonts w:ascii="Arial" w:eastAsia="Calibri" w:hAnsi="Arial" w:cs="Arial"/>
          <w:color w:val="000000"/>
          <w:lang w:eastAsia="en-US"/>
        </w:rPr>
        <w:t xml:space="preserve">En el sub lite, no existe prueba alguna que acreditara que el municipio de Bolívar Santander, llevase </w:t>
      </w:r>
      <w:r w:rsidRPr="00A87E5D">
        <w:rPr>
          <w:rFonts w:ascii="Arial" w:hAnsi="Arial" w:cs="Arial"/>
        </w:rPr>
        <w:t>su propio registro de proponentes, en los términos de los  artículos antes citados, por lo que carece de fundamento el reparo que hace el actor por este concepto. Tampoco comparte la Sala la afirmación del a quo cuando dijo que “</w:t>
      </w:r>
      <w:r w:rsidRPr="00A87E5D">
        <w:rPr>
          <w:rFonts w:ascii="Arial" w:hAnsi="Arial" w:cs="Arial"/>
          <w:i/>
        </w:rPr>
        <w:t xml:space="preserve">Descendiendo al caso bajo estudio, encuentra la Sala que conforme a la </w:t>
      </w:r>
      <w:r w:rsidRPr="00A87E5D">
        <w:rPr>
          <w:rFonts w:ascii="Arial" w:hAnsi="Arial" w:cs="Arial"/>
          <w:i/>
        </w:rPr>
        <w:lastRenderedPageBreak/>
        <w:t xml:space="preserve">licitación pública No 01 de marzo de 1994 se requería que los participantes se encontraran debidamente registrados en la “Secretaría de Planeación y Desarrollo del municipio” (Fl 124); </w:t>
      </w:r>
      <w:r w:rsidRPr="00A87E5D">
        <w:rPr>
          <w:rFonts w:ascii="Arial" w:hAnsi="Arial" w:cs="Arial"/>
        </w:rPr>
        <w:t xml:space="preserve">porque basta con leer el citado documento, para concluir que el registro de proponentes no era exigido en la referida licitación. </w:t>
      </w:r>
      <w:r w:rsidRPr="00A87E5D">
        <w:rPr>
          <w:rFonts w:ascii="Arial" w:hAnsi="Arial" w:cs="Arial"/>
          <w:iCs/>
        </w:rPr>
        <w:t>En consecuencia, al no existir en el municipio de Bolívar Santander, un procedimiento que regulara el Registro de Proponentes, los artículos 25, 27, 30, 33, 44 y 45 del Decreto No. 222 de 1983, son inaplicables en materia de contratación a nivel local, y no siendo las normas citadas aplicables en el evento sub lite, mal puede haberse incurrido en violación de las mismas, tal como ya se anotó.</w:t>
      </w:r>
    </w:p>
    <w:p w:rsidR="00A87E5D" w:rsidRPr="00A87E5D" w:rsidRDefault="00A87E5D" w:rsidP="00A55F5A">
      <w:pPr>
        <w:pStyle w:val="NormalWeb"/>
        <w:spacing w:before="0" w:beforeAutospacing="0" w:after="0" w:afterAutospacing="0" w:line="360" w:lineRule="auto"/>
        <w:jc w:val="both"/>
        <w:rPr>
          <w:rFonts w:ascii="Arial" w:hAnsi="Arial" w:cs="Arial"/>
          <w:i/>
          <w:iCs/>
        </w:rPr>
      </w:pPr>
    </w:p>
    <w:p w:rsidR="001F7ECD" w:rsidRPr="00A87E5D" w:rsidRDefault="001F7ECD" w:rsidP="00A55F5A">
      <w:pPr>
        <w:tabs>
          <w:tab w:val="left" w:pos="9214"/>
        </w:tabs>
        <w:spacing w:after="0" w:line="360" w:lineRule="auto"/>
        <w:jc w:val="both"/>
        <w:rPr>
          <w:rFonts w:ascii="Arial" w:hAnsi="Arial" w:cs="Arial"/>
          <w:i/>
          <w:sz w:val="24"/>
          <w:szCs w:val="24"/>
        </w:rPr>
      </w:pPr>
      <w:r w:rsidRPr="00A87E5D">
        <w:rPr>
          <w:rFonts w:ascii="Arial" w:hAnsi="Arial" w:cs="Arial"/>
          <w:sz w:val="24"/>
          <w:szCs w:val="24"/>
          <w:lang w:val="es-CO"/>
        </w:rPr>
        <w:t>Finalmente, acerca de la</w:t>
      </w:r>
      <w:r w:rsidRPr="00A87E5D">
        <w:rPr>
          <w:rFonts w:ascii="Arial" w:hAnsi="Arial" w:cs="Arial"/>
          <w:b/>
          <w:sz w:val="24"/>
          <w:szCs w:val="24"/>
        </w:rPr>
        <w:t xml:space="preserve"> existencia de la inhabilidad, </w:t>
      </w:r>
      <w:r w:rsidRPr="00A87E5D">
        <w:rPr>
          <w:rFonts w:ascii="Arial" w:hAnsi="Arial" w:cs="Arial"/>
          <w:sz w:val="24"/>
          <w:szCs w:val="24"/>
        </w:rPr>
        <w:t>que plantea el actor en cabeza de la sociedad INGEAC LTDA, so pretexto de</w:t>
      </w:r>
      <w:r w:rsidRPr="00A87E5D">
        <w:rPr>
          <w:rFonts w:ascii="Arial" w:hAnsi="Arial" w:cs="Arial"/>
          <w:i/>
          <w:sz w:val="24"/>
          <w:szCs w:val="24"/>
        </w:rPr>
        <w:t xml:space="preserve"> “que la firma adjudicataria suscribió la orden de trabajo para los estudios y diseños de las Viviendas de Interés Social, en un lote de 3.200 metros cuadrados aproximadamente, el 15 de septiembre de 1993”,</w:t>
      </w:r>
      <w:r w:rsidRPr="00A87E5D">
        <w:rPr>
          <w:rFonts w:ascii="Arial" w:hAnsi="Arial" w:cs="Arial"/>
          <w:sz w:val="24"/>
          <w:szCs w:val="24"/>
        </w:rPr>
        <w:t xml:space="preserve"> la Sala tampoco comparte el cuestionamiento que se hace, en razón a que </w:t>
      </w:r>
      <w:r w:rsidRPr="00A87E5D">
        <w:rPr>
          <w:rFonts w:ascii="Arial" w:hAnsi="Arial" w:cs="Arial"/>
          <w:sz w:val="24"/>
          <w:szCs w:val="24"/>
          <w:lang w:val="es-ES_tradnl"/>
        </w:rPr>
        <w:t>L</w:t>
      </w:r>
      <w:r w:rsidRPr="00A87E5D">
        <w:rPr>
          <w:rFonts w:ascii="Arial" w:hAnsi="Arial" w:cs="Arial"/>
          <w:sz w:val="24"/>
          <w:szCs w:val="24"/>
        </w:rPr>
        <w:t>a jurisprudencia</w:t>
      </w:r>
      <w:r w:rsidRPr="00A87E5D">
        <w:rPr>
          <w:rStyle w:val="Refdenotaalpie"/>
          <w:rFonts w:ascii="Arial" w:hAnsi="Arial" w:cs="Arial"/>
          <w:sz w:val="24"/>
          <w:szCs w:val="24"/>
        </w:rPr>
        <w:footnoteReference w:id="28"/>
      </w:r>
      <w:r w:rsidRPr="00A87E5D">
        <w:rPr>
          <w:rFonts w:ascii="Arial" w:hAnsi="Arial" w:cs="Arial"/>
          <w:sz w:val="24"/>
          <w:szCs w:val="24"/>
        </w:rPr>
        <w:t xml:space="preserve"> ha sostenido que la aplicación de estos preceptos exige una interpretación restrictiva, dado que según el principio hermenéutico </w:t>
      </w:r>
      <w:r w:rsidRPr="00A87E5D">
        <w:rPr>
          <w:rFonts w:ascii="Arial" w:hAnsi="Arial" w:cs="Arial"/>
          <w:i/>
          <w:sz w:val="24"/>
          <w:szCs w:val="24"/>
        </w:rPr>
        <w:t>pro libertate</w:t>
      </w:r>
      <w:r w:rsidRPr="00A87E5D">
        <w:rPr>
          <w:rFonts w:ascii="Arial" w:hAnsi="Arial" w:cs="Arial"/>
          <w:sz w:val="24"/>
          <w:szCs w:val="24"/>
        </w:rPr>
        <w:t xml:space="preserve">,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así lo ha señalado la Corte Constitucional en sede de tutela al indicar que: </w:t>
      </w:r>
      <w:r w:rsidRPr="00A87E5D">
        <w:rPr>
          <w:rFonts w:ascii="Arial" w:hAnsi="Arial" w:cs="Arial"/>
          <w:i/>
          <w:sz w:val="24"/>
          <w:szCs w:val="24"/>
        </w:rPr>
        <w:t>“el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A87E5D">
        <w:rPr>
          <w:rStyle w:val="Refdenotaalpie"/>
          <w:rFonts w:ascii="Arial" w:hAnsi="Arial" w:cs="Arial"/>
          <w:i/>
          <w:sz w:val="24"/>
          <w:szCs w:val="24"/>
        </w:rPr>
        <w:footnoteReference w:id="29"/>
      </w:r>
    </w:p>
    <w:p w:rsidR="001F7ECD" w:rsidRPr="00A87E5D" w:rsidRDefault="001F7ECD" w:rsidP="00A55F5A">
      <w:pPr>
        <w:pStyle w:val="Ed"/>
        <w:spacing w:line="360" w:lineRule="auto"/>
        <w:rPr>
          <w:rFonts w:cs="Arial"/>
          <w:szCs w:val="24"/>
          <w:lang w:val="es-ES"/>
        </w:rPr>
      </w:pPr>
    </w:p>
    <w:p w:rsidR="001F7ECD" w:rsidRPr="00A87E5D" w:rsidRDefault="001F7ECD" w:rsidP="00A55F5A">
      <w:pPr>
        <w:pStyle w:val="Ed"/>
        <w:spacing w:line="360" w:lineRule="auto"/>
        <w:rPr>
          <w:rFonts w:cs="Arial"/>
          <w:iCs/>
          <w:szCs w:val="24"/>
        </w:rPr>
      </w:pPr>
      <w:r w:rsidRPr="00A87E5D">
        <w:rPr>
          <w:rFonts w:cs="Arial"/>
          <w:szCs w:val="24"/>
          <w:lang w:val="es-ES"/>
        </w:rPr>
        <w:t>Las inhabilidades y las incompatibilidades relativas a la contratación del sector público se consagran en diversas normas jurídicas, entre ellas se destacan las consagradas en el artículo 8</w:t>
      </w:r>
      <w:r w:rsidRPr="00A87E5D">
        <w:rPr>
          <w:rStyle w:val="Refdenotaalpie"/>
          <w:rFonts w:cs="Arial"/>
          <w:szCs w:val="24"/>
          <w:lang w:val="es-ES"/>
        </w:rPr>
        <w:footnoteReference w:id="30"/>
      </w:r>
      <w:r w:rsidRPr="00A87E5D">
        <w:rPr>
          <w:rFonts w:cs="Arial"/>
          <w:szCs w:val="24"/>
          <w:lang w:val="es-ES"/>
        </w:rPr>
        <w:t xml:space="preserve"> del Estatuto General de Contratación Estatal, </w:t>
      </w:r>
      <w:r w:rsidRPr="00A87E5D">
        <w:rPr>
          <w:rFonts w:cs="Arial"/>
          <w:szCs w:val="24"/>
          <w:lang w:val="es-ES"/>
        </w:rPr>
        <w:lastRenderedPageBreak/>
        <w:t>contenido en Ley 80, expedida en el año de 1993, norma que se itera, era la que resultaba aplicable al procedimiento administrativo de selección adelantado por la entidad pública demandada; sin que en ninguna de ellas se establezca como causal de inhabilidad la que menciona el actor en este caso. Por lo tanto acertó el a quo al desestimar  el cargo.</w:t>
      </w:r>
      <w:r w:rsidRPr="00A87E5D">
        <w:rPr>
          <w:rFonts w:cs="Arial"/>
          <w:iCs/>
          <w:szCs w:val="24"/>
        </w:rPr>
        <w:t xml:space="preserve"> </w:t>
      </w:r>
    </w:p>
    <w:p w:rsidR="001F7ECD" w:rsidRPr="00A87E5D" w:rsidRDefault="001F7ECD" w:rsidP="00A55F5A">
      <w:pPr>
        <w:pStyle w:val="Ed"/>
        <w:spacing w:line="360" w:lineRule="auto"/>
        <w:rPr>
          <w:rFonts w:cs="Arial"/>
          <w:szCs w:val="24"/>
        </w:rPr>
      </w:pPr>
    </w:p>
    <w:p w:rsidR="001F7ECD" w:rsidRPr="00A87E5D" w:rsidRDefault="001F7ECD" w:rsidP="00A55F5A">
      <w:pPr>
        <w:pStyle w:val="Ed"/>
        <w:spacing w:line="360" w:lineRule="auto"/>
        <w:rPr>
          <w:rFonts w:cs="Arial"/>
          <w:szCs w:val="24"/>
        </w:rPr>
      </w:pPr>
      <w:r w:rsidRPr="00A87E5D">
        <w:rPr>
          <w:rFonts w:cs="Arial"/>
          <w:szCs w:val="24"/>
        </w:rPr>
        <w:t>Con relación el tema, la Jurisprudencia de esta Corporación se ha referido en diversas ocasiones; en efecto, lo hizo en providencia expedida en el año 2001, en la cual precisó el alcance de las inhabilidades y las incompatibilidades, así:</w:t>
      </w:r>
    </w:p>
    <w:p w:rsidR="001F7ECD" w:rsidRPr="00A87E5D" w:rsidRDefault="001F7ECD" w:rsidP="00A55F5A">
      <w:pPr>
        <w:pStyle w:val="Ed"/>
        <w:spacing w:line="360" w:lineRule="auto"/>
        <w:rPr>
          <w:rFonts w:cs="Arial"/>
          <w:szCs w:val="24"/>
        </w:rPr>
      </w:pPr>
    </w:p>
    <w:p w:rsidR="001F7ECD" w:rsidRPr="00A87E5D" w:rsidRDefault="001F7ECD" w:rsidP="00A55F5A">
      <w:pPr>
        <w:pStyle w:val="Ed"/>
        <w:spacing w:line="360" w:lineRule="auto"/>
        <w:rPr>
          <w:rFonts w:cs="Arial"/>
          <w:bCs/>
          <w:i/>
          <w:szCs w:val="24"/>
        </w:rPr>
      </w:pPr>
      <w:r w:rsidRPr="00A87E5D">
        <w:rPr>
          <w:rFonts w:cs="Arial"/>
          <w:bCs/>
          <w:i/>
          <w:szCs w:val="24"/>
        </w:rPr>
        <w:t xml:space="preserve">“En lo que respecta a los conceptos de inhabilidad e incompatibilidad, que son los que para este asunto interesan, puede decirse que se trata de preceptos jurídicos que establecen prohibiciones de diversa índole, destinadas tanto a los servidores </w:t>
      </w:r>
      <w:r w:rsidRPr="00A87E5D">
        <w:rPr>
          <w:rFonts w:cs="Arial"/>
          <w:bCs/>
          <w:i/>
          <w:szCs w:val="24"/>
        </w:rPr>
        <w:lastRenderedPageBreak/>
        <w:t>públicos como a los particulares, con el objeto de lograr, en lo que a la contratación pública atañe, la transparencia, objetividad y la imparcialidad en la misma.</w:t>
      </w:r>
    </w:p>
    <w:p w:rsidR="001F7ECD" w:rsidRPr="00A87E5D" w:rsidRDefault="001F7ECD" w:rsidP="00A55F5A">
      <w:pPr>
        <w:pStyle w:val="Ed"/>
        <w:spacing w:line="360" w:lineRule="auto"/>
        <w:rPr>
          <w:rFonts w:cs="Arial"/>
          <w:bCs/>
          <w:i/>
          <w:szCs w:val="24"/>
        </w:rPr>
      </w:pPr>
    </w:p>
    <w:p w:rsidR="001F7ECD" w:rsidRPr="00A87E5D" w:rsidRDefault="001F7ECD" w:rsidP="00A55F5A">
      <w:pPr>
        <w:pStyle w:val="Ed"/>
        <w:spacing w:line="360" w:lineRule="auto"/>
        <w:rPr>
          <w:rFonts w:cs="Arial"/>
          <w:bCs/>
          <w:i/>
          <w:szCs w:val="24"/>
        </w:rPr>
      </w:pPr>
      <w:r w:rsidRPr="00A87E5D">
        <w:rPr>
          <w:rFonts w:cs="Arial"/>
          <w:bCs/>
          <w:i/>
          <w:szCs w:val="24"/>
        </w:rPr>
        <w:t xml:space="preserve">“Desde el punto de vista de su contenido hacen referencia a situaciones diferentes, aunque en muchos casos concurren de manera simultánea.  Por </w:t>
      </w:r>
      <w:r w:rsidRPr="00A87E5D">
        <w:rPr>
          <w:rFonts w:cs="Arial"/>
          <w:bCs/>
          <w:i/>
          <w:iCs/>
          <w:szCs w:val="24"/>
        </w:rPr>
        <w:t xml:space="preserve">inhabilidad </w:t>
      </w:r>
      <w:r w:rsidRPr="00A87E5D">
        <w:rPr>
          <w:rFonts w:cs="Arial"/>
          <w:bCs/>
          <w:i/>
          <w:szCs w:val="24"/>
        </w:rPr>
        <w:t xml:space="preserve">debe entenderse aquella circunstancia que </w:t>
      </w:r>
      <w:r w:rsidRPr="00A87E5D">
        <w:rPr>
          <w:rFonts w:cs="Arial"/>
          <w:bCs/>
          <w:i/>
          <w:szCs w:val="24"/>
          <w:u w:val="single"/>
        </w:rPr>
        <w:t>impide</w:t>
      </w:r>
      <w:r w:rsidRPr="00A87E5D">
        <w:rPr>
          <w:rFonts w:cs="Arial"/>
          <w:bCs/>
          <w:i/>
          <w:szCs w:val="24"/>
        </w:rPr>
        <w:t xml:space="preserve"> a una persona celebrar algún contrato, la cual ha sido establecida por la Constitución o la ley y la </w:t>
      </w:r>
      <w:r w:rsidRPr="00A87E5D">
        <w:rPr>
          <w:rFonts w:cs="Arial"/>
          <w:bCs/>
          <w:i/>
          <w:szCs w:val="24"/>
          <w:u w:val="single"/>
        </w:rPr>
        <w:t>incompatibilidad</w:t>
      </w:r>
      <w:r w:rsidRPr="00A87E5D">
        <w:rPr>
          <w:rFonts w:cs="Arial"/>
          <w:bCs/>
          <w:i/>
          <w:szCs w:val="24"/>
        </w:rPr>
        <w:t xml:space="preserve"> hace referencia a lo que </w:t>
      </w:r>
      <w:r w:rsidRPr="00A87E5D">
        <w:rPr>
          <w:rFonts w:cs="Arial"/>
          <w:bCs/>
          <w:i/>
          <w:szCs w:val="24"/>
          <w:u w:val="single"/>
        </w:rPr>
        <w:t>no puede</w:t>
      </w:r>
      <w:r w:rsidRPr="00A87E5D">
        <w:rPr>
          <w:rFonts w:cs="Arial"/>
          <w:bCs/>
          <w:i/>
          <w:szCs w:val="24"/>
        </w:rPr>
        <w:t xml:space="preserve"> poseerse o ejercerse a un tiempo por una misma persona.  Se parte, por ejemplo, de la investidura o cargo que hace que determinadas actividades, negocios, etc. no puedan ser realizados o efectuados por su titular, por considerar que riñen con las funciones inherentes a ese cargo o investidura. </w:t>
      </w:r>
    </w:p>
    <w:p w:rsidR="001F7ECD" w:rsidRPr="00A87E5D" w:rsidRDefault="001F7ECD" w:rsidP="00A55F5A">
      <w:pPr>
        <w:pStyle w:val="Ed"/>
        <w:spacing w:line="360" w:lineRule="auto"/>
        <w:rPr>
          <w:rFonts w:cs="Arial"/>
          <w:bCs/>
          <w:i/>
          <w:szCs w:val="24"/>
        </w:rPr>
      </w:pPr>
    </w:p>
    <w:p w:rsidR="001F7ECD" w:rsidRPr="00A87E5D" w:rsidRDefault="001F7ECD" w:rsidP="00A55F5A">
      <w:pPr>
        <w:pStyle w:val="Ed"/>
        <w:spacing w:line="360" w:lineRule="auto"/>
        <w:rPr>
          <w:rFonts w:cs="Arial"/>
          <w:bCs/>
          <w:i/>
          <w:szCs w:val="24"/>
        </w:rPr>
      </w:pPr>
      <w:r w:rsidRPr="00A87E5D">
        <w:rPr>
          <w:rFonts w:cs="Arial"/>
          <w:bCs/>
          <w:i/>
          <w:szCs w:val="24"/>
        </w:rPr>
        <w:t>“En otras palabras por inhabilidad se entiende la imposibilidad de llegar a ser o de tener una determinada condición jurídica y ésta en materia contractual puede ser general o especial.  Se dice que es general, cuando no se puede contratar con ninguna de las personas de derecho público o privado y es especial cuando aquélla se reduce a personas de derecho público o privadas específicas, como cuando se está inhabilitado para participar en determinada licitación. La incompatibilidad, en cambio, se refiere a la prohibición de que concurran dos distintas condiciones, esto es, impide tener una condición porque ya se posee otra y existirá mientras se tenga alguna de las condiciones.</w:t>
      </w:r>
    </w:p>
    <w:p w:rsidR="001F7ECD" w:rsidRPr="00A87E5D" w:rsidRDefault="001F7ECD" w:rsidP="00A55F5A">
      <w:pPr>
        <w:pStyle w:val="Ed"/>
        <w:spacing w:line="360" w:lineRule="auto"/>
        <w:rPr>
          <w:rFonts w:cs="Arial"/>
          <w:bCs/>
          <w:i/>
          <w:szCs w:val="24"/>
        </w:rPr>
      </w:pPr>
    </w:p>
    <w:p w:rsidR="001F7ECD" w:rsidRPr="00A87E5D" w:rsidRDefault="001F7ECD" w:rsidP="00A55F5A">
      <w:pPr>
        <w:pStyle w:val="Ed"/>
        <w:spacing w:line="360" w:lineRule="auto"/>
        <w:rPr>
          <w:rFonts w:cs="Arial"/>
          <w:i/>
          <w:szCs w:val="24"/>
        </w:rPr>
      </w:pPr>
      <w:r w:rsidRPr="00A87E5D">
        <w:rPr>
          <w:rFonts w:cs="Arial"/>
          <w:bCs/>
          <w:i/>
          <w:szCs w:val="24"/>
        </w:rPr>
        <w:t xml:space="preserve">“La jurisprudencia constitucional en relación con las </w:t>
      </w:r>
      <w:r w:rsidRPr="00A87E5D">
        <w:rPr>
          <w:rFonts w:cs="Arial"/>
          <w:i/>
          <w:szCs w:val="24"/>
        </w:rPr>
        <w:t>inhabilidades e incompatibilidades afirma:</w:t>
      </w:r>
    </w:p>
    <w:p w:rsidR="001F7ECD" w:rsidRPr="00A87E5D" w:rsidRDefault="001F7ECD" w:rsidP="00A55F5A">
      <w:pPr>
        <w:pStyle w:val="Ed"/>
        <w:spacing w:line="360" w:lineRule="auto"/>
        <w:rPr>
          <w:rFonts w:cs="Arial"/>
          <w:i/>
          <w:szCs w:val="24"/>
        </w:rPr>
      </w:pPr>
    </w:p>
    <w:p w:rsidR="001F7ECD" w:rsidRPr="00A87E5D" w:rsidRDefault="001F7ECD" w:rsidP="00A55F5A">
      <w:pPr>
        <w:pStyle w:val="Ed"/>
        <w:spacing w:line="360" w:lineRule="auto"/>
        <w:rPr>
          <w:rFonts w:cs="Arial"/>
          <w:i/>
          <w:iCs/>
          <w:szCs w:val="24"/>
        </w:rPr>
      </w:pPr>
      <w:r w:rsidRPr="00A87E5D">
        <w:rPr>
          <w:rFonts w:cs="Arial"/>
          <w:i/>
          <w:iCs/>
          <w:szCs w:val="24"/>
        </w:rPr>
        <w:t>‘Todo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incompatibilidades, se erige en causal de nulidad del contrato celebrado en esas condiciones (ley 80 de 1993, art. 44)’.</w:t>
      </w:r>
    </w:p>
    <w:p w:rsidR="001F7ECD" w:rsidRPr="00A87E5D" w:rsidRDefault="001F7ECD" w:rsidP="00A55F5A">
      <w:pPr>
        <w:pStyle w:val="Ed"/>
        <w:spacing w:line="360" w:lineRule="auto"/>
        <w:rPr>
          <w:rFonts w:cs="Arial"/>
          <w:i/>
          <w:iCs/>
          <w:szCs w:val="24"/>
        </w:rPr>
      </w:pPr>
    </w:p>
    <w:p w:rsidR="001F7ECD" w:rsidRDefault="001F7ECD" w:rsidP="00A55F5A">
      <w:pPr>
        <w:pStyle w:val="Ed"/>
        <w:spacing w:line="360" w:lineRule="auto"/>
        <w:rPr>
          <w:rFonts w:cs="Arial"/>
          <w:i/>
          <w:iCs/>
          <w:szCs w:val="24"/>
        </w:rPr>
      </w:pPr>
      <w:r w:rsidRPr="00A87E5D">
        <w:rPr>
          <w:rFonts w:cs="Arial"/>
          <w:i/>
          <w:iCs/>
          <w:szCs w:val="24"/>
        </w:rPr>
        <w:lastRenderedPageBreak/>
        <w:t xml:space="preserve">‘El carácter reconocidamente taxativo y restrictivo de este régimen y el de las correlativas nulidades, obedece a la necesidad de salvaguardar el interés general ínsito en la contratación pública de manera que implique el menor </w:t>
      </w:r>
    </w:p>
    <w:p w:rsidR="00A87E5D" w:rsidRPr="00A87E5D" w:rsidRDefault="00A87E5D" w:rsidP="00A55F5A">
      <w:pPr>
        <w:pStyle w:val="Ed"/>
        <w:spacing w:line="360" w:lineRule="auto"/>
        <w:rPr>
          <w:rFonts w:cs="Arial"/>
          <w:i/>
          <w:iCs/>
          <w:szCs w:val="24"/>
        </w:rPr>
      </w:pPr>
    </w:p>
    <w:p w:rsidR="001F7ECD" w:rsidRPr="00A87E5D" w:rsidRDefault="001F7ECD" w:rsidP="00A55F5A">
      <w:pPr>
        <w:pStyle w:val="Ed"/>
        <w:spacing w:line="360" w:lineRule="auto"/>
        <w:rPr>
          <w:rFonts w:cs="Arial"/>
          <w:i/>
          <w:iCs/>
          <w:szCs w:val="24"/>
        </w:rPr>
      </w:pPr>
      <w:r w:rsidRPr="00A87E5D">
        <w:rPr>
          <w:rFonts w:cs="Arial"/>
          <w:i/>
          <w:iCs/>
          <w:szCs w:val="24"/>
        </w:rPr>
        <w:t>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a la igualdad y el reconocimiento de la personalidad jurídica de las personas que resultan rechazadas del ámbito contractual del Estado’</w:t>
      </w:r>
      <w:r w:rsidRPr="00A87E5D">
        <w:rPr>
          <w:rStyle w:val="Refdenotaalpie"/>
          <w:rFonts w:cs="Arial"/>
          <w:i/>
          <w:iCs/>
          <w:szCs w:val="24"/>
        </w:rPr>
        <w:footnoteReference w:id="31"/>
      </w:r>
      <w:r w:rsidRPr="00A87E5D">
        <w:rPr>
          <w:rFonts w:cs="Arial"/>
          <w:i/>
          <w:iCs/>
          <w:szCs w:val="24"/>
        </w:rPr>
        <w:t xml:space="preserve">. </w:t>
      </w:r>
    </w:p>
    <w:p w:rsidR="001F7ECD" w:rsidRPr="00A87E5D" w:rsidRDefault="001F7ECD" w:rsidP="00A55F5A">
      <w:pPr>
        <w:pStyle w:val="Ed"/>
        <w:spacing w:line="360" w:lineRule="auto"/>
        <w:rPr>
          <w:rFonts w:cs="Arial"/>
          <w:i/>
          <w:iCs/>
          <w:szCs w:val="24"/>
        </w:rPr>
      </w:pPr>
    </w:p>
    <w:p w:rsidR="001F7ECD" w:rsidRPr="00A87E5D" w:rsidRDefault="001F7ECD" w:rsidP="00A55F5A">
      <w:pPr>
        <w:pStyle w:val="Ed"/>
        <w:spacing w:line="360" w:lineRule="auto"/>
        <w:rPr>
          <w:rFonts w:cs="Arial"/>
          <w:i/>
          <w:szCs w:val="24"/>
        </w:rPr>
      </w:pPr>
      <w:r w:rsidRPr="00A87E5D">
        <w:rPr>
          <w:rFonts w:cs="Arial"/>
          <w:i/>
          <w:szCs w:val="24"/>
        </w:rPr>
        <w:t>“También ha sostenido que ‘si el contrato es una de las formas jurídicas de la función administrativa, la cual se exterioriza a través de etapas anteriores y posteriores a la celebración del contrato, todo el proceso debe configurarse conforme a los principios rectores de la función administrativa consagrados en el artículo 209 superior, según los cuales el poder de ejecución debe seleccionar la oferta más ventajosa para el Estado, tanto cuantitativa como cualitativamente.  En este orden de ideas, la necesidad de rodear de condiciones de transparencia e imparcialidad a la función administrativa juega un papel determinante como factor de legitimidad en el proceso de contratación, pues tiene una doble función: una negativa, ya que señala las condiciones mínimas para el acceso a la contratación, constituyéndose en un límite a la actividad administrativa y particular. Y, tiene una función positiva, en la medida en que el interés general se convierte en una condición inexcusable que dirige la acción estatal.’.</w:t>
      </w:r>
      <w:r w:rsidRPr="00A87E5D">
        <w:rPr>
          <w:rStyle w:val="Refdenotaalpie"/>
          <w:rFonts w:cs="Arial"/>
          <w:i/>
          <w:szCs w:val="24"/>
        </w:rPr>
        <w:footnoteReference w:id="32"/>
      </w:r>
      <w:r w:rsidRPr="00A87E5D">
        <w:rPr>
          <w:rFonts w:cs="Arial"/>
          <w:i/>
          <w:szCs w:val="24"/>
        </w:rPr>
        <w:t xml:space="preserve"> </w:t>
      </w:r>
    </w:p>
    <w:p w:rsidR="001F7ECD" w:rsidRPr="00A87E5D" w:rsidRDefault="001F7ECD" w:rsidP="00A55F5A">
      <w:pPr>
        <w:pStyle w:val="Ed"/>
        <w:spacing w:line="360" w:lineRule="auto"/>
        <w:rPr>
          <w:rFonts w:cs="Arial"/>
          <w:i/>
          <w:szCs w:val="24"/>
        </w:rPr>
      </w:pPr>
    </w:p>
    <w:p w:rsidR="001F7ECD" w:rsidRPr="00A87E5D" w:rsidRDefault="001F7ECD" w:rsidP="00A55F5A">
      <w:pPr>
        <w:pStyle w:val="Ed"/>
        <w:spacing w:line="360" w:lineRule="auto"/>
        <w:rPr>
          <w:rFonts w:cs="Arial"/>
          <w:szCs w:val="24"/>
        </w:rPr>
      </w:pPr>
      <w:r w:rsidRPr="00A87E5D">
        <w:rPr>
          <w:rFonts w:cs="Arial"/>
          <w:bCs/>
          <w:i/>
          <w:szCs w:val="24"/>
        </w:rPr>
        <w:t>“Pese a que, ninguno de los estatutos que han reglado la contratación administrativa –decretos leyes 1670 de 1975, 150 de 1976 y 222 de 1993 y ahora la ley 80 de 1993, definen los términos inhabilidad e incompatibilidad, todos coinciden, sin embargo, en que es un campo reservado al legislador.”</w:t>
      </w:r>
      <w:r w:rsidRPr="00A87E5D">
        <w:rPr>
          <w:rStyle w:val="Refdenotaalpie"/>
          <w:rFonts w:cs="Arial"/>
          <w:bCs/>
          <w:i/>
          <w:szCs w:val="24"/>
        </w:rPr>
        <w:footnoteReference w:id="33"/>
      </w:r>
    </w:p>
    <w:p w:rsidR="001F7ECD" w:rsidRPr="00A87E5D" w:rsidRDefault="001F7ECD" w:rsidP="00A55F5A">
      <w:pPr>
        <w:pStyle w:val="Ed"/>
        <w:spacing w:line="360" w:lineRule="auto"/>
        <w:rPr>
          <w:rFonts w:cs="Arial"/>
          <w:szCs w:val="24"/>
          <w:lang w:val="es-ES"/>
        </w:rPr>
      </w:pPr>
    </w:p>
    <w:p w:rsidR="001F7ECD" w:rsidRPr="00A87E5D" w:rsidRDefault="001F7ECD" w:rsidP="00A55F5A">
      <w:pPr>
        <w:pStyle w:val="Default"/>
        <w:spacing w:line="360" w:lineRule="auto"/>
        <w:jc w:val="both"/>
      </w:pPr>
      <w:r w:rsidRPr="00A87E5D">
        <w:lastRenderedPageBreak/>
        <w:t>No debe perderse de vista que la gestión contractual de la Administración Pública, básicamente regulada por la Ley 80 de 1993, para la época de los hechos, está al servicio del interés general y afecta los fines esenciales del Estado, por lo cual debe cumplirse con sujeción a los principios que rigen la contratación estatal, entre los cuales se destacan los de transparencia, economía y responsabilidad</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b/>
          <w:sz w:val="24"/>
          <w:szCs w:val="24"/>
          <w:u w:val="single"/>
        </w:rPr>
      </w:pPr>
      <w:r w:rsidRPr="00A87E5D">
        <w:rPr>
          <w:rFonts w:ascii="Arial" w:hAnsi="Arial" w:cs="Arial"/>
          <w:sz w:val="24"/>
          <w:szCs w:val="24"/>
          <w:lang w:val="es-CO"/>
        </w:rPr>
        <w:t xml:space="preserve">La entidad pública, al efectuar el examen comparativo de las propuestas, tendrá presente el deber legal que le asiste de: </w:t>
      </w:r>
      <w:r w:rsidRPr="00A87E5D">
        <w:rPr>
          <w:rFonts w:ascii="Arial" w:hAnsi="Arial" w:cs="Arial"/>
          <w:b/>
          <w:sz w:val="24"/>
          <w:szCs w:val="24"/>
          <w:lang w:val="es-CO"/>
        </w:rPr>
        <w:t>a)</w:t>
      </w:r>
      <w:r w:rsidRPr="00A87E5D">
        <w:rPr>
          <w:rFonts w:ascii="Arial" w:hAnsi="Arial" w:cs="Arial"/>
          <w:sz w:val="24"/>
          <w:szCs w:val="24"/>
          <w:lang w:val="es-CO"/>
        </w:rPr>
        <w:t xml:space="preserve"> aplicar estrictamente los criterios de selección y ponderación establecidos en el pliego de condiciones; </w:t>
      </w:r>
      <w:r w:rsidRPr="00A87E5D">
        <w:rPr>
          <w:rFonts w:ascii="Arial" w:hAnsi="Arial" w:cs="Arial"/>
          <w:b/>
          <w:sz w:val="24"/>
          <w:szCs w:val="24"/>
          <w:lang w:val="es-CO"/>
        </w:rPr>
        <w:t>b)</w:t>
      </w:r>
      <w:r w:rsidRPr="00A87E5D">
        <w:rPr>
          <w:rFonts w:ascii="Arial" w:hAnsi="Arial" w:cs="Arial"/>
          <w:sz w:val="24"/>
          <w:szCs w:val="24"/>
          <w:lang w:val="es-CO"/>
        </w:rPr>
        <w:t xml:space="preserve"> dar a conocer oportunamente los informes de las evaluaciones realizadas; </w:t>
      </w:r>
      <w:r w:rsidRPr="00A87E5D">
        <w:rPr>
          <w:rFonts w:ascii="Arial" w:hAnsi="Arial" w:cs="Arial"/>
          <w:b/>
          <w:sz w:val="24"/>
          <w:szCs w:val="24"/>
          <w:lang w:val="es-CO"/>
        </w:rPr>
        <w:t>c)</w:t>
      </w:r>
      <w:r w:rsidRPr="00A87E5D">
        <w:rPr>
          <w:rFonts w:ascii="Arial" w:hAnsi="Arial" w:cs="Arial"/>
          <w:sz w:val="24"/>
          <w:szCs w:val="24"/>
          <w:lang w:val="es-CO"/>
        </w:rPr>
        <w:t xml:space="preserve"> atender y dar respuesta motivada a las observaciones que sean efectuadas a los estudios, actividad que estará orientada por los principios de transparencia, de igualdad, de imparcialidad y de selección objetiva, establecidos por la ley para asegurar la escogencia de la propuesta más favorable para la Administración.</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 xml:space="preserve">De igual manera, esta Corporación, en sus precedentes judiciales, ha precisado que se requieren dos condiciones para que salga adelante la pretensión de nulidad del acto de adjudicación: </w:t>
      </w:r>
      <w:r w:rsidRPr="00A87E5D">
        <w:rPr>
          <w:rFonts w:ascii="Arial" w:hAnsi="Arial" w:cs="Arial"/>
          <w:b/>
          <w:sz w:val="24"/>
          <w:szCs w:val="24"/>
        </w:rPr>
        <w:t>1)</w:t>
      </w:r>
      <w:r w:rsidRPr="00A87E5D">
        <w:rPr>
          <w:rFonts w:ascii="Arial" w:hAnsi="Arial" w:cs="Arial"/>
          <w:sz w:val="24"/>
          <w:szCs w:val="24"/>
        </w:rPr>
        <w:t xml:space="preserve"> que se pruebe la ilegalidad </w:t>
      </w: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 xml:space="preserve">de la decisión adoptada por la Administración; y </w:t>
      </w:r>
      <w:r w:rsidRPr="00A87E5D">
        <w:rPr>
          <w:rFonts w:ascii="Arial" w:hAnsi="Arial" w:cs="Arial"/>
          <w:b/>
          <w:sz w:val="24"/>
          <w:szCs w:val="24"/>
        </w:rPr>
        <w:t xml:space="preserve">2) </w:t>
      </w:r>
      <w:r w:rsidRPr="00A87E5D">
        <w:rPr>
          <w:rFonts w:ascii="Arial" w:hAnsi="Arial" w:cs="Arial"/>
          <w:sz w:val="24"/>
          <w:szCs w:val="24"/>
        </w:rPr>
        <w:t xml:space="preserve">que la parte actora demuestre que su oferta era la mejor y que de no ser por el vicio de ilegalidad habría sido la ganadora de la licitación o del proceso de selección. </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En este sentido señaló:</w:t>
      </w:r>
    </w:p>
    <w:p w:rsidR="001F7ECD" w:rsidRPr="00A87E5D" w:rsidRDefault="001F7ECD" w:rsidP="00A55F5A">
      <w:pPr>
        <w:spacing w:after="0" w:line="360" w:lineRule="auto"/>
        <w:jc w:val="both"/>
        <w:rPr>
          <w:rFonts w:ascii="Arial" w:hAnsi="Arial" w:cs="Arial"/>
          <w:sz w:val="24"/>
          <w:szCs w:val="24"/>
        </w:rPr>
      </w:pPr>
    </w:p>
    <w:p w:rsidR="001F7ECD" w:rsidRPr="00A87E5D" w:rsidRDefault="001F7ECD" w:rsidP="00A55F5A">
      <w:pPr>
        <w:spacing w:after="0" w:line="360" w:lineRule="auto"/>
        <w:jc w:val="both"/>
        <w:rPr>
          <w:rFonts w:ascii="Arial" w:hAnsi="Arial" w:cs="Arial"/>
          <w:i/>
          <w:sz w:val="24"/>
          <w:szCs w:val="24"/>
        </w:rPr>
      </w:pPr>
      <w:r w:rsidRPr="00A87E5D">
        <w:rPr>
          <w:rFonts w:ascii="Arial" w:hAnsi="Arial" w:cs="Arial"/>
          <w:i/>
          <w:sz w:val="24"/>
          <w:szCs w:val="24"/>
        </w:rPr>
        <w:t>“(…) el éxito de la prosperidad de la pretensión de nulidad del acto de adjudicación, depende fundamentalmente, del acreditamiento del vicio de ilegalidad de este y de la prueba que permita inferir que la propuesta del demandante, estaba emplazada y merecía ser, de acuerdo con los criterios objetivos de selección, la adjudicataria, por cumplir con todos los requisitos de los pliegos de condiciones, que para el efecto se consideran ley del procedimiento de selección (…)”</w:t>
      </w:r>
      <w:r w:rsidRPr="00A87E5D">
        <w:rPr>
          <w:rStyle w:val="Refdenotaalpie"/>
          <w:rFonts w:ascii="Arial" w:hAnsi="Arial" w:cs="Arial"/>
          <w:i/>
          <w:sz w:val="24"/>
          <w:szCs w:val="24"/>
        </w:rPr>
        <w:footnoteReference w:id="34"/>
      </w:r>
      <w:r w:rsidRPr="00A87E5D">
        <w:rPr>
          <w:rFonts w:ascii="Arial" w:hAnsi="Arial" w:cs="Arial"/>
          <w:i/>
          <w:sz w:val="24"/>
          <w:szCs w:val="24"/>
        </w:rPr>
        <w:t xml:space="preserve"> </w:t>
      </w:r>
    </w:p>
    <w:p w:rsidR="001F7ECD" w:rsidRPr="00A87E5D" w:rsidRDefault="001F7ECD" w:rsidP="00A55F5A">
      <w:pPr>
        <w:spacing w:after="0" w:line="360" w:lineRule="auto"/>
        <w:jc w:val="both"/>
        <w:rPr>
          <w:rFonts w:ascii="Arial" w:hAnsi="Arial" w:cs="Arial"/>
          <w:i/>
          <w:sz w:val="24"/>
          <w:szCs w:val="24"/>
        </w:rPr>
      </w:pPr>
    </w:p>
    <w:p w:rsidR="001F7ECD" w:rsidRDefault="001F7ECD" w:rsidP="00A55F5A">
      <w:pPr>
        <w:spacing w:after="0" w:line="360" w:lineRule="auto"/>
        <w:jc w:val="both"/>
        <w:rPr>
          <w:rFonts w:ascii="Arial" w:hAnsi="Arial" w:cs="Arial"/>
          <w:sz w:val="24"/>
          <w:szCs w:val="24"/>
        </w:rPr>
      </w:pPr>
      <w:r w:rsidRPr="00A87E5D">
        <w:rPr>
          <w:rFonts w:ascii="Arial" w:hAnsi="Arial" w:cs="Arial"/>
          <w:sz w:val="24"/>
          <w:szCs w:val="24"/>
        </w:rPr>
        <w:t xml:space="preserve">En congruencia con los específicos cargos de nulidad formulados en el caso que ahora se examina, es preciso advertir que en el caso concreto no se acreditó que la propuesta presentada por el ingeniero Abelardo Zabala Otero, fuera mejor que la </w:t>
      </w:r>
      <w:r w:rsidRPr="00A87E5D">
        <w:rPr>
          <w:rFonts w:ascii="Arial" w:hAnsi="Arial" w:cs="Arial"/>
          <w:sz w:val="24"/>
          <w:szCs w:val="24"/>
        </w:rPr>
        <w:lastRenderedPageBreak/>
        <w:t xml:space="preserve">oferta presentada por la sociedad INGEAC LTDA., la cual a la postre resultó ser la más favorable para la entidad, teniendo en cuenta que era la que ofrecía el más bajo precio;  e igualmente no se acreditó que aquella hubiese incumplido las directrices señaladas en el pliego de condiciones; al igual que no fueron desconocidos los supuestos de fondo, como tampoco fueron acomodadas las cifras, ni se acreditó </w:t>
      </w:r>
      <w:r w:rsidRPr="00A87E5D">
        <w:rPr>
          <w:rFonts w:ascii="Arial" w:hAnsi="Arial" w:cs="Arial"/>
          <w:i/>
          <w:sz w:val="24"/>
          <w:szCs w:val="24"/>
        </w:rPr>
        <w:t>que la adjudicación se hubiese hecho exteriorizando favoritismo</w:t>
      </w:r>
      <w:r w:rsidRPr="00A87E5D">
        <w:rPr>
          <w:rFonts w:ascii="Arial" w:hAnsi="Arial" w:cs="Arial"/>
          <w:sz w:val="24"/>
          <w:szCs w:val="24"/>
        </w:rPr>
        <w:t xml:space="preserve"> por la sociedad INGEAC LTDA, como  manifestó la parte demandante. </w:t>
      </w:r>
    </w:p>
    <w:p w:rsidR="00A87E5D" w:rsidRPr="00A87E5D" w:rsidRDefault="00A87E5D" w:rsidP="00A55F5A">
      <w:pPr>
        <w:spacing w:after="0" w:line="360" w:lineRule="auto"/>
        <w:jc w:val="both"/>
        <w:rPr>
          <w:rFonts w:ascii="Arial" w:hAnsi="Arial" w:cs="Arial"/>
          <w:sz w:val="24"/>
          <w:szCs w:val="24"/>
        </w:rPr>
      </w:pPr>
    </w:p>
    <w:p w:rsidR="001F7ECD" w:rsidRDefault="001F7ECD" w:rsidP="00A55F5A">
      <w:pPr>
        <w:pStyle w:val="NormalWeb"/>
        <w:spacing w:before="0" w:beforeAutospacing="0" w:after="0" w:afterAutospacing="0" w:line="360" w:lineRule="auto"/>
        <w:jc w:val="both"/>
        <w:rPr>
          <w:rFonts w:ascii="Arial" w:hAnsi="Arial" w:cs="Arial"/>
        </w:rPr>
      </w:pPr>
      <w:r w:rsidRPr="00A87E5D">
        <w:rPr>
          <w:rFonts w:ascii="Arial" w:hAnsi="Arial" w:cs="Arial"/>
        </w:rPr>
        <w:t>Antes por el contrario, y así lo confiesa el mismo actor al absolver el interrogatorio de parte</w:t>
      </w:r>
      <w:r w:rsidRPr="00A87E5D">
        <w:rPr>
          <w:rStyle w:val="Refdenotaalpie"/>
          <w:rFonts w:ascii="Arial" w:hAnsi="Arial" w:cs="Arial"/>
        </w:rPr>
        <w:footnoteReference w:id="35"/>
      </w:r>
      <w:r w:rsidRPr="00A87E5D">
        <w:rPr>
          <w:rFonts w:ascii="Arial" w:hAnsi="Arial" w:cs="Arial"/>
        </w:rPr>
        <w:t xml:space="preserve">, que presentó una propuesta el día del cierre de la licitación por valor de $ 154.081.407, la cual “presentaba incongruencias técnicas con respecto al pliego de licitaciones presentado por la Alcaldía del municipio de Bolívar”, alegando que ello se debió a las deficiencias que presentaban los pliegos y que el Alcalde le permitió allegar una nueva propuesta “y en la cual los costos con las rectificaciones técnicas respectivas ascendía a la suma de $ 129.865.621.oo (…) Que el municipio de Bolívar no modificó en ninguno de los aspectos los pliegos de licitación presentados a consideración de los proponentes (…)”. </w:t>
      </w:r>
    </w:p>
    <w:p w:rsidR="00A87E5D" w:rsidRPr="00A87E5D" w:rsidRDefault="00A87E5D" w:rsidP="00A55F5A">
      <w:pPr>
        <w:pStyle w:val="NormalWeb"/>
        <w:spacing w:before="0" w:beforeAutospacing="0" w:after="0" w:afterAutospacing="0" w:line="360" w:lineRule="auto"/>
        <w:jc w:val="both"/>
        <w:rPr>
          <w:rFonts w:ascii="Arial" w:hAnsi="Arial" w:cs="Arial"/>
        </w:rPr>
      </w:pPr>
    </w:p>
    <w:p w:rsidR="001F7ECD" w:rsidRDefault="001F7ECD" w:rsidP="00A55F5A">
      <w:pPr>
        <w:pStyle w:val="NormalWeb"/>
        <w:spacing w:before="0" w:beforeAutospacing="0" w:after="0" w:afterAutospacing="0" w:line="360" w:lineRule="auto"/>
        <w:jc w:val="both"/>
        <w:rPr>
          <w:rFonts w:ascii="Arial" w:hAnsi="Arial" w:cs="Arial"/>
        </w:rPr>
      </w:pPr>
      <w:r w:rsidRPr="00A87E5D">
        <w:rPr>
          <w:rFonts w:ascii="Arial" w:hAnsi="Arial" w:cs="Arial"/>
        </w:rPr>
        <w:t>Con relación a la nueva propuesta presentada por el señor Zabala Otero y a  la cual se ha hecho referencia en el inciso precedente, los peritos designados (Ingenieros Civiles) en este asunto para que absolvieran el cuestionario relacionado a folios 53 a 54 del acápite de pruebas de la demanda, manifiestan con relación a la misma, que aquel se limitó a presentar una serie de “observaciones sobre detalles y costo real, que rebajó el precio del andén pero subió el espesor, disminuye la cantidad de muros de sobre cimientos pero no cambió ni el precio ni las especificaciones…que no encontraron diferencias fundamentales en las dos propuestas que justificaran un análisis comparativo de cada uno de los detalles ITEM por ITEM, tanto en su diseño, en su calidad y técnicas de construcción las cuales tienen obligatoriamente que ser conocidos por todos los profesionales que interesan en esta clase de obras y se deben cumplir a cabalidad (…)”</w:t>
      </w:r>
      <w:r w:rsidRPr="00A87E5D">
        <w:rPr>
          <w:rStyle w:val="Refdenotaalpie"/>
          <w:rFonts w:ascii="Arial" w:hAnsi="Arial" w:cs="Arial"/>
        </w:rPr>
        <w:footnoteReference w:id="36"/>
      </w:r>
      <w:r w:rsidRPr="00A87E5D">
        <w:rPr>
          <w:rFonts w:ascii="Arial" w:hAnsi="Arial" w:cs="Arial"/>
        </w:rPr>
        <w:t>.</w:t>
      </w:r>
    </w:p>
    <w:p w:rsidR="00A87E5D" w:rsidRPr="00A87E5D" w:rsidRDefault="00A87E5D" w:rsidP="00A55F5A">
      <w:pPr>
        <w:pStyle w:val="NormalWeb"/>
        <w:spacing w:before="0" w:beforeAutospacing="0" w:after="0" w:afterAutospacing="0" w:line="360" w:lineRule="auto"/>
        <w:jc w:val="both"/>
        <w:rPr>
          <w:rFonts w:ascii="Arial" w:hAnsi="Arial" w:cs="Arial"/>
        </w:rPr>
      </w:pPr>
    </w:p>
    <w:p w:rsidR="001F7ECD" w:rsidRDefault="001F7ECD" w:rsidP="00A55F5A">
      <w:pPr>
        <w:pStyle w:val="NormalWeb"/>
        <w:spacing w:before="0" w:beforeAutospacing="0" w:after="0" w:afterAutospacing="0" w:line="360" w:lineRule="auto"/>
        <w:jc w:val="both"/>
        <w:rPr>
          <w:rFonts w:ascii="Arial" w:hAnsi="Arial" w:cs="Arial"/>
        </w:rPr>
      </w:pPr>
      <w:r w:rsidRPr="00A87E5D">
        <w:rPr>
          <w:rFonts w:ascii="Arial" w:hAnsi="Arial" w:cs="Arial"/>
        </w:rPr>
        <w:t xml:space="preserve">Obsérvese como se le permite ilegalmente al actor de presentar una nueva propuesta por fuera del límite que tenía para presentarla, sin embargo pese a ello, el actor no logró demostrar que de las dos ofertas propuestas, resultasen más favorable según las especificaciones técnicas del pliego de condiciones a la </w:t>
      </w:r>
      <w:r w:rsidRPr="00A87E5D">
        <w:rPr>
          <w:rFonts w:ascii="Arial" w:hAnsi="Arial" w:cs="Arial"/>
        </w:rPr>
        <w:lastRenderedPageBreak/>
        <w:t>propuesta otorgada por la proponente INGEAC LTDA, y que en últimas resultó adjudicataria de la licitación.</w:t>
      </w:r>
    </w:p>
    <w:p w:rsidR="00A87E5D" w:rsidRPr="00A87E5D" w:rsidRDefault="00A87E5D" w:rsidP="00A55F5A">
      <w:pPr>
        <w:pStyle w:val="NormalWeb"/>
        <w:spacing w:before="0" w:beforeAutospacing="0" w:after="0" w:afterAutospacing="0" w:line="360" w:lineRule="auto"/>
        <w:jc w:val="both"/>
        <w:rPr>
          <w:rFonts w:ascii="Arial" w:hAnsi="Arial" w:cs="Arial"/>
        </w:rPr>
      </w:pPr>
    </w:p>
    <w:p w:rsidR="001F7ECD" w:rsidRDefault="001F7ECD" w:rsidP="00A55F5A">
      <w:pPr>
        <w:spacing w:after="0" w:line="360" w:lineRule="auto"/>
        <w:jc w:val="both"/>
        <w:rPr>
          <w:rFonts w:ascii="Arial" w:hAnsi="Arial" w:cs="Arial"/>
          <w:iCs/>
          <w:sz w:val="24"/>
          <w:szCs w:val="24"/>
          <w:lang w:val="es-CO" w:eastAsia="es-CO"/>
        </w:rPr>
      </w:pPr>
      <w:r w:rsidRPr="00A87E5D">
        <w:rPr>
          <w:rFonts w:ascii="Arial" w:hAnsi="Arial" w:cs="Arial"/>
          <w:iCs/>
          <w:sz w:val="24"/>
          <w:szCs w:val="24"/>
          <w:lang w:val="es-CO" w:eastAsia="es-CO"/>
        </w:rPr>
        <w:t>De los planteamientos anteriores concluye la Sala con absoluta certeza, que el actor no solamente no tenía mejor derecho a la adjudicación de la Licitación que la firma a la que ella fue adjudicada, sino que además no podía ser beneficiado con dicha adjudicación, pues no cumplía los requisitos técnicos y financieros para ello. Tampoco se logró establecer en el proceso que el acto impugnado adolezca de irregularidad alguna constitutiva de causal de nulidad.</w:t>
      </w:r>
    </w:p>
    <w:p w:rsidR="00A87E5D" w:rsidRPr="00A87E5D" w:rsidRDefault="00A87E5D" w:rsidP="00A55F5A">
      <w:pPr>
        <w:spacing w:after="0" w:line="360" w:lineRule="auto"/>
        <w:jc w:val="both"/>
        <w:rPr>
          <w:rFonts w:ascii="Arial" w:hAnsi="Arial" w:cs="Arial"/>
          <w:iCs/>
          <w:sz w:val="24"/>
          <w:szCs w:val="24"/>
          <w:lang w:val="es-CO" w:eastAsia="es-CO"/>
        </w:rPr>
      </w:pPr>
    </w:p>
    <w:p w:rsidR="001F7ECD" w:rsidRPr="00A87E5D" w:rsidRDefault="001F7ECD" w:rsidP="00A55F5A">
      <w:pPr>
        <w:spacing w:after="0" w:line="360" w:lineRule="auto"/>
        <w:jc w:val="both"/>
        <w:rPr>
          <w:rFonts w:ascii="Arial" w:hAnsi="Arial" w:cs="Arial"/>
          <w:iCs/>
          <w:sz w:val="24"/>
          <w:szCs w:val="24"/>
          <w:lang w:val="es-CO" w:eastAsia="es-CO"/>
        </w:rPr>
      </w:pPr>
      <w:r w:rsidRPr="00A87E5D">
        <w:rPr>
          <w:rFonts w:ascii="Arial" w:hAnsi="Arial" w:cs="Arial"/>
          <w:iCs/>
          <w:sz w:val="24"/>
          <w:szCs w:val="24"/>
          <w:lang w:val="es-CO" w:eastAsia="es-CO"/>
        </w:rPr>
        <w:t>En la evaluación de las ofertas el municipio de Bolívar Santander, para efectuar la adjudicación a la firma INGEAC LTDA., solo tuvo en cuenta, entre otros, los siguientes factores: precio, plazo, calidad, seriedad y cumplimiento en contratos anteriores, solvencia económica, capacidad técnica, experiencia y organización de los oferentes.</w:t>
      </w:r>
    </w:p>
    <w:p w:rsidR="001F7ECD" w:rsidRPr="00A87E5D" w:rsidRDefault="001F7ECD" w:rsidP="00A55F5A">
      <w:pPr>
        <w:spacing w:after="0" w:line="360" w:lineRule="auto"/>
        <w:jc w:val="both"/>
        <w:rPr>
          <w:rFonts w:ascii="Arial" w:hAnsi="Arial" w:cs="Arial"/>
          <w:sz w:val="24"/>
          <w:szCs w:val="24"/>
        </w:rPr>
      </w:pPr>
      <w:r w:rsidRPr="00A87E5D">
        <w:rPr>
          <w:rFonts w:ascii="Arial" w:hAnsi="Arial" w:cs="Arial"/>
          <w:sz w:val="24"/>
          <w:szCs w:val="24"/>
        </w:rPr>
        <w:t>A la luz de los lineamientos diseñados por la jurisprudencia de la Sala, correspondía a la parte actora, no solamente probar los cargos de ilegalidad formulados contra el acto administrativo acusado, sino que, adicionalmente, se encontraba en el deber de demostrar que su propuesta se ajustaba en un todo a los requisitos establecidos en el pliego de condiciones y que era la mejor en los aspectos técnicos y financieros, circunstancias que la harían acreedora al derecho de ser la adjudicataria de la Licitación Pública 01 de 1994 y por tanto a la indemnización, cosa que nunca aconteció.</w:t>
      </w:r>
    </w:p>
    <w:p w:rsidR="001F7ECD" w:rsidRPr="00A87E5D" w:rsidRDefault="001F7ECD" w:rsidP="00A55F5A">
      <w:pPr>
        <w:pStyle w:val="Ed"/>
        <w:tabs>
          <w:tab w:val="left" w:pos="720"/>
        </w:tabs>
        <w:spacing w:line="240" w:lineRule="auto"/>
        <w:rPr>
          <w:rFonts w:cs="Arial"/>
          <w:szCs w:val="24"/>
          <w:lang w:val="es-ES"/>
        </w:rPr>
      </w:pPr>
    </w:p>
    <w:p w:rsidR="001F7ECD" w:rsidRPr="00A87E5D" w:rsidRDefault="001F7ECD" w:rsidP="00A55F5A">
      <w:pPr>
        <w:pStyle w:val="Ed"/>
        <w:tabs>
          <w:tab w:val="left" w:pos="720"/>
        </w:tabs>
        <w:spacing w:line="360" w:lineRule="auto"/>
        <w:rPr>
          <w:rFonts w:cs="Arial"/>
          <w:szCs w:val="24"/>
        </w:rPr>
      </w:pPr>
      <w:r w:rsidRPr="00A87E5D">
        <w:rPr>
          <w:rFonts w:cs="Arial"/>
          <w:szCs w:val="24"/>
          <w:lang w:val="es-CO"/>
        </w:rPr>
        <w:t xml:space="preserve">La Sala destaca que </w:t>
      </w:r>
      <w:r w:rsidRPr="00A87E5D">
        <w:rPr>
          <w:rFonts w:cs="Arial"/>
          <w:szCs w:val="24"/>
        </w:rPr>
        <w:t>no cuenta con elementos suficientes que le permitan afirmar que la oferta del demandante hubiese sido la mejor y que, por lo mismo, le correspondía ser preferida en la adjudicación. Por lo anterior se confirmará la sentencia del 12 de septiembre de 2002, proferida por el Tribunal Administrativo de Santander.</w:t>
      </w:r>
    </w:p>
    <w:p w:rsidR="001F7ECD" w:rsidRPr="00A87E5D" w:rsidRDefault="001F7ECD" w:rsidP="00A55F5A">
      <w:pPr>
        <w:pStyle w:val="Sangra2detindependiente2"/>
        <w:spacing w:line="360" w:lineRule="auto"/>
        <w:ind w:left="0"/>
        <w:rPr>
          <w:rFonts w:cs="Arial"/>
          <w:b/>
          <w:szCs w:val="24"/>
        </w:rPr>
      </w:pPr>
    </w:p>
    <w:p w:rsidR="001F7ECD" w:rsidRPr="00A87E5D" w:rsidRDefault="001F7ECD" w:rsidP="00A55F5A">
      <w:pPr>
        <w:pStyle w:val="Sangra2detindependiente2"/>
        <w:spacing w:line="360" w:lineRule="auto"/>
        <w:ind w:left="0"/>
        <w:rPr>
          <w:rFonts w:cs="Arial"/>
          <w:b/>
          <w:szCs w:val="24"/>
        </w:rPr>
      </w:pPr>
      <w:r w:rsidRPr="00A87E5D">
        <w:rPr>
          <w:rFonts w:cs="Arial"/>
          <w:b/>
          <w:szCs w:val="24"/>
        </w:rPr>
        <w:t xml:space="preserve">5. condena en costas. </w:t>
      </w:r>
    </w:p>
    <w:p w:rsidR="001F7ECD" w:rsidRPr="00A87E5D" w:rsidRDefault="001F7ECD" w:rsidP="00A55F5A">
      <w:pPr>
        <w:spacing w:after="0" w:line="360" w:lineRule="auto"/>
        <w:jc w:val="both"/>
        <w:rPr>
          <w:rFonts w:ascii="Arial" w:hAnsi="Arial" w:cs="Arial"/>
          <w:sz w:val="24"/>
          <w:szCs w:val="24"/>
          <w:highlight w:val="lightGray"/>
        </w:rPr>
      </w:pPr>
    </w:p>
    <w:p w:rsidR="001F7ECD" w:rsidRPr="00A87E5D" w:rsidRDefault="001F7ECD" w:rsidP="00A55F5A">
      <w:pPr>
        <w:spacing w:after="0" w:line="360" w:lineRule="auto"/>
        <w:jc w:val="both"/>
        <w:rPr>
          <w:rFonts w:ascii="Arial" w:hAnsi="Arial" w:cs="Arial"/>
          <w:bCs/>
          <w:sz w:val="24"/>
          <w:szCs w:val="24"/>
        </w:rPr>
      </w:pPr>
      <w:r w:rsidRPr="00A87E5D">
        <w:rPr>
          <w:rFonts w:ascii="Arial" w:hAnsi="Arial" w:cs="Arial"/>
          <w:bCs/>
          <w:sz w:val="24"/>
          <w:szCs w:val="24"/>
        </w:rPr>
        <w:t xml:space="preserve">Habida cuenta que para el momento en que se dicta este fallo, el artículo 55 de la Ley 446 de 1998 indica que sólo hay lugar a la imposición de costas cuando alguna de las partes hubiere actuado temerariamente y, en el </w:t>
      </w:r>
      <w:r w:rsidRPr="00A87E5D">
        <w:rPr>
          <w:rFonts w:ascii="Arial" w:hAnsi="Arial" w:cs="Arial"/>
          <w:bCs/>
          <w:i/>
          <w:iCs/>
          <w:sz w:val="24"/>
          <w:szCs w:val="24"/>
        </w:rPr>
        <w:t>sub lite</w:t>
      </w:r>
      <w:r w:rsidRPr="00A87E5D">
        <w:rPr>
          <w:rFonts w:ascii="Arial" w:hAnsi="Arial" w:cs="Arial"/>
          <w:bCs/>
          <w:sz w:val="24"/>
          <w:szCs w:val="24"/>
        </w:rPr>
        <w:t>, ninguna actuó de esa forma, en el presente asunto no habrá lugar a imponerlas.</w:t>
      </w:r>
    </w:p>
    <w:p w:rsidR="001F7ECD" w:rsidRPr="00A87E5D" w:rsidRDefault="001F7ECD" w:rsidP="00A55F5A">
      <w:pPr>
        <w:pStyle w:val="Textoindependiente22"/>
        <w:numPr>
          <w:ilvl w:val="12"/>
          <w:numId w:val="0"/>
        </w:numPr>
        <w:overflowPunct/>
        <w:autoSpaceDE/>
        <w:autoSpaceDN/>
        <w:adjustRightInd/>
        <w:textAlignment w:val="auto"/>
        <w:rPr>
          <w:rFonts w:cs="Arial"/>
          <w:szCs w:val="24"/>
        </w:rPr>
      </w:pPr>
    </w:p>
    <w:p w:rsidR="001F7ECD" w:rsidRPr="00A87E5D" w:rsidRDefault="001F7ECD" w:rsidP="00A55F5A">
      <w:pPr>
        <w:pStyle w:val="Textoindependiente25"/>
        <w:numPr>
          <w:ilvl w:val="12"/>
          <w:numId w:val="0"/>
        </w:numPr>
        <w:overflowPunct/>
        <w:autoSpaceDE/>
        <w:autoSpaceDN/>
        <w:adjustRightInd/>
        <w:textAlignment w:val="auto"/>
        <w:rPr>
          <w:rFonts w:ascii="Arial" w:hAnsi="Arial" w:cs="Arial"/>
          <w:sz w:val="24"/>
          <w:szCs w:val="24"/>
          <w:lang w:val="es-CO"/>
        </w:rPr>
      </w:pPr>
      <w:r w:rsidRPr="00A87E5D">
        <w:rPr>
          <w:rFonts w:ascii="Arial" w:hAnsi="Arial" w:cs="Arial"/>
          <w:sz w:val="24"/>
          <w:szCs w:val="24"/>
          <w:lang w:val="es-CO"/>
        </w:rPr>
        <w:lastRenderedPageBreak/>
        <w:t>En mérito de lo expuesto, el Consejo de Estado, en Sala de lo Contencioso Administrativo, Sección Tercera, Subsección “C”, administrando justicia en nombre de la República y por autoridad de la ley,</w:t>
      </w:r>
    </w:p>
    <w:p w:rsidR="001F7ECD" w:rsidRPr="00A87E5D" w:rsidRDefault="001F7ECD" w:rsidP="00A55F5A">
      <w:pPr>
        <w:pStyle w:val="Textoindependiente25"/>
        <w:numPr>
          <w:ilvl w:val="12"/>
          <w:numId w:val="0"/>
        </w:numPr>
        <w:overflowPunct/>
        <w:autoSpaceDE/>
        <w:autoSpaceDN/>
        <w:adjustRightInd/>
        <w:textAlignment w:val="auto"/>
        <w:rPr>
          <w:rFonts w:ascii="Arial" w:hAnsi="Arial" w:cs="Arial"/>
          <w:sz w:val="24"/>
          <w:szCs w:val="24"/>
          <w:lang w:val="es-CO"/>
        </w:rPr>
      </w:pPr>
    </w:p>
    <w:p w:rsidR="001F7ECD" w:rsidRPr="00A87E5D" w:rsidRDefault="001F7ECD" w:rsidP="00A55F5A">
      <w:pPr>
        <w:pStyle w:val="Textoindependiente25"/>
        <w:numPr>
          <w:ilvl w:val="12"/>
          <w:numId w:val="0"/>
        </w:numPr>
        <w:overflowPunct/>
        <w:autoSpaceDE/>
        <w:autoSpaceDN/>
        <w:adjustRightInd/>
        <w:jc w:val="center"/>
        <w:textAlignment w:val="auto"/>
        <w:rPr>
          <w:rFonts w:ascii="Arial" w:hAnsi="Arial" w:cs="Arial"/>
          <w:b/>
          <w:sz w:val="24"/>
          <w:szCs w:val="24"/>
          <w:lang w:val="es-CO"/>
        </w:rPr>
      </w:pPr>
      <w:r w:rsidRPr="00A87E5D">
        <w:rPr>
          <w:rFonts w:ascii="Arial" w:hAnsi="Arial" w:cs="Arial"/>
          <w:b/>
          <w:sz w:val="24"/>
          <w:szCs w:val="24"/>
          <w:lang w:val="es-CO"/>
        </w:rPr>
        <w:t>FALLA</w:t>
      </w:r>
    </w:p>
    <w:p w:rsidR="001F7ECD" w:rsidRPr="00A87E5D" w:rsidRDefault="001F7ECD" w:rsidP="00A55F5A">
      <w:pPr>
        <w:pStyle w:val="Ed"/>
        <w:tabs>
          <w:tab w:val="left" w:pos="720"/>
        </w:tabs>
        <w:spacing w:line="360" w:lineRule="auto"/>
        <w:rPr>
          <w:rFonts w:cs="Arial"/>
          <w:szCs w:val="24"/>
        </w:rPr>
      </w:pPr>
      <w:r w:rsidRPr="00A87E5D">
        <w:rPr>
          <w:rFonts w:cs="Arial"/>
          <w:b/>
          <w:bCs/>
          <w:szCs w:val="24"/>
        </w:rPr>
        <w:t xml:space="preserve">PRIMERO: CONFIRMAR </w:t>
      </w:r>
      <w:r w:rsidRPr="00A87E5D">
        <w:rPr>
          <w:rFonts w:cs="Arial"/>
          <w:szCs w:val="24"/>
        </w:rPr>
        <w:t>la sentencia proferida el sentencia del 12 de septiembre de 2002, proferida por el Tribunal Administrativo de Santander, de conformidad con los argumentos expuestos a lo largo de esta providencia.</w:t>
      </w:r>
    </w:p>
    <w:p w:rsidR="001F7ECD" w:rsidRPr="00A87E5D" w:rsidRDefault="001F7ECD" w:rsidP="00A55F5A">
      <w:pPr>
        <w:spacing w:after="0" w:line="360" w:lineRule="auto"/>
        <w:jc w:val="both"/>
        <w:rPr>
          <w:rFonts w:ascii="Arial" w:hAnsi="Arial" w:cs="Arial"/>
          <w:sz w:val="24"/>
          <w:szCs w:val="24"/>
          <w:lang w:val="es-CO"/>
        </w:rPr>
      </w:pPr>
    </w:p>
    <w:p w:rsidR="001F7ECD" w:rsidRPr="00A87E5D" w:rsidRDefault="001F7ECD" w:rsidP="00A55F5A">
      <w:pPr>
        <w:widowControl w:val="0"/>
        <w:autoSpaceDE w:val="0"/>
        <w:autoSpaceDN w:val="0"/>
        <w:adjustRightInd w:val="0"/>
        <w:spacing w:after="0" w:line="360" w:lineRule="auto"/>
        <w:jc w:val="both"/>
        <w:outlineLvl w:val="0"/>
        <w:rPr>
          <w:rFonts w:ascii="Arial" w:hAnsi="Arial" w:cs="Arial"/>
          <w:sz w:val="24"/>
          <w:szCs w:val="24"/>
        </w:rPr>
      </w:pPr>
      <w:r w:rsidRPr="00A87E5D">
        <w:rPr>
          <w:rFonts w:ascii="Arial" w:hAnsi="Arial" w:cs="Arial"/>
          <w:b/>
          <w:sz w:val="24"/>
          <w:szCs w:val="24"/>
        </w:rPr>
        <w:t xml:space="preserve">SEGUNDO.- </w:t>
      </w:r>
      <w:r w:rsidRPr="00A87E5D">
        <w:rPr>
          <w:rFonts w:ascii="Arial" w:hAnsi="Arial" w:cs="Arial"/>
          <w:sz w:val="24"/>
          <w:szCs w:val="24"/>
        </w:rPr>
        <w:t>Sin condena en costas.</w:t>
      </w:r>
    </w:p>
    <w:p w:rsidR="001F7ECD" w:rsidRPr="00A87E5D" w:rsidRDefault="001F7ECD" w:rsidP="00A55F5A">
      <w:pPr>
        <w:widowControl w:val="0"/>
        <w:autoSpaceDE w:val="0"/>
        <w:autoSpaceDN w:val="0"/>
        <w:adjustRightInd w:val="0"/>
        <w:spacing w:after="0" w:line="360" w:lineRule="auto"/>
        <w:jc w:val="both"/>
        <w:rPr>
          <w:rFonts w:ascii="Arial" w:hAnsi="Arial" w:cs="Arial"/>
          <w:b/>
          <w:sz w:val="24"/>
          <w:szCs w:val="24"/>
        </w:rPr>
      </w:pPr>
    </w:p>
    <w:p w:rsidR="001F7ECD" w:rsidRPr="00A87E5D" w:rsidRDefault="001F7ECD" w:rsidP="00A55F5A">
      <w:pPr>
        <w:widowControl w:val="0"/>
        <w:autoSpaceDE w:val="0"/>
        <w:autoSpaceDN w:val="0"/>
        <w:adjustRightInd w:val="0"/>
        <w:spacing w:after="0" w:line="360" w:lineRule="auto"/>
        <w:jc w:val="both"/>
        <w:rPr>
          <w:rFonts w:ascii="Arial" w:hAnsi="Arial" w:cs="Arial"/>
          <w:b/>
          <w:sz w:val="24"/>
          <w:szCs w:val="24"/>
        </w:rPr>
      </w:pPr>
      <w:r w:rsidRPr="00A87E5D">
        <w:rPr>
          <w:rFonts w:ascii="Arial" w:hAnsi="Arial" w:cs="Arial"/>
          <w:b/>
          <w:sz w:val="24"/>
          <w:szCs w:val="24"/>
        </w:rPr>
        <w:t xml:space="preserve">TERCERO.- </w:t>
      </w:r>
      <w:r w:rsidRPr="00A87E5D">
        <w:rPr>
          <w:rFonts w:ascii="Arial" w:hAnsi="Arial" w:cs="Arial"/>
          <w:sz w:val="24"/>
          <w:szCs w:val="24"/>
        </w:rPr>
        <w:t>En firme esta providencia, devuélvase el expediente al Tribunal de origen.</w:t>
      </w:r>
    </w:p>
    <w:p w:rsidR="00A87E5D" w:rsidRPr="00A87E5D" w:rsidRDefault="00A87E5D" w:rsidP="00A55F5A">
      <w:pPr>
        <w:pStyle w:val="Textoindependiente"/>
        <w:tabs>
          <w:tab w:val="left" w:pos="851"/>
        </w:tabs>
        <w:spacing w:line="360" w:lineRule="auto"/>
        <w:ind w:right="0"/>
        <w:rPr>
          <w:rFonts w:ascii="Arial" w:hAnsi="Arial" w:cs="Arial"/>
          <w:sz w:val="24"/>
          <w:lang w:val="es-CO" w:eastAsia="es-CO"/>
        </w:rPr>
      </w:pPr>
    </w:p>
    <w:p w:rsidR="001F7ECD" w:rsidRPr="00A87E5D" w:rsidRDefault="001F7ECD" w:rsidP="00A55F5A">
      <w:pPr>
        <w:pStyle w:val="Textoindependiente"/>
        <w:tabs>
          <w:tab w:val="left" w:pos="851"/>
        </w:tabs>
        <w:spacing w:line="360" w:lineRule="auto"/>
        <w:ind w:right="0"/>
        <w:rPr>
          <w:rFonts w:ascii="Arial" w:hAnsi="Arial" w:cs="Arial"/>
          <w:b/>
          <w:sz w:val="24"/>
          <w:lang w:val="es-ES_tradnl"/>
        </w:rPr>
      </w:pPr>
    </w:p>
    <w:p w:rsidR="001F7ECD" w:rsidRPr="00A87E5D" w:rsidRDefault="001F7ECD" w:rsidP="00597D64">
      <w:pPr>
        <w:pStyle w:val="Textoindependiente"/>
        <w:tabs>
          <w:tab w:val="left" w:pos="851"/>
        </w:tabs>
        <w:ind w:right="0"/>
        <w:jc w:val="center"/>
        <w:rPr>
          <w:rFonts w:ascii="Arial" w:hAnsi="Arial" w:cs="Arial"/>
          <w:b/>
          <w:sz w:val="24"/>
          <w:lang w:val="es-ES_tradnl"/>
        </w:rPr>
      </w:pPr>
      <w:r w:rsidRPr="00A87E5D">
        <w:rPr>
          <w:rFonts w:ascii="Arial" w:hAnsi="Arial" w:cs="Arial"/>
          <w:b/>
          <w:sz w:val="24"/>
          <w:lang w:val="es-ES_tradnl"/>
        </w:rPr>
        <w:t>CÓPIESE, NOTIFÍQUESE Y CÚMPLASE</w:t>
      </w:r>
    </w:p>
    <w:p w:rsidR="00A87E5D" w:rsidRDefault="00A87E5D" w:rsidP="00597D64">
      <w:pPr>
        <w:pStyle w:val="Ttulo2"/>
        <w:spacing w:line="240" w:lineRule="auto"/>
        <w:rPr>
          <w:rFonts w:ascii="Arial" w:hAnsi="Arial" w:cs="Arial"/>
          <w:sz w:val="24"/>
          <w:szCs w:val="24"/>
        </w:rPr>
      </w:pPr>
    </w:p>
    <w:p w:rsidR="004469A5" w:rsidRPr="004469A5" w:rsidRDefault="004469A5" w:rsidP="00597D64">
      <w:pPr>
        <w:spacing w:after="0" w:line="240" w:lineRule="auto"/>
        <w:jc w:val="center"/>
        <w:rPr>
          <w:lang w:val="es-ES_tradnl" w:eastAsia="es-ES"/>
        </w:rPr>
      </w:pPr>
    </w:p>
    <w:p w:rsidR="00A87E5D" w:rsidRDefault="00A87E5D" w:rsidP="00597D64">
      <w:pPr>
        <w:pStyle w:val="Ttulo2"/>
        <w:spacing w:line="240" w:lineRule="auto"/>
        <w:rPr>
          <w:rFonts w:ascii="Arial" w:hAnsi="Arial" w:cs="Arial"/>
          <w:sz w:val="24"/>
          <w:szCs w:val="24"/>
        </w:rPr>
      </w:pPr>
    </w:p>
    <w:p w:rsidR="00A87E5D" w:rsidRDefault="00A87E5D" w:rsidP="00597D64">
      <w:pPr>
        <w:pStyle w:val="Ttulo2"/>
        <w:spacing w:line="240" w:lineRule="auto"/>
        <w:rPr>
          <w:rFonts w:ascii="Arial" w:hAnsi="Arial" w:cs="Arial"/>
          <w:sz w:val="24"/>
          <w:szCs w:val="24"/>
        </w:rPr>
      </w:pPr>
    </w:p>
    <w:p w:rsidR="001F7ECD" w:rsidRPr="00A87E5D" w:rsidRDefault="001F7ECD" w:rsidP="00597D64">
      <w:pPr>
        <w:pStyle w:val="Ttulo2"/>
        <w:spacing w:line="240" w:lineRule="auto"/>
        <w:rPr>
          <w:rFonts w:ascii="Arial" w:hAnsi="Arial" w:cs="Arial"/>
          <w:sz w:val="24"/>
          <w:szCs w:val="24"/>
        </w:rPr>
      </w:pPr>
      <w:r w:rsidRPr="00A87E5D">
        <w:rPr>
          <w:rFonts w:ascii="Arial" w:hAnsi="Arial" w:cs="Arial"/>
          <w:sz w:val="24"/>
          <w:szCs w:val="24"/>
        </w:rPr>
        <w:t>JAIME ORLANDO SANTOFIMIO GAMBOA</w:t>
      </w:r>
    </w:p>
    <w:p w:rsidR="001F7ECD" w:rsidRPr="00A87E5D" w:rsidRDefault="001F7ECD" w:rsidP="00597D64">
      <w:pPr>
        <w:spacing w:after="0" w:line="240" w:lineRule="auto"/>
        <w:jc w:val="center"/>
        <w:rPr>
          <w:rFonts w:ascii="Arial" w:hAnsi="Arial" w:cs="Arial"/>
          <w:b/>
          <w:sz w:val="24"/>
          <w:szCs w:val="24"/>
        </w:rPr>
      </w:pPr>
      <w:r w:rsidRPr="00A87E5D">
        <w:rPr>
          <w:rFonts w:ascii="Arial" w:hAnsi="Arial" w:cs="Arial"/>
          <w:b/>
          <w:sz w:val="24"/>
          <w:szCs w:val="24"/>
        </w:rPr>
        <w:t>Presidente de la Sala</w:t>
      </w:r>
    </w:p>
    <w:p w:rsidR="001F7ECD" w:rsidRPr="00A87E5D" w:rsidRDefault="001F7ECD" w:rsidP="004469A5">
      <w:pPr>
        <w:spacing w:after="0" w:line="240" w:lineRule="auto"/>
        <w:jc w:val="center"/>
        <w:rPr>
          <w:rFonts w:ascii="Arial" w:hAnsi="Arial" w:cs="Arial"/>
          <w:b/>
          <w:sz w:val="24"/>
          <w:szCs w:val="24"/>
        </w:rPr>
      </w:pPr>
    </w:p>
    <w:p w:rsidR="001F7ECD" w:rsidRPr="00A87E5D" w:rsidRDefault="001F7ECD" w:rsidP="004469A5">
      <w:pPr>
        <w:spacing w:after="0" w:line="240" w:lineRule="auto"/>
        <w:jc w:val="center"/>
        <w:rPr>
          <w:rFonts w:ascii="Arial" w:hAnsi="Arial" w:cs="Arial"/>
          <w:b/>
          <w:sz w:val="24"/>
          <w:szCs w:val="24"/>
        </w:rPr>
      </w:pPr>
    </w:p>
    <w:p w:rsidR="001F7ECD" w:rsidRDefault="001F7ECD" w:rsidP="004469A5">
      <w:pPr>
        <w:spacing w:after="0" w:line="240" w:lineRule="auto"/>
        <w:jc w:val="center"/>
        <w:rPr>
          <w:rFonts w:ascii="Arial" w:hAnsi="Arial" w:cs="Arial"/>
          <w:b/>
          <w:sz w:val="24"/>
          <w:szCs w:val="24"/>
        </w:rPr>
      </w:pPr>
    </w:p>
    <w:p w:rsidR="004469A5" w:rsidRPr="00A87E5D" w:rsidRDefault="004469A5" w:rsidP="004469A5">
      <w:pPr>
        <w:spacing w:after="0" w:line="240" w:lineRule="auto"/>
        <w:jc w:val="center"/>
        <w:rPr>
          <w:rFonts w:ascii="Arial" w:hAnsi="Arial" w:cs="Arial"/>
          <w:b/>
          <w:sz w:val="24"/>
          <w:szCs w:val="24"/>
        </w:rPr>
      </w:pPr>
    </w:p>
    <w:p w:rsidR="001F7ECD" w:rsidRPr="00A87E5D" w:rsidRDefault="001F7ECD" w:rsidP="004469A5">
      <w:pPr>
        <w:spacing w:after="0" w:line="240" w:lineRule="auto"/>
        <w:jc w:val="center"/>
        <w:rPr>
          <w:rFonts w:ascii="Arial" w:hAnsi="Arial" w:cs="Arial"/>
          <w:b/>
          <w:sz w:val="24"/>
          <w:szCs w:val="24"/>
        </w:rPr>
      </w:pPr>
      <w:r w:rsidRPr="00A87E5D">
        <w:rPr>
          <w:rFonts w:ascii="Arial" w:hAnsi="Arial" w:cs="Arial"/>
          <w:b/>
          <w:sz w:val="24"/>
          <w:szCs w:val="24"/>
        </w:rPr>
        <w:t>ENRIQUE GIL BOTERO</w:t>
      </w:r>
    </w:p>
    <w:p w:rsidR="001F7ECD" w:rsidRPr="00A87E5D" w:rsidRDefault="001F7ECD" w:rsidP="004469A5">
      <w:pPr>
        <w:spacing w:after="0" w:line="240" w:lineRule="auto"/>
        <w:jc w:val="center"/>
        <w:rPr>
          <w:rFonts w:ascii="Arial" w:hAnsi="Arial" w:cs="Arial"/>
          <w:b/>
          <w:sz w:val="24"/>
          <w:szCs w:val="24"/>
        </w:rPr>
      </w:pPr>
    </w:p>
    <w:p w:rsidR="001F7ECD" w:rsidRPr="00A87E5D" w:rsidRDefault="001F7ECD" w:rsidP="004469A5">
      <w:pPr>
        <w:spacing w:after="0" w:line="240" w:lineRule="auto"/>
        <w:jc w:val="center"/>
        <w:rPr>
          <w:rFonts w:ascii="Arial" w:hAnsi="Arial" w:cs="Arial"/>
          <w:b/>
          <w:sz w:val="24"/>
          <w:szCs w:val="24"/>
        </w:rPr>
      </w:pPr>
    </w:p>
    <w:p w:rsidR="001F7ECD" w:rsidRDefault="001F7ECD" w:rsidP="004469A5">
      <w:pPr>
        <w:spacing w:after="0" w:line="240" w:lineRule="auto"/>
        <w:jc w:val="center"/>
        <w:rPr>
          <w:rFonts w:ascii="Arial" w:hAnsi="Arial" w:cs="Arial"/>
          <w:b/>
          <w:sz w:val="24"/>
          <w:szCs w:val="24"/>
        </w:rPr>
      </w:pPr>
    </w:p>
    <w:p w:rsidR="004469A5" w:rsidRPr="00A87E5D" w:rsidRDefault="004469A5" w:rsidP="004469A5">
      <w:pPr>
        <w:spacing w:after="0" w:line="240" w:lineRule="auto"/>
        <w:jc w:val="center"/>
        <w:rPr>
          <w:rFonts w:ascii="Arial" w:hAnsi="Arial" w:cs="Arial"/>
          <w:b/>
          <w:sz w:val="24"/>
          <w:szCs w:val="24"/>
        </w:rPr>
      </w:pPr>
    </w:p>
    <w:p w:rsidR="001F7ECD" w:rsidRPr="00A87E5D" w:rsidRDefault="001F7ECD" w:rsidP="004469A5">
      <w:pPr>
        <w:spacing w:after="0" w:line="240" w:lineRule="auto"/>
        <w:jc w:val="center"/>
        <w:rPr>
          <w:rFonts w:ascii="Arial" w:hAnsi="Arial" w:cs="Arial"/>
          <w:b/>
          <w:sz w:val="24"/>
          <w:szCs w:val="24"/>
        </w:rPr>
      </w:pPr>
      <w:r w:rsidRPr="00A87E5D">
        <w:rPr>
          <w:rFonts w:ascii="Arial" w:hAnsi="Arial" w:cs="Arial"/>
          <w:b/>
          <w:sz w:val="24"/>
          <w:szCs w:val="24"/>
        </w:rPr>
        <w:t>OLGA MÉLIDA VALLE DE DE LA HOZ</w:t>
      </w:r>
    </w:p>
    <w:sectPr w:rsidR="001F7ECD" w:rsidRPr="00A87E5D" w:rsidSect="00A87E5D">
      <w:pgSz w:w="12242" w:h="18722" w:code="120"/>
      <w:pgMar w:top="1701" w:right="1701" w:bottom="1701" w:left="1701" w:header="0"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7F1" w:rsidRDefault="000007F1" w:rsidP="001F7ECD">
      <w:pPr>
        <w:spacing w:after="0" w:line="240" w:lineRule="auto"/>
      </w:pPr>
      <w:r>
        <w:separator/>
      </w:r>
    </w:p>
  </w:endnote>
  <w:endnote w:type="continuationSeparator" w:id="0">
    <w:p w:rsidR="000007F1" w:rsidRDefault="000007F1" w:rsidP="001F7E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Liberation Serif">
    <w:altName w:val="Times New Roman"/>
    <w:charset w:val="00"/>
    <w:family w:val="roman"/>
    <w:pitch w:val="variable"/>
  </w:font>
  <w:font w:name="DejaVu Sans">
    <w:charset w:val="00"/>
    <w:family w:val="swiss"/>
    <w:pitch w:val="variable"/>
    <w:sig w:usb0="E7002EFF" w:usb1="D200FDFF" w:usb2="0A046029" w:usb3="00000000" w:csb0="000001FF" w:csb1="00000000"/>
  </w:font>
  <w:font w:name="Courier New">
    <w:panose1 w:val="02070309020205020404"/>
    <w:charset w:val="00"/>
    <w:family w:val="modern"/>
    <w:pitch w:val="fixed"/>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7F1" w:rsidRDefault="000007F1" w:rsidP="001F7ECD">
      <w:pPr>
        <w:spacing w:after="0" w:line="240" w:lineRule="auto"/>
      </w:pPr>
      <w:r>
        <w:separator/>
      </w:r>
    </w:p>
  </w:footnote>
  <w:footnote w:type="continuationSeparator" w:id="0">
    <w:p w:rsidR="000007F1" w:rsidRDefault="000007F1" w:rsidP="001F7ECD">
      <w:pPr>
        <w:spacing w:after="0" w:line="240" w:lineRule="auto"/>
      </w:pPr>
      <w:r>
        <w:continuationSeparator/>
      </w:r>
    </w:p>
  </w:footnote>
  <w:footnote w:id="1">
    <w:p w:rsidR="001F7ECD" w:rsidRPr="0007285B" w:rsidRDefault="001F7ECD">
      <w:pPr>
        <w:pStyle w:val="Textonotapie"/>
        <w:rPr>
          <w:rFonts w:ascii="Arial" w:hAnsi="Arial" w:cs="Arial"/>
          <w:sz w:val="16"/>
          <w:szCs w:val="16"/>
        </w:rPr>
      </w:pPr>
      <w:r w:rsidRPr="0007285B">
        <w:rPr>
          <w:rStyle w:val="Refdenotaalpie"/>
          <w:rFonts w:ascii="Arial" w:hAnsi="Arial" w:cs="Arial"/>
          <w:sz w:val="16"/>
          <w:szCs w:val="16"/>
        </w:rPr>
        <w:footnoteRef/>
      </w:r>
      <w:r w:rsidRPr="0007285B">
        <w:rPr>
          <w:rFonts w:ascii="Arial" w:hAnsi="Arial" w:cs="Arial"/>
          <w:sz w:val="16"/>
          <w:szCs w:val="16"/>
        </w:rPr>
        <w:t xml:space="preserve"> Fls 90 y 91. C. 1.</w:t>
      </w:r>
    </w:p>
  </w:footnote>
  <w:footnote w:id="2">
    <w:p w:rsidR="001F7ECD" w:rsidRPr="0007285B" w:rsidRDefault="001F7ECD" w:rsidP="005E7636">
      <w:pPr>
        <w:pStyle w:val="Textonotapie"/>
        <w:rPr>
          <w:rFonts w:ascii="Arial" w:hAnsi="Arial" w:cs="Arial"/>
          <w:sz w:val="16"/>
          <w:szCs w:val="16"/>
        </w:rPr>
      </w:pPr>
      <w:r w:rsidRPr="0007285B">
        <w:rPr>
          <w:rStyle w:val="Refdenotaalpie"/>
          <w:rFonts w:ascii="Arial" w:hAnsi="Arial" w:cs="Arial"/>
          <w:sz w:val="16"/>
          <w:szCs w:val="16"/>
        </w:rPr>
        <w:footnoteRef/>
      </w:r>
      <w:r w:rsidRPr="0007285B">
        <w:rPr>
          <w:rFonts w:ascii="Arial" w:hAnsi="Arial" w:cs="Arial"/>
          <w:sz w:val="16"/>
          <w:szCs w:val="16"/>
        </w:rPr>
        <w:t xml:space="preserve"> Fls 152 a 154, ib.</w:t>
      </w:r>
    </w:p>
  </w:footnote>
  <w:footnote w:id="3">
    <w:p w:rsidR="001F7ECD" w:rsidRPr="00B71D86" w:rsidRDefault="001F7ECD">
      <w:pPr>
        <w:pStyle w:val="Textonotapie"/>
        <w:rPr>
          <w:rFonts w:ascii="Arial" w:hAnsi="Arial" w:cs="Arial"/>
          <w:sz w:val="16"/>
          <w:szCs w:val="16"/>
          <w:lang w:val="en-US"/>
        </w:rPr>
      </w:pPr>
      <w:r w:rsidRPr="0007285B">
        <w:rPr>
          <w:rStyle w:val="Refdenotaalpie"/>
          <w:rFonts w:ascii="Arial" w:hAnsi="Arial" w:cs="Arial"/>
          <w:sz w:val="16"/>
          <w:szCs w:val="16"/>
        </w:rPr>
        <w:footnoteRef/>
      </w:r>
      <w:r w:rsidRPr="00B71D86">
        <w:rPr>
          <w:rFonts w:ascii="Arial" w:hAnsi="Arial" w:cs="Arial"/>
          <w:sz w:val="16"/>
          <w:szCs w:val="16"/>
          <w:lang w:val="en-US"/>
        </w:rPr>
        <w:t xml:space="preserve"> Fls 172 a 175,ib.</w:t>
      </w:r>
    </w:p>
  </w:footnote>
  <w:footnote w:id="4">
    <w:p w:rsidR="001F7ECD" w:rsidRPr="00B71D86" w:rsidRDefault="001F7ECD">
      <w:pPr>
        <w:pStyle w:val="Textonotapie"/>
        <w:rPr>
          <w:rFonts w:ascii="Arial" w:hAnsi="Arial" w:cs="Arial"/>
          <w:sz w:val="16"/>
          <w:szCs w:val="16"/>
          <w:lang w:val="en-US"/>
        </w:rPr>
      </w:pPr>
      <w:r w:rsidRPr="00B34F44">
        <w:rPr>
          <w:rStyle w:val="Refdenotaalpie"/>
          <w:rFonts w:ascii="Arial" w:hAnsi="Arial" w:cs="Arial"/>
          <w:sz w:val="16"/>
          <w:szCs w:val="16"/>
        </w:rPr>
        <w:footnoteRef/>
      </w:r>
      <w:r w:rsidRPr="00B71D86">
        <w:rPr>
          <w:rFonts w:ascii="Arial" w:hAnsi="Arial" w:cs="Arial"/>
          <w:sz w:val="16"/>
          <w:szCs w:val="16"/>
          <w:lang w:val="en-US"/>
        </w:rPr>
        <w:t xml:space="preserve"> Fl 381, ib.</w:t>
      </w:r>
    </w:p>
  </w:footnote>
  <w:footnote w:id="5">
    <w:p w:rsidR="001F7ECD" w:rsidRPr="00B71D86" w:rsidRDefault="001F7ECD">
      <w:pPr>
        <w:pStyle w:val="Textonotapie"/>
        <w:rPr>
          <w:rFonts w:ascii="Arial" w:hAnsi="Arial" w:cs="Arial"/>
          <w:sz w:val="16"/>
          <w:szCs w:val="16"/>
          <w:lang w:val="en-US"/>
        </w:rPr>
      </w:pPr>
      <w:r w:rsidRPr="00B34F44">
        <w:rPr>
          <w:rStyle w:val="Refdenotaalpie"/>
          <w:rFonts w:ascii="Arial" w:hAnsi="Arial" w:cs="Arial"/>
          <w:sz w:val="16"/>
          <w:szCs w:val="16"/>
        </w:rPr>
        <w:footnoteRef/>
      </w:r>
      <w:r w:rsidRPr="00B71D86">
        <w:rPr>
          <w:rFonts w:ascii="Arial" w:hAnsi="Arial" w:cs="Arial"/>
          <w:sz w:val="16"/>
          <w:szCs w:val="16"/>
          <w:lang w:val="en-US"/>
        </w:rPr>
        <w:t xml:space="preserve"> Fls 101 a 110, ib.</w:t>
      </w:r>
    </w:p>
  </w:footnote>
  <w:footnote w:id="6">
    <w:p w:rsidR="001F7ECD" w:rsidRPr="00421C41" w:rsidRDefault="001F7ECD">
      <w:pPr>
        <w:pStyle w:val="Textonotapie"/>
        <w:rPr>
          <w:rFonts w:ascii="Arial" w:hAnsi="Arial" w:cs="Arial"/>
          <w:sz w:val="16"/>
          <w:szCs w:val="16"/>
        </w:rPr>
      </w:pPr>
      <w:r w:rsidRPr="00421C41">
        <w:rPr>
          <w:rStyle w:val="Refdenotaalpie"/>
          <w:rFonts w:ascii="Arial" w:hAnsi="Arial" w:cs="Arial"/>
          <w:sz w:val="16"/>
          <w:szCs w:val="16"/>
        </w:rPr>
        <w:footnoteRef/>
      </w:r>
      <w:r w:rsidRPr="00421C41">
        <w:rPr>
          <w:rFonts w:ascii="Arial" w:hAnsi="Arial" w:cs="Arial"/>
          <w:sz w:val="16"/>
          <w:szCs w:val="16"/>
        </w:rPr>
        <w:t xml:space="preserve"> Fls 161 a 164, ib.</w:t>
      </w:r>
    </w:p>
  </w:footnote>
  <w:footnote w:id="7">
    <w:p w:rsidR="001F7ECD" w:rsidRPr="002E674B" w:rsidRDefault="001F7ECD">
      <w:pPr>
        <w:pStyle w:val="Textonotapie"/>
        <w:rPr>
          <w:rFonts w:ascii="Arial" w:hAnsi="Arial" w:cs="Arial"/>
          <w:sz w:val="16"/>
          <w:szCs w:val="16"/>
        </w:rPr>
      </w:pPr>
      <w:r w:rsidRPr="002E674B">
        <w:rPr>
          <w:rStyle w:val="Refdenotaalpie"/>
          <w:rFonts w:ascii="Arial" w:hAnsi="Arial" w:cs="Arial"/>
          <w:sz w:val="16"/>
          <w:szCs w:val="16"/>
        </w:rPr>
        <w:footnoteRef/>
      </w:r>
      <w:r w:rsidRPr="002E674B">
        <w:rPr>
          <w:rFonts w:ascii="Arial" w:hAnsi="Arial" w:cs="Arial"/>
          <w:sz w:val="16"/>
          <w:szCs w:val="16"/>
        </w:rPr>
        <w:t xml:space="preserve"> Fl 396. C. 2ª instancia.</w:t>
      </w:r>
    </w:p>
  </w:footnote>
  <w:footnote w:id="8">
    <w:p w:rsidR="001F7ECD" w:rsidRPr="002E674B" w:rsidRDefault="001F7ECD" w:rsidP="005E7636">
      <w:pPr>
        <w:pStyle w:val="Textonotapie"/>
        <w:rPr>
          <w:rFonts w:ascii="Arial" w:hAnsi="Arial" w:cs="Arial"/>
          <w:sz w:val="16"/>
          <w:szCs w:val="16"/>
        </w:rPr>
      </w:pPr>
      <w:r w:rsidRPr="002E674B">
        <w:rPr>
          <w:rStyle w:val="Refdenotaalpie"/>
          <w:rFonts w:ascii="Arial" w:hAnsi="Arial" w:cs="Arial"/>
          <w:sz w:val="16"/>
          <w:szCs w:val="16"/>
        </w:rPr>
        <w:footnoteRef/>
      </w:r>
      <w:r w:rsidRPr="002E674B">
        <w:rPr>
          <w:rFonts w:ascii="Arial" w:hAnsi="Arial" w:cs="Arial"/>
          <w:sz w:val="16"/>
          <w:szCs w:val="16"/>
        </w:rPr>
        <w:t xml:space="preserve"> Fl 401,ib.</w:t>
      </w:r>
    </w:p>
  </w:footnote>
  <w:footnote w:id="9">
    <w:p w:rsidR="001F7ECD" w:rsidRPr="002510EC" w:rsidRDefault="001F7ECD" w:rsidP="005E7636">
      <w:pPr>
        <w:pStyle w:val="Textonotapie"/>
        <w:rPr>
          <w:rFonts w:ascii="Arial" w:hAnsi="Arial" w:cs="Arial"/>
          <w:sz w:val="16"/>
          <w:szCs w:val="16"/>
        </w:rPr>
      </w:pPr>
      <w:r w:rsidRPr="002510EC">
        <w:rPr>
          <w:rStyle w:val="Refdenotaalpie"/>
          <w:rFonts w:ascii="Arial" w:hAnsi="Arial" w:cs="Arial"/>
          <w:sz w:val="16"/>
          <w:szCs w:val="16"/>
        </w:rPr>
        <w:footnoteRef/>
      </w:r>
      <w:r>
        <w:rPr>
          <w:rFonts w:ascii="Arial" w:hAnsi="Arial" w:cs="Arial"/>
          <w:sz w:val="16"/>
          <w:szCs w:val="16"/>
        </w:rPr>
        <w:t xml:space="preserve"> Fl 403, ib.</w:t>
      </w:r>
    </w:p>
  </w:footnote>
  <w:footnote w:id="10">
    <w:p w:rsidR="001F7ECD" w:rsidRPr="00765D8A" w:rsidRDefault="001F7ECD" w:rsidP="005E7636">
      <w:pPr>
        <w:pStyle w:val="Textonotapie"/>
        <w:jc w:val="both"/>
        <w:rPr>
          <w:rFonts w:ascii="Arial" w:hAnsi="Arial" w:cs="Arial"/>
          <w:sz w:val="16"/>
          <w:szCs w:val="16"/>
        </w:rPr>
      </w:pPr>
      <w:r w:rsidRPr="00765D8A">
        <w:rPr>
          <w:rStyle w:val="Refdenotaalpie"/>
          <w:rFonts w:ascii="Arial" w:hAnsi="Arial" w:cs="Arial"/>
          <w:sz w:val="16"/>
          <w:szCs w:val="16"/>
        </w:rPr>
        <w:footnoteRef/>
      </w:r>
      <w:r w:rsidRPr="00765D8A">
        <w:rPr>
          <w:rFonts w:ascii="Arial" w:hAnsi="Arial" w:cs="Arial"/>
          <w:sz w:val="16"/>
          <w:szCs w:val="16"/>
        </w:rPr>
        <w:t xml:space="preserve"> </w:t>
      </w:r>
      <w:r w:rsidRPr="00765D8A">
        <w:rPr>
          <w:rFonts w:ascii="Arial" w:hAnsi="Arial" w:cs="Arial"/>
          <w:sz w:val="16"/>
          <w:szCs w:val="16"/>
          <w:lang w:val="es-CO"/>
        </w:rPr>
        <w:t>Ésta disposición fue modificada por el artículo 32 de la Ley 446 de 1998, que señala:“</w:t>
      </w:r>
      <w:r w:rsidRPr="00765D8A">
        <w:rPr>
          <w:rFonts w:ascii="Arial" w:hAnsi="Arial" w:cs="Arial"/>
          <w:sz w:val="16"/>
          <w:szCs w:val="16"/>
        </w:rPr>
        <w:t>De las controversias contractuales. El artículo 87 del Código Contencioso Administrativo, quedará así:</w:t>
      </w:r>
    </w:p>
    <w:p w:rsidR="001F7ECD" w:rsidRPr="00765D8A" w:rsidRDefault="001F7ECD" w:rsidP="005E7636">
      <w:pPr>
        <w:pStyle w:val="Textonotapie"/>
        <w:jc w:val="both"/>
        <w:rPr>
          <w:rFonts w:ascii="Arial" w:hAnsi="Arial" w:cs="Arial"/>
          <w:sz w:val="16"/>
          <w:szCs w:val="16"/>
        </w:rPr>
      </w:pPr>
      <w:r w:rsidRPr="00765D8A">
        <w:rPr>
          <w:rFonts w:ascii="Arial" w:hAnsi="Arial" w:cs="Arial"/>
          <w:sz w:val="16"/>
          <w:szCs w:val="16"/>
        </w:rPr>
        <w:t>"Artículo 87. De las controversias contractuales. Cualquiera de las partes de un contrato estatal podrá pedir que se declare su existencia o su nulidad y que se hagan las declaraciones, condenas o restituciones consecuenciales, que se ordene su revisión, que se declare su incumplimiento y que se condene al responsable a indemnizar los perjuicios y que se hagan otras declaraciones y condenas.</w:t>
      </w:r>
    </w:p>
    <w:p w:rsidR="001F7ECD" w:rsidRPr="00765D8A" w:rsidRDefault="001F7ECD" w:rsidP="005E7636">
      <w:pPr>
        <w:pStyle w:val="Textonotapie"/>
        <w:jc w:val="both"/>
        <w:rPr>
          <w:rFonts w:ascii="Arial" w:hAnsi="Arial" w:cs="Arial"/>
          <w:sz w:val="16"/>
          <w:szCs w:val="16"/>
        </w:rPr>
      </w:pPr>
      <w:r w:rsidRPr="00765D8A">
        <w:rPr>
          <w:rFonts w:ascii="Arial" w:hAnsi="Arial" w:cs="Arial"/>
          <w:sz w:val="16"/>
          <w:szCs w:val="16"/>
        </w:rPr>
        <w:t>Los actos proferidos antes de la celebración del contrato, con ocasión de la actividad contractual, serán demandables mediante las acciones de nulidad y de nulidad y restablecimiento del derecho, según el caso, dentro de los treinta (30) días siguientes a su comunicación, notificación o publicación. La interposición de estas acciones no interrumpirá el proceso licitatorio, ni la celebración y ejecución del contrato. Una vez celebrado éste, la ilegalidad de los actos previos solamente podrá invocarse como fundamento de nulidad absoluta del contrato.</w:t>
      </w:r>
    </w:p>
    <w:p w:rsidR="001F7ECD" w:rsidRPr="00765D8A" w:rsidRDefault="001F7ECD" w:rsidP="005E7636">
      <w:pPr>
        <w:pStyle w:val="Textonotapie"/>
        <w:jc w:val="both"/>
        <w:rPr>
          <w:rFonts w:ascii="Arial" w:hAnsi="Arial" w:cs="Arial"/>
          <w:sz w:val="16"/>
          <w:szCs w:val="16"/>
        </w:rPr>
      </w:pPr>
      <w:r w:rsidRPr="00765D8A">
        <w:rPr>
          <w:rFonts w:ascii="Arial" w:hAnsi="Arial" w:cs="Arial"/>
          <w:sz w:val="16"/>
          <w:szCs w:val="16"/>
        </w:rPr>
        <w:t>El Ministerio Público o cualquier tercero que acredite un interés directo podrá pedir que se declare su nulidad absoluta. El Juez Administrativo queda facultado para declararla de oficio cuando esté plenamente demostrada en el proceso. En todo caso, dicha declaración sólo podrá hacerse siempre que en él intervengan las partes contratantes o sus causahabientes.</w:t>
      </w:r>
    </w:p>
    <w:p w:rsidR="001F7ECD" w:rsidRPr="00765D8A" w:rsidRDefault="001F7ECD" w:rsidP="005E7636">
      <w:pPr>
        <w:pStyle w:val="Textonotapie"/>
        <w:jc w:val="both"/>
        <w:rPr>
          <w:rFonts w:ascii="Arial" w:hAnsi="Arial" w:cs="Arial"/>
          <w:sz w:val="16"/>
          <w:szCs w:val="16"/>
        </w:rPr>
      </w:pPr>
      <w:r w:rsidRPr="00765D8A">
        <w:rPr>
          <w:rFonts w:ascii="Arial" w:hAnsi="Arial" w:cs="Arial"/>
          <w:sz w:val="16"/>
          <w:szCs w:val="16"/>
        </w:rPr>
        <w:t>En los procesos ejecutivos derivados de condenas impuestas por la Jurisdicción Contencioso Administrativa se aplicará la regulación del proceso ejecutivo singular de mayor cuantía contenida en el Código de Procedimiento Civil."</w:t>
      </w:r>
    </w:p>
    <w:p w:rsidR="001F7ECD" w:rsidRPr="00765D8A" w:rsidRDefault="001F7ECD" w:rsidP="005E7636">
      <w:pPr>
        <w:pStyle w:val="Textonotapie"/>
        <w:jc w:val="both"/>
        <w:rPr>
          <w:rFonts w:ascii="Arial" w:hAnsi="Arial" w:cs="Arial"/>
          <w:sz w:val="16"/>
          <w:szCs w:val="16"/>
          <w:lang w:val="es-CO"/>
        </w:rPr>
      </w:pPr>
    </w:p>
  </w:footnote>
  <w:footnote w:id="11">
    <w:p w:rsidR="001F7ECD" w:rsidRPr="002D56BD" w:rsidRDefault="001F7ECD">
      <w:pPr>
        <w:pStyle w:val="Textonotapie"/>
        <w:rPr>
          <w:rFonts w:ascii="Arial" w:hAnsi="Arial" w:cs="Arial"/>
          <w:sz w:val="16"/>
          <w:szCs w:val="16"/>
        </w:rPr>
      </w:pPr>
      <w:r w:rsidRPr="002D56BD">
        <w:rPr>
          <w:rStyle w:val="Refdenotaalpie"/>
          <w:rFonts w:ascii="Arial" w:hAnsi="Arial" w:cs="Arial"/>
          <w:sz w:val="16"/>
          <w:szCs w:val="16"/>
        </w:rPr>
        <w:footnoteRef/>
      </w:r>
      <w:r w:rsidRPr="002D56BD">
        <w:rPr>
          <w:rFonts w:ascii="Arial" w:hAnsi="Arial" w:cs="Arial"/>
          <w:sz w:val="16"/>
          <w:szCs w:val="16"/>
        </w:rPr>
        <w:t xml:space="preserve"> Fl 123. C. 1.</w:t>
      </w:r>
    </w:p>
  </w:footnote>
  <w:footnote w:id="12">
    <w:p w:rsidR="001F7ECD" w:rsidRPr="002D56BD" w:rsidRDefault="001F7ECD">
      <w:pPr>
        <w:pStyle w:val="Textonotapie"/>
      </w:pPr>
      <w:r w:rsidRPr="002D56BD">
        <w:rPr>
          <w:rStyle w:val="Refdenotaalpie"/>
          <w:rFonts w:ascii="Arial" w:hAnsi="Arial" w:cs="Arial"/>
          <w:sz w:val="16"/>
          <w:szCs w:val="16"/>
        </w:rPr>
        <w:footnoteRef/>
      </w:r>
      <w:r w:rsidRPr="002D56BD">
        <w:rPr>
          <w:rFonts w:ascii="Arial" w:hAnsi="Arial" w:cs="Arial"/>
          <w:sz w:val="16"/>
          <w:szCs w:val="16"/>
        </w:rPr>
        <w:t xml:space="preserve"> Fls 124 y 125, ib.</w:t>
      </w:r>
    </w:p>
  </w:footnote>
  <w:footnote w:id="13">
    <w:p w:rsidR="001F7ECD" w:rsidRPr="002D56BD" w:rsidRDefault="001F7ECD">
      <w:pPr>
        <w:pStyle w:val="Textonotapie"/>
        <w:rPr>
          <w:rFonts w:ascii="Arial" w:hAnsi="Arial" w:cs="Arial"/>
          <w:sz w:val="16"/>
          <w:szCs w:val="16"/>
        </w:rPr>
      </w:pPr>
      <w:r w:rsidRPr="002D56BD">
        <w:rPr>
          <w:rStyle w:val="Refdenotaalpie"/>
          <w:rFonts w:ascii="Arial" w:hAnsi="Arial" w:cs="Arial"/>
          <w:sz w:val="16"/>
          <w:szCs w:val="16"/>
        </w:rPr>
        <w:footnoteRef/>
      </w:r>
      <w:r w:rsidRPr="002D56BD">
        <w:rPr>
          <w:rFonts w:ascii="Arial" w:hAnsi="Arial" w:cs="Arial"/>
          <w:sz w:val="16"/>
          <w:szCs w:val="16"/>
        </w:rPr>
        <w:t xml:space="preserve"> Fls 126 a 128,ib.</w:t>
      </w:r>
    </w:p>
  </w:footnote>
  <w:footnote w:id="14">
    <w:p w:rsidR="001F7ECD" w:rsidRPr="00576E3F" w:rsidRDefault="001F7ECD">
      <w:pPr>
        <w:pStyle w:val="Textonotapie"/>
        <w:rPr>
          <w:rFonts w:ascii="Arial" w:hAnsi="Arial" w:cs="Arial"/>
          <w:sz w:val="16"/>
          <w:szCs w:val="16"/>
          <w:lang w:val="es-CO"/>
        </w:rPr>
      </w:pPr>
      <w:r w:rsidRPr="00576E3F">
        <w:rPr>
          <w:rStyle w:val="Refdenotaalpie"/>
          <w:rFonts w:ascii="Arial" w:hAnsi="Arial" w:cs="Arial"/>
          <w:sz w:val="16"/>
          <w:szCs w:val="16"/>
        </w:rPr>
        <w:footnoteRef/>
      </w:r>
      <w:r w:rsidRPr="00576E3F">
        <w:rPr>
          <w:rFonts w:ascii="Arial" w:hAnsi="Arial" w:cs="Arial"/>
          <w:sz w:val="16"/>
          <w:szCs w:val="16"/>
        </w:rPr>
        <w:t xml:space="preserve"> </w:t>
      </w:r>
      <w:r w:rsidRPr="00576E3F">
        <w:rPr>
          <w:rFonts w:ascii="Arial" w:hAnsi="Arial" w:cs="Arial"/>
          <w:sz w:val="16"/>
          <w:szCs w:val="16"/>
          <w:lang w:val="es-CO"/>
        </w:rPr>
        <w:t>Fl 129, ib.</w:t>
      </w:r>
    </w:p>
  </w:footnote>
  <w:footnote w:id="15">
    <w:p w:rsidR="001F7ECD" w:rsidRPr="00C50C22" w:rsidRDefault="001F7ECD">
      <w:pPr>
        <w:pStyle w:val="Textonotapie"/>
        <w:rPr>
          <w:rFonts w:ascii="Arial" w:hAnsi="Arial" w:cs="Arial"/>
          <w:sz w:val="16"/>
          <w:szCs w:val="16"/>
          <w:lang w:val="es-CO"/>
        </w:rPr>
      </w:pPr>
      <w:r w:rsidRPr="00C50C22">
        <w:rPr>
          <w:rStyle w:val="Refdenotaalpie"/>
          <w:rFonts w:ascii="Arial" w:hAnsi="Arial" w:cs="Arial"/>
          <w:sz w:val="16"/>
          <w:szCs w:val="16"/>
        </w:rPr>
        <w:footnoteRef/>
      </w:r>
      <w:r w:rsidRPr="00C50C22">
        <w:rPr>
          <w:rFonts w:ascii="Arial" w:hAnsi="Arial" w:cs="Arial"/>
          <w:sz w:val="16"/>
          <w:szCs w:val="16"/>
        </w:rPr>
        <w:t xml:space="preserve"> </w:t>
      </w:r>
      <w:r w:rsidRPr="00C50C22">
        <w:rPr>
          <w:rFonts w:ascii="Arial" w:hAnsi="Arial" w:cs="Arial"/>
          <w:sz w:val="16"/>
          <w:szCs w:val="16"/>
          <w:lang w:val="es-CO"/>
        </w:rPr>
        <w:t>Fl 132, ibídem</w:t>
      </w:r>
      <w:r>
        <w:rPr>
          <w:rFonts w:ascii="Arial" w:hAnsi="Arial" w:cs="Arial"/>
          <w:sz w:val="16"/>
          <w:szCs w:val="16"/>
          <w:lang w:val="es-CO"/>
        </w:rPr>
        <w:t>.</w:t>
      </w:r>
    </w:p>
  </w:footnote>
  <w:footnote w:id="16">
    <w:p w:rsidR="001F7ECD" w:rsidRPr="006C10FB" w:rsidRDefault="001F7ECD" w:rsidP="005E7636">
      <w:pPr>
        <w:pStyle w:val="Textonotapie"/>
        <w:rPr>
          <w:rFonts w:ascii="Arial" w:hAnsi="Arial" w:cs="Arial"/>
          <w:sz w:val="16"/>
          <w:szCs w:val="16"/>
        </w:rPr>
      </w:pPr>
      <w:r w:rsidRPr="006C10FB">
        <w:rPr>
          <w:rStyle w:val="Refdenotaalpie"/>
          <w:rFonts w:ascii="Arial" w:hAnsi="Arial" w:cs="Arial"/>
          <w:sz w:val="16"/>
          <w:szCs w:val="16"/>
        </w:rPr>
        <w:footnoteRef/>
      </w:r>
      <w:r w:rsidRPr="006C10FB">
        <w:rPr>
          <w:rFonts w:ascii="Arial" w:hAnsi="Arial" w:cs="Arial"/>
          <w:sz w:val="16"/>
          <w:szCs w:val="16"/>
        </w:rPr>
        <w:t xml:space="preserve"> Fl 130,ib.</w:t>
      </w:r>
    </w:p>
  </w:footnote>
  <w:footnote w:id="17">
    <w:p w:rsidR="001F7ECD" w:rsidRPr="006C10FB" w:rsidRDefault="001F7ECD" w:rsidP="005E7636">
      <w:pPr>
        <w:pStyle w:val="Textonotapie"/>
        <w:rPr>
          <w:rFonts w:ascii="Arial" w:hAnsi="Arial" w:cs="Arial"/>
          <w:sz w:val="16"/>
          <w:szCs w:val="16"/>
        </w:rPr>
      </w:pPr>
      <w:r w:rsidRPr="006C10FB">
        <w:rPr>
          <w:rStyle w:val="Refdenotaalpie"/>
          <w:rFonts w:ascii="Arial" w:hAnsi="Arial" w:cs="Arial"/>
          <w:sz w:val="16"/>
          <w:szCs w:val="16"/>
        </w:rPr>
        <w:footnoteRef/>
      </w:r>
      <w:r w:rsidRPr="006C10FB">
        <w:rPr>
          <w:rFonts w:ascii="Arial" w:hAnsi="Arial" w:cs="Arial"/>
          <w:sz w:val="16"/>
          <w:szCs w:val="16"/>
        </w:rPr>
        <w:t xml:space="preserve"> Fl 131,ib.</w:t>
      </w:r>
    </w:p>
  </w:footnote>
  <w:footnote w:id="18">
    <w:p w:rsidR="001F7ECD" w:rsidRPr="00E20870" w:rsidRDefault="001F7ECD">
      <w:pPr>
        <w:pStyle w:val="Textonotapie"/>
        <w:rPr>
          <w:rFonts w:ascii="Arial" w:hAnsi="Arial" w:cs="Arial"/>
          <w:sz w:val="16"/>
          <w:szCs w:val="16"/>
        </w:rPr>
      </w:pPr>
      <w:r w:rsidRPr="00E20870">
        <w:rPr>
          <w:rStyle w:val="Refdenotaalpie"/>
          <w:rFonts w:ascii="Arial" w:hAnsi="Arial" w:cs="Arial"/>
          <w:sz w:val="16"/>
          <w:szCs w:val="16"/>
        </w:rPr>
        <w:footnoteRef/>
      </w:r>
      <w:r w:rsidRPr="00E20870">
        <w:rPr>
          <w:rFonts w:ascii="Arial" w:hAnsi="Arial" w:cs="Arial"/>
          <w:sz w:val="16"/>
          <w:szCs w:val="16"/>
        </w:rPr>
        <w:t xml:space="preserve"> Fl 133. C.1.</w:t>
      </w:r>
    </w:p>
  </w:footnote>
  <w:footnote w:id="19">
    <w:p w:rsidR="001F7ECD" w:rsidRPr="00912B19" w:rsidRDefault="001F7ECD" w:rsidP="00A87E5D">
      <w:pPr>
        <w:widowControl w:val="0"/>
        <w:tabs>
          <w:tab w:val="left" w:pos="720"/>
          <w:tab w:val="left" w:pos="972"/>
        </w:tabs>
        <w:spacing w:after="0" w:line="240" w:lineRule="auto"/>
        <w:jc w:val="both"/>
        <w:rPr>
          <w:rFonts w:ascii="Arial" w:hAnsi="Arial" w:cs="Arial"/>
          <w:sz w:val="16"/>
          <w:szCs w:val="16"/>
        </w:rPr>
      </w:pPr>
      <w:r w:rsidRPr="00912B19">
        <w:rPr>
          <w:rStyle w:val="Refdenotaalpie"/>
          <w:rFonts w:ascii="Arial" w:hAnsi="Arial" w:cs="Arial"/>
          <w:sz w:val="16"/>
          <w:szCs w:val="16"/>
        </w:rPr>
        <w:footnoteRef/>
      </w:r>
      <w:r>
        <w:rPr>
          <w:rFonts w:ascii="Arial" w:hAnsi="Arial" w:cs="Arial"/>
          <w:sz w:val="16"/>
          <w:szCs w:val="16"/>
        </w:rPr>
        <w:t xml:space="preserve"> Aquí es preciso </w:t>
      </w:r>
      <w:r w:rsidRPr="00912B19">
        <w:rPr>
          <w:rFonts w:ascii="Arial" w:hAnsi="Arial" w:cs="Arial"/>
          <w:sz w:val="16"/>
          <w:szCs w:val="16"/>
        </w:rPr>
        <w:t xml:space="preserve">recordar lo prescrito en el inciso segundo de su artículo 81, en virtud del cual, a partir de su promulgación, la cual tuvo lugar el 28 de octubre de 1993 en el Diario Oficial No. 41.094, entraron a regir varias de sus normas relacionadas -entre otras materias- con el contrato de concesión, la fiducia pública, el encargo fiduciario y los servicios y actividades relacionadas con telecomunicaciones; pero, a su vez, el inciso tercero de esta última norma, estableció que las demás disposiciones de la Ley 80 de 1993, entrarían a regir el 1º de enero de 1994, salvo las disposiciones relativas a registro, clasificación y calificación de proponentes, cuya vigencia se iniciaría un año después de la promulgación de esta ley. </w:t>
      </w:r>
    </w:p>
    <w:p w:rsidR="001F7ECD" w:rsidRPr="00912B19" w:rsidRDefault="001F7ECD" w:rsidP="00A87E5D">
      <w:pPr>
        <w:pStyle w:val="Textonotapie"/>
        <w:widowControl w:val="0"/>
        <w:jc w:val="both"/>
        <w:rPr>
          <w:rFonts w:ascii="Arial" w:hAnsi="Arial" w:cs="Arial"/>
          <w:sz w:val="16"/>
          <w:szCs w:val="16"/>
        </w:rPr>
      </w:pPr>
    </w:p>
  </w:footnote>
  <w:footnote w:id="20">
    <w:p w:rsidR="001F7ECD" w:rsidRPr="00912B19" w:rsidRDefault="001F7ECD" w:rsidP="00A87E5D">
      <w:pPr>
        <w:widowControl w:val="0"/>
        <w:spacing w:after="0" w:line="240" w:lineRule="auto"/>
        <w:jc w:val="both"/>
        <w:rPr>
          <w:rFonts w:ascii="Arial" w:hAnsi="Arial" w:cs="Arial"/>
          <w:sz w:val="16"/>
          <w:szCs w:val="16"/>
        </w:rPr>
      </w:pPr>
      <w:r w:rsidRPr="00912B19">
        <w:rPr>
          <w:rStyle w:val="Refdenotaalpie"/>
          <w:rFonts w:ascii="Arial" w:hAnsi="Arial" w:cs="Arial"/>
          <w:sz w:val="16"/>
          <w:szCs w:val="16"/>
        </w:rPr>
        <w:footnoteRef/>
      </w:r>
      <w:r w:rsidRPr="00912B19">
        <w:rPr>
          <w:rFonts w:ascii="Arial" w:hAnsi="Arial" w:cs="Arial"/>
          <w:sz w:val="16"/>
          <w:szCs w:val="16"/>
        </w:rPr>
        <w:t xml:space="preserve"> Según el cual “los contratos, los procedimientos de selección y los procesos judiciales en curso a la fecha en que entre a regir la presente ley, continuarán sujetos a las normas vigentes en el momento de su celebración o iniciación.” De acuerdo con jurisprudencia de la Sección “el legislador quiso, indudablemente según el artículo 78 y el inciso 3o. del artículo 81, que todos los contratos celebrados después del inicio de la ley 80 se rigieran por ésta y no por la anterior.” Consejo de Estado, Sección Tercera, sentencia de 19 de febrero de 1998. exp. 9825, C.P. Luis Fernando Olarte Olarte. En similar sentido: sentencias de 29 de agosto de 2007, exp. 15469, C.P. Mauricio Fajardo Gómez; y de 19 de junio de 1998, exp. 10217, C.P. Ricardo Hoyos Duque.</w:t>
      </w:r>
    </w:p>
    <w:p w:rsidR="001F7ECD" w:rsidRPr="00912B19" w:rsidRDefault="001F7ECD" w:rsidP="00A87E5D">
      <w:pPr>
        <w:widowControl w:val="0"/>
        <w:spacing w:after="0" w:line="240" w:lineRule="auto"/>
        <w:jc w:val="both"/>
        <w:rPr>
          <w:rFonts w:ascii="Arial" w:hAnsi="Arial" w:cs="Arial"/>
          <w:sz w:val="16"/>
          <w:szCs w:val="16"/>
        </w:rPr>
      </w:pPr>
    </w:p>
  </w:footnote>
  <w:footnote w:id="21">
    <w:p w:rsidR="001F7ECD" w:rsidRPr="00C26556" w:rsidRDefault="001F7ECD" w:rsidP="00A87E5D">
      <w:pPr>
        <w:pStyle w:val="NormalWeb"/>
        <w:widowControl w:val="0"/>
        <w:spacing w:before="0" w:beforeAutospacing="0" w:after="0" w:afterAutospacing="0"/>
        <w:jc w:val="both"/>
        <w:rPr>
          <w:rFonts w:ascii="Arial" w:hAnsi="Arial" w:cs="Arial"/>
          <w:color w:val="000000"/>
          <w:sz w:val="16"/>
          <w:szCs w:val="16"/>
        </w:rPr>
      </w:pPr>
      <w:r w:rsidRPr="00C26556">
        <w:rPr>
          <w:rStyle w:val="Refdenotaalpie"/>
          <w:rFonts w:ascii="Arial" w:hAnsi="Arial" w:cs="Arial"/>
          <w:sz w:val="16"/>
          <w:szCs w:val="16"/>
        </w:rPr>
        <w:footnoteRef/>
      </w:r>
      <w:r>
        <w:t xml:space="preserve"> </w:t>
      </w:r>
      <w:r w:rsidRPr="00C26556">
        <w:rPr>
          <w:rFonts w:ascii="Arial" w:hAnsi="Arial" w:cs="Arial"/>
          <w:color w:val="000000"/>
          <w:sz w:val="16"/>
          <w:szCs w:val="16"/>
        </w:rPr>
        <w:t>Artículo 5º. En el desarrollo de la autonomía de los Departamentos y Municipios sus normas fiscales podrán disponer sobre formación y adjudicación de los contratos que celebren y cláusulas de los mismos conforme a sus intereses y a las necesidades del servicio; para las normas sobre tipos de contratos, clasificación, efectos, responsabilidad y terminación están reservadas a la ley, así como las de inha</w:t>
      </w:r>
      <w:r w:rsidR="00A87E5D">
        <w:rPr>
          <w:rFonts w:ascii="Arial" w:hAnsi="Arial" w:cs="Arial"/>
          <w:color w:val="000000"/>
          <w:sz w:val="16"/>
          <w:szCs w:val="16"/>
        </w:rPr>
        <w:t>bilidades e incompatibilidades.</w:t>
      </w:r>
    </w:p>
    <w:p w:rsidR="001F7ECD" w:rsidRPr="00C26556" w:rsidRDefault="001F7ECD" w:rsidP="00A87E5D">
      <w:pPr>
        <w:pStyle w:val="Textonotapie"/>
        <w:widowControl w:val="0"/>
        <w:rPr>
          <w:lang w:val="es-CO"/>
        </w:rPr>
      </w:pPr>
    </w:p>
  </w:footnote>
  <w:footnote w:id="22">
    <w:p w:rsidR="001F7ECD" w:rsidRPr="004166ED" w:rsidRDefault="001F7ECD" w:rsidP="00A87E5D">
      <w:pPr>
        <w:pStyle w:val="Textosinformato1"/>
        <w:widowControl w:val="0"/>
        <w:jc w:val="both"/>
        <w:rPr>
          <w:rFonts w:ascii="Arial" w:hAnsi="Arial" w:cs="Arial"/>
          <w:sz w:val="16"/>
          <w:szCs w:val="16"/>
        </w:rPr>
      </w:pPr>
      <w:r w:rsidRPr="004166ED">
        <w:rPr>
          <w:rStyle w:val="Refdenotaalpie"/>
          <w:rFonts w:ascii="Arial" w:hAnsi="Arial" w:cs="Arial"/>
          <w:sz w:val="16"/>
          <w:szCs w:val="16"/>
        </w:rPr>
        <w:footnoteRef/>
      </w:r>
      <w:r w:rsidRPr="004166ED">
        <w:rPr>
          <w:rFonts w:ascii="Arial" w:hAnsi="Arial" w:cs="Arial"/>
          <w:sz w:val="16"/>
          <w:szCs w:val="16"/>
        </w:rPr>
        <w:t xml:space="preserve"> ARTÍCULO 1º </w:t>
      </w:r>
      <w:r w:rsidRPr="004166ED">
        <w:rPr>
          <w:rFonts w:ascii="Arial" w:hAnsi="Arial" w:cs="Arial"/>
          <w:sz w:val="16"/>
          <w:szCs w:val="16"/>
        </w:rPr>
        <w:tab/>
        <w:t xml:space="preserve"> DE LAS ENTIDADES A LAS CUALES SE  APLICA ESTE ESTATUTO. Los contratos previstos en este decreto que celebren la Nación (Ministerios y Departamentos Administrativos), y los Establecimientos Públicos se someten a las reglas contenidas en el presente estatuto.</w:t>
      </w:r>
    </w:p>
    <w:p w:rsidR="001F7ECD" w:rsidRPr="004166ED" w:rsidRDefault="001F7ECD" w:rsidP="00A87E5D">
      <w:pPr>
        <w:pStyle w:val="Textosinformato1"/>
        <w:widowControl w:val="0"/>
        <w:jc w:val="both"/>
        <w:rPr>
          <w:rFonts w:ascii="Arial" w:hAnsi="Arial" w:cs="Arial"/>
          <w:sz w:val="16"/>
          <w:szCs w:val="16"/>
        </w:rPr>
      </w:pPr>
    </w:p>
    <w:p w:rsidR="001F7ECD" w:rsidRPr="004166ED" w:rsidRDefault="001F7ECD" w:rsidP="00A87E5D">
      <w:pPr>
        <w:pStyle w:val="Textosinformato1"/>
        <w:widowControl w:val="0"/>
        <w:jc w:val="both"/>
        <w:rPr>
          <w:rFonts w:ascii="Arial" w:hAnsi="Arial" w:cs="Arial"/>
          <w:sz w:val="16"/>
          <w:szCs w:val="16"/>
        </w:rPr>
      </w:pPr>
      <w:r w:rsidRPr="004166ED">
        <w:rPr>
          <w:rFonts w:ascii="Arial" w:hAnsi="Arial" w:cs="Arial"/>
          <w:sz w:val="16"/>
          <w:szCs w:val="16"/>
        </w:rPr>
        <w:t xml:space="preserve">Así mismo, se aplicarán a los que celebren las Superintendencias por conducto de los Ministerios a los cuales se hallen adscritas. </w:t>
      </w:r>
    </w:p>
    <w:p w:rsidR="001F7ECD" w:rsidRPr="004166ED" w:rsidRDefault="001F7ECD" w:rsidP="00A87E5D">
      <w:pPr>
        <w:pStyle w:val="Textosinformato1"/>
        <w:widowControl w:val="0"/>
        <w:jc w:val="both"/>
        <w:rPr>
          <w:rFonts w:ascii="Arial" w:hAnsi="Arial" w:cs="Arial"/>
          <w:sz w:val="16"/>
          <w:szCs w:val="16"/>
        </w:rPr>
      </w:pPr>
    </w:p>
    <w:p w:rsidR="001F7ECD" w:rsidRPr="004166ED" w:rsidRDefault="001F7ECD" w:rsidP="00A87E5D">
      <w:pPr>
        <w:pStyle w:val="Textosinformato1"/>
        <w:widowControl w:val="0"/>
        <w:jc w:val="both"/>
        <w:rPr>
          <w:rFonts w:ascii="Arial" w:hAnsi="Arial" w:cs="Arial"/>
          <w:sz w:val="16"/>
          <w:szCs w:val="16"/>
        </w:rPr>
      </w:pPr>
      <w:r w:rsidRPr="004166ED">
        <w:rPr>
          <w:rFonts w:ascii="Arial" w:hAnsi="Arial" w:cs="Arial"/>
          <w:sz w:val="16"/>
          <w:szCs w:val="16"/>
        </w:rPr>
        <w:t>A las Empresas Industriales y Comerciales del estado y a las Sociedades de Economía  Mixta en las que el Estado posea más del noventa por ciento (90%) de su capital social les son  aplicables  las normas aquí consignadas sobre  contratos  de  empréstito  y  de  obras públicas  y  las  demás  que expresamente se refieran a dichas entidades.</w:t>
      </w:r>
    </w:p>
    <w:p w:rsidR="001F7ECD" w:rsidRPr="004166ED" w:rsidRDefault="001F7ECD" w:rsidP="00A87E5D">
      <w:pPr>
        <w:pStyle w:val="Textosinformato1"/>
        <w:widowControl w:val="0"/>
        <w:jc w:val="both"/>
        <w:rPr>
          <w:rFonts w:ascii="Arial" w:hAnsi="Arial" w:cs="Arial"/>
          <w:sz w:val="16"/>
          <w:szCs w:val="16"/>
        </w:rPr>
      </w:pPr>
    </w:p>
    <w:p w:rsidR="001F7ECD" w:rsidRDefault="001F7ECD" w:rsidP="00A87E5D">
      <w:pPr>
        <w:widowControl w:val="0"/>
        <w:autoSpaceDE w:val="0"/>
        <w:autoSpaceDN w:val="0"/>
        <w:adjustRightInd w:val="0"/>
        <w:spacing w:after="0" w:line="240" w:lineRule="auto"/>
        <w:jc w:val="both"/>
        <w:rPr>
          <w:rFonts w:ascii="Arial" w:hAnsi="Arial" w:cs="Arial"/>
          <w:sz w:val="16"/>
          <w:szCs w:val="16"/>
        </w:rPr>
      </w:pPr>
      <w:r w:rsidRPr="004166ED">
        <w:rPr>
          <w:rFonts w:ascii="Arial" w:hAnsi="Arial" w:cs="Arial"/>
          <w:sz w:val="16"/>
          <w:szCs w:val="16"/>
        </w:rPr>
        <w:t>Las normas que  en este  estatuto  se  refieren  a  tipos  de contratos, su clasificación,  efectos,  responsabilidades  y  terminación, así como a los principios generales desarrollados en el título IV,  se aplicarán también en los Departamentos y Municipios.</w:t>
      </w:r>
    </w:p>
    <w:p w:rsidR="001F7ECD" w:rsidRDefault="001F7ECD" w:rsidP="00A87E5D">
      <w:pPr>
        <w:widowControl w:val="0"/>
        <w:autoSpaceDE w:val="0"/>
        <w:autoSpaceDN w:val="0"/>
        <w:adjustRightInd w:val="0"/>
        <w:spacing w:after="0" w:line="240" w:lineRule="auto"/>
        <w:jc w:val="both"/>
        <w:rPr>
          <w:rFonts w:ascii="Arial" w:hAnsi="Arial" w:cs="Arial"/>
          <w:sz w:val="16"/>
          <w:szCs w:val="16"/>
        </w:rPr>
      </w:pPr>
    </w:p>
    <w:p w:rsidR="001F7ECD" w:rsidRPr="004166ED" w:rsidRDefault="001F7ECD" w:rsidP="00A87E5D">
      <w:pPr>
        <w:pStyle w:val="Textonotapie"/>
        <w:widowControl w:val="0"/>
        <w:jc w:val="both"/>
      </w:pPr>
      <w:r>
        <w:rPr>
          <w:rStyle w:val="Refdenotaalpie"/>
        </w:rPr>
        <w:t>23</w:t>
      </w:r>
      <w:r>
        <w:t xml:space="preserve"> </w:t>
      </w:r>
      <w:r w:rsidRPr="004166ED">
        <w:rPr>
          <w:rFonts w:ascii="Arial" w:eastAsia="Calibri" w:hAnsi="Arial" w:cs="Arial"/>
          <w:b/>
          <w:bCs/>
          <w:sz w:val="16"/>
          <w:szCs w:val="16"/>
          <w:lang w:val="es-CO" w:eastAsia="en-US"/>
        </w:rPr>
        <w:t xml:space="preserve">ARTICULO 5o. </w:t>
      </w:r>
      <w:r w:rsidRPr="004166ED">
        <w:rPr>
          <w:rFonts w:ascii="Arial" w:eastAsia="Calibri" w:hAnsi="Arial" w:cs="Arial"/>
          <w:sz w:val="16"/>
          <w:szCs w:val="16"/>
          <w:lang w:val="es-CO" w:eastAsia="en-US"/>
        </w:rPr>
        <w:t>A falta de procedimiento especial las actuaciones</w:t>
      </w:r>
      <w:r>
        <w:rPr>
          <w:rFonts w:ascii="Arial" w:eastAsia="Calibri" w:hAnsi="Arial" w:cs="Arial"/>
          <w:sz w:val="16"/>
          <w:szCs w:val="16"/>
          <w:lang w:val="es-CO" w:eastAsia="en-US"/>
        </w:rPr>
        <w:t xml:space="preserve"> </w:t>
      </w:r>
      <w:r w:rsidRPr="004166ED">
        <w:rPr>
          <w:rFonts w:ascii="Arial" w:eastAsia="Calibri" w:hAnsi="Arial" w:cs="Arial"/>
          <w:sz w:val="16"/>
          <w:szCs w:val="16"/>
          <w:lang w:val="es-CO" w:eastAsia="en-US"/>
        </w:rPr>
        <w:t>administrativas de nivel Naciona</w:t>
      </w:r>
      <w:r>
        <w:rPr>
          <w:rFonts w:ascii="Arial" w:eastAsia="Calibri" w:hAnsi="Arial" w:cs="Arial"/>
          <w:sz w:val="16"/>
          <w:szCs w:val="16"/>
          <w:lang w:val="es-CO" w:eastAsia="en-US"/>
        </w:rPr>
        <w:t xml:space="preserve">l, Departamental y Municipal se </w:t>
      </w:r>
      <w:r w:rsidRPr="004166ED">
        <w:rPr>
          <w:rFonts w:ascii="Arial" w:eastAsia="Calibri" w:hAnsi="Arial" w:cs="Arial"/>
          <w:sz w:val="16"/>
          <w:szCs w:val="16"/>
          <w:lang w:val="es-CO" w:eastAsia="en-US"/>
        </w:rPr>
        <w:t>cumplirán conforme a los siguientes princ</w:t>
      </w:r>
      <w:r>
        <w:rPr>
          <w:rFonts w:ascii="Arial" w:eastAsia="Calibri" w:hAnsi="Arial" w:cs="Arial"/>
          <w:sz w:val="16"/>
          <w:szCs w:val="16"/>
          <w:lang w:val="es-CO" w:eastAsia="en-US"/>
        </w:rPr>
        <w:t xml:space="preserve">ipios: audiencia de las partes; </w:t>
      </w:r>
      <w:r w:rsidRPr="004166ED">
        <w:rPr>
          <w:rFonts w:ascii="Arial" w:eastAsia="Calibri" w:hAnsi="Arial" w:cs="Arial"/>
          <w:sz w:val="16"/>
          <w:szCs w:val="16"/>
          <w:lang w:val="es-CO" w:eastAsia="en-US"/>
        </w:rPr>
        <w:t xml:space="preserve">enumeración de los medios de pruebas </w:t>
      </w:r>
      <w:r>
        <w:rPr>
          <w:rFonts w:ascii="Arial" w:eastAsia="Calibri" w:hAnsi="Arial" w:cs="Arial"/>
          <w:sz w:val="16"/>
          <w:szCs w:val="16"/>
          <w:lang w:val="es-CO" w:eastAsia="en-US"/>
        </w:rPr>
        <w:t xml:space="preserve">que puedan ser utilizados en el </w:t>
      </w:r>
      <w:r w:rsidRPr="004166ED">
        <w:rPr>
          <w:rFonts w:ascii="Arial" w:eastAsia="Calibri" w:hAnsi="Arial" w:cs="Arial"/>
          <w:sz w:val="16"/>
          <w:szCs w:val="16"/>
          <w:lang w:val="es-CO" w:eastAsia="en-US"/>
        </w:rPr>
        <w:t>procedimiento; necesidad por lo menos sumaria de m</w:t>
      </w:r>
      <w:r>
        <w:rPr>
          <w:rFonts w:ascii="Arial" w:eastAsia="Calibri" w:hAnsi="Arial" w:cs="Arial"/>
          <w:sz w:val="16"/>
          <w:szCs w:val="16"/>
          <w:lang w:val="es-CO" w:eastAsia="en-US"/>
        </w:rPr>
        <w:t xml:space="preserve">otivar los actos </w:t>
      </w:r>
      <w:r w:rsidRPr="004166ED">
        <w:rPr>
          <w:rFonts w:ascii="Arial" w:eastAsia="Calibri" w:hAnsi="Arial" w:cs="Arial"/>
          <w:sz w:val="16"/>
          <w:szCs w:val="16"/>
          <w:lang w:val="es-CO" w:eastAsia="en-US"/>
        </w:rPr>
        <w:t>que afecten a particulares.</w:t>
      </w:r>
    </w:p>
  </w:footnote>
  <w:footnote w:id="23">
    <w:p w:rsidR="001F7ECD" w:rsidRPr="004166ED" w:rsidRDefault="001F7ECD">
      <w:pPr>
        <w:pStyle w:val="Textonotapie"/>
      </w:pPr>
    </w:p>
  </w:footnote>
  <w:footnote w:id="24">
    <w:p w:rsidR="001F7ECD" w:rsidRPr="00CD4B01" w:rsidRDefault="001F7ECD" w:rsidP="005E7636">
      <w:pPr>
        <w:pStyle w:val="Textonotapie"/>
        <w:jc w:val="both"/>
        <w:rPr>
          <w:rFonts w:ascii="Arial" w:hAnsi="Arial" w:cs="Arial"/>
          <w:sz w:val="16"/>
          <w:szCs w:val="16"/>
        </w:rPr>
      </w:pPr>
      <w:r w:rsidRPr="00CD4B01">
        <w:rPr>
          <w:rStyle w:val="Refdenotaalpie"/>
          <w:rFonts w:ascii="Arial" w:hAnsi="Arial" w:cs="Arial"/>
          <w:sz w:val="16"/>
          <w:szCs w:val="16"/>
        </w:rPr>
        <w:footnoteRef/>
      </w:r>
      <w:r w:rsidRPr="00CD4B01">
        <w:rPr>
          <w:rFonts w:ascii="Arial" w:hAnsi="Arial" w:cs="Arial"/>
          <w:sz w:val="16"/>
          <w:szCs w:val="16"/>
        </w:rPr>
        <w:t xml:space="preserve"> </w:t>
      </w:r>
      <w:r>
        <w:rPr>
          <w:rFonts w:ascii="Arial" w:hAnsi="Arial" w:cs="Arial"/>
          <w:sz w:val="16"/>
          <w:szCs w:val="16"/>
        </w:rPr>
        <w:t>ARTÍCULO 211</w:t>
      </w:r>
      <w:r w:rsidRPr="00CD4B01">
        <w:rPr>
          <w:rFonts w:ascii="Arial" w:hAnsi="Arial" w:cs="Arial"/>
          <w:color w:val="000080"/>
          <w:sz w:val="16"/>
          <w:szCs w:val="16"/>
        </w:rPr>
        <w:t xml:space="preserve">. </w:t>
      </w:r>
      <w:r w:rsidRPr="00CD4B01">
        <w:rPr>
          <w:rFonts w:ascii="Arial" w:hAnsi="Arial" w:cs="Arial"/>
          <w:sz w:val="16"/>
          <w:szCs w:val="16"/>
        </w:rPr>
        <w:t>En desarrollo de la autonomía de los Departamentos y Municipios, las normas fiscales podrán disponer sobre formación y adjudicación de los contratos que celebren y cláusulas de los mismos conforme a sus intereses y a las necesidades del servicio; pero las normas sobre tipos de contratos, clasificación, efectos, responsabilidad y terminación están reservadas a la ley, así como las de inhabilidades e incompatibilidades.</w:t>
      </w:r>
    </w:p>
  </w:footnote>
  <w:footnote w:id="25">
    <w:p w:rsidR="001F7ECD" w:rsidRPr="00F91836" w:rsidRDefault="001F7ECD" w:rsidP="005E7636">
      <w:pPr>
        <w:pStyle w:val="Textonotapie"/>
        <w:jc w:val="both"/>
        <w:rPr>
          <w:rFonts w:ascii="Arial" w:hAnsi="Arial" w:cs="Arial"/>
          <w:sz w:val="16"/>
          <w:szCs w:val="16"/>
        </w:rPr>
      </w:pPr>
      <w:r w:rsidRPr="00CD4B01">
        <w:rPr>
          <w:rStyle w:val="Refdenotaalpie"/>
          <w:rFonts w:ascii="Arial" w:hAnsi="Arial" w:cs="Arial"/>
          <w:sz w:val="16"/>
          <w:szCs w:val="16"/>
        </w:rPr>
        <w:footnoteRef/>
      </w:r>
      <w:r w:rsidRPr="00CD4B01">
        <w:rPr>
          <w:rFonts w:ascii="Arial" w:hAnsi="Arial" w:cs="Arial"/>
          <w:sz w:val="16"/>
          <w:szCs w:val="16"/>
        </w:rPr>
        <w:t xml:space="preserve"> </w:t>
      </w:r>
      <w:r>
        <w:rPr>
          <w:rFonts w:ascii="Arial" w:hAnsi="Arial" w:cs="Arial"/>
          <w:sz w:val="16"/>
          <w:szCs w:val="16"/>
        </w:rPr>
        <w:t>ARTÍCULO 212</w:t>
      </w:r>
      <w:r w:rsidRPr="00CD4B01">
        <w:rPr>
          <w:rFonts w:ascii="Arial" w:hAnsi="Arial" w:cs="Arial"/>
          <w:color w:val="000080"/>
          <w:sz w:val="16"/>
          <w:szCs w:val="16"/>
        </w:rPr>
        <w:t xml:space="preserve">. </w:t>
      </w:r>
      <w:r w:rsidRPr="00CD4B01">
        <w:rPr>
          <w:rFonts w:ascii="Arial" w:hAnsi="Arial" w:cs="Arial"/>
          <w:sz w:val="16"/>
          <w:szCs w:val="16"/>
        </w:rPr>
        <w:t>Las normas del Decreto - ley 222 de 1983 sobre tipos de contratos, su clasificación, efectos, responsabilidades y terminación y los principios del mismo estatuto sobre terminación, modificación e interpretación unilaterales se aplican también en los Departamentos</w:t>
      </w:r>
    </w:p>
  </w:footnote>
  <w:footnote w:id="26">
    <w:p w:rsidR="001F7ECD" w:rsidRPr="00F91836" w:rsidRDefault="001F7ECD" w:rsidP="00A87E5D">
      <w:pPr>
        <w:widowControl w:val="0"/>
        <w:spacing w:after="0" w:line="240" w:lineRule="auto"/>
        <w:jc w:val="both"/>
        <w:rPr>
          <w:rFonts w:ascii="Arial" w:hAnsi="Arial" w:cs="Arial"/>
          <w:sz w:val="16"/>
          <w:szCs w:val="16"/>
        </w:rPr>
      </w:pPr>
      <w:r w:rsidRPr="00F91836">
        <w:rPr>
          <w:rStyle w:val="Refdenotaalpie"/>
          <w:rFonts w:ascii="Arial" w:hAnsi="Arial" w:cs="Arial"/>
          <w:sz w:val="16"/>
          <w:szCs w:val="16"/>
        </w:rPr>
        <w:footnoteRef/>
      </w:r>
      <w:bookmarkStart w:id="1" w:name="81"/>
      <w:bookmarkEnd w:id="1"/>
      <w:r>
        <w:rPr>
          <w:rStyle w:val="textonavy1"/>
          <w:rFonts w:ascii="Arial" w:hAnsi="Arial" w:cs="Arial"/>
          <w:sz w:val="16"/>
          <w:szCs w:val="16"/>
        </w:rPr>
        <w:t xml:space="preserve"> </w:t>
      </w:r>
      <w:r w:rsidRPr="00F91836">
        <w:rPr>
          <w:rStyle w:val="textonavy1"/>
          <w:rFonts w:ascii="Arial" w:hAnsi="Arial" w:cs="Arial"/>
          <w:sz w:val="16"/>
          <w:szCs w:val="16"/>
        </w:rPr>
        <w:t xml:space="preserve"> ARTÍCULO 81. DE LA DEROGATORIA Y DE LA VIGENCIA.</w:t>
      </w:r>
      <w:r w:rsidRPr="00F91836">
        <w:rPr>
          <w:rFonts w:ascii="Arial" w:hAnsi="Arial" w:cs="Arial"/>
          <w:sz w:val="16"/>
          <w:szCs w:val="16"/>
        </w:rPr>
        <w:t xml:space="preserve"> A partir de la vigencia de la presente ley, quedan derogados el Decreto ley 2248 de 1972; la Ley 19 de 1982; el Decreto ley 222 de 1983, excepción hecha de los artículos 108, 109, 110, 111, 112 y 113; el Decreto ley 591 de 1991, excepción hecha de los artículos 2o., 8o., 9o., 17 y 19; el Decreto ley 1684 de 1991; las normas sobre contratación del Decreto 700de 1992, y los artículos 253, 254, 255, 256, 257, 258, 259, 260,261, 262, 263, Y 264del Código Contencioso Administrativo; así como las demás normas que le sean contrarias. </w:t>
      </w:r>
    </w:p>
    <w:p w:rsidR="001F7ECD" w:rsidRPr="00F91836" w:rsidRDefault="001F7ECD" w:rsidP="00A87E5D">
      <w:pPr>
        <w:widowControl w:val="0"/>
        <w:spacing w:after="0" w:line="240" w:lineRule="auto"/>
        <w:jc w:val="both"/>
        <w:rPr>
          <w:rFonts w:ascii="Arial" w:hAnsi="Arial" w:cs="Arial"/>
          <w:sz w:val="16"/>
          <w:szCs w:val="16"/>
        </w:rPr>
      </w:pPr>
      <w:r w:rsidRPr="00F91836">
        <w:rPr>
          <w:rFonts w:ascii="Arial" w:hAnsi="Arial" w:cs="Arial"/>
          <w:sz w:val="16"/>
          <w:szCs w:val="16"/>
        </w:rPr>
        <w:t xml:space="preserve">A partir de la promulgación de la presente ley, entrarán a regir el parágrafo del artículo 2o.; el literal l) del numeral 1o. y el numeral 9o. del artículo 24; las normas de este estatuto relacionadas con el contrato de concesión; el numeral 8o. del artículo 25; el numeral 5o., del artículo 32 sobre fiducia pública y encargo fiduciario; y los artículos 33, 34, 35, 36, 37 y 38, sobre servicios y actividades de telecomunicaciones. </w:t>
      </w:r>
    </w:p>
    <w:p w:rsidR="001F7ECD" w:rsidRPr="00F91836" w:rsidRDefault="001F7ECD" w:rsidP="00A87E5D">
      <w:pPr>
        <w:widowControl w:val="0"/>
        <w:spacing w:after="0" w:line="240" w:lineRule="auto"/>
        <w:jc w:val="both"/>
        <w:rPr>
          <w:rFonts w:ascii="Arial" w:hAnsi="Arial" w:cs="Arial"/>
          <w:sz w:val="16"/>
          <w:szCs w:val="16"/>
        </w:rPr>
      </w:pPr>
      <w:r w:rsidRPr="00F91836">
        <w:rPr>
          <w:rFonts w:ascii="Arial" w:hAnsi="Arial" w:cs="Arial"/>
          <w:sz w:val="16"/>
          <w:szCs w:val="16"/>
        </w:rPr>
        <w:t xml:space="preserve">Las demás disposiciones de la presente ley, entrarán a regir a partir del 1o. de enero de 1994 con excepción de las normas sobre registro, clasificación y calificación de proponentes, cuya vigencia se iniciará un año después de la promulgación de esta ley. </w:t>
      </w:r>
    </w:p>
    <w:p w:rsidR="001F7ECD" w:rsidRPr="009C689F" w:rsidRDefault="001F7ECD" w:rsidP="00A87E5D">
      <w:pPr>
        <w:pStyle w:val="Textonotapie"/>
        <w:widowControl w:val="0"/>
        <w:rPr>
          <w:lang w:val="es-CO"/>
        </w:rPr>
      </w:pPr>
    </w:p>
  </w:footnote>
  <w:footnote w:id="27">
    <w:p w:rsidR="001F7ECD" w:rsidRPr="00F91836" w:rsidRDefault="001F7ECD" w:rsidP="00A87E5D">
      <w:pPr>
        <w:pStyle w:val="NormalWeb"/>
        <w:widowControl w:val="0"/>
        <w:spacing w:before="0" w:beforeAutospacing="0" w:after="0" w:afterAutospacing="0"/>
        <w:jc w:val="both"/>
        <w:rPr>
          <w:rFonts w:ascii="Arial" w:hAnsi="Arial" w:cs="Arial"/>
          <w:color w:val="000000"/>
          <w:sz w:val="20"/>
          <w:szCs w:val="20"/>
        </w:rPr>
      </w:pPr>
      <w:r w:rsidRPr="00F91836">
        <w:rPr>
          <w:rStyle w:val="Refdenotaalpie"/>
          <w:rFonts w:ascii="Arial" w:hAnsi="Arial" w:cs="Arial"/>
          <w:sz w:val="16"/>
          <w:szCs w:val="16"/>
        </w:rPr>
        <w:footnoteRef/>
      </w:r>
      <w:r w:rsidRPr="00F91836">
        <w:rPr>
          <w:rFonts w:ascii="Arial" w:hAnsi="Arial" w:cs="Arial"/>
          <w:sz w:val="16"/>
          <w:szCs w:val="16"/>
        </w:rPr>
        <w:t xml:space="preserve"> </w:t>
      </w:r>
      <w:r w:rsidRPr="00F91836">
        <w:rPr>
          <w:rFonts w:ascii="Arial" w:hAnsi="Arial" w:cs="Arial"/>
          <w:b/>
          <w:bCs/>
          <w:color w:val="000000"/>
          <w:sz w:val="16"/>
          <w:szCs w:val="16"/>
        </w:rPr>
        <w:t>Artículo 44</w:t>
      </w:r>
      <w:r w:rsidRPr="00F91836">
        <w:rPr>
          <w:rFonts w:ascii="Arial" w:hAnsi="Arial" w:cs="Arial"/>
          <w:color w:val="000000"/>
          <w:sz w:val="16"/>
          <w:szCs w:val="16"/>
        </w:rPr>
        <w:t xml:space="preserve">. </w:t>
      </w:r>
      <w:r w:rsidRPr="00F91836">
        <w:rPr>
          <w:rFonts w:ascii="Arial" w:hAnsi="Arial" w:cs="Arial"/>
          <w:b/>
          <w:bCs/>
          <w:color w:val="000000"/>
          <w:sz w:val="16"/>
          <w:szCs w:val="16"/>
        </w:rPr>
        <w:t>Del registro de proponentes</w:t>
      </w:r>
      <w:r w:rsidRPr="00F91836">
        <w:rPr>
          <w:rFonts w:ascii="Arial" w:hAnsi="Arial" w:cs="Arial"/>
          <w:color w:val="000000"/>
          <w:sz w:val="16"/>
          <w:szCs w:val="16"/>
        </w:rPr>
        <w:t>. En los casos especiales que dispongan los respectivos reglamentos, no se podrá licitar, adjudicar o celebrar contratos con personas naturales o jurídicas que no se hallaren debidamente inscritas, calificadas y clasificadas en el registro correspondiente</w:t>
      </w:r>
      <w:r w:rsidRPr="00F91836">
        <w:rPr>
          <w:rFonts w:ascii="Arial" w:hAnsi="Arial" w:cs="Arial"/>
          <w:color w:val="000000"/>
          <w:sz w:val="20"/>
          <w:szCs w:val="20"/>
        </w:rPr>
        <w:t>.</w:t>
      </w:r>
    </w:p>
    <w:p w:rsidR="001F7ECD" w:rsidRPr="00F91836" w:rsidRDefault="001F7ECD">
      <w:pPr>
        <w:pStyle w:val="Textonotapie"/>
        <w:rPr>
          <w:lang w:val="es-CO"/>
        </w:rPr>
      </w:pPr>
    </w:p>
  </w:footnote>
  <w:footnote w:id="28">
    <w:p w:rsidR="001F7ECD" w:rsidRPr="009E3B05" w:rsidRDefault="001F7ECD" w:rsidP="005E7636">
      <w:pPr>
        <w:tabs>
          <w:tab w:val="left" w:pos="9214"/>
        </w:tabs>
        <w:ind w:right="51"/>
        <w:jc w:val="both"/>
        <w:rPr>
          <w:rFonts w:ascii="Arial" w:hAnsi="Arial" w:cs="Arial"/>
          <w:sz w:val="16"/>
          <w:szCs w:val="16"/>
        </w:rPr>
      </w:pPr>
      <w:r w:rsidRPr="009E3B05">
        <w:rPr>
          <w:rStyle w:val="Refdenotaalpie"/>
          <w:rFonts w:ascii="Arial" w:hAnsi="Arial" w:cs="Arial"/>
          <w:sz w:val="16"/>
          <w:szCs w:val="16"/>
        </w:rPr>
        <w:footnoteRef/>
      </w:r>
      <w:r w:rsidRPr="009E3B05">
        <w:rPr>
          <w:rFonts w:ascii="Arial" w:hAnsi="Arial" w:cs="Arial"/>
          <w:sz w:val="16"/>
          <w:szCs w:val="16"/>
        </w:rPr>
        <w:t xml:space="preserve"> Ver entre otras sentencias: CORTE CONSTITUCIONAL Sentencias C 147 de 1998, T-282 de 2006:</w:t>
      </w:r>
    </w:p>
    <w:p w:rsidR="001F7ECD" w:rsidRPr="009E3B05" w:rsidRDefault="001F7ECD" w:rsidP="005E7636">
      <w:pPr>
        <w:pStyle w:val="Textonotapie"/>
        <w:rPr>
          <w:rFonts w:ascii="Arial Narrow" w:hAnsi="Arial Narrow"/>
          <w:sz w:val="16"/>
          <w:szCs w:val="16"/>
        </w:rPr>
      </w:pPr>
    </w:p>
  </w:footnote>
  <w:footnote w:id="29">
    <w:p w:rsidR="001F7ECD" w:rsidRPr="009E3B05" w:rsidRDefault="001F7ECD" w:rsidP="005E7636">
      <w:pPr>
        <w:pStyle w:val="Textonotapie"/>
        <w:rPr>
          <w:rFonts w:ascii="Arial" w:hAnsi="Arial" w:cs="Arial"/>
          <w:sz w:val="16"/>
          <w:szCs w:val="16"/>
        </w:rPr>
      </w:pPr>
      <w:r w:rsidRPr="00D67E1E">
        <w:rPr>
          <w:rStyle w:val="Refdenotaalpie"/>
          <w:rFonts w:ascii="Arial Narrow" w:hAnsi="Arial Narrow"/>
        </w:rPr>
        <w:footnoteRef/>
      </w:r>
      <w:r w:rsidRPr="00D67E1E">
        <w:rPr>
          <w:rFonts w:ascii="Arial Narrow" w:hAnsi="Arial Narrow"/>
        </w:rPr>
        <w:t xml:space="preserve"> CORTE CONSTITUCIONAL, Sentencia T 1039 de 2006, MP Sierra Porto.</w:t>
      </w:r>
    </w:p>
  </w:footnote>
  <w:footnote w:id="30">
    <w:p w:rsidR="001F7ECD" w:rsidRPr="009E3B05" w:rsidRDefault="001F7ECD" w:rsidP="005E7636">
      <w:pPr>
        <w:jc w:val="both"/>
        <w:rPr>
          <w:rFonts w:ascii="Arial" w:hAnsi="Arial" w:cs="Arial"/>
          <w:sz w:val="16"/>
          <w:szCs w:val="16"/>
        </w:rPr>
      </w:pPr>
      <w:r w:rsidRPr="009E3B05">
        <w:rPr>
          <w:rStyle w:val="Refdenotaalpie"/>
          <w:rFonts w:ascii="Arial" w:hAnsi="Arial" w:cs="Arial"/>
          <w:sz w:val="16"/>
          <w:szCs w:val="16"/>
        </w:rPr>
        <w:footnoteRef/>
      </w:r>
      <w:r>
        <w:rPr>
          <w:rFonts w:ascii="Arial" w:hAnsi="Arial" w:cs="Arial"/>
          <w:sz w:val="16"/>
          <w:szCs w:val="16"/>
        </w:rPr>
        <w:t>ARTÍCULO 8. DE LAS INHABILIDADES E INCOMPATIBILIDADES</w:t>
      </w:r>
      <w:bookmarkStart w:id="2" w:name="8"/>
      <w:bookmarkEnd w:id="2"/>
      <w:r>
        <w:rPr>
          <w:rFonts w:ascii="Arial" w:hAnsi="Arial" w:cs="Arial"/>
          <w:sz w:val="16"/>
          <w:szCs w:val="16"/>
        </w:rPr>
        <w:t xml:space="preserve"> PARA CONTRATAR</w:t>
      </w:r>
      <w:r w:rsidRPr="009E3B05">
        <w:rPr>
          <w:rStyle w:val="textonavy1"/>
          <w:rFonts w:ascii="Arial" w:hAnsi="Arial" w:cs="Arial"/>
          <w:sz w:val="16"/>
          <w:szCs w:val="16"/>
        </w:rPr>
        <w:t>.</w:t>
      </w:r>
      <w:r w:rsidRPr="009E3B05">
        <w:rPr>
          <w:rFonts w:ascii="Arial" w:hAnsi="Arial" w:cs="Arial"/>
          <w:sz w:val="16"/>
          <w:szCs w:val="16"/>
        </w:rPr>
        <w:t xml:space="preserve"> </w:t>
      </w:r>
    </w:p>
    <w:p w:rsidR="001F7ECD" w:rsidRPr="009E3B05" w:rsidRDefault="001F7ECD" w:rsidP="005E7636">
      <w:pPr>
        <w:jc w:val="both"/>
        <w:rPr>
          <w:rFonts w:ascii="Arial" w:hAnsi="Arial" w:cs="Arial"/>
          <w:sz w:val="16"/>
          <w:szCs w:val="16"/>
        </w:rPr>
      </w:pPr>
      <w:r w:rsidRPr="009E3B05">
        <w:rPr>
          <w:rFonts w:ascii="Arial" w:hAnsi="Arial" w:cs="Arial"/>
          <w:sz w:val="16"/>
          <w:szCs w:val="16"/>
        </w:rPr>
        <w:t xml:space="preserve">1o. &lt;Aparte </w:t>
      </w:r>
      <w:r>
        <w:rPr>
          <w:rFonts w:ascii="Arial" w:hAnsi="Arial" w:cs="Arial"/>
          <w:sz w:val="16"/>
          <w:szCs w:val="16"/>
        </w:rPr>
        <w:t>en negrillas</w:t>
      </w:r>
      <w:r w:rsidRPr="009E3B05">
        <w:rPr>
          <w:rFonts w:ascii="Arial" w:hAnsi="Arial" w:cs="Arial"/>
          <w:sz w:val="16"/>
          <w:szCs w:val="16"/>
        </w:rPr>
        <w:t xml:space="preserve"> derogado por el artículo</w:t>
      </w:r>
      <w:r>
        <w:rPr>
          <w:rFonts w:ascii="Arial" w:hAnsi="Arial" w:cs="Arial"/>
          <w:sz w:val="16"/>
          <w:szCs w:val="16"/>
        </w:rPr>
        <w:t xml:space="preserve"> 32 </w:t>
      </w:r>
      <w:r w:rsidRPr="009E3B05">
        <w:rPr>
          <w:rFonts w:ascii="Arial" w:hAnsi="Arial" w:cs="Arial"/>
          <w:sz w:val="16"/>
          <w:szCs w:val="16"/>
        </w:rPr>
        <w:t xml:space="preserve"> de la Ley 1150 de 2007&gt; Son inhábiles para participar en licitaciones</w:t>
      </w:r>
      <w:r>
        <w:rPr>
          <w:rFonts w:ascii="Arial" w:hAnsi="Arial" w:cs="Arial"/>
          <w:sz w:val="16"/>
          <w:szCs w:val="16"/>
        </w:rPr>
        <w:t xml:space="preserve"> o </w:t>
      </w:r>
      <w:r w:rsidRPr="009E3B05">
        <w:rPr>
          <w:rFonts w:ascii="Arial" w:hAnsi="Arial" w:cs="Arial"/>
          <w:b/>
          <w:sz w:val="16"/>
          <w:szCs w:val="16"/>
        </w:rPr>
        <w:t>concursos</w:t>
      </w:r>
      <w:r w:rsidRPr="009E3B05">
        <w:rPr>
          <w:rFonts w:ascii="Arial" w:hAnsi="Arial" w:cs="Arial"/>
          <w:sz w:val="16"/>
          <w:szCs w:val="16"/>
        </w:rPr>
        <w:t xml:space="preserve"> y para celebrar contratos con las entidades estatales: </w:t>
      </w:r>
    </w:p>
    <w:p w:rsidR="001F7ECD" w:rsidRPr="009E3B05" w:rsidRDefault="001F7ECD" w:rsidP="005E7636">
      <w:pPr>
        <w:jc w:val="both"/>
        <w:rPr>
          <w:rFonts w:ascii="Arial" w:hAnsi="Arial" w:cs="Arial"/>
          <w:sz w:val="16"/>
          <w:szCs w:val="16"/>
        </w:rPr>
      </w:pPr>
      <w:r w:rsidRPr="009E3B05">
        <w:rPr>
          <w:rFonts w:ascii="Arial" w:hAnsi="Arial" w:cs="Arial"/>
          <w:sz w:val="16"/>
          <w:szCs w:val="16"/>
        </w:rPr>
        <w:t xml:space="preserve">a) Las personas que se hallen inhabilitadas para contratar por la Constitución y las leyes. </w:t>
      </w:r>
    </w:p>
    <w:p w:rsidR="001F7ECD" w:rsidRPr="009E3B05" w:rsidRDefault="001F7ECD" w:rsidP="005E7636">
      <w:pPr>
        <w:jc w:val="both"/>
        <w:rPr>
          <w:rFonts w:ascii="Arial" w:hAnsi="Arial" w:cs="Arial"/>
          <w:sz w:val="16"/>
          <w:szCs w:val="16"/>
        </w:rPr>
      </w:pPr>
      <w:r w:rsidRPr="009E3B05">
        <w:rPr>
          <w:rFonts w:ascii="Arial" w:hAnsi="Arial" w:cs="Arial"/>
          <w:sz w:val="16"/>
          <w:szCs w:val="16"/>
        </w:rPr>
        <w:t xml:space="preserve">b) &lt;Aparte </w:t>
      </w:r>
      <w:r>
        <w:rPr>
          <w:rFonts w:ascii="Arial" w:hAnsi="Arial" w:cs="Arial"/>
          <w:sz w:val="16"/>
          <w:szCs w:val="16"/>
        </w:rPr>
        <w:t>en negrillas</w:t>
      </w:r>
      <w:r w:rsidRPr="009E3B05">
        <w:rPr>
          <w:rFonts w:ascii="Arial" w:hAnsi="Arial" w:cs="Arial"/>
          <w:sz w:val="16"/>
          <w:szCs w:val="16"/>
        </w:rPr>
        <w:t xml:space="preserve"> derogado por el artículo</w:t>
      </w:r>
      <w:r>
        <w:rPr>
          <w:rFonts w:ascii="Arial" w:hAnsi="Arial" w:cs="Arial"/>
          <w:sz w:val="16"/>
          <w:szCs w:val="16"/>
        </w:rPr>
        <w:t xml:space="preserve"> 32 </w:t>
      </w:r>
      <w:r w:rsidRPr="009E3B05">
        <w:rPr>
          <w:rFonts w:ascii="Arial" w:hAnsi="Arial" w:cs="Arial"/>
          <w:sz w:val="16"/>
          <w:szCs w:val="16"/>
        </w:rPr>
        <w:t xml:space="preserve"> de la Ley 1150 de 2007&gt; Quienes participaron en las licitaciones </w:t>
      </w:r>
      <w:r>
        <w:rPr>
          <w:rFonts w:ascii="Arial" w:hAnsi="Arial" w:cs="Arial"/>
          <w:b/>
          <w:sz w:val="16"/>
          <w:szCs w:val="16"/>
        </w:rPr>
        <w:t xml:space="preserve">o concursos </w:t>
      </w:r>
      <w:r w:rsidRPr="009E3B05">
        <w:rPr>
          <w:rFonts w:ascii="Arial" w:hAnsi="Arial" w:cs="Arial"/>
          <w:sz w:val="16"/>
          <w:szCs w:val="16"/>
        </w:rPr>
        <w:t xml:space="preserve">o celebraron los contratos de que trata el literal anterior estando inhabilitados. </w:t>
      </w:r>
    </w:p>
    <w:p w:rsidR="001F7ECD" w:rsidRPr="009E3B05" w:rsidRDefault="001F7ECD" w:rsidP="005E7636">
      <w:pPr>
        <w:jc w:val="both"/>
        <w:rPr>
          <w:rFonts w:ascii="Arial" w:hAnsi="Arial" w:cs="Arial"/>
          <w:sz w:val="16"/>
          <w:szCs w:val="16"/>
        </w:rPr>
      </w:pPr>
      <w:r w:rsidRPr="009E3B05">
        <w:rPr>
          <w:rFonts w:ascii="Arial" w:hAnsi="Arial" w:cs="Arial"/>
          <w:sz w:val="16"/>
          <w:szCs w:val="16"/>
        </w:rPr>
        <w:t xml:space="preserve">c) Quienes dieron lugar a la declaratoria de caducidad. </w:t>
      </w:r>
    </w:p>
    <w:p w:rsidR="001F7ECD" w:rsidRPr="009E3B05" w:rsidRDefault="001F7ECD" w:rsidP="005E7636">
      <w:pPr>
        <w:jc w:val="both"/>
        <w:rPr>
          <w:rFonts w:ascii="Arial" w:hAnsi="Arial" w:cs="Arial"/>
          <w:sz w:val="16"/>
          <w:szCs w:val="16"/>
        </w:rPr>
      </w:pPr>
      <w:r w:rsidRPr="00CC189F">
        <w:rPr>
          <w:rFonts w:ascii="Arial" w:hAnsi="Arial" w:cs="Arial"/>
          <w:sz w:val="16"/>
          <w:szCs w:val="16"/>
        </w:rPr>
        <w:t>d) Quienes en sentencia judicial hayan sido condenados a la pena accesoria de interdicción de derechos y funciones públicas y quienes hayan sido sancionados disciplinariamente con destitución</w:t>
      </w:r>
      <w:r w:rsidRPr="009E3B05">
        <w:rPr>
          <w:rFonts w:ascii="Arial" w:hAnsi="Arial" w:cs="Arial"/>
          <w:sz w:val="16"/>
          <w:szCs w:val="16"/>
          <w:u w:val="single"/>
        </w:rPr>
        <w:t xml:space="preserve">. </w:t>
      </w:r>
    </w:p>
    <w:p w:rsidR="001F7ECD" w:rsidRPr="009E3B05" w:rsidRDefault="001F7ECD" w:rsidP="005E7636">
      <w:pPr>
        <w:jc w:val="both"/>
        <w:rPr>
          <w:rFonts w:ascii="Arial" w:hAnsi="Arial" w:cs="Arial"/>
          <w:sz w:val="16"/>
          <w:szCs w:val="16"/>
        </w:rPr>
      </w:pPr>
      <w:r w:rsidRPr="009E3B05">
        <w:rPr>
          <w:rFonts w:ascii="Arial" w:hAnsi="Arial" w:cs="Arial"/>
          <w:sz w:val="16"/>
          <w:szCs w:val="16"/>
        </w:rPr>
        <w:t xml:space="preserve">e) Quienes sin justa causa se abstengan de suscribir el contrato estatal adjudicado. </w:t>
      </w:r>
    </w:p>
    <w:p w:rsidR="001F7ECD" w:rsidRPr="009E3B05" w:rsidRDefault="001F7ECD" w:rsidP="005E7636">
      <w:pPr>
        <w:jc w:val="both"/>
        <w:rPr>
          <w:rFonts w:ascii="Arial" w:hAnsi="Arial" w:cs="Arial"/>
          <w:sz w:val="16"/>
          <w:szCs w:val="16"/>
        </w:rPr>
      </w:pPr>
      <w:r w:rsidRPr="009E3B05">
        <w:rPr>
          <w:rFonts w:ascii="Arial" w:hAnsi="Arial" w:cs="Arial"/>
          <w:sz w:val="16"/>
          <w:szCs w:val="16"/>
        </w:rPr>
        <w:t xml:space="preserve">f) Los servidores públicos. </w:t>
      </w:r>
    </w:p>
    <w:p w:rsidR="001F7ECD" w:rsidRPr="009E3B05" w:rsidRDefault="001F7ECD" w:rsidP="005E7636">
      <w:pPr>
        <w:jc w:val="both"/>
        <w:rPr>
          <w:rFonts w:ascii="Arial" w:hAnsi="Arial" w:cs="Arial"/>
          <w:color w:val="0000FF"/>
          <w:sz w:val="16"/>
          <w:szCs w:val="16"/>
        </w:rPr>
      </w:pPr>
      <w:r w:rsidRPr="009E3B05">
        <w:rPr>
          <w:rFonts w:ascii="Arial" w:hAnsi="Arial" w:cs="Arial"/>
          <w:sz w:val="16"/>
          <w:szCs w:val="16"/>
        </w:rPr>
        <w:t xml:space="preserve">g) &lt;Aparte subrayado CONDICIONALMENTE exequible&gt; &lt;Aparte </w:t>
      </w:r>
      <w:r>
        <w:rPr>
          <w:rFonts w:ascii="Arial" w:hAnsi="Arial" w:cs="Arial"/>
          <w:sz w:val="16"/>
          <w:szCs w:val="16"/>
        </w:rPr>
        <w:t>en negrillas</w:t>
      </w:r>
      <w:r w:rsidRPr="009E3B05">
        <w:rPr>
          <w:rFonts w:ascii="Arial" w:hAnsi="Arial" w:cs="Arial"/>
          <w:sz w:val="16"/>
          <w:szCs w:val="16"/>
        </w:rPr>
        <w:t xml:space="preserve"> derogado por el artículo</w:t>
      </w:r>
      <w:r>
        <w:rPr>
          <w:rFonts w:ascii="Arial" w:hAnsi="Arial" w:cs="Arial"/>
          <w:sz w:val="16"/>
          <w:szCs w:val="16"/>
        </w:rPr>
        <w:t xml:space="preserve"> 32</w:t>
      </w:r>
      <w:r w:rsidRPr="009E3B05">
        <w:rPr>
          <w:rFonts w:ascii="Arial" w:hAnsi="Arial" w:cs="Arial"/>
          <w:sz w:val="16"/>
          <w:szCs w:val="16"/>
        </w:rPr>
        <w:t xml:space="preserve"> de la Ley 1150 de 2007&gt; Quienes sean cónyuges o </w:t>
      </w:r>
      <w:r w:rsidRPr="009E3B05">
        <w:rPr>
          <w:rFonts w:ascii="Arial" w:hAnsi="Arial" w:cs="Arial"/>
          <w:sz w:val="16"/>
          <w:szCs w:val="16"/>
          <w:u w:val="single"/>
        </w:rPr>
        <w:t>compañeros permanentes</w:t>
      </w:r>
      <w:r w:rsidRPr="009E3B05">
        <w:rPr>
          <w:rFonts w:ascii="Arial" w:hAnsi="Arial" w:cs="Arial"/>
          <w:sz w:val="16"/>
          <w:szCs w:val="16"/>
        </w:rPr>
        <w:t xml:space="preserve"> y quienes se encuentren dentro del segundo grado de consanguinidad o segundo de afinidad con cualquier otra persona que formalmente haya presentado propuesta para una misma licitación</w:t>
      </w:r>
      <w:r>
        <w:rPr>
          <w:rFonts w:ascii="Arial" w:hAnsi="Arial" w:cs="Arial"/>
          <w:b/>
          <w:sz w:val="16"/>
          <w:szCs w:val="16"/>
        </w:rPr>
        <w:t xml:space="preserve"> o concurso.</w:t>
      </w:r>
      <w:r w:rsidRPr="009E3B05">
        <w:rPr>
          <w:rFonts w:ascii="Arial" w:hAnsi="Arial" w:cs="Arial"/>
          <w:color w:val="0000FF"/>
          <w:sz w:val="16"/>
          <w:szCs w:val="16"/>
        </w:rPr>
        <w:t xml:space="preserve"> </w:t>
      </w:r>
    </w:p>
    <w:p w:rsidR="001F7ECD" w:rsidRPr="009E3B05" w:rsidRDefault="001F7ECD" w:rsidP="005E7636">
      <w:pPr>
        <w:jc w:val="both"/>
        <w:rPr>
          <w:rFonts w:ascii="Arial" w:hAnsi="Arial" w:cs="Arial"/>
          <w:sz w:val="16"/>
          <w:szCs w:val="16"/>
        </w:rPr>
      </w:pPr>
      <w:r w:rsidRPr="009E3B05">
        <w:rPr>
          <w:rFonts w:ascii="Arial" w:hAnsi="Arial" w:cs="Arial"/>
          <w:sz w:val="16"/>
          <w:szCs w:val="16"/>
        </w:rPr>
        <w:t xml:space="preserve">h) &lt;Aparte </w:t>
      </w:r>
      <w:r>
        <w:rPr>
          <w:rFonts w:ascii="Arial" w:hAnsi="Arial" w:cs="Arial"/>
          <w:sz w:val="16"/>
          <w:szCs w:val="16"/>
        </w:rPr>
        <w:t xml:space="preserve">en negrillas </w:t>
      </w:r>
      <w:r w:rsidRPr="009E3B05">
        <w:rPr>
          <w:rFonts w:ascii="Arial" w:hAnsi="Arial" w:cs="Arial"/>
          <w:sz w:val="16"/>
          <w:szCs w:val="16"/>
        </w:rPr>
        <w:t>derogado por el artículo</w:t>
      </w:r>
      <w:r>
        <w:rPr>
          <w:rFonts w:ascii="Arial" w:hAnsi="Arial" w:cs="Arial"/>
          <w:sz w:val="16"/>
          <w:szCs w:val="16"/>
        </w:rPr>
        <w:t xml:space="preserve"> 32 </w:t>
      </w:r>
      <w:r w:rsidRPr="009E3B05">
        <w:rPr>
          <w:rFonts w:ascii="Arial" w:hAnsi="Arial" w:cs="Arial"/>
          <w:sz w:val="16"/>
          <w:szCs w:val="16"/>
        </w:rPr>
        <w:t xml:space="preserve"> de la Ley 1150 de 2007&gt;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w:t>
      </w:r>
      <w:r>
        <w:rPr>
          <w:rFonts w:ascii="Arial" w:hAnsi="Arial" w:cs="Arial"/>
          <w:b/>
          <w:sz w:val="16"/>
          <w:szCs w:val="16"/>
        </w:rPr>
        <w:t>o concurso</w:t>
      </w:r>
      <w:r w:rsidRPr="009E3B05">
        <w:rPr>
          <w:rFonts w:ascii="Arial" w:hAnsi="Arial" w:cs="Arial"/>
          <w:sz w:val="16"/>
          <w:szCs w:val="16"/>
        </w:rPr>
        <w:t xml:space="preserve">. </w:t>
      </w:r>
    </w:p>
    <w:p w:rsidR="001F7ECD" w:rsidRPr="009E3B05" w:rsidRDefault="001F7ECD" w:rsidP="005E7636">
      <w:pPr>
        <w:jc w:val="both"/>
        <w:rPr>
          <w:rFonts w:ascii="Arial" w:hAnsi="Arial" w:cs="Arial"/>
          <w:sz w:val="16"/>
          <w:szCs w:val="16"/>
        </w:rPr>
      </w:pPr>
      <w:r w:rsidRPr="009E3B05">
        <w:rPr>
          <w:rFonts w:ascii="Arial" w:hAnsi="Arial" w:cs="Arial"/>
          <w:sz w:val="16"/>
          <w:szCs w:val="16"/>
        </w:rPr>
        <w:t xml:space="preserve">i) Los socios de sociedades de personas a las cuales se haya declarado la caducidad, así como las sociedades de personas de las que aquellos formen parte con posterioridad a dicha declaratoria. </w:t>
      </w:r>
    </w:p>
    <w:p w:rsidR="001F7ECD" w:rsidRPr="009E3B05" w:rsidRDefault="001F7ECD" w:rsidP="005E7636">
      <w:pPr>
        <w:jc w:val="both"/>
        <w:rPr>
          <w:rFonts w:ascii="Arial" w:hAnsi="Arial" w:cs="Arial"/>
          <w:sz w:val="16"/>
          <w:szCs w:val="16"/>
        </w:rPr>
      </w:pPr>
      <w:r w:rsidRPr="009E3B05">
        <w:rPr>
          <w:rFonts w:ascii="Arial" w:hAnsi="Arial" w:cs="Arial"/>
          <w:sz w:val="16"/>
          <w:szCs w:val="16"/>
        </w:rPr>
        <w:t xml:space="preserve">&lt;Aparte </w:t>
      </w:r>
      <w:r>
        <w:rPr>
          <w:rFonts w:ascii="Arial" w:hAnsi="Arial" w:cs="Arial"/>
          <w:sz w:val="16"/>
          <w:szCs w:val="16"/>
        </w:rPr>
        <w:t xml:space="preserve">en negrillas </w:t>
      </w:r>
      <w:r w:rsidRPr="009E3B05">
        <w:rPr>
          <w:rFonts w:ascii="Arial" w:hAnsi="Arial" w:cs="Arial"/>
          <w:sz w:val="16"/>
          <w:szCs w:val="16"/>
        </w:rPr>
        <w:t>derogado por el artículo</w:t>
      </w:r>
      <w:r>
        <w:rPr>
          <w:rFonts w:ascii="Arial" w:hAnsi="Arial" w:cs="Arial"/>
          <w:sz w:val="16"/>
          <w:szCs w:val="16"/>
        </w:rPr>
        <w:t xml:space="preserve"> 32 </w:t>
      </w:r>
      <w:r w:rsidRPr="009E3B05">
        <w:rPr>
          <w:rFonts w:ascii="Arial" w:hAnsi="Arial" w:cs="Arial"/>
          <w:sz w:val="16"/>
          <w:szCs w:val="16"/>
        </w:rPr>
        <w:t xml:space="preserve"> de la Ley 1150 de 2007&gt; &lt;Ver Notas del Editor&gt; Las inhabilidades a que se refieren los literales c), d) e i) se extenderán por un término de cinco (5) años contados a partir de la fecha de ejecutoria del acto que declaró la caducidad, o de la sentencia que impuso la pena, o del acto que dispuso la destitución; las previstas en los literales b) y e), se extenderán por un término de cinco (5) años contados a partir de la fecha de ocurrencia del hecho de la participación en la licitación </w:t>
      </w:r>
      <w:r>
        <w:rPr>
          <w:rFonts w:ascii="Arial" w:hAnsi="Arial" w:cs="Arial"/>
          <w:b/>
          <w:sz w:val="16"/>
          <w:szCs w:val="16"/>
        </w:rPr>
        <w:t xml:space="preserve"> o concurso</w:t>
      </w:r>
      <w:r w:rsidRPr="009E3B05">
        <w:rPr>
          <w:rFonts w:ascii="Arial" w:hAnsi="Arial" w:cs="Arial"/>
          <w:sz w:val="16"/>
          <w:szCs w:val="16"/>
        </w:rPr>
        <w:t xml:space="preserve">, o de la de celebración del contrato, o de la de expiración del plazo para su firma. </w:t>
      </w:r>
    </w:p>
    <w:p w:rsidR="001F7ECD" w:rsidRPr="009E3B05" w:rsidRDefault="001F7ECD" w:rsidP="005E7636">
      <w:pPr>
        <w:jc w:val="both"/>
        <w:rPr>
          <w:rFonts w:ascii="Arial" w:hAnsi="Arial" w:cs="Arial"/>
          <w:sz w:val="16"/>
          <w:szCs w:val="16"/>
        </w:rPr>
      </w:pPr>
      <w:r w:rsidRPr="009E3B05">
        <w:rPr>
          <w:rFonts w:ascii="Arial" w:hAnsi="Arial" w:cs="Arial"/>
          <w:sz w:val="16"/>
          <w:szCs w:val="16"/>
        </w:rPr>
        <w:t xml:space="preserve">j) &lt;Aparte </w:t>
      </w:r>
      <w:r>
        <w:rPr>
          <w:rFonts w:ascii="Arial" w:hAnsi="Arial" w:cs="Arial"/>
          <w:sz w:val="16"/>
          <w:szCs w:val="16"/>
        </w:rPr>
        <w:t xml:space="preserve">en negrillas </w:t>
      </w:r>
      <w:r w:rsidRPr="009E3B05">
        <w:rPr>
          <w:rFonts w:ascii="Arial" w:hAnsi="Arial" w:cs="Arial"/>
          <w:sz w:val="16"/>
          <w:szCs w:val="16"/>
        </w:rPr>
        <w:t>INEXEQUIBLE&gt; &lt;Literal modificado por el artículo</w:t>
      </w:r>
      <w:r>
        <w:rPr>
          <w:rFonts w:ascii="Arial" w:hAnsi="Arial" w:cs="Arial"/>
          <w:sz w:val="16"/>
          <w:szCs w:val="16"/>
        </w:rPr>
        <w:t xml:space="preserve"> 1º </w:t>
      </w:r>
      <w:r w:rsidRPr="009E3B05">
        <w:rPr>
          <w:rFonts w:ascii="Arial" w:hAnsi="Arial" w:cs="Arial"/>
          <w:sz w:val="16"/>
          <w:szCs w:val="16"/>
        </w:rPr>
        <w:t xml:space="preserve"> de la Ley 1474 de 2011. El nuevo texto es el siguiente:&gt; Las personas naturales que hayan sido declaradas responsables judicialmente por la comisión de delitos contra la Administración Pública cuya pena sea privativa de la libertad </w:t>
      </w:r>
      <w:r>
        <w:rPr>
          <w:rFonts w:ascii="Arial" w:hAnsi="Arial" w:cs="Arial"/>
          <w:b/>
          <w:sz w:val="16"/>
          <w:szCs w:val="16"/>
        </w:rPr>
        <w:t>o que afecten el patrimonio del Estado o quienes hayan sido condenados por delitos relacionados con la pertenencia, promoción o financiación de grupos ilegales, delitos de lesa humanidad, narcotráfico en Colombia o en el exterior,</w:t>
      </w:r>
      <w:r w:rsidRPr="00CC189F">
        <w:rPr>
          <w:rFonts w:ascii="Arial" w:hAnsi="Arial" w:cs="Arial"/>
          <w:sz w:val="16"/>
          <w:szCs w:val="16"/>
        </w:rPr>
        <w:t xml:space="preserve"> o soborno transnacional, con excepción de delitos culposos.</w:t>
      </w:r>
      <w:r w:rsidRPr="009E3B05">
        <w:rPr>
          <w:rFonts w:ascii="Arial" w:hAnsi="Arial" w:cs="Arial"/>
          <w:sz w:val="16"/>
          <w:szCs w:val="16"/>
        </w:rPr>
        <w:t xml:space="preserve"> Esta inhabilidad se extenderá a las sociedades en las que sean socias tales personas, a sus matrices y a sus subordinadas, con excepción de las sociedades anónimas abiertas.</w:t>
      </w:r>
    </w:p>
    <w:p w:rsidR="001F7ECD" w:rsidRPr="009E3B05" w:rsidRDefault="001F7ECD" w:rsidP="005E7636">
      <w:pPr>
        <w:jc w:val="both"/>
        <w:rPr>
          <w:rFonts w:ascii="Arial" w:hAnsi="Arial" w:cs="Arial"/>
          <w:sz w:val="16"/>
          <w:szCs w:val="16"/>
        </w:rPr>
      </w:pPr>
      <w:r w:rsidRPr="009E3B05">
        <w:rPr>
          <w:rFonts w:ascii="Arial" w:hAnsi="Arial" w:cs="Arial"/>
          <w:sz w:val="16"/>
          <w:szCs w:val="16"/>
        </w:rPr>
        <w:t>La inhabilidad prevista en este literal se extenderá por un término de veinte (20) años.</w:t>
      </w:r>
    </w:p>
    <w:p w:rsidR="001F7ECD" w:rsidRPr="009E3B05" w:rsidRDefault="001F7ECD" w:rsidP="005E7636">
      <w:pPr>
        <w:jc w:val="both"/>
        <w:rPr>
          <w:rFonts w:ascii="Arial" w:hAnsi="Arial" w:cs="Arial"/>
          <w:sz w:val="16"/>
          <w:szCs w:val="16"/>
        </w:rPr>
      </w:pPr>
      <w:r w:rsidRPr="009E3B05">
        <w:rPr>
          <w:rFonts w:ascii="Arial" w:hAnsi="Arial" w:cs="Arial"/>
          <w:sz w:val="16"/>
          <w:szCs w:val="16"/>
        </w:rPr>
        <w:t>k) &lt;Literal adicionado por el artículo</w:t>
      </w:r>
      <w:r>
        <w:rPr>
          <w:rFonts w:ascii="Arial" w:hAnsi="Arial" w:cs="Arial"/>
          <w:sz w:val="16"/>
          <w:szCs w:val="16"/>
        </w:rPr>
        <w:t xml:space="preserve"> 2º </w:t>
      </w:r>
      <w:r w:rsidRPr="009E3B05">
        <w:rPr>
          <w:rFonts w:ascii="Arial" w:hAnsi="Arial" w:cs="Arial"/>
          <w:sz w:val="16"/>
          <w:szCs w:val="16"/>
        </w:rPr>
        <w:t xml:space="preserve"> de la Ley 1474 de 2011. El nuevo texto es el siguiente:&gt;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w:t>
      </w:r>
    </w:p>
    <w:p w:rsidR="001F7ECD" w:rsidRPr="009E3B05" w:rsidRDefault="001F7ECD" w:rsidP="005E7636">
      <w:pPr>
        <w:jc w:val="both"/>
        <w:rPr>
          <w:rFonts w:ascii="Arial" w:hAnsi="Arial" w:cs="Arial"/>
          <w:sz w:val="16"/>
          <w:szCs w:val="16"/>
        </w:rPr>
      </w:pPr>
      <w:r w:rsidRPr="009E3B05">
        <w:rPr>
          <w:rFonts w:ascii="Arial" w:hAnsi="Arial" w:cs="Arial"/>
          <w:sz w:val="16"/>
          <w:szCs w:val="16"/>
        </w:rPr>
        <w:t xml:space="preserve">La inhabilidad se extenderá por todo el período para el cual el candidato fue elegido. Esta causal también operará para las personas que se encuentren dentro del segundo grado de consanguinidad, segundo de afinidad, o primero civil de la persona que ha financiado la campaña política. </w:t>
      </w:r>
    </w:p>
    <w:p w:rsidR="001F7ECD" w:rsidRPr="009E3B05" w:rsidRDefault="001F7ECD" w:rsidP="005E7636">
      <w:pPr>
        <w:jc w:val="both"/>
        <w:rPr>
          <w:rFonts w:ascii="Arial" w:hAnsi="Arial" w:cs="Arial"/>
          <w:sz w:val="16"/>
          <w:szCs w:val="16"/>
        </w:rPr>
      </w:pPr>
      <w:r w:rsidRPr="009E3B05">
        <w:rPr>
          <w:rFonts w:ascii="Arial" w:hAnsi="Arial" w:cs="Arial"/>
          <w:sz w:val="16"/>
          <w:szCs w:val="16"/>
        </w:rPr>
        <w:t>Esta inhabilidad comprenderá también a las sociedades existentes o que llegaren a constituirse distintas de las anónimas abiertas, en las cuales el representante legal o cualquiera de sus socios hayan financiado directamente o por interpuesta persona campañas políticas a la Presidencia de la República, a las gobernaciones y las alcaldías.</w:t>
      </w:r>
    </w:p>
    <w:p w:rsidR="001F7ECD" w:rsidRPr="009E3B05" w:rsidRDefault="001F7ECD" w:rsidP="005E7636">
      <w:pPr>
        <w:jc w:val="both"/>
        <w:rPr>
          <w:rFonts w:ascii="Arial" w:hAnsi="Arial" w:cs="Arial"/>
          <w:sz w:val="16"/>
          <w:szCs w:val="16"/>
        </w:rPr>
      </w:pPr>
      <w:r w:rsidRPr="009E3B05">
        <w:rPr>
          <w:rFonts w:ascii="Arial" w:hAnsi="Arial" w:cs="Arial"/>
          <w:sz w:val="16"/>
          <w:szCs w:val="16"/>
        </w:rPr>
        <w:t>La inhabilidad contemplada en esta norma no se aplicará respecto de los contratos de prestación de servicios profesionales.</w:t>
      </w:r>
    </w:p>
    <w:p w:rsidR="001F7ECD" w:rsidRPr="009E3B05" w:rsidRDefault="001F7ECD" w:rsidP="005E7636">
      <w:pPr>
        <w:jc w:val="both"/>
        <w:rPr>
          <w:rFonts w:ascii="Arial" w:hAnsi="Arial" w:cs="Arial"/>
          <w:sz w:val="16"/>
          <w:szCs w:val="16"/>
        </w:rPr>
      </w:pPr>
      <w:r w:rsidRPr="009E3B05">
        <w:rPr>
          <w:rFonts w:ascii="Arial" w:hAnsi="Arial" w:cs="Arial"/>
          <w:sz w:val="16"/>
          <w:szCs w:val="16"/>
        </w:rPr>
        <w:t xml:space="preserve">k) &lt;sic&gt; &lt;Literal adicionado por el parágrafo 2o.  del artículo </w:t>
      </w:r>
      <w:r>
        <w:rPr>
          <w:rFonts w:ascii="Arial" w:hAnsi="Arial" w:cs="Arial"/>
          <w:sz w:val="16"/>
          <w:szCs w:val="16"/>
        </w:rPr>
        <w:t xml:space="preserve">84 </w:t>
      </w:r>
      <w:r w:rsidRPr="009E3B05">
        <w:rPr>
          <w:rFonts w:ascii="Arial" w:hAnsi="Arial" w:cs="Arial"/>
          <w:sz w:val="16"/>
          <w:szCs w:val="16"/>
        </w:rPr>
        <w:t xml:space="preserve"> de la Ley 1474 de 2011. El nuevo texto es el siguiente:&gt;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w:t>
      </w:r>
    </w:p>
    <w:p w:rsidR="001F7ECD" w:rsidRPr="009E3B05" w:rsidRDefault="001F7ECD" w:rsidP="005E7636">
      <w:pPr>
        <w:jc w:val="both"/>
        <w:rPr>
          <w:rFonts w:ascii="Arial" w:hAnsi="Arial" w:cs="Arial"/>
          <w:sz w:val="16"/>
          <w:szCs w:val="16"/>
        </w:rPr>
      </w:pPr>
      <w:r w:rsidRPr="009E3B05">
        <w:rPr>
          <w:rFonts w:ascii="Arial" w:hAnsi="Arial" w:cs="Arial"/>
          <w:sz w:val="16"/>
          <w:szCs w:val="16"/>
        </w:rPr>
        <w:t>Esta inhabilidad se extenderá por un término de cinco (5) años, contados a partir de la ejecutoria del acto administrativo que así lo declare, previa la actuación administrativa correspondiente.</w:t>
      </w:r>
    </w:p>
    <w:p w:rsidR="001F7ECD" w:rsidRPr="009E3B05" w:rsidRDefault="001F7ECD" w:rsidP="005E7636">
      <w:pPr>
        <w:jc w:val="both"/>
        <w:rPr>
          <w:rFonts w:ascii="Arial" w:hAnsi="Arial" w:cs="Arial"/>
          <w:sz w:val="16"/>
          <w:szCs w:val="16"/>
        </w:rPr>
      </w:pPr>
      <w:r w:rsidRPr="009E3B05">
        <w:rPr>
          <w:rFonts w:ascii="Arial" w:hAnsi="Arial" w:cs="Arial"/>
          <w:sz w:val="16"/>
          <w:szCs w:val="16"/>
        </w:rPr>
        <w:t xml:space="preserve">2o. &lt;Aparte </w:t>
      </w:r>
      <w:r>
        <w:rPr>
          <w:rFonts w:ascii="Arial" w:hAnsi="Arial" w:cs="Arial"/>
          <w:sz w:val="16"/>
          <w:szCs w:val="16"/>
        </w:rPr>
        <w:t xml:space="preserve">en negrillas </w:t>
      </w:r>
      <w:r w:rsidRPr="009E3B05">
        <w:rPr>
          <w:rFonts w:ascii="Arial" w:hAnsi="Arial" w:cs="Arial"/>
          <w:sz w:val="16"/>
          <w:szCs w:val="16"/>
        </w:rPr>
        <w:t>derogado por el artículo</w:t>
      </w:r>
      <w:r>
        <w:rPr>
          <w:rFonts w:ascii="Arial" w:hAnsi="Arial" w:cs="Arial"/>
          <w:sz w:val="16"/>
          <w:szCs w:val="16"/>
        </w:rPr>
        <w:t xml:space="preserve"> 32 </w:t>
      </w:r>
      <w:r w:rsidRPr="009E3B05">
        <w:rPr>
          <w:rFonts w:ascii="Arial" w:hAnsi="Arial" w:cs="Arial"/>
          <w:sz w:val="16"/>
          <w:szCs w:val="16"/>
        </w:rPr>
        <w:t xml:space="preserve"> de la Ley 1150 de 2007&gt; Tampoco podrán participar en licitaciones</w:t>
      </w:r>
      <w:r>
        <w:rPr>
          <w:rFonts w:ascii="Arial" w:hAnsi="Arial" w:cs="Arial"/>
          <w:b/>
          <w:sz w:val="16"/>
          <w:szCs w:val="16"/>
        </w:rPr>
        <w:t xml:space="preserve"> o concursos</w:t>
      </w:r>
      <w:r w:rsidRPr="009E3B05">
        <w:rPr>
          <w:rFonts w:ascii="Arial" w:hAnsi="Arial" w:cs="Arial"/>
          <w:sz w:val="16"/>
          <w:szCs w:val="16"/>
        </w:rPr>
        <w:t xml:space="preserve"> ni celebrar contratos estatales con la entidad respectiva: </w:t>
      </w:r>
    </w:p>
    <w:p w:rsidR="001F7ECD" w:rsidRPr="009E3B05" w:rsidRDefault="001F7ECD" w:rsidP="005E7636">
      <w:pPr>
        <w:jc w:val="both"/>
        <w:rPr>
          <w:rFonts w:ascii="Arial" w:hAnsi="Arial" w:cs="Arial"/>
          <w:sz w:val="16"/>
          <w:szCs w:val="16"/>
        </w:rPr>
      </w:pPr>
      <w:r>
        <w:rPr>
          <w:rFonts w:ascii="Arial" w:hAnsi="Arial" w:cs="Arial"/>
          <w:sz w:val="16"/>
          <w:szCs w:val="16"/>
        </w:rPr>
        <w:t xml:space="preserve">a) </w:t>
      </w:r>
      <w:r w:rsidRPr="009E3B05">
        <w:rPr>
          <w:rFonts w:ascii="Arial" w:hAnsi="Arial" w:cs="Arial"/>
          <w:sz w:val="16"/>
          <w:szCs w:val="16"/>
        </w:rPr>
        <w:t xml:space="preserve"> Quienes fueron miembros de la junta o consejo directivo o servidores públicos de la entidad contratante. Esta incompatibilidad sólo comprende a quienes desempeñaron funciones en los niveles directivo, asesor o ejecutivo y se extiende por el término de un (1) año, contado a partir de la fecha del retiro.</w:t>
      </w:r>
    </w:p>
    <w:p w:rsidR="001F7ECD" w:rsidRPr="009E3B05" w:rsidRDefault="001F7ECD" w:rsidP="005E7636">
      <w:pPr>
        <w:jc w:val="both"/>
        <w:rPr>
          <w:rFonts w:ascii="Arial" w:hAnsi="Arial" w:cs="Arial"/>
          <w:sz w:val="16"/>
          <w:szCs w:val="16"/>
        </w:rPr>
      </w:pPr>
      <w:r w:rsidRPr="009E3B05">
        <w:rPr>
          <w:rFonts w:ascii="Arial" w:hAnsi="Arial" w:cs="Arial"/>
          <w:sz w:val="16"/>
          <w:szCs w:val="16"/>
        </w:rPr>
        <w:t xml:space="preserve">b)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w:t>
      </w:r>
    </w:p>
    <w:p w:rsidR="001F7ECD" w:rsidRPr="009E3B05" w:rsidRDefault="001F7ECD" w:rsidP="005E7636">
      <w:pPr>
        <w:jc w:val="both"/>
        <w:rPr>
          <w:rFonts w:ascii="Arial" w:hAnsi="Arial" w:cs="Arial"/>
          <w:sz w:val="16"/>
          <w:szCs w:val="16"/>
        </w:rPr>
      </w:pPr>
      <w:r w:rsidRPr="009E3B05">
        <w:rPr>
          <w:rFonts w:ascii="Arial" w:hAnsi="Arial" w:cs="Arial"/>
          <w:sz w:val="16"/>
          <w:szCs w:val="16"/>
        </w:rPr>
        <w:t xml:space="preserve">c) &lt;Aparte subrayado CONDICIONALMENTE exequible&gt; El cónyuge, </w:t>
      </w:r>
      <w:r w:rsidRPr="009E3B05">
        <w:rPr>
          <w:rFonts w:ascii="Arial" w:hAnsi="Arial" w:cs="Arial"/>
          <w:sz w:val="16"/>
          <w:szCs w:val="16"/>
          <w:u w:val="single"/>
        </w:rPr>
        <w:t>compañero o compañera permanente</w:t>
      </w:r>
      <w:r w:rsidRPr="009E3B05">
        <w:rPr>
          <w:rFonts w:ascii="Arial" w:hAnsi="Arial" w:cs="Arial"/>
          <w:sz w:val="16"/>
          <w:szCs w:val="16"/>
        </w:rPr>
        <w:t xml:space="preserve"> del servidor público en los niveles directivo, asesor, ejecutivo, o de un miembro de la junta o consejo directivo, o de quien ejerza funciones de control interno o de control fiscal. </w:t>
      </w:r>
    </w:p>
    <w:p w:rsidR="001F7ECD" w:rsidRPr="009E3B05" w:rsidRDefault="001F7ECD" w:rsidP="005E7636">
      <w:pPr>
        <w:jc w:val="both"/>
        <w:rPr>
          <w:rFonts w:ascii="Arial" w:hAnsi="Arial" w:cs="Arial"/>
          <w:sz w:val="16"/>
          <w:szCs w:val="16"/>
        </w:rPr>
      </w:pPr>
      <w:r w:rsidRPr="009E3B05">
        <w:rPr>
          <w:rFonts w:ascii="Arial" w:hAnsi="Arial" w:cs="Arial"/>
          <w:sz w:val="16"/>
          <w:szCs w:val="16"/>
        </w:rPr>
        <w:t xml:space="preserve">d) &lt;Aparte subrayado CONDICIONALMENTE exequible&gt;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w:t>
      </w:r>
      <w:r w:rsidRPr="009E3B05">
        <w:rPr>
          <w:rFonts w:ascii="Arial" w:hAnsi="Arial" w:cs="Arial"/>
          <w:sz w:val="16"/>
          <w:szCs w:val="16"/>
          <w:u w:val="single"/>
        </w:rPr>
        <w:t xml:space="preserve">compañero o compañera permanente </w:t>
      </w:r>
      <w:r w:rsidRPr="009E3B05">
        <w:rPr>
          <w:rFonts w:ascii="Arial" w:hAnsi="Arial" w:cs="Arial"/>
          <w:sz w:val="16"/>
          <w:szCs w:val="16"/>
        </w:rPr>
        <w:t xml:space="preserve">o los parientes hasta el segundo grado de consanguinidad, afinidad o civil de cualquiera de ellos, tenga participación o desempeñe cargos de dirección o manejo. </w:t>
      </w:r>
    </w:p>
    <w:p w:rsidR="001F7ECD" w:rsidRPr="009E3B05" w:rsidRDefault="001F7ECD" w:rsidP="005E7636">
      <w:pPr>
        <w:jc w:val="both"/>
        <w:rPr>
          <w:rFonts w:ascii="Arial" w:hAnsi="Arial" w:cs="Arial"/>
          <w:sz w:val="16"/>
          <w:szCs w:val="16"/>
        </w:rPr>
      </w:pPr>
      <w:r w:rsidRPr="009E3B05">
        <w:rPr>
          <w:rFonts w:ascii="Arial" w:hAnsi="Arial" w:cs="Arial"/>
          <w:sz w:val="16"/>
          <w:szCs w:val="16"/>
        </w:rPr>
        <w:t xml:space="preserve">e) Los miembros de las juntas o consejos directivos. Esta incompatibilidad sólo se predica respecto de la entidad a la cual prestan sus servicios y de las del sector administrativo al que la misma esté adscrita o vinculada. </w:t>
      </w:r>
    </w:p>
    <w:p w:rsidR="001F7ECD" w:rsidRPr="009E3B05" w:rsidRDefault="001F7ECD" w:rsidP="005E7636">
      <w:pPr>
        <w:jc w:val="both"/>
        <w:rPr>
          <w:rFonts w:ascii="Arial" w:hAnsi="Arial" w:cs="Arial"/>
          <w:sz w:val="16"/>
          <w:szCs w:val="16"/>
        </w:rPr>
      </w:pPr>
      <w:r w:rsidRPr="009E3B05">
        <w:rPr>
          <w:rFonts w:ascii="Arial" w:hAnsi="Arial" w:cs="Arial"/>
          <w:sz w:val="16"/>
          <w:szCs w:val="16"/>
        </w:rPr>
        <w:t xml:space="preserve">f) &lt;Literal adicionado por el artículo </w:t>
      </w:r>
      <w:r>
        <w:rPr>
          <w:rFonts w:ascii="Arial" w:hAnsi="Arial" w:cs="Arial"/>
          <w:sz w:val="16"/>
          <w:szCs w:val="16"/>
        </w:rPr>
        <w:t>4º</w:t>
      </w:r>
      <w:r w:rsidRPr="009E3B05">
        <w:rPr>
          <w:rFonts w:ascii="Arial" w:hAnsi="Arial" w:cs="Arial"/>
          <w:sz w:val="16"/>
          <w:szCs w:val="16"/>
        </w:rPr>
        <w:t>. de la Ley 1474 de 2011. El nuevo texto es el siguiente:&gt;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w:t>
      </w:r>
    </w:p>
    <w:p w:rsidR="001F7ECD" w:rsidRPr="009E3B05" w:rsidRDefault="001F7ECD" w:rsidP="005E7636">
      <w:pPr>
        <w:jc w:val="both"/>
        <w:rPr>
          <w:rFonts w:ascii="Arial" w:hAnsi="Arial" w:cs="Arial"/>
          <w:sz w:val="16"/>
          <w:szCs w:val="16"/>
        </w:rPr>
      </w:pPr>
      <w:r w:rsidRPr="009E3B05">
        <w:rPr>
          <w:rFonts w:ascii="Arial" w:hAnsi="Arial" w:cs="Arial"/>
          <w:sz w:val="16"/>
          <w:szCs w:val="16"/>
        </w:rPr>
        <w:t>Esta incompatibilidad también operará para las personas que se encuentren dentro del primer grado de consanguinidad, primero de afinidad, o primero civil del ex empleado público.</w:t>
      </w:r>
    </w:p>
    <w:p w:rsidR="001F7ECD" w:rsidRPr="009E3B05" w:rsidRDefault="001F7ECD" w:rsidP="005E7636">
      <w:pPr>
        <w:jc w:val="both"/>
        <w:rPr>
          <w:rFonts w:ascii="Arial" w:hAnsi="Arial" w:cs="Arial"/>
          <w:sz w:val="16"/>
          <w:szCs w:val="16"/>
        </w:rPr>
      </w:pPr>
      <w:r w:rsidRPr="009E3B05">
        <w:rPr>
          <w:rStyle w:val="textonavy1"/>
          <w:rFonts w:ascii="Arial" w:hAnsi="Arial" w:cs="Arial"/>
          <w:sz w:val="16"/>
          <w:szCs w:val="16"/>
        </w:rPr>
        <w:t>PARÁGRAFO 1o.</w:t>
      </w:r>
      <w:r w:rsidRPr="009E3B05">
        <w:rPr>
          <w:rFonts w:ascii="Arial" w:hAnsi="Arial" w:cs="Arial"/>
          <w:sz w:val="16"/>
          <w:szCs w:val="16"/>
        </w:rPr>
        <w:t xml:space="preserve"> La inhabilidad prevista en el literal d) del ordinal 2o. de este artículo no se aplicará en relación con las corporaciones, asociaciones, fundaciones y sociedades allí mencionadas, cuando por disposición legal o estatutaria el servidor público en los niveles referidos debe desempeñar en ellas cargos de dirección o manejo. </w:t>
      </w:r>
    </w:p>
    <w:p w:rsidR="001F7ECD" w:rsidRPr="009E3B05" w:rsidRDefault="001F7ECD" w:rsidP="005E7636">
      <w:pPr>
        <w:jc w:val="both"/>
        <w:rPr>
          <w:rFonts w:ascii="Arial" w:hAnsi="Arial" w:cs="Arial"/>
          <w:sz w:val="16"/>
          <w:szCs w:val="16"/>
        </w:rPr>
      </w:pPr>
      <w:r w:rsidRPr="009E3B05">
        <w:rPr>
          <w:rFonts w:ascii="Arial" w:hAnsi="Arial" w:cs="Arial"/>
          <w:sz w:val="16"/>
          <w:szCs w:val="16"/>
        </w:rPr>
        <w:t>&lt;Inciso adicionado por el artículo</w:t>
      </w:r>
      <w:r>
        <w:rPr>
          <w:rFonts w:ascii="Arial" w:hAnsi="Arial" w:cs="Arial"/>
          <w:sz w:val="16"/>
          <w:szCs w:val="16"/>
        </w:rPr>
        <w:t xml:space="preserve"> 18 </w:t>
      </w:r>
      <w:r w:rsidRPr="009E3B05">
        <w:rPr>
          <w:rFonts w:ascii="Arial" w:hAnsi="Arial" w:cs="Arial"/>
          <w:sz w:val="16"/>
          <w:szCs w:val="16"/>
        </w:rPr>
        <w:t xml:space="preserve"> de la Ley 1150 de 2007&gt; El nuevo texto es el siguiente:&gt; En las causales de inhabilidad por parentesco o por matrimonio, los vínculos desaparecen por muerte o por disolución del matrimonio.</w:t>
      </w:r>
    </w:p>
    <w:p w:rsidR="001F7ECD" w:rsidRPr="009E3B05" w:rsidRDefault="001F7ECD" w:rsidP="005E7636">
      <w:pPr>
        <w:jc w:val="both"/>
        <w:rPr>
          <w:rFonts w:ascii="Arial" w:hAnsi="Arial" w:cs="Arial"/>
          <w:sz w:val="16"/>
          <w:szCs w:val="16"/>
        </w:rPr>
      </w:pPr>
      <w:r w:rsidRPr="009E3B05">
        <w:rPr>
          <w:rStyle w:val="textonavy1"/>
          <w:rFonts w:ascii="Arial" w:hAnsi="Arial" w:cs="Arial"/>
          <w:sz w:val="16"/>
          <w:szCs w:val="16"/>
        </w:rPr>
        <w:t>PARÁGRAFO 2o.</w:t>
      </w:r>
      <w:r w:rsidRPr="009E3B05">
        <w:rPr>
          <w:rFonts w:ascii="Arial" w:hAnsi="Arial" w:cs="Arial"/>
          <w:sz w:val="16"/>
          <w:szCs w:val="16"/>
        </w:rPr>
        <w:t xml:space="preserve"> Para los efectos previstos en este artículo, el Gobierno Nacional determinará qué debe entenderse por sociedades anónimas abiertas. </w:t>
      </w:r>
    </w:p>
    <w:p w:rsidR="001F7ECD" w:rsidRPr="009E3B05" w:rsidRDefault="001F7ECD">
      <w:pPr>
        <w:pStyle w:val="Textonotapie"/>
      </w:pPr>
    </w:p>
  </w:footnote>
  <w:footnote w:id="31">
    <w:p w:rsidR="001F7ECD" w:rsidRPr="00571187" w:rsidRDefault="001F7ECD" w:rsidP="005E7636">
      <w:pPr>
        <w:pStyle w:val="Textonotapie"/>
        <w:jc w:val="both"/>
        <w:rPr>
          <w:rFonts w:ascii="Arial" w:hAnsi="Arial" w:cs="Arial"/>
          <w:iCs/>
          <w:sz w:val="16"/>
          <w:szCs w:val="16"/>
        </w:rPr>
      </w:pPr>
      <w:r w:rsidRPr="00571187">
        <w:rPr>
          <w:rStyle w:val="Refdenotaalpie"/>
          <w:rFonts w:ascii="Arial" w:hAnsi="Arial" w:cs="Arial"/>
          <w:sz w:val="16"/>
          <w:szCs w:val="16"/>
        </w:rPr>
        <w:footnoteRef/>
      </w:r>
      <w:r w:rsidRPr="00571187">
        <w:rPr>
          <w:rFonts w:ascii="Arial" w:hAnsi="Arial" w:cs="Arial"/>
          <w:sz w:val="16"/>
          <w:szCs w:val="16"/>
        </w:rPr>
        <w:t xml:space="preserve"> Sentencia </w:t>
      </w:r>
      <w:r w:rsidRPr="00571187">
        <w:rPr>
          <w:rFonts w:ascii="Arial" w:hAnsi="Arial" w:cs="Arial"/>
          <w:iCs/>
          <w:sz w:val="16"/>
          <w:szCs w:val="16"/>
        </w:rPr>
        <w:t>C-415 de 1994.</w:t>
      </w:r>
    </w:p>
    <w:p w:rsidR="001F7ECD" w:rsidRPr="00D942D9" w:rsidRDefault="001F7ECD" w:rsidP="005E7636">
      <w:pPr>
        <w:pStyle w:val="Textonotapie"/>
        <w:jc w:val="both"/>
        <w:rPr>
          <w:rFonts w:ascii="Arial" w:hAnsi="Arial" w:cs="Arial"/>
        </w:rPr>
      </w:pPr>
    </w:p>
  </w:footnote>
  <w:footnote w:id="32">
    <w:p w:rsidR="001F7ECD" w:rsidRPr="00D942D9" w:rsidRDefault="001F7ECD" w:rsidP="005E7636">
      <w:pPr>
        <w:pStyle w:val="Textonotapie"/>
        <w:jc w:val="both"/>
        <w:rPr>
          <w:rFonts w:ascii="Arial" w:hAnsi="Arial" w:cs="Arial"/>
          <w:szCs w:val="28"/>
        </w:rPr>
      </w:pPr>
      <w:r w:rsidRPr="00D942D9">
        <w:rPr>
          <w:rStyle w:val="Refdenotaalpie"/>
          <w:rFonts w:ascii="Arial" w:hAnsi="Arial" w:cs="Arial"/>
        </w:rPr>
        <w:footnoteRef/>
      </w:r>
      <w:r w:rsidRPr="00D942D9">
        <w:rPr>
          <w:rFonts w:ascii="Arial" w:hAnsi="Arial" w:cs="Arial"/>
        </w:rPr>
        <w:t xml:space="preserve"> </w:t>
      </w:r>
      <w:r w:rsidRPr="00D942D9">
        <w:rPr>
          <w:rFonts w:ascii="Arial" w:hAnsi="Arial" w:cs="Arial"/>
          <w:szCs w:val="28"/>
        </w:rPr>
        <w:t>Sentencia C- 429 de 1997.</w:t>
      </w:r>
    </w:p>
    <w:p w:rsidR="001F7ECD" w:rsidRPr="00D942D9" w:rsidRDefault="001F7ECD" w:rsidP="005E7636">
      <w:pPr>
        <w:pStyle w:val="Textonotapie"/>
        <w:jc w:val="both"/>
        <w:rPr>
          <w:rFonts w:ascii="Arial" w:hAnsi="Arial" w:cs="Arial"/>
        </w:rPr>
      </w:pPr>
    </w:p>
  </w:footnote>
  <w:footnote w:id="33">
    <w:p w:rsidR="001F7ECD" w:rsidRDefault="001F7ECD" w:rsidP="005E7636">
      <w:pPr>
        <w:pStyle w:val="Textonotapie"/>
        <w:jc w:val="both"/>
        <w:rPr>
          <w:rFonts w:ascii="Arial" w:hAnsi="Arial" w:cs="Arial"/>
          <w:lang w:val="es-MX"/>
        </w:rPr>
      </w:pPr>
      <w:r w:rsidRPr="00CC189F">
        <w:rPr>
          <w:rStyle w:val="Refdenotaalpie"/>
          <w:rFonts w:ascii="Arial" w:hAnsi="Arial" w:cs="Arial"/>
          <w:sz w:val="16"/>
          <w:szCs w:val="16"/>
        </w:rPr>
        <w:footnoteRef/>
      </w:r>
      <w:r w:rsidRPr="00CC189F">
        <w:rPr>
          <w:rFonts w:ascii="Arial" w:hAnsi="Arial" w:cs="Arial"/>
          <w:sz w:val="16"/>
          <w:szCs w:val="16"/>
        </w:rPr>
        <w:t xml:space="preserve"> </w:t>
      </w:r>
      <w:r w:rsidRPr="00CC189F">
        <w:rPr>
          <w:rFonts w:ascii="Arial" w:hAnsi="Arial" w:cs="Arial"/>
          <w:sz w:val="16"/>
          <w:szCs w:val="16"/>
          <w:lang w:val="es-MX"/>
        </w:rPr>
        <w:t>Consejo de Estado, Sala de lo Contencioso Administrativo, Sección Tercera, Sentencia de septiembr</w:t>
      </w:r>
      <w:r>
        <w:rPr>
          <w:rFonts w:ascii="Arial" w:hAnsi="Arial" w:cs="Arial"/>
          <w:sz w:val="16"/>
          <w:szCs w:val="16"/>
          <w:lang w:val="es-MX"/>
        </w:rPr>
        <w:t>e 20 de 2001,  Expediente 10989.</w:t>
      </w:r>
    </w:p>
    <w:p w:rsidR="001F7ECD" w:rsidRPr="00D942D9" w:rsidRDefault="001F7ECD" w:rsidP="005E7636">
      <w:pPr>
        <w:pStyle w:val="Textonotapie"/>
        <w:jc w:val="both"/>
        <w:rPr>
          <w:rFonts w:ascii="Arial" w:hAnsi="Arial" w:cs="Arial"/>
          <w:lang w:val="es-MX"/>
        </w:rPr>
      </w:pPr>
    </w:p>
  </w:footnote>
  <w:footnote w:id="34">
    <w:p w:rsidR="001F7ECD" w:rsidRPr="009B449A" w:rsidRDefault="001F7ECD" w:rsidP="005E7636">
      <w:pPr>
        <w:rPr>
          <w:rFonts w:ascii="Arial" w:hAnsi="Arial" w:cs="Arial"/>
          <w:sz w:val="16"/>
          <w:szCs w:val="16"/>
        </w:rPr>
      </w:pPr>
      <w:r w:rsidRPr="009B449A">
        <w:rPr>
          <w:rStyle w:val="Refdenotaalpie"/>
          <w:rFonts w:ascii="Arial" w:hAnsi="Arial" w:cs="Arial"/>
          <w:sz w:val="16"/>
          <w:szCs w:val="16"/>
        </w:rPr>
        <w:footnoteRef/>
      </w:r>
      <w:r w:rsidRPr="009B449A">
        <w:rPr>
          <w:rFonts w:ascii="Arial" w:hAnsi="Arial" w:cs="Arial"/>
          <w:sz w:val="16"/>
          <w:szCs w:val="16"/>
        </w:rPr>
        <w:t xml:space="preserve"> Consejo de Estado, Sección Tercera, Sentenci</w:t>
      </w:r>
      <w:r>
        <w:rPr>
          <w:rFonts w:ascii="Arial" w:hAnsi="Arial" w:cs="Arial"/>
          <w:sz w:val="16"/>
          <w:szCs w:val="16"/>
        </w:rPr>
        <w:t>a de mayo 3 de 1999, Exp 12344,.</w:t>
      </w:r>
    </w:p>
    <w:p w:rsidR="001F7ECD" w:rsidRPr="009B449A" w:rsidRDefault="001F7ECD" w:rsidP="005E7636">
      <w:pPr>
        <w:pStyle w:val="Textonotapie"/>
        <w:rPr>
          <w:rFonts w:ascii="Arial" w:hAnsi="Arial" w:cs="Arial"/>
          <w:sz w:val="16"/>
          <w:szCs w:val="16"/>
        </w:rPr>
      </w:pPr>
    </w:p>
  </w:footnote>
  <w:footnote w:id="35">
    <w:p w:rsidR="001F7ECD" w:rsidRPr="000B6C58" w:rsidRDefault="001F7ECD">
      <w:pPr>
        <w:pStyle w:val="Textonotapie"/>
        <w:rPr>
          <w:rFonts w:ascii="Arial" w:hAnsi="Arial" w:cs="Arial"/>
          <w:sz w:val="16"/>
          <w:szCs w:val="16"/>
          <w:lang w:val="en-US"/>
        </w:rPr>
      </w:pPr>
      <w:r w:rsidRPr="001D75BA">
        <w:rPr>
          <w:rStyle w:val="Refdenotaalpie"/>
          <w:rFonts w:ascii="Arial" w:hAnsi="Arial" w:cs="Arial"/>
          <w:sz w:val="16"/>
          <w:szCs w:val="16"/>
        </w:rPr>
        <w:footnoteRef/>
      </w:r>
      <w:r w:rsidRPr="000B6C58">
        <w:rPr>
          <w:rFonts w:ascii="Arial" w:hAnsi="Arial" w:cs="Arial"/>
          <w:sz w:val="16"/>
          <w:szCs w:val="16"/>
          <w:lang w:val="en-US"/>
        </w:rPr>
        <w:t xml:space="preserve"> Fls 191 a 195. C. 1.</w:t>
      </w:r>
    </w:p>
  </w:footnote>
  <w:footnote w:id="36">
    <w:p w:rsidR="001F7ECD" w:rsidRPr="000B6C58" w:rsidRDefault="001F7ECD">
      <w:pPr>
        <w:pStyle w:val="Textonotapie"/>
        <w:rPr>
          <w:rFonts w:ascii="Arial" w:hAnsi="Arial" w:cs="Arial"/>
          <w:sz w:val="16"/>
          <w:szCs w:val="16"/>
          <w:lang w:val="en-US"/>
        </w:rPr>
      </w:pPr>
      <w:r w:rsidRPr="00F11F39">
        <w:rPr>
          <w:rStyle w:val="Refdenotaalpie"/>
          <w:rFonts w:ascii="Arial" w:hAnsi="Arial" w:cs="Arial"/>
          <w:sz w:val="16"/>
          <w:szCs w:val="16"/>
        </w:rPr>
        <w:footnoteRef/>
      </w:r>
      <w:r w:rsidRPr="000B6C58">
        <w:rPr>
          <w:rFonts w:ascii="Arial" w:hAnsi="Arial" w:cs="Arial"/>
          <w:sz w:val="16"/>
          <w:szCs w:val="16"/>
          <w:lang w:val="en-US"/>
        </w:rPr>
        <w:t xml:space="preserve"> Fls 326 a 329.</w:t>
      </w:r>
      <w:r>
        <w:rPr>
          <w:rFonts w:ascii="Arial" w:hAnsi="Arial" w:cs="Arial"/>
          <w:sz w:val="16"/>
          <w:szCs w:val="16"/>
          <w:lang w:val="en-US"/>
        </w:rPr>
        <w:t>, ib.</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7E0038"/>
    <w:multiLevelType w:val="hybridMultilevel"/>
    <w:tmpl w:val="41BAE31A"/>
    <w:lvl w:ilvl="0" w:tplc="03146A8E">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7783"/>
    <w:rsid w:val="000007F1"/>
    <w:rsid w:val="0002389D"/>
    <w:rsid w:val="000356DF"/>
    <w:rsid w:val="000551D4"/>
    <w:rsid w:val="00062381"/>
    <w:rsid w:val="00063081"/>
    <w:rsid w:val="00086537"/>
    <w:rsid w:val="000E0114"/>
    <w:rsid w:val="00132100"/>
    <w:rsid w:val="00192C4A"/>
    <w:rsid w:val="001A48CC"/>
    <w:rsid w:val="001A79D7"/>
    <w:rsid w:val="001D238A"/>
    <w:rsid w:val="001F7ECD"/>
    <w:rsid w:val="00204151"/>
    <w:rsid w:val="002200BC"/>
    <w:rsid w:val="00240414"/>
    <w:rsid w:val="00286558"/>
    <w:rsid w:val="002B4077"/>
    <w:rsid w:val="0031538D"/>
    <w:rsid w:val="00327D06"/>
    <w:rsid w:val="003735C8"/>
    <w:rsid w:val="003A4B09"/>
    <w:rsid w:val="003D7C1E"/>
    <w:rsid w:val="00432091"/>
    <w:rsid w:val="004469A5"/>
    <w:rsid w:val="00470B34"/>
    <w:rsid w:val="004E35FA"/>
    <w:rsid w:val="00507ACF"/>
    <w:rsid w:val="00550A37"/>
    <w:rsid w:val="00597D64"/>
    <w:rsid w:val="005A40E7"/>
    <w:rsid w:val="005A4C39"/>
    <w:rsid w:val="005E295E"/>
    <w:rsid w:val="005E7636"/>
    <w:rsid w:val="006A3CB6"/>
    <w:rsid w:val="006C2E88"/>
    <w:rsid w:val="006F2553"/>
    <w:rsid w:val="007130AD"/>
    <w:rsid w:val="007A45C6"/>
    <w:rsid w:val="00826B96"/>
    <w:rsid w:val="0085701A"/>
    <w:rsid w:val="00877E76"/>
    <w:rsid w:val="00880B0A"/>
    <w:rsid w:val="008817A2"/>
    <w:rsid w:val="009441BD"/>
    <w:rsid w:val="009600C8"/>
    <w:rsid w:val="00971944"/>
    <w:rsid w:val="00990B14"/>
    <w:rsid w:val="00A55F5A"/>
    <w:rsid w:val="00A643AE"/>
    <w:rsid w:val="00A825C6"/>
    <w:rsid w:val="00A87E5D"/>
    <w:rsid w:val="00A93BB1"/>
    <w:rsid w:val="00AA4139"/>
    <w:rsid w:val="00AB5090"/>
    <w:rsid w:val="00B8534D"/>
    <w:rsid w:val="00B916B7"/>
    <w:rsid w:val="00BC13E5"/>
    <w:rsid w:val="00BD05C0"/>
    <w:rsid w:val="00BE3187"/>
    <w:rsid w:val="00C13401"/>
    <w:rsid w:val="00C622B6"/>
    <w:rsid w:val="00CA2F3A"/>
    <w:rsid w:val="00CB2EEE"/>
    <w:rsid w:val="00CD64B4"/>
    <w:rsid w:val="00D1037C"/>
    <w:rsid w:val="00D32528"/>
    <w:rsid w:val="00D91071"/>
    <w:rsid w:val="00DA3C2A"/>
    <w:rsid w:val="00DA4C61"/>
    <w:rsid w:val="00DD7783"/>
    <w:rsid w:val="00DE0D8C"/>
    <w:rsid w:val="00DE4AD5"/>
    <w:rsid w:val="00E0011E"/>
    <w:rsid w:val="00E42640"/>
    <w:rsid w:val="00E46896"/>
    <w:rsid w:val="00EA7C18"/>
    <w:rsid w:val="00EB697E"/>
    <w:rsid w:val="00EC7225"/>
    <w:rsid w:val="00EF1849"/>
    <w:rsid w:val="00EF3466"/>
    <w:rsid w:val="00F77C81"/>
    <w:rsid w:val="00F85934"/>
    <w:rsid w:val="00FE25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FC54C"/>
  <w15:chartTrackingRefBased/>
  <w15:docId w15:val="{97874025-2E7F-41B4-9689-048D41CC9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2553"/>
    <w:pPr>
      <w:spacing w:after="200" w:line="276" w:lineRule="auto"/>
    </w:pPr>
    <w:rPr>
      <w:sz w:val="22"/>
      <w:szCs w:val="22"/>
      <w:lang w:val="es-ES"/>
    </w:rPr>
  </w:style>
  <w:style w:type="paragraph" w:styleId="Ttulo1">
    <w:name w:val="heading 1"/>
    <w:basedOn w:val="Normal"/>
    <w:next w:val="Normal"/>
    <w:link w:val="Ttulo1Car"/>
    <w:qFormat/>
    <w:rsid w:val="001F7ECD"/>
    <w:pPr>
      <w:keepNext/>
      <w:overflowPunct w:val="0"/>
      <w:autoSpaceDE w:val="0"/>
      <w:autoSpaceDN w:val="0"/>
      <w:adjustRightInd w:val="0"/>
      <w:spacing w:after="0" w:line="240" w:lineRule="auto"/>
      <w:ind w:right="-283"/>
      <w:jc w:val="both"/>
      <w:textAlignment w:val="baseline"/>
      <w:outlineLvl w:val="0"/>
    </w:pPr>
    <w:rPr>
      <w:rFonts w:ascii="Arial" w:eastAsia="Times New Roman" w:hAnsi="Arial"/>
      <w:b/>
      <w:sz w:val="24"/>
      <w:szCs w:val="20"/>
      <w:lang w:val="es-ES_tradnl" w:eastAsia="es-ES"/>
    </w:rPr>
  </w:style>
  <w:style w:type="paragraph" w:styleId="Ttulo2">
    <w:name w:val="heading 2"/>
    <w:basedOn w:val="Normal"/>
    <w:next w:val="Normal"/>
    <w:link w:val="Ttulo2Car"/>
    <w:qFormat/>
    <w:rsid w:val="001F7ECD"/>
    <w:pPr>
      <w:keepNext/>
      <w:overflowPunct w:val="0"/>
      <w:autoSpaceDE w:val="0"/>
      <w:autoSpaceDN w:val="0"/>
      <w:adjustRightInd w:val="0"/>
      <w:spacing w:after="0" w:line="360" w:lineRule="auto"/>
      <w:jc w:val="center"/>
      <w:textAlignment w:val="baseline"/>
      <w:outlineLvl w:val="1"/>
    </w:pPr>
    <w:rPr>
      <w:rFonts w:ascii="Century Gothic" w:eastAsia="Times New Roman" w:hAnsi="Century Gothic"/>
      <w:b/>
      <w:bCs/>
      <w:szCs w:val="20"/>
      <w:lang w:val="es-ES_tradnl" w:eastAsia="es-ES"/>
    </w:rPr>
  </w:style>
  <w:style w:type="paragraph" w:styleId="Ttulo6">
    <w:name w:val="heading 6"/>
    <w:basedOn w:val="Normal"/>
    <w:next w:val="Normal"/>
    <w:link w:val="Ttulo6Car"/>
    <w:qFormat/>
    <w:rsid w:val="001F7ECD"/>
    <w:pPr>
      <w:keepNext/>
      <w:overflowPunct w:val="0"/>
      <w:autoSpaceDE w:val="0"/>
      <w:autoSpaceDN w:val="0"/>
      <w:adjustRightInd w:val="0"/>
      <w:spacing w:after="0" w:line="240" w:lineRule="auto"/>
      <w:ind w:right="-142"/>
      <w:jc w:val="center"/>
      <w:textAlignment w:val="baseline"/>
      <w:outlineLvl w:val="5"/>
    </w:pPr>
    <w:rPr>
      <w:rFonts w:ascii="Century Gothic" w:eastAsia="Times New Roman" w:hAnsi="Century Gothic"/>
      <w:b/>
      <w:kern w:val="28"/>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1F7ECD"/>
    <w:rPr>
      <w:rFonts w:ascii="Arial" w:eastAsia="Times New Roman" w:hAnsi="Arial"/>
      <w:b/>
      <w:sz w:val="24"/>
      <w:lang w:val="es-ES_tradnl"/>
    </w:rPr>
  </w:style>
  <w:style w:type="character" w:customStyle="1" w:styleId="Ttulo2Car">
    <w:name w:val="Título 2 Car"/>
    <w:link w:val="Ttulo2"/>
    <w:rsid w:val="001F7ECD"/>
    <w:rPr>
      <w:rFonts w:ascii="Century Gothic" w:eastAsia="Times New Roman" w:hAnsi="Century Gothic"/>
      <w:b/>
      <w:bCs/>
      <w:sz w:val="22"/>
      <w:lang w:val="es-ES_tradnl"/>
    </w:rPr>
  </w:style>
  <w:style w:type="character" w:customStyle="1" w:styleId="Ttulo6Car">
    <w:name w:val="Título 6 Car"/>
    <w:link w:val="Ttulo6"/>
    <w:rsid w:val="001F7ECD"/>
    <w:rPr>
      <w:rFonts w:ascii="Century Gothic" w:eastAsia="Times New Roman" w:hAnsi="Century Gothic"/>
      <w:b/>
      <w:kern w:val="28"/>
      <w:sz w:val="22"/>
      <w:lang w:val="es-ES_tradnl"/>
    </w:rPr>
  </w:style>
  <w:style w:type="paragraph" w:styleId="Ttulo">
    <w:name w:val="Title"/>
    <w:basedOn w:val="Normal"/>
    <w:link w:val="TtuloCar"/>
    <w:qFormat/>
    <w:rsid w:val="001F7ECD"/>
    <w:pPr>
      <w:overflowPunct w:val="0"/>
      <w:autoSpaceDE w:val="0"/>
      <w:autoSpaceDN w:val="0"/>
      <w:adjustRightInd w:val="0"/>
      <w:spacing w:after="0" w:line="360" w:lineRule="auto"/>
      <w:jc w:val="center"/>
      <w:textAlignment w:val="baseline"/>
    </w:pPr>
    <w:rPr>
      <w:rFonts w:ascii="Arial" w:eastAsia="Times New Roman" w:hAnsi="Arial"/>
      <w:b/>
      <w:sz w:val="24"/>
      <w:szCs w:val="20"/>
      <w:lang w:eastAsia="es-ES"/>
    </w:rPr>
  </w:style>
  <w:style w:type="character" w:customStyle="1" w:styleId="TtuloCar">
    <w:name w:val="Título Car"/>
    <w:link w:val="Ttulo"/>
    <w:rsid w:val="001F7ECD"/>
    <w:rPr>
      <w:rFonts w:ascii="Arial" w:eastAsia="Times New Roman" w:hAnsi="Arial"/>
      <w:b/>
      <w:sz w:val="24"/>
    </w:rPr>
  </w:style>
  <w:style w:type="paragraph" w:customStyle="1" w:styleId="Textoindependiente21">
    <w:name w:val="Texto independiente 21"/>
    <w:basedOn w:val="Normal"/>
    <w:rsid w:val="001F7ECD"/>
    <w:pPr>
      <w:overflowPunct w:val="0"/>
      <w:autoSpaceDE w:val="0"/>
      <w:autoSpaceDN w:val="0"/>
      <w:adjustRightInd w:val="0"/>
      <w:spacing w:after="0" w:line="360" w:lineRule="auto"/>
      <w:ind w:firstLine="709"/>
      <w:jc w:val="both"/>
      <w:textAlignment w:val="baseline"/>
    </w:pPr>
    <w:rPr>
      <w:rFonts w:ascii="Century Gothic" w:eastAsia="Times New Roman" w:hAnsi="Century Gothic"/>
      <w:kern w:val="28"/>
      <w:szCs w:val="20"/>
      <w:lang w:val="es-ES_tradnl" w:eastAsia="es-ES"/>
    </w:rPr>
  </w:style>
  <w:style w:type="paragraph" w:customStyle="1" w:styleId="Textodebloque1">
    <w:name w:val="Texto de bloque1"/>
    <w:basedOn w:val="Normal"/>
    <w:rsid w:val="001F7ECD"/>
    <w:pPr>
      <w:tabs>
        <w:tab w:val="left" w:pos="709"/>
      </w:tabs>
      <w:overflowPunct w:val="0"/>
      <w:autoSpaceDE w:val="0"/>
      <w:autoSpaceDN w:val="0"/>
      <w:adjustRightInd w:val="0"/>
      <w:spacing w:after="0" w:line="240" w:lineRule="auto"/>
      <w:ind w:left="567" w:right="902"/>
      <w:jc w:val="both"/>
      <w:textAlignment w:val="baseline"/>
    </w:pPr>
    <w:rPr>
      <w:rFonts w:ascii="Century Gothic" w:eastAsia="Times New Roman" w:hAnsi="Century Gothic"/>
      <w:kern w:val="28"/>
      <w:sz w:val="20"/>
      <w:szCs w:val="20"/>
      <w:lang w:val="es-ES_tradnl" w:eastAsia="es-ES"/>
    </w:rPr>
  </w:style>
  <w:style w:type="paragraph" w:styleId="Textoindependiente">
    <w:name w:val="Body Text"/>
    <w:basedOn w:val="Normal"/>
    <w:link w:val="TextoindependienteCar"/>
    <w:rsid w:val="001F7ECD"/>
    <w:pPr>
      <w:spacing w:after="0" w:line="240" w:lineRule="auto"/>
      <w:ind w:right="20"/>
      <w:jc w:val="both"/>
    </w:pPr>
    <w:rPr>
      <w:rFonts w:ascii="Century Gothic" w:eastAsia="Times New Roman" w:hAnsi="Century Gothic"/>
      <w:szCs w:val="24"/>
      <w:lang w:eastAsia="es-ES"/>
    </w:rPr>
  </w:style>
  <w:style w:type="character" w:customStyle="1" w:styleId="TextoindependienteCar">
    <w:name w:val="Texto independiente Car"/>
    <w:link w:val="Textoindependiente"/>
    <w:rsid w:val="001F7ECD"/>
    <w:rPr>
      <w:rFonts w:ascii="Century Gothic" w:eastAsia="Times New Roman" w:hAnsi="Century Gothic"/>
      <w:sz w:val="22"/>
      <w:szCs w:val="24"/>
    </w:rPr>
  </w:style>
  <w:style w:type="paragraph" w:styleId="Sangra2detindependiente">
    <w:name w:val="Body Text Indent 2"/>
    <w:basedOn w:val="Normal"/>
    <w:link w:val="Sangra2detindependienteCar"/>
    <w:rsid w:val="001F7ECD"/>
    <w:pPr>
      <w:numPr>
        <w:ilvl w:val="12"/>
      </w:numPr>
      <w:spacing w:after="0" w:line="360" w:lineRule="auto"/>
      <w:ind w:firstLine="708"/>
      <w:jc w:val="both"/>
    </w:pPr>
    <w:rPr>
      <w:rFonts w:ascii="Century Gothic" w:eastAsia="Times New Roman" w:hAnsi="Century Gothic"/>
      <w:bCs/>
      <w:szCs w:val="24"/>
      <w:lang w:eastAsia="es-ES"/>
    </w:rPr>
  </w:style>
  <w:style w:type="character" w:customStyle="1" w:styleId="Sangra2detindependienteCar">
    <w:name w:val="Sangría 2 de t. independiente Car"/>
    <w:link w:val="Sangra2detindependiente"/>
    <w:rsid w:val="001F7ECD"/>
    <w:rPr>
      <w:rFonts w:ascii="Century Gothic" w:eastAsia="Times New Roman" w:hAnsi="Century Gothic"/>
      <w:bCs/>
      <w:sz w:val="22"/>
      <w:szCs w:val="24"/>
    </w:rPr>
  </w:style>
  <w:style w:type="character" w:styleId="Refdenotaalpie">
    <w:name w:val="footnote reference"/>
    <w:aliases w:val="Ref. de nota al pie 2,Pie de Página,FC,referencia nota al pie,Nota de pie,Texto nota al pie,Appel note de bas de page,Texto de nota al pie"/>
    <w:uiPriority w:val="99"/>
    <w:rsid w:val="001F7ECD"/>
    <w:rPr>
      <w:vertAlign w:val="superscript"/>
    </w:rPr>
  </w:style>
  <w:style w:type="paragraph" w:customStyle="1" w:styleId="Standard">
    <w:name w:val="Standard"/>
    <w:rsid w:val="001F7ECD"/>
    <w:pPr>
      <w:widowControl w:val="0"/>
      <w:suppressAutoHyphens/>
      <w:autoSpaceDN w:val="0"/>
      <w:textAlignment w:val="baseline"/>
    </w:pPr>
    <w:rPr>
      <w:rFonts w:ascii="Liberation Serif" w:eastAsia="DejaVu Sans" w:hAnsi="Liberation Serif" w:cs="DejaVu Sans"/>
      <w:kern w:val="3"/>
      <w:sz w:val="24"/>
      <w:szCs w:val="24"/>
      <w:lang w:val="en-GB" w:eastAsia="zh-CN" w:bidi="hi-IN"/>
    </w:rPr>
  </w:style>
  <w:style w:type="paragraph" w:styleId="Textonotapie">
    <w:name w:val="footnote text"/>
    <w:aliases w:val="Footnote Text Char Char Char Char Char,Footnote Text Char Char Char Char,Footnote reference,FA Fu,Footnote Text Cha,Footnote Text Char Char Char,FA Fußnotentext,FA Fuﬂnotentext,Footnote Text Char Char,texto de nota al p,FA Fu Car Car Car"/>
    <w:basedOn w:val="Normal"/>
    <w:link w:val="TextonotapieCar"/>
    <w:uiPriority w:val="99"/>
    <w:unhideWhenUsed/>
    <w:rsid w:val="001F7ECD"/>
    <w:pPr>
      <w:spacing w:after="0" w:line="240" w:lineRule="auto"/>
    </w:pPr>
    <w:rPr>
      <w:rFonts w:ascii="Times New Roman" w:eastAsia="Times New Roman" w:hAnsi="Times New Roman"/>
      <w:sz w:val="20"/>
      <w:szCs w:val="20"/>
      <w:lang w:eastAsia="es-ES"/>
    </w:rPr>
  </w:style>
  <w:style w:type="character" w:customStyle="1" w:styleId="TextonotapieCar">
    <w:name w:val="Texto nota pie Car"/>
    <w:aliases w:val="Footnote Text Char Char Char Char Char Car,Footnote Text Char Char Char Char Car,Footnote reference Car,FA Fu Car,Footnote Text Cha Car,Footnote Text Char Char Char Car,FA Fußnotentext Car,FA Fuﬂnotentext Car,texto de nota al p Car"/>
    <w:link w:val="Textonotapie"/>
    <w:uiPriority w:val="99"/>
    <w:rsid w:val="001F7ECD"/>
    <w:rPr>
      <w:rFonts w:ascii="Times New Roman" w:eastAsia="Times New Roman" w:hAnsi="Times New Roman"/>
    </w:rPr>
  </w:style>
  <w:style w:type="paragraph" w:styleId="NormalWeb">
    <w:name w:val="Normal (Web)"/>
    <w:basedOn w:val="Normal"/>
    <w:uiPriority w:val="99"/>
    <w:unhideWhenUsed/>
    <w:rsid w:val="001F7ECD"/>
    <w:pPr>
      <w:spacing w:before="100" w:beforeAutospacing="1" w:after="100" w:afterAutospacing="1" w:line="240" w:lineRule="auto"/>
    </w:pPr>
    <w:rPr>
      <w:rFonts w:ascii="Times New Roman" w:eastAsia="Times New Roman" w:hAnsi="Times New Roman"/>
      <w:sz w:val="24"/>
      <w:szCs w:val="24"/>
      <w:lang w:val="es-CO" w:eastAsia="es-CO"/>
    </w:rPr>
  </w:style>
  <w:style w:type="paragraph" w:customStyle="1" w:styleId="Textoindependiente22">
    <w:name w:val="Texto independiente 22"/>
    <w:basedOn w:val="Normal"/>
    <w:rsid w:val="001F7ECD"/>
    <w:pPr>
      <w:overflowPunct w:val="0"/>
      <w:autoSpaceDE w:val="0"/>
      <w:autoSpaceDN w:val="0"/>
      <w:adjustRightInd w:val="0"/>
      <w:spacing w:after="0" w:line="360" w:lineRule="auto"/>
      <w:ind w:firstLine="1418"/>
      <w:jc w:val="both"/>
      <w:textAlignment w:val="baseline"/>
    </w:pPr>
    <w:rPr>
      <w:rFonts w:ascii="Arial" w:eastAsia="Times New Roman" w:hAnsi="Arial"/>
      <w:sz w:val="24"/>
      <w:szCs w:val="20"/>
      <w:lang w:eastAsia="es-ES"/>
    </w:rPr>
  </w:style>
  <w:style w:type="paragraph" w:customStyle="1" w:styleId="Sangra2detindependiente2">
    <w:name w:val="Sangría 2 de t. independiente2"/>
    <w:basedOn w:val="Normal"/>
    <w:rsid w:val="001F7ECD"/>
    <w:pPr>
      <w:overflowPunct w:val="0"/>
      <w:autoSpaceDE w:val="0"/>
      <w:autoSpaceDN w:val="0"/>
      <w:adjustRightInd w:val="0"/>
      <w:spacing w:after="0" w:line="240" w:lineRule="auto"/>
      <w:ind w:left="1418"/>
      <w:jc w:val="both"/>
      <w:textAlignment w:val="baseline"/>
    </w:pPr>
    <w:rPr>
      <w:rFonts w:ascii="Arial" w:eastAsia="Times New Roman" w:hAnsi="Arial"/>
      <w:sz w:val="24"/>
      <w:szCs w:val="20"/>
      <w:lang w:eastAsia="es-ES"/>
    </w:rPr>
  </w:style>
  <w:style w:type="character" w:customStyle="1" w:styleId="textonavy1">
    <w:name w:val="texto_navy1"/>
    <w:rsid w:val="001F7ECD"/>
    <w:rPr>
      <w:color w:val="000080"/>
    </w:rPr>
  </w:style>
  <w:style w:type="paragraph" w:customStyle="1" w:styleId="Default">
    <w:name w:val="Default"/>
    <w:rsid w:val="001F7ECD"/>
    <w:pPr>
      <w:autoSpaceDE w:val="0"/>
      <w:autoSpaceDN w:val="0"/>
      <w:adjustRightInd w:val="0"/>
    </w:pPr>
    <w:rPr>
      <w:rFonts w:ascii="Arial" w:hAnsi="Arial" w:cs="Arial"/>
      <w:color w:val="000000"/>
      <w:sz w:val="24"/>
      <w:szCs w:val="24"/>
      <w:lang w:val="es-CO"/>
    </w:rPr>
  </w:style>
  <w:style w:type="paragraph" w:customStyle="1" w:styleId="Ed">
    <w:name w:val="Ed"/>
    <w:basedOn w:val="Normal"/>
    <w:rsid w:val="001F7ECD"/>
    <w:pPr>
      <w:overflowPunct w:val="0"/>
      <w:autoSpaceDE w:val="0"/>
      <w:autoSpaceDN w:val="0"/>
      <w:adjustRightInd w:val="0"/>
      <w:spacing w:after="0" w:line="480" w:lineRule="auto"/>
      <w:jc w:val="both"/>
      <w:textAlignment w:val="baseline"/>
    </w:pPr>
    <w:rPr>
      <w:rFonts w:ascii="Arial" w:eastAsia="Times New Roman" w:hAnsi="Arial"/>
      <w:sz w:val="24"/>
      <w:szCs w:val="20"/>
      <w:lang w:val="es-ES_tradnl" w:eastAsia="es-CO"/>
    </w:rPr>
  </w:style>
  <w:style w:type="paragraph" w:customStyle="1" w:styleId="BodyText22">
    <w:name w:val="Body Text 22"/>
    <w:basedOn w:val="Normal"/>
    <w:rsid w:val="001F7ECD"/>
    <w:pPr>
      <w:autoSpaceDE w:val="0"/>
      <w:autoSpaceDN w:val="0"/>
      <w:adjustRightInd w:val="0"/>
      <w:spacing w:after="0" w:line="360" w:lineRule="auto"/>
      <w:ind w:firstLine="708"/>
      <w:jc w:val="both"/>
    </w:pPr>
    <w:rPr>
      <w:rFonts w:ascii="Century Gothic" w:eastAsia="Times New Roman" w:hAnsi="Century Gothic"/>
      <w:lang w:eastAsia="es-ES"/>
    </w:rPr>
  </w:style>
  <w:style w:type="paragraph" w:customStyle="1" w:styleId="Textosinformato1">
    <w:name w:val="Texto sin formato1"/>
    <w:basedOn w:val="Normal"/>
    <w:rsid w:val="001F7ECD"/>
    <w:pPr>
      <w:overflowPunct w:val="0"/>
      <w:autoSpaceDE w:val="0"/>
      <w:autoSpaceDN w:val="0"/>
      <w:adjustRightInd w:val="0"/>
      <w:spacing w:after="0" w:line="240" w:lineRule="auto"/>
    </w:pPr>
    <w:rPr>
      <w:rFonts w:ascii="Courier New" w:eastAsia="Times New Roman" w:hAnsi="Courier New"/>
      <w:sz w:val="20"/>
      <w:szCs w:val="20"/>
      <w:lang w:eastAsia="es-ES"/>
    </w:rPr>
  </w:style>
  <w:style w:type="paragraph" w:customStyle="1" w:styleId="Textoindependiente25">
    <w:name w:val="Texto independiente 25"/>
    <w:basedOn w:val="Normal"/>
    <w:rsid w:val="001F7ECD"/>
    <w:pPr>
      <w:overflowPunct w:val="0"/>
      <w:autoSpaceDE w:val="0"/>
      <w:autoSpaceDN w:val="0"/>
      <w:adjustRightInd w:val="0"/>
      <w:spacing w:after="0" w:line="360" w:lineRule="auto"/>
      <w:jc w:val="both"/>
      <w:textAlignment w:val="baseline"/>
    </w:pPr>
    <w:rPr>
      <w:rFonts w:ascii="Garamond" w:eastAsia="Times New Roman" w:hAnsi="Garamond"/>
      <w:sz w:val="28"/>
      <w:szCs w:val="20"/>
      <w:lang w:val="es-ES_tradnl" w:eastAsia="es-CO"/>
    </w:rPr>
  </w:style>
  <w:style w:type="paragraph" w:customStyle="1" w:styleId="Textoindependiente23">
    <w:name w:val="Texto independiente 23"/>
    <w:basedOn w:val="Normal"/>
    <w:rsid w:val="00D1037C"/>
    <w:pPr>
      <w:overflowPunct w:val="0"/>
      <w:autoSpaceDE w:val="0"/>
      <w:autoSpaceDN w:val="0"/>
      <w:adjustRightInd w:val="0"/>
      <w:spacing w:after="0" w:line="480" w:lineRule="auto"/>
      <w:jc w:val="both"/>
      <w:textAlignment w:val="baseline"/>
    </w:pPr>
    <w:rPr>
      <w:rFonts w:ascii="Arial" w:eastAsia="Times New Roman" w:hAnsi="Arial"/>
      <w:sz w:val="24"/>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9EBE8E0-B27C-4B42-8ED7-AE0E0774B8AA}">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8784E2E2-8059-4A46-AAA3-872A2DBF43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A8C903D-5D9B-4FC2-9F7B-E57A682EAD9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7752</Words>
  <Characters>44188</Characters>
  <Application>Microsoft Office Word</Application>
  <DocSecurity>0</DocSecurity>
  <Lines>368</Lines>
  <Paragraphs>103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descongestion3ra5</dc:creator>
  <cp:keywords/>
  <dc:description/>
  <cp:lastModifiedBy>Nina María Padrón</cp:lastModifiedBy>
  <cp:revision>2</cp:revision>
  <dcterms:created xsi:type="dcterms:W3CDTF">2020-06-14T15:40:00Z</dcterms:created>
  <dcterms:modified xsi:type="dcterms:W3CDTF">2020-06-14T15:40:00Z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