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C84632" w14:textId="082D5D10" w:rsidR="00E80529" w:rsidRDefault="0090622A" w:rsidP="003B2A42">
      <w:pPr>
        <w:tabs>
          <w:tab w:val="left" w:pos="0"/>
        </w:tabs>
        <w:jc w:val="both"/>
        <w:rPr>
          <w:rFonts w:ascii="Arial" w:hAnsi="Arial" w:cs="Arial"/>
          <w:bCs/>
          <w:color w:val="000000"/>
          <w:sz w:val="24"/>
          <w:szCs w:val="24"/>
        </w:rPr>
      </w:pPr>
      <w:r>
        <w:rPr>
          <w:rFonts w:ascii="Arial" w:hAnsi="Arial" w:cs="Arial"/>
          <w:b/>
          <w:bCs/>
          <w:color w:val="000000"/>
          <w:sz w:val="24"/>
          <w:szCs w:val="24"/>
        </w:rPr>
        <w:t>REPARACIÓN DIRECTA</w:t>
      </w:r>
      <w:r w:rsidR="00CF2619">
        <w:rPr>
          <w:rFonts w:ascii="Arial" w:hAnsi="Arial" w:cs="Arial"/>
          <w:b/>
          <w:bCs/>
          <w:color w:val="000000"/>
          <w:sz w:val="24"/>
          <w:szCs w:val="24"/>
        </w:rPr>
        <w:t xml:space="preserve"> </w:t>
      </w:r>
      <w:r w:rsidR="001C69A6">
        <w:rPr>
          <w:rFonts w:ascii="Arial" w:hAnsi="Arial" w:cs="Arial"/>
          <w:b/>
          <w:bCs/>
          <w:color w:val="000000"/>
          <w:sz w:val="24"/>
          <w:szCs w:val="24"/>
        </w:rPr>
        <w:t>–</w:t>
      </w:r>
      <w:r w:rsidR="001C69A6" w:rsidRPr="001C69A6">
        <w:rPr>
          <w:rFonts w:ascii="Arial" w:hAnsi="Arial" w:cs="Arial"/>
          <w:b/>
          <w:bCs/>
          <w:color w:val="000000"/>
          <w:sz w:val="24"/>
          <w:szCs w:val="24"/>
        </w:rPr>
        <w:t xml:space="preserve"> </w:t>
      </w:r>
      <w:r w:rsidR="00CF2619" w:rsidRPr="001C69A6">
        <w:rPr>
          <w:rFonts w:ascii="Arial" w:hAnsi="Arial" w:cs="Arial"/>
          <w:b/>
          <w:bCs/>
          <w:color w:val="000000"/>
          <w:sz w:val="24"/>
          <w:szCs w:val="24"/>
        </w:rPr>
        <w:t>P</w:t>
      </w:r>
      <w:r w:rsidRPr="001C69A6">
        <w:rPr>
          <w:rFonts w:ascii="Arial" w:hAnsi="Arial" w:cs="Arial"/>
          <w:b/>
          <w:bCs/>
          <w:color w:val="000000"/>
          <w:sz w:val="24"/>
          <w:szCs w:val="24"/>
        </w:rPr>
        <w:t xml:space="preserve">rocedencia </w:t>
      </w:r>
    </w:p>
    <w:p w14:paraId="1739C34F" w14:textId="77777777" w:rsidR="0090622A" w:rsidRDefault="0090622A" w:rsidP="003B2A42">
      <w:pPr>
        <w:tabs>
          <w:tab w:val="left" w:pos="0"/>
        </w:tabs>
        <w:jc w:val="both"/>
        <w:rPr>
          <w:rFonts w:ascii="Arial" w:hAnsi="Arial" w:cs="Arial"/>
          <w:bCs/>
          <w:color w:val="000000"/>
          <w:sz w:val="24"/>
          <w:szCs w:val="24"/>
        </w:rPr>
      </w:pPr>
    </w:p>
    <w:p w14:paraId="1E066AB1" w14:textId="77777777" w:rsidR="0090622A" w:rsidRDefault="0090622A" w:rsidP="003B2A42">
      <w:pPr>
        <w:tabs>
          <w:tab w:val="left" w:pos="0"/>
        </w:tabs>
        <w:jc w:val="both"/>
        <w:rPr>
          <w:rFonts w:ascii="Arial" w:hAnsi="Arial" w:cs="Arial"/>
          <w:bCs/>
          <w:color w:val="000000"/>
          <w:sz w:val="24"/>
          <w:szCs w:val="24"/>
          <w:lang w:val="es-ES"/>
        </w:rPr>
      </w:pPr>
      <w:r w:rsidRPr="0090622A">
        <w:rPr>
          <w:rFonts w:ascii="Arial" w:hAnsi="Arial" w:cs="Arial"/>
          <w:bCs/>
          <w:color w:val="000000"/>
          <w:sz w:val="24"/>
          <w:szCs w:val="24"/>
          <w:lang w:val="es-ES"/>
        </w:rPr>
        <w:t xml:space="preserve">La acción de reparación directa es la procedente para resolver el conflicto planteado, por cuanto se pretende la indemnización de los perjuicios sufridos por la sociedad demandante, como consecuencia de las fallas en las que, según su afirmación, incurrieron la Nación-Ministerio de Minas y Energía e ISA, derivadas del incumplimiento de las obligaciones que les correspondía en relación con el planeamiento, mantenimiento de las centrales y la adopción de las medidas de prevención procedentes para garantizar la prestación permanente del servicio de energía eléctrica, entre otras. En otros términos, el fundamento de la demanda son las omisiones y acciones en las que incurrieron las demandadas, que culminaron con la declaratoria del racionamiento de energía, y no esta decisión en sí misma; por lo tanto, no le asiste razón a la demandada al señalar que se debió demandar, a través de la acción de nulidad y restablecimiento del derecho el acto administrativo mediante el cual se tomó la decisión de racionar el servicio. </w:t>
      </w:r>
    </w:p>
    <w:p w14:paraId="7307DCD8" w14:textId="77777777" w:rsidR="001C69A6" w:rsidRDefault="001C69A6" w:rsidP="003B2A42">
      <w:pPr>
        <w:tabs>
          <w:tab w:val="left" w:pos="0"/>
        </w:tabs>
        <w:jc w:val="both"/>
        <w:rPr>
          <w:rFonts w:ascii="Arial" w:hAnsi="Arial" w:cs="Arial"/>
          <w:b/>
          <w:bCs/>
          <w:color w:val="000000"/>
          <w:sz w:val="24"/>
          <w:szCs w:val="24"/>
          <w:lang w:val="es-ES"/>
        </w:rPr>
      </w:pPr>
    </w:p>
    <w:p w14:paraId="01F4403C" w14:textId="77777777" w:rsidR="0090622A" w:rsidRDefault="0090622A" w:rsidP="003B2A42">
      <w:pPr>
        <w:tabs>
          <w:tab w:val="left" w:pos="0"/>
        </w:tabs>
        <w:jc w:val="both"/>
        <w:rPr>
          <w:rFonts w:ascii="Arial" w:hAnsi="Arial" w:cs="Arial"/>
          <w:bCs/>
          <w:color w:val="000000"/>
          <w:sz w:val="24"/>
          <w:szCs w:val="24"/>
          <w:lang w:val="es-ES"/>
        </w:rPr>
      </w:pPr>
    </w:p>
    <w:p w14:paraId="1250DC98" w14:textId="7C625786" w:rsidR="0090622A" w:rsidRDefault="000577B1" w:rsidP="003B2A42">
      <w:pPr>
        <w:tabs>
          <w:tab w:val="left" w:pos="0"/>
        </w:tabs>
        <w:jc w:val="both"/>
        <w:rPr>
          <w:rFonts w:ascii="Arial" w:hAnsi="Arial" w:cs="Arial"/>
          <w:bCs/>
          <w:color w:val="000000"/>
          <w:sz w:val="24"/>
          <w:szCs w:val="24"/>
          <w:lang w:val="es-ES"/>
        </w:rPr>
      </w:pPr>
      <w:r w:rsidRPr="000577B1">
        <w:rPr>
          <w:rFonts w:ascii="Arial" w:hAnsi="Arial" w:cs="Arial"/>
          <w:b/>
          <w:bCs/>
          <w:color w:val="000000"/>
          <w:sz w:val="24"/>
          <w:szCs w:val="24"/>
          <w:lang w:val="es-ES"/>
        </w:rPr>
        <w:t xml:space="preserve">DICTAMEN </w:t>
      </w:r>
      <w:r w:rsidR="001C69A6">
        <w:rPr>
          <w:rFonts w:ascii="Arial" w:hAnsi="Arial" w:cs="Arial"/>
          <w:b/>
          <w:bCs/>
          <w:color w:val="000000"/>
          <w:sz w:val="24"/>
          <w:szCs w:val="24"/>
          <w:lang w:val="es-ES"/>
        </w:rPr>
        <w:t>PERICIAL –</w:t>
      </w:r>
      <w:r w:rsidRPr="001C69A6">
        <w:rPr>
          <w:rFonts w:ascii="Arial" w:hAnsi="Arial" w:cs="Arial"/>
          <w:b/>
          <w:bCs/>
          <w:color w:val="000000"/>
          <w:sz w:val="24"/>
          <w:szCs w:val="24"/>
          <w:lang w:val="es-ES"/>
        </w:rPr>
        <w:t xml:space="preserve"> </w:t>
      </w:r>
      <w:r w:rsidR="00CF2619" w:rsidRPr="001C69A6">
        <w:rPr>
          <w:rFonts w:ascii="Arial" w:hAnsi="Arial" w:cs="Arial"/>
          <w:b/>
          <w:bCs/>
          <w:color w:val="000000"/>
          <w:sz w:val="24"/>
          <w:szCs w:val="24"/>
          <w:lang w:val="es-ES"/>
        </w:rPr>
        <w:t>Obje</w:t>
      </w:r>
      <w:r w:rsidRPr="001C69A6">
        <w:rPr>
          <w:rFonts w:ascii="Arial" w:hAnsi="Arial" w:cs="Arial"/>
          <w:b/>
          <w:bCs/>
          <w:color w:val="000000"/>
          <w:sz w:val="24"/>
          <w:szCs w:val="24"/>
          <w:lang w:val="es-ES"/>
        </w:rPr>
        <w:t>ción</w:t>
      </w:r>
      <w:r w:rsidRPr="000577B1">
        <w:rPr>
          <w:rFonts w:ascii="Arial" w:hAnsi="Arial" w:cs="Arial"/>
          <w:bCs/>
          <w:color w:val="000000"/>
          <w:sz w:val="24"/>
          <w:szCs w:val="24"/>
          <w:lang w:val="es-ES"/>
        </w:rPr>
        <w:t xml:space="preserve"> </w:t>
      </w:r>
    </w:p>
    <w:p w14:paraId="432B7FCC" w14:textId="77777777" w:rsidR="000577B1" w:rsidRDefault="000577B1" w:rsidP="003B2A42">
      <w:pPr>
        <w:tabs>
          <w:tab w:val="left" w:pos="0"/>
        </w:tabs>
        <w:jc w:val="both"/>
        <w:rPr>
          <w:rFonts w:ascii="Arial" w:hAnsi="Arial" w:cs="Arial"/>
          <w:bCs/>
          <w:color w:val="000000"/>
          <w:sz w:val="24"/>
          <w:szCs w:val="24"/>
          <w:lang w:val="es-ES"/>
        </w:rPr>
      </w:pPr>
    </w:p>
    <w:p w14:paraId="76D29803" w14:textId="77777777" w:rsidR="000577B1" w:rsidRPr="000577B1" w:rsidRDefault="000577B1" w:rsidP="003B2A42">
      <w:pPr>
        <w:tabs>
          <w:tab w:val="left" w:pos="0"/>
        </w:tabs>
        <w:jc w:val="both"/>
        <w:rPr>
          <w:rFonts w:ascii="Arial" w:hAnsi="Arial" w:cs="Arial"/>
          <w:bCs/>
          <w:color w:val="000000"/>
          <w:sz w:val="24"/>
          <w:szCs w:val="24"/>
        </w:rPr>
      </w:pPr>
      <w:r w:rsidRPr="000577B1">
        <w:rPr>
          <w:rFonts w:ascii="Arial" w:hAnsi="Arial" w:cs="Arial"/>
          <w:bCs/>
          <w:color w:val="000000"/>
          <w:sz w:val="24"/>
          <w:szCs w:val="24"/>
        </w:rPr>
        <w:t xml:space="preserve">El artículo 238 del Código de Procedimiento Civil regula la manera como debe surtirse la contradicción al dictamen y en relación con lo que debe entenderse como error grave, no hay discusión en la jurisprudencia de que este es el que se opone a la verdad, por la falta de identidad entre la realidad del objeto sobre el que se rinda el dictamen y la representación mental que de él haga el perito; por lo tanto, no constituirán error grave las conclusiones o inferencias a que lleguen los peritos, que bien pueden adolecer de otros defectos. En otros términos, la objeción por error grave debe referirse al objeto de la peritación, y no a la conclusión de los peritos. En el caso concreto, considera la Sala que en los dictámenes no se incurrió en error grave, dado que el objeto sobre el cual versaron esas pruebas siempre fue el mismo al que se refirió la parte demandante, en un principio, y la parte demandada en las objeciones, esto es, la proyección de los ingresos y de las utilidades netas operacionales, que debieron ser percibidas en el año 1992, de no haberse producido el  racionamiento, calculadas con base en métodos estadísticos sobre las cifras contenidas en los estados financieros de la empresa de ese mismo año y de los anteriores, desde 1987.   La diferencia de esos dictámenes residió en que los primeros peritos calcularon los ingresos de comercialización del año 1992, esto es, los ingresos recibidos por publicidad, menos los descuentos de esas ventas, teniendo como base el promedio bimestral de los mismos ingresos en los años 1987 a 1991; en tanto que los peritos nombrados para resolver la objeción por error grave formulada por ISA hicieron el cálculo, utilizando el mismo método, pero no de los ingresos de comercialización sino de la utilidad operacional, esto es, de los ingresos, menos los costos y gastos operacionales y, finalmente, los peritos designados para resolver las objeciones por error grave formuladas por la parte demandante, hicieron el mismo cálculo anterior, pero introduciendo la variación porcentual del índice de precios al consumidor, sobre la base histórica. Hubo un gran esfuerzo por discutir las conclusiones a las que llegaron los peritos en los dictámenes, los cuales estaban orientados a resolver, en los términos de la solicitud de la prueba, cuáles eran los ingresos esperados por la programadora, teniendo en cuenta el porcentaje bimestral de los ingresos percibidos por la misma durante los años 1987-1991. Por eso, la discusión versó sobre la validez del método de la media aritmética; la mayor confiabilidad de ese método por bimestres y no anualizado; la diferencia de resultados en caso de aplicar el IPC para los años anteriores a 1992, teniendo en cuenta que en el balance de ese año sí se hizo la actualización con dicho índice.  </w:t>
      </w:r>
    </w:p>
    <w:p w14:paraId="081EA24E" w14:textId="77777777" w:rsidR="000577B1" w:rsidRDefault="000577B1" w:rsidP="003B2A42">
      <w:pPr>
        <w:tabs>
          <w:tab w:val="left" w:pos="0"/>
        </w:tabs>
        <w:jc w:val="both"/>
        <w:rPr>
          <w:rFonts w:ascii="Arial" w:hAnsi="Arial" w:cs="Arial"/>
          <w:bCs/>
          <w:color w:val="000000"/>
          <w:sz w:val="24"/>
          <w:szCs w:val="24"/>
          <w:lang w:val="es-ES"/>
        </w:rPr>
      </w:pPr>
    </w:p>
    <w:p w14:paraId="1A453D84" w14:textId="2AAC1AB6" w:rsidR="0090622A" w:rsidRDefault="00CF2619" w:rsidP="003B2A42">
      <w:pPr>
        <w:tabs>
          <w:tab w:val="left" w:pos="0"/>
        </w:tabs>
        <w:jc w:val="both"/>
        <w:rPr>
          <w:rFonts w:ascii="Arial" w:hAnsi="Arial" w:cs="Arial"/>
          <w:bCs/>
          <w:color w:val="000000"/>
          <w:sz w:val="24"/>
          <w:szCs w:val="24"/>
          <w:lang w:val="es-ES"/>
        </w:rPr>
      </w:pPr>
      <w:r>
        <w:rPr>
          <w:rFonts w:ascii="Arial" w:hAnsi="Arial" w:cs="Arial"/>
          <w:b/>
          <w:bCs/>
          <w:color w:val="000000"/>
          <w:sz w:val="24"/>
          <w:szCs w:val="24"/>
          <w:lang w:val="es-ES"/>
        </w:rPr>
        <w:lastRenderedPageBreak/>
        <w:t xml:space="preserve">DICTAMEN PERICIAL </w:t>
      </w:r>
      <w:bookmarkStart w:id="0" w:name="_GoBack"/>
      <w:r w:rsidR="001C69A6" w:rsidRPr="001C69A6">
        <w:rPr>
          <w:rFonts w:ascii="Arial" w:hAnsi="Arial" w:cs="Arial"/>
          <w:b/>
          <w:bCs/>
          <w:color w:val="000000"/>
          <w:sz w:val="24"/>
          <w:szCs w:val="24"/>
          <w:lang w:val="es-ES"/>
        </w:rPr>
        <w:t>–</w:t>
      </w:r>
      <w:bookmarkEnd w:id="0"/>
      <w:r w:rsidR="000577B1" w:rsidRPr="00CF2619">
        <w:rPr>
          <w:rFonts w:ascii="Arial" w:hAnsi="Arial" w:cs="Arial"/>
          <w:bCs/>
          <w:color w:val="000000"/>
          <w:sz w:val="24"/>
          <w:szCs w:val="24"/>
          <w:lang w:val="es-ES"/>
        </w:rPr>
        <w:t xml:space="preserve"> </w:t>
      </w:r>
      <w:r w:rsidR="001C69A6">
        <w:rPr>
          <w:rFonts w:ascii="Arial" w:hAnsi="Arial" w:cs="Arial"/>
          <w:b/>
          <w:bCs/>
          <w:color w:val="000000"/>
          <w:sz w:val="24"/>
          <w:szCs w:val="24"/>
          <w:lang w:val="es-ES"/>
        </w:rPr>
        <w:t>Ausencia de soportes probatorios</w:t>
      </w:r>
      <w:r w:rsidR="000577B1" w:rsidRPr="000577B1">
        <w:rPr>
          <w:rFonts w:ascii="Arial" w:hAnsi="Arial" w:cs="Arial"/>
          <w:bCs/>
          <w:color w:val="000000"/>
          <w:sz w:val="24"/>
          <w:szCs w:val="24"/>
          <w:lang w:val="es-ES"/>
        </w:rPr>
        <w:t xml:space="preserve"> </w:t>
      </w:r>
    </w:p>
    <w:p w14:paraId="6D55A6C0" w14:textId="77777777" w:rsidR="000577B1" w:rsidRDefault="000577B1" w:rsidP="003B2A42">
      <w:pPr>
        <w:tabs>
          <w:tab w:val="left" w:pos="0"/>
        </w:tabs>
        <w:jc w:val="both"/>
        <w:rPr>
          <w:rFonts w:ascii="Arial" w:hAnsi="Arial" w:cs="Arial"/>
          <w:bCs/>
          <w:color w:val="000000"/>
          <w:sz w:val="24"/>
          <w:szCs w:val="24"/>
          <w:lang w:val="es-ES"/>
        </w:rPr>
      </w:pPr>
    </w:p>
    <w:p w14:paraId="09EAFDA1" w14:textId="77777777" w:rsidR="0090622A" w:rsidRPr="00F50348" w:rsidRDefault="00F50348" w:rsidP="003B2A42">
      <w:pPr>
        <w:tabs>
          <w:tab w:val="left" w:pos="0"/>
        </w:tabs>
        <w:jc w:val="both"/>
        <w:rPr>
          <w:rFonts w:ascii="Arial" w:hAnsi="Arial" w:cs="Arial"/>
          <w:bCs/>
          <w:color w:val="000000"/>
          <w:sz w:val="24"/>
          <w:szCs w:val="24"/>
        </w:rPr>
      </w:pPr>
      <w:r w:rsidRPr="00F50348">
        <w:rPr>
          <w:rFonts w:ascii="Arial" w:hAnsi="Arial" w:cs="Arial"/>
          <w:bCs/>
          <w:color w:val="000000"/>
          <w:sz w:val="24"/>
          <w:szCs w:val="24"/>
        </w:rPr>
        <w:t>La carencia de información en el expediente sobre la programación, espacios y horarios que fueron objeto de los contratos de concesión anteriores al celebrado por Punch para las vigencias anteriores a 1992 impide a la Sala obtener certeza sobre los hechos aducidos por la parte demandante en cuanto a la mayor favorabilidad de esa última contratación y, por ende, no pueden resultar confiables las cifras en tanto incrementen la expectativa de una ganancia calculada sobre variaciones porcentuales de años anteriores, teniendo en cuenta, además, que dicha proyección obedeció a una media aritmética y no a una tendencia constante de comportamiento de las empresas que pautaban en los espacios concesionados a Punch S.A.</w:t>
      </w:r>
      <w:r w:rsidR="00CF2619">
        <w:rPr>
          <w:rFonts w:ascii="Arial" w:hAnsi="Arial" w:cs="Arial"/>
          <w:bCs/>
          <w:color w:val="000000"/>
          <w:sz w:val="24"/>
          <w:szCs w:val="24"/>
        </w:rPr>
        <w:t xml:space="preserve"> </w:t>
      </w:r>
      <w:r w:rsidRPr="00F50348">
        <w:rPr>
          <w:rFonts w:ascii="Arial" w:hAnsi="Arial" w:cs="Arial"/>
          <w:bCs/>
          <w:color w:val="000000"/>
          <w:sz w:val="24"/>
          <w:szCs w:val="24"/>
        </w:rPr>
        <w:t>Lo que sí se advierte a partir de la información que obra en el expediente y que consta en los estados financieros traídos con la prueba pericial es que los ingresos operacionales de Punch no decrecieron en 1992, en comparación con los años anteriores; por el contrario, hubo un incremento de los mismos, como se aprecia en el cuadro que se inserta a esta sentencia entre los folios 78 y 79, elaborado con el propósito de mostrar esas cifras. También se advierte que en el año de 1992, la empresa incrementó los costos y gastos operacionales, en relación con los años anteriores, pero no se acreditó en el expediente que ese incremento estuviera relacionado con el racionamiento de energía y no con factores diferentes, por ejemplo, con las nuevas estrategias e inversiones que debió realizar la empresa para adecuar su programación a los cambios que suponía la ejecución del contrato bajo el nuevo modelo de televisión. En ese orden de ideas, las conclusiones de los peritos no ofrecen a la Sala certeza sobre los daños patrimoniales sufridos por la demandante como consecuencia del racionamiento. En los mismos, los expertos se limitan a hacer proyecciones, con base en fórmulas matemáticas, en abstracto, los cuales no se descalifican, desde el punto de vista de su validez estadística, pero no prueban el hecho que pretendía acreditar la sociedad demandante, que no era otro distinto al de la verificación de la incidencia del racionamien</w:t>
      </w:r>
      <w:r>
        <w:rPr>
          <w:rFonts w:ascii="Arial" w:hAnsi="Arial" w:cs="Arial"/>
          <w:bCs/>
          <w:color w:val="000000"/>
          <w:sz w:val="24"/>
          <w:szCs w:val="24"/>
        </w:rPr>
        <w:t xml:space="preserve">to de energía en su patrimonio. </w:t>
      </w:r>
      <w:r w:rsidRPr="00F50348">
        <w:rPr>
          <w:rFonts w:ascii="Arial" w:hAnsi="Arial" w:cs="Arial"/>
          <w:bCs/>
          <w:color w:val="000000"/>
          <w:sz w:val="24"/>
          <w:szCs w:val="24"/>
        </w:rPr>
        <w:t xml:space="preserve">La sociedad debió demostrar cuáles de los espacios que le habían sido concedidos resultaron afectados con el racionamiento de energía; y en relación con los mismos cuáles fueron las ventas de publicidad que no se llevaron a cabo durante el año 1992, por el desinterés de las empresas que antes adquirían su pauta comercial en esos horarios. No le bastaba con afirmar simplemente que las empresas se abstuvieron de contratar la pauta, sin traer al expediente un mínimo de prueba sobre la celebración de contratos anteriores con dichas empresas u otros elementos de juicio que permitieran razonablemente inferir que tales contratos sí habrían de celebrarse, pero que en el año del racionamiento no se llevaron a cabo, porque los programas que transmitiría la demandante no iban a llegar a todos los consumidores a la misma hora. No puede perderse de vista que el racionamiento no se hacía a la misma hora en todos los sitios del país y que, además, Inravisión ofreció a las programadoras la posibilidad de retransmitir dichos programas en horarios diferentes a los del racionamiento. En efecto, de acuerdo con las pruebas que obran la intensidad horaria promedio mensual de racionamiento era diferente por empresa y tipo de usuario y era revisada y modificada semanal o quincenalmente por el Comité. Cada empresa distribuidora era autónoma en hacer esa distribución, mientras cumpliera con la cuota diaria o semanal asignada por el Comité.  En consecuencia, la sociedad debió probar no sólo cuáles eran los ingresos operacionales adicionales que esperaba obtener y que no logró por causa del racionamiento y cuál era la utilidad neta –y no la simple utilidad operacional- que tales ingresos habrían de representarle, porque ese y no otro era el daño indemnizable. </w:t>
      </w:r>
    </w:p>
    <w:p w14:paraId="1710AFEE" w14:textId="77777777" w:rsidR="0090622A" w:rsidRDefault="0090622A" w:rsidP="00E80529">
      <w:pPr>
        <w:tabs>
          <w:tab w:val="left" w:pos="0"/>
        </w:tabs>
        <w:jc w:val="both"/>
        <w:rPr>
          <w:rFonts w:ascii="Arial" w:hAnsi="Arial" w:cs="Arial"/>
          <w:b/>
          <w:bCs/>
          <w:color w:val="000000"/>
          <w:sz w:val="24"/>
          <w:szCs w:val="24"/>
        </w:rPr>
      </w:pPr>
    </w:p>
    <w:p w14:paraId="7639F7E7" w14:textId="77777777" w:rsidR="0090622A" w:rsidRDefault="0090622A" w:rsidP="00E80529">
      <w:pPr>
        <w:tabs>
          <w:tab w:val="left" w:pos="0"/>
        </w:tabs>
        <w:jc w:val="both"/>
        <w:rPr>
          <w:rFonts w:ascii="Arial" w:hAnsi="Arial" w:cs="Arial"/>
          <w:b/>
          <w:bCs/>
          <w:color w:val="000000"/>
          <w:sz w:val="24"/>
          <w:szCs w:val="24"/>
        </w:rPr>
      </w:pPr>
    </w:p>
    <w:p w14:paraId="28E84CD5" w14:textId="77777777" w:rsidR="0090622A" w:rsidRPr="00E80529" w:rsidRDefault="0090622A" w:rsidP="00E80529">
      <w:pPr>
        <w:tabs>
          <w:tab w:val="left" w:pos="0"/>
        </w:tabs>
        <w:jc w:val="both"/>
        <w:rPr>
          <w:rFonts w:ascii="Arial" w:hAnsi="Arial" w:cs="Arial"/>
          <w:b/>
          <w:bCs/>
          <w:color w:val="000000"/>
          <w:sz w:val="24"/>
          <w:szCs w:val="24"/>
        </w:rPr>
      </w:pPr>
    </w:p>
    <w:p w14:paraId="72D86137" w14:textId="77777777" w:rsidR="003C0C08" w:rsidRPr="00E80529" w:rsidRDefault="002C6BDF" w:rsidP="00E80529">
      <w:pPr>
        <w:tabs>
          <w:tab w:val="left" w:pos="0"/>
        </w:tabs>
        <w:jc w:val="center"/>
        <w:rPr>
          <w:rFonts w:ascii="Arial" w:hAnsi="Arial" w:cs="Arial"/>
          <w:b/>
          <w:bCs/>
          <w:color w:val="000000"/>
          <w:sz w:val="24"/>
          <w:szCs w:val="24"/>
        </w:rPr>
      </w:pPr>
      <w:r w:rsidRPr="00E80529">
        <w:rPr>
          <w:rFonts w:ascii="Arial" w:hAnsi="Arial" w:cs="Arial"/>
          <w:b/>
          <w:bCs/>
          <w:color w:val="000000"/>
          <w:sz w:val="24"/>
          <w:szCs w:val="24"/>
        </w:rPr>
        <w:lastRenderedPageBreak/>
        <w:t>CONSEJO DE ESTADO</w:t>
      </w:r>
    </w:p>
    <w:p w14:paraId="72167303" w14:textId="77777777" w:rsidR="003C0C08" w:rsidRPr="00E80529" w:rsidRDefault="003C0C08" w:rsidP="00E80529">
      <w:pPr>
        <w:tabs>
          <w:tab w:val="left" w:pos="0"/>
        </w:tabs>
        <w:jc w:val="center"/>
        <w:rPr>
          <w:rFonts w:ascii="Arial" w:hAnsi="Arial" w:cs="Arial"/>
          <w:b/>
          <w:bCs/>
          <w:color w:val="000000"/>
          <w:sz w:val="24"/>
          <w:szCs w:val="24"/>
        </w:rPr>
      </w:pPr>
    </w:p>
    <w:p w14:paraId="624739FE" w14:textId="77777777" w:rsidR="002C6BDF" w:rsidRPr="00E80529" w:rsidRDefault="002C6BDF" w:rsidP="00E80529">
      <w:pPr>
        <w:tabs>
          <w:tab w:val="left" w:pos="0"/>
        </w:tabs>
        <w:jc w:val="center"/>
        <w:rPr>
          <w:rFonts w:ascii="Arial" w:hAnsi="Arial" w:cs="Arial"/>
          <w:b/>
          <w:bCs/>
          <w:color w:val="000000"/>
          <w:sz w:val="24"/>
          <w:szCs w:val="24"/>
        </w:rPr>
      </w:pPr>
      <w:r w:rsidRPr="00E80529">
        <w:rPr>
          <w:rFonts w:ascii="Arial" w:hAnsi="Arial" w:cs="Arial"/>
          <w:b/>
          <w:bCs/>
          <w:color w:val="000000"/>
          <w:sz w:val="24"/>
          <w:szCs w:val="24"/>
        </w:rPr>
        <w:t>SALA DE LO CONTENCIOSO ADMINISTRATIVO</w:t>
      </w:r>
    </w:p>
    <w:p w14:paraId="6188A182" w14:textId="77777777" w:rsidR="003C0C08" w:rsidRPr="00E80529" w:rsidRDefault="003C0C08" w:rsidP="00E80529">
      <w:pPr>
        <w:tabs>
          <w:tab w:val="left" w:pos="0"/>
        </w:tabs>
        <w:jc w:val="center"/>
        <w:rPr>
          <w:rFonts w:ascii="Arial" w:hAnsi="Arial" w:cs="Arial"/>
          <w:b/>
          <w:bCs/>
          <w:color w:val="000000"/>
          <w:sz w:val="24"/>
          <w:szCs w:val="24"/>
        </w:rPr>
      </w:pPr>
    </w:p>
    <w:p w14:paraId="51A8E911" w14:textId="77777777" w:rsidR="003C0C08" w:rsidRPr="00E80529" w:rsidRDefault="003C0C08" w:rsidP="00E80529">
      <w:pPr>
        <w:tabs>
          <w:tab w:val="left" w:pos="0"/>
        </w:tabs>
        <w:jc w:val="center"/>
        <w:rPr>
          <w:rFonts w:ascii="Arial" w:hAnsi="Arial" w:cs="Arial"/>
          <w:b/>
          <w:bCs/>
          <w:color w:val="000000"/>
          <w:sz w:val="24"/>
          <w:szCs w:val="24"/>
        </w:rPr>
      </w:pPr>
      <w:r w:rsidRPr="00E80529">
        <w:rPr>
          <w:rFonts w:ascii="Arial" w:hAnsi="Arial" w:cs="Arial"/>
          <w:b/>
          <w:bCs/>
          <w:color w:val="000000"/>
          <w:sz w:val="24"/>
          <w:szCs w:val="24"/>
        </w:rPr>
        <w:t>SECCION TERCERA</w:t>
      </w:r>
    </w:p>
    <w:p w14:paraId="58022025" w14:textId="77777777" w:rsidR="003C0C08" w:rsidRPr="00E80529" w:rsidRDefault="003C0C08" w:rsidP="00E80529">
      <w:pPr>
        <w:tabs>
          <w:tab w:val="left" w:pos="0"/>
        </w:tabs>
        <w:jc w:val="center"/>
        <w:rPr>
          <w:rFonts w:ascii="Arial" w:hAnsi="Arial" w:cs="Arial"/>
          <w:b/>
          <w:bCs/>
          <w:color w:val="000000"/>
          <w:sz w:val="24"/>
          <w:szCs w:val="24"/>
        </w:rPr>
      </w:pPr>
    </w:p>
    <w:p w14:paraId="649805A7" w14:textId="77777777" w:rsidR="002C6BDF" w:rsidRPr="00E80529" w:rsidRDefault="003C0C08" w:rsidP="00E80529">
      <w:pPr>
        <w:tabs>
          <w:tab w:val="left" w:pos="0"/>
        </w:tabs>
        <w:jc w:val="center"/>
        <w:rPr>
          <w:rFonts w:ascii="Arial" w:hAnsi="Arial" w:cs="Arial"/>
          <w:b/>
          <w:bCs/>
          <w:color w:val="000000"/>
          <w:sz w:val="24"/>
          <w:szCs w:val="24"/>
        </w:rPr>
      </w:pPr>
      <w:r w:rsidRPr="00E80529">
        <w:rPr>
          <w:rFonts w:ascii="Arial" w:hAnsi="Arial" w:cs="Arial"/>
          <w:b/>
          <w:bCs/>
          <w:color w:val="000000"/>
          <w:sz w:val="24"/>
          <w:szCs w:val="24"/>
        </w:rPr>
        <w:t>SUBSECCIO</w:t>
      </w:r>
      <w:r w:rsidR="002C6BDF" w:rsidRPr="00E80529">
        <w:rPr>
          <w:rFonts w:ascii="Arial" w:hAnsi="Arial" w:cs="Arial"/>
          <w:b/>
          <w:bCs/>
          <w:color w:val="000000"/>
          <w:sz w:val="24"/>
          <w:szCs w:val="24"/>
        </w:rPr>
        <w:t>N B</w:t>
      </w:r>
    </w:p>
    <w:p w14:paraId="371DCC2F" w14:textId="77777777" w:rsidR="003C0C08" w:rsidRPr="00E80529" w:rsidRDefault="003C0C08" w:rsidP="00E80529">
      <w:pPr>
        <w:pStyle w:val="Ttulo"/>
        <w:widowControl w:val="0"/>
        <w:spacing w:line="240" w:lineRule="auto"/>
        <w:ind w:right="0"/>
        <w:rPr>
          <w:rFonts w:cs="Arial"/>
          <w:sz w:val="24"/>
          <w:szCs w:val="24"/>
        </w:rPr>
      </w:pPr>
    </w:p>
    <w:p w14:paraId="0D2EEBDD" w14:textId="77777777" w:rsidR="003C0C08" w:rsidRPr="00E80529" w:rsidRDefault="003C0C08" w:rsidP="00E80529">
      <w:pPr>
        <w:pStyle w:val="Ttulo"/>
        <w:widowControl w:val="0"/>
        <w:spacing w:line="240" w:lineRule="auto"/>
        <w:ind w:right="0"/>
        <w:rPr>
          <w:rFonts w:cs="Arial"/>
          <w:sz w:val="24"/>
          <w:szCs w:val="24"/>
        </w:rPr>
      </w:pPr>
      <w:r w:rsidRPr="00E80529">
        <w:rPr>
          <w:rFonts w:cs="Arial"/>
          <w:sz w:val="24"/>
          <w:szCs w:val="24"/>
        </w:rPr>
        <w:t>Consejero ponente: RAMIRO PAZOS G</w:t>
      </w:r>
      <w:r w:rsidR="009C558F" w:rsidRPr="00E80529">
        <w:rPr>
          <w:rFonts w:cs="Arial"/>
          <w:sz w:val="24"/>
          <w:szCs w:val="24"/>
        </w:rPr>
        <w:t>UERRERO</w:t>
      </w:r>
    </w:p>
    <w:p w14:paraId="5C1B2705" w14:textId="77777777" w:rsidR="003C0C08" w:rsidRPr="00E80529" w:rsidRDefault="003C0C08" w:rsidP="00E80529">
      <w:pPr>
        <w:pStyle w:val="Ttulo"/>
        <w:widowControl w:val="0"/>
        <w:spacing w:line="240" w:lineRule="auto"/>
        <w:ind w:right="0"/>
        <w:jc w:val="both"/>
        <w:rPr>
          <w:rFonts w:cs="Arial"/>
          <w:sz w:val="24"/>
          <w:szCs w:val="24"/>
        </w:rPr>
      </w:pPr>
    </w:p>
    <w:p w14:paraId="18B4CB54" w14:textId="77777777" w:rsidR="002C6BDF" w:rsidRPr="00E80529" w:rsidRDefault="003C0C08" w:rsidP="00E80529">
      <w:pPr>
        <w:pStyle w:val="Ttulo"/>
        <w:widowControl w:val="0"/>
        <w:spacing w:line="240" w:lineRule="auto"/>
        <w:ind w:right="0"/>
        <w:jc w:val="both"/>
        <w:rPr>
          <w:rFonts w:cs="Arial"/>
          <w:b w:val="0"/>
          <w:sz w:val="24"/>
          <w:szCs w:val="24"/>
        </w:rPr>
      </w:pPr>
      <w:r w:rsidRPr="00E80529">
        <w:rPr>
          <w:rFonts w:cs="Arial"/>
          <w:b w:val="0"/>
          <w:sz w:val="24"/>
          <w:szCs w:val="24"/>
        </w:rPr>
        <w:t>Bogotá</w:t>
      </w:r>
      <w:r w:rsidR="009C558F">
        <w:rPr>
          <w:rFonts w:cs="Arial"/>
          <w:b w:val="0"/>
          <w:sz w:val="24"/>
          <w:szCs w:val="24"/>
        </w:rPr>
        <w:t>,</w:t>
      </w:r>
      <w:r w:rsidRPr="00E80529">
        <w:rPr>
          <w:rFonts w:cs="Arial"/>
          <w:b w:val="0"/>
          <w:sz w:val="24"/>
          <w:szCs w:val="24"/>
        </w:rPr>
        <w:t xml:space="preserve"> D.</w:t>
      </w:r>
      <w:r w:rsidR="002C6BDF" w:rsidRPr="00E80529">
        <w:rPr>
          <w:rFonts w:cs="Arial"/>
          <w:b w:val="0"/>
          <w:sz w:val="24"/>
          <w:szCs w:val="24"/>
        </w:rPr>
        <w:t>C., dos (2) de mayo de dos mil dieciséis (2016)</w:t>
      </w:r>
    </w:p>
    <w:p w14:paraId="6AE90731" w14:textId="77777777" w:rsidR="002C6BDF" w:rsidRPr="00E80529" w:rsidRDefault="002C6BDF" w:rsidP="00E80529">
      <w:pPr>
        <w:pStyle w:val="Ttulo"/>
        <w:widowControl w:val="0"/>
        <w:spacing w:line="240" w:lineRule="auto"/>
        <w:ind w:right="0"/>
        <w:jc w:val="both"/>
        <w:rPr>
          <w:rFonts w:cs="Arial"/>
          <w:sz w:val="24"/>
          <w:szCs w:val="24"/>
        </w:rPr>
      </w:pPr>
    </w:p>
    <w:p w14:paraId="08C5CD0E" w14:textId="77777777" w:rsidR="002C6BDF" w:rsidRPr="00E80529" w:rsidRDefault="003C0C08" w:rsidP="00E80529">
      <w:pPr>
        <w:pStyle w:val="Ttulo"/>
        <w:spacing w:line="240" w:lineRule="auto"/>
        <w:ind w:right="0"/>
        <w:jc w:val="both"/>
        <w:rPr>
          <w:rFonts w:cs="Arial"/>
          <w:sz w:val="24"/>
          <w:szCs w:val="24"/>
        </w:rPr>
      </w:pPr>
      <w:r w:rsidRPr="009C558F">
        <w:rPr>
          <w:rFonts w:cs="Arial"/>
          <w:sz w:val="24"/>
          <w:szCs w:val="24"/>
        </w:rPr>
        <w:t>Radicación número</w:t>
      </w:r>
      <w:r w:rsidR="002C6BDF" w:rsidRPr="009C558F">
        <w:rPr>
          <w:rFonts w:cs="Arial"/>
          <w:sz w:val="24"/>
          <w:szCs w:val="24"/>
        </w:rPr>
        <w:t>:</w:t>
      </w:r>
      <w:r w:rsidRPr="009C558F">
        <w:rPr>
          <w:rFonts w:cs="Arial"/>
          <w:sz w:val="24"/>
          <w:szCs w:val="24"/>
        </w:rPr>
        <w:t xml:space="preserve"> </w:t>
      </w:r>
      <w:r w:rsidR="002C6BDF" w:rsidRPr="009C558F">
        <w:rPr>
          <w:rFonts w:cs="Arial"/>
          <w:sz w:val="24"/>
          <w:szCs w:val="24"/>
        </w:rPr>
        <w:t>25000</w:t>
      </w:r>
      <w:r w:rsidRPr="009C558F">
        <w:rPr>
          <w:rFonts w:cs="Arial"/>
          <w:sz w:val="24"/>
          <w:szCs w:val="24"/>
        </w:rPr>
        <w:t>-</w:t>
      </w:r>
      <w:r w:rsidR="002C6BDF" w:rsidRPr="009C558F">
        <w:rPr>
          <w:rFonts w:cs="Arial"/>
          <w:sz w:val="24"/>
          <w:szCs w:val="24"/>
        </w:rPr>
        <w:t>23</w:t>
      </w:r>
      <w:r w:rsidRPr="009C558F">
        <w:rPr>
          <w:rFonts w:cs="Arial"/>
          <w:sz w:val="24"/>
          <w:szCs w:val="24"/>
        </w:rPr>
        <w:t>-</w:t>
      </w:r>
      <w:r w:rsidR="002C6BDF" w:rsidRPr="009C558F">
        <w:rPr>
          <w:rFonts w:cs="Arial"/>
          <w:sz w:val="24"/>
          <w:szCs w:val="24"/>
        </w:rPr>
        <w:t>26</w:t>
      </w:r>
      <w:r w:rsidRPr="009C558F">
        <w:rPr>
          <w:rFonts w:cs="Arial"/>
          <w:sz w:val="24"/>
          <w:szCs w:val="24"/>
        </w:rPr>
        <w:t>-</w:t>
      </w:r>
      <w:r w:rsidR="002C6BDF" w:rsidRPr="009C558F">
        <w:rPr>
          <w:rFonts w:cs="Arial"/>
          <w:sz w:val="24"/>
          <w:szCs w:val="24"/>
        </w:rPr>
        <w:t>000</w:t>
      </w:r>
      <w:r w:rsidRPr="009C558F">
        <w:rPr>
          <w:rFonts w:cs="Arial"/>
          <w:sz w:val="24"/>
          <w:szCs w:val="24"/>
        </w:rPr>
        <w:t>-</w:t>
      </w:r>
      <w:r w:rsidR="002C6BDF" w:rsidRPr="009C558F">
        <w:rPr>
          <w:rFonts w:cs="Arial"/>
          <w:sz w:val="24"/>
          <w:szCs w:val="24"/>
        </w:rPr>
        <w:t>1993</w:t>
      </w:r>
      <w:r w:rsidRPr="009C558F">
        <w:rPr>
          <w:rFonts w:cs="Arial"/>
          <w:sz w:val="24"/>
          <w:szCs w:val="24"/>
        </w:rPr>
        <w:t>-</w:t>
      </w:r>
      <w:r w:rsidR="002C6BDF" w:rsidRPr="009C558F">
        <w:rPr>
          <w:rFonts w:cs="Arial"/>
          <w:sz w:val="24"/>
          <w:szCs w:val="24"/>
        </w:rPr>
        <w:t>09160-01</w:t>
      </w:r>
      <w:r w:rsidRPr="009C558F">
        <w:rPr>
          <w:rFonts w:cs="Arial"/>
          <w:sz w:val="24"/>
          <w:szCs w:val="24"/>
        </w:rPr>
        <w:t>(</w:t>
      </w:r>
      <w:r w:rsidRPr="00E80529">
        <w:rPr>
          <w:rFonts w:cs="Arial"/>
          <w:sz w:val="24"/>
          <w:szCs w:val="24"/>
        </w:rPr>
        <w:t>26636)</w:t>
      </w:r>
    </w:p>
    <w:p w14:paraId="27583514" w14:textId="77777777" w:rsidR="003C0C08" w:rsidRPr="00E80529" w:rsidRDefault="003C0C08" w:rsidP="00E80529">
      <w:pPr>
        <w:jc w:val="both"/>
        <w:rPr>
          <w:rFonts w:ascii="Arial" w:hAnsi="Arial" w:cs="Arial"/>
          <w:b/>
          <w:sz w:val="24"/>
          <w:szCs w:val="24"/>
        </w:rPr>
      </w:pPr>
    </w:p>
    <w:p w14:paraId="7DF9136F" w14:textId="77777777" w:rsidR="002C6BDF" w:rsidRPr="00E80529" w:rsidRDefault="003C0C08" w:rsidP="00E80529">
      <w:pPr>
        <w:jc w:val="both"/>
        <w:rPr>
          <w:rFonts w:ascii="Arial" w:hAnsi="Arial" w:cs="Arial"/>
          <w:b/>
          <w:bCs/>
          <w:sz w:val="24"/>
          <w:szCs w:val="24"/>
        </w:rPr>
      </w:pPr>
      <w:r w:rsidRPr="00E80529">
        <w:rPr>
          <w:rFonts w:ascii="Arial" w:hAnsi="Arial" w:cs="Arial"/>
          <w:b/>
          <w:sz w:val="24"/>
          <w:szCs w:val="24"/>
        </w:rPr>
        <w:t>Actor</w:t>
      </w:r>
      <w:r w:rsidR="002C6BDF" w:rsidRPr="00E80529">
        <w:rPr>
          <w:rFonts w:ascii="Arial" w:hAnsi="Arial" w:cs="Arial"/>
          <w:b/>
          <w:sz w:val="24"/>
          <w:szCs w:val="24"/>
        </w:rPr>
        <w:t>:</w:t>
      </w:r>
      <w:r w:rsidRPr="00E80529">
        <w:rPr>
          <w:rFonts w:ascii="Arial" w:hAnsi="Arial" w:cs="Arial"/>
          <w:b/>
          <w:sz w:val="24"/>
          <w:szCs w:val="24"/>
        </w:rPr>
        <w:t xml:space="preserve"> </w:t>
      </w:r>
      <w:r w:rsidR="009C558F" w:rsidRPr="00E80529">
        <w:rPr>
          <w:rFonts w:ascii="Arial" w:hAnsi="Arial" w:cs="Arial"/>
          <w:b/>
          <w:bCs/>
          <w:sz w:val="24"/>
          <w:szCs w:val="24"/>
        </w:rPr>
        <w:t xml:space="preserve">PRODUCCIONES PUNCH S.A. Y OTROS </w:t>
      </w:r>
    </w:p>
    <w:p w14:paraId="576B7AFD" w14:textId="77777777" w:rsidR="003C0C08" w:rsidRPr="00E80529" w:rsidRDefault="003C0C08" w:rsidP="00E80529">
      <w:pPr>
        <w:pStyle w:val="Textoindependiente"/>
        <w:spacing w:line="240" w:lineRule="auto"/>
        <w:ind w:right="0"/>
        <w:rPr>
          <w:rFonts w:ascii="Arial" w:hAnsi="Arial" w:cs="Arial"/>
          <w:b/>
          <w:lang w:val="es-CO"/>
        </w:rPr>
      </w:pPr>
    </w:p>
    <w:p w14:paraId="515A2AE1" w14:textId="77777777" w:rsidR="002C6BDF" w:rsidRPr="00E80529" w:rsidRDefault="009C558F" w:rsidP="00E80529">
      <w:pPr>
        <w:pStyle w:val="Textoindependiente"/>
        <w:spacing w:line="240" w:lineRule="auto"/>
        <w:ind w:right="0"/>
        <w:rPr>
          <w:rFonts w:ascii="Arial" w:hAnsi="Arial" w:cs="Arial"/>
          <w:b/>
        </w:rPr>
      </w:pPr>
      <w:r>
        <w:rPr>
          <w:rFonts w:ascii="Arial" w:hAnsi="Arial" w:cs="Arial"/>
          <w:b/>
        </w:rPr>
        <w:t>Demandado: INTERCONEXION ELE</w:t>
      </w:r>
      <w:r w:rsidRPr="00E80529">
        <w:rPr>
          <w:rFonts w:ascii="Arial" w:hAnsi="Arial" w:cs="Arial"/>
          <w:b/>
        </w:rPr>
        <w:t xml:space="preserve">CTRICA S.A. ISA Y OTRO </w:t>
      </w:r>
      <w:r w:rsidRPr="00E80529">
        <w:rPr>
          <w:rFonts w:ascii="Arial" w:hAnsi="Arial" w:cs="Arial"/>
          <w:b/>
          <w:bCs w:val="0"/>
        </w:rPr>
        <w:t xml:space="preserve"> </w:t>
      </w:r>
    </w:p>
    <w:p w14:paraId="0B2BD3F5" w14:textId="77777777" w:rsidR="003C0C08" w:rsidRPr="00E80529" w:rsidRDefault="003C0C08" w:rsidP="00E80529">
      <w:pPr>
        <w:pStyle w:val="Ttulo"/>
        <w:widowControl w:val="0"/>
        <w:spacing w:line="240" w:lineRule="auto"/>
        <w:ind w:right="0"/>
        <w:jc w:val="both"/>
        <w:rPr>
          <w:rFonts w:cs="Arial"/>
          <w:sz w:val="24"/>
          <w:szCs w:val="24"/>
          <w:lang w:val="es-ES"/>
        </w:rPr>
      </w:pPr>
    </w:p>
    <w:p w14:paraId="2B6F05CB" w14:textId="77777777" w:rsidR="009C558F" w:rsidRDefault="009C558F" w:rsidP="00E80529">
      <w:pPr>
        <w:pStyle w:val="Ttulo"/>
        <w:widowControl w:val="0"/>
        <w:spacing w:line="240" w:lineRule="auto"/>
        <w:ind w:right="0"/>
        <w:jc w:val="both"/>
        <w:rPr>
          <w:rFonts w:cs="Arial"/>
          <w:sz w:val="24"/>
          <w:szCs w:val="24"/>
        </w:rPr>
      </w:pPr>
    </w:p>
    <w:p w14:paraId="5D3E0187" w14:textId="77777777" w:rsidR="009C558F" w:rsidRDefault="009C558F" w:rsidP="00E80529">
      <w:pPr>
        <w:pStyle w:val="Ttulo"/>
        <w:widowControl w:val="0"/>
        <w:spacing w:line="240" w:lineRule="auto"/>
        <w:ind w:right="0"/>
        <w:jc w:val="both"/>
        <w:rPr>
          <w:rFonts w:cs="Arial"/>
          <w:sz w:val="24"/>
          <w:szCs w:val="24"/>
        </w:rPr>
      </w:pPr>
    </w:p>
    <w:p w14:paraId="2ECD8E82" w14:textId="77777777" w:rsidR="002C6BDF" w:rsidRPr="00E80529" w:rsidRDefault="009C558F" w:rsidP="00E80529">
      <w:pPr>
        <w:pStyle w:val="Ttulo"/>
        <w:widowControl w:val="0"/>
        <w:spacing w:line="240" w:lineRule="auto"/>
        <w:ind w:right="0"/>
        <w:jc w:val="both"/>
        <w:rPr>
          <w:rFonts w:cs="Arial"/>
          <w:sz w:val="24"/>
          <w:szCs w:val="24"/>
        </w:rPr>
      </w:pPr>
      <w:r>
        <w:rPr>
          <w:rFonts w:cs="Arial"/>
          <w:sz w:val="24"/>
          <w:szCs w:val="24"/>
        </w:rPr>
        <w:t>Referencia: ACCION DE REPARACIO</w:t>
      </w:r>
      <w:r w:rsidRPr="00E80529">
        <w:rPr>
          <w:rFonts w:cs="Arial"/>
          <w:sz w:val="24"/>
          <w:szCs w:val="24"/>
        </w:rPr>
        <w:t>N DIRECTA</w:t>
      </w:r>
    </w:p>
    <w:p w14:paraId="1EE0CB60" w14:textId="77777777" w:rsidR="002C6BDF" w:rsidRDefault="002C6BDF" w:rsidP="00E80529">
      <w:pPr>
        <w:pStyle w:val="Textoindependiente"/>
        <w:spacing w:line="240" w:lineRule="auto"/>
        <w:ind w:right="0"/>
        <w:rPr>
          <w:rFonts w:ascii="Arial" w:hAnsi="Arial" w:cs="Arial"/>
          <w:bCs w:val="0"/>
          <w:color w:val="000000"/>
          <w:lang w:val="es-ES_tradnl"/>
        </w:rPr>
      </w:pPr>
    </w:p>
    <w:p w14:paraId="30E6D38E" w14:textId="77777777" w:rsidR="00E80529" w:rsidRPr="00E80529" w:rsidRDefault="00E80529" w:rsidP="00E80529">
      <w:pPr>
        <w:pStyle w:val="Textoindependiente"/>
        <w:spacing w:line="240" w:lineRule="auto"/>
        <w:ind w:right="0"/>
        <w:rPr>
          <w:rFonts w:ascii="Arial" w:hAnsi="Arial" w:cs="Arial"/>
          <w:bCs w:val="0"/>
          <w:color w:val="000000"/>
          <w:lang w:val="es-ES_tradnl"/>
        </w:rPr>
      </w:pPr>
    </w:p>
    <w:p w14:paraId="224EB279" w14:textId="77777777" w:rsidR="002C6BDF" w:rsidRPr="00E80529" w:rsidRDefault="002C6BDF" w:rsidP="00E80529">
      <w:pPr>
        <w:pStyle w:val="Textoindependiente"/>
        <w:spacing w:line="240" w:lineRule="auto"/>
        <w:ind w:right="-15"/>
        <w:rPr>
          <w:rFonts w:ascii="Arial" w:hAnsi="Arial" w:cs="Arial"/>
        </w:rPr>
      </w:pPr>
    </w:p>
    <w:p w14:paraId="4021952A" w14:textId="77777777" w:rsidR="002C6BDF" w:rsidRPr="006769C7" w:rsidRDefault="002C6BDF" w:rsidP="006769C7">
      <w:pPr>
        <w:pStyle w:val="Textoindependiente"/>
        <w:spacing w:line="276" w:lineRule="auto"/>
        <w:ind w:right="-15"/>
        <w:rPr>
          <w:rFonts w:ascii="Arial" w:hAnsi="Arial" w:cs="Arial"/>
        </w:rPr>
      </w:pPr>
      <w:r w:rsidRPr="006769C7">
        <w:rPr>
          <w:rFonts w:ascii="Arial" w:hAnsi="Arial" w:cs="Arial"/>
        </w:rPr>
        <w:t xml:space="preserve">Decide la Sala el recurso de apelación interpuesto por la parte demandante en contra de la sentencia proferida por el Tribunal Administrativo de Cundinamarca-Sección Tercera-Sala de Descongestión, el 13 de noviembre de 2003, mediante la cual se negaron las pretensiones de la demanda. La sentencia será modificada. </w:t>
      </w:r>
    </w:p>
    <w:p w14:paraId="6364317D" w14:textId="77777777" w:rsidR="002C6BDF" w:rsidRPr="006769C7" w:rsidRDefault="002C6BDF" w:rsidP="006769C7">
      <w:pPr>
        <w:pStyle w:val="Ttulo3"/>
        <w:spacing w:line="276" w:lineRule="auto"/>
        <w:ind w:right="-15"/>
        <w:rPr>
          <w:rFonts w:ascii="Arial" w:hAnsi="Arial" w:cs="Arial"/>
          <w:b/>
          <w:sz w:val="24"/>
        </w:rPr>
      </w:pPr>
    </w:p>
    <w:p w14:paraId="15CB8252" w14:textId="77777777" w:rsidR="002C6BDF" w:rsidRPr="006769C7" w:rsidRDefault="002C6BDF" w:rsidP="006769C7">
      <w:pPr>
        <w:pStyle w:val="Ttulo3"/>
        <w:spacing w:line="276" w:lineRule="auto"/>
        <w:ind w:right="-15"/>
        <w:jc w:val="center"/>
        <w:rPr>
          <w:rFonts w:ascii="Arial" w:hAnsi="Arial" w:cs="Arial"/>
          <w:b/>
          <w:sz w:val="24"/>
        </w:rPr>
      </w:pPr>
      <w:r w:rsidRPr="006769C7">
        <w:rPr>
          <w:rFonts w:ascii="Arial" w:hAnsi="Arial" w:cs="Arial"/>
          <w:b/>
          <w:sz w:val="24"/>
        </w:rPr>
        <w:t>SÍNTESIS DEL CASO</w:t>
      </w:r>
    </w:p>
    <w:p w14:paraId="3B534B92" w14:textId="77777777" w:rsidR="002C6BDF" w:rsidRPr="006769C7" w:rsidRDefault="002C6BDF" w:rsidP="006769C7">
      <w:pPr>
        <w:tabs>
          <w:tab w:val="num" w:pos="480"/>
        </w:tabs>
        <w:spacing w:line="276" w:lineRule="auto"/>
        <w:ind w:right="-7"/>
        <w:jc w:val="both"/>
        <w:rPr>
          <w:rFonts w:ascii="Arial" w:hAnsi="Arial" w:cs="Arial"/>
          <w:bCs/>
          <w:sz w:val="24"/>
          <w:szCs w:val="24"/>
        </w:rPr>
      </w:pPr>
    </w:p>
    <w:p w14:paraId="0586FA55" w14:textId="77777777" w:rsidR="002C6BDF" w:rsidRPr="006769C7" w:rsidRDefault="002C6BDF" w:rsidP="006769C7">
      <w:pPr>
        <w:tabs>
          <w:tab w:val="num" w:pos="480"/>
        </w:tabs>
        <w:spacing w:line="276" w:lineRule="auto"/>
        <w:ind w:right="-7"/>
        <w:jc w:val="both"/>
        <w:rPr>
          <w:rFonts w:ascii="Arial" w:hAnsi="Arial" w:cs="Arial"/>
          <w:sz w:val="24"/>
          <w:szCs w:val="24"/>
        </w:rPr>
      </w:pPr>
      <w:r w:rsidRPr="006769C7">
        <w:rPr>
          <w:rFonts w:ascii="Arial" w:hAnsi="Arial" w:cs="Arial"/>
          <w:sz w:val="24"/>
          <w:szCs w:val="24"/>
        </w:rPr>
        <w:t xml:space="preserve">Producciones Punch S.A., suscribió con INRAVISIÓN el contrato de concesión de espacios de televisión n.° 2828, por un lapso de 6 años. El contrato quedó perfeccionado en septiembre de 1991. A partir del 1º de enero de 1992, Punch inició la trasmisión de su nueva programación. No obstante, el 1º de marzo de ese mismo año, el Gobierno Nacional decretó el inicio de un plan de racionamiento de energía eléctrica, que afectó a todos los sectores de la población y se mantuvo en todo el país, en mayor o menor grado, hasta el 1º de abril de 1993. Con el fin de evitar que las programadoras de televisión se vieran afectadas con el  racionamiento, INRAVISIÓN adoptó las siguientes medidas: (i) autorizar temporalmente a las programadoras de televisión para retransmitir programas de televisión previamente emitidos o, en su defecto, para reponer los espacios comerciales de los programas presentados en espacios afectados por el racionamiento; (ii) reducir unilateralmente la tarifa cobrada a las programadoras por los diversos servicios que les fueran prestados por INRAVISIÓN; (iii) modificar los plazos y la forma de pago de esos derechos. Según la demanda, a pesar de esas medidas, el racionamiento de energía afectó considerablemente los ingresos que Punch esperaba obtener durante ese lapso por la comercialización de la pauta publicitaria. </w:t>
      </w:r>
    </w:p>
    <w:p w14:paraId="263E3DA3" w14:textId="77777777" w:rsidR="002C6BDF" w:rsidRPr="006769C7" w:rsidRDefault="002C6BDF" w:rsidP="006769C7">
      <w:pPr>
        <w:spacing w:line="276" w:lineRule="auto"/>
        <w:ind w:right="-15"/>
        <w:rPr>
          <w:rFonts w:ascii="Arial" w:hAnsi="Arial" w:cs="Arial"/>
          <w:b/>
          <w:bCs/>
          <w:sz w:val="24"/>
          <w:szCs w:val="24"/>
        </w:rPr>
      </w:pPr>
    </w:p>
    <w:p w14:paraId="3CCF56E1" w14:textId="77777777" w:rsidR="002C6BDF" w:rsidRPr="006769C7" w:rsidRDefault="002C6BDF" w:rsidP="006769C7">
      <w:pPr>
        <w:spacing w:line="276" w:lineRule="auto"/>
        <w:ind w:right="-15"/>
        <w:jc w:val="center"/>
        <w:rPr>
          <w:rFonts w:ascii="Arial" w:hAnsi="Arial" w:cs="Arial"/>
          <w:b/>
          <w:bCs/>
          <w:sz w:val="24"/>
          <w:szCs w:val="24"/>
        </w:rPr>
      </w:pPr>
      <w:r w:rsidRPr="006769C7">
        <w:rPr>
          <w:rFonts w:ascii="Arial" w:hAnsi="Arial" w:cs="Arial"/>
          <w:b/>
          <w:bCs/>
          <w:sz w:val="24"/>
          <w:szCs w:val="24"/>
        </w:rPr>
        <w:t>ANTECEDENTES</w:t>
      </w:r>
    </w:p>
    <w:p w14:paraId="7944C635" w14:textId="77777777" w:rsidR="002C6BDF" w:rsidRPr="006769C7" w:rsidRDefault="002C6BDF" w:rsidP="006769C7">
      <w:pPr>
        <w:spacing w:line="276" w:lineRule="auto"/>
        <w:jc w:val="both"/>
        <w:rPr>
          <w:rFonts w:ascii="Arial" w:hAnsi="Arial" w:cs="Arial"/>
          <w:sz w:val="24"/>
          <w:szCs w:val="24"/>
        </w:rPr>
      </w:pPr>
    </w:p>
    <w:p w14:paraId="5E74E29A" w14:textId="77777777" w:rsidR="002C6BDF" w:rsidRPr="006769C7" w:rsidRDefault="002C6BDF" w:rsidP="006769C7">
      <w:pPr>
        <w:spacing w:line="276" w:lineRule="auto"/>
        <w:jc w:val="both"/>
        <w:rPr>
          <w:rFonts w:ascii="Arial" w:hAnsi="Arial" w:cs="Arial"/>
          <w:sz w:val="24"/>
          <w:szCs w:val="24"/>
        </w:rPr>
      </w:pPr>
      <w:r w:rsidRPr="006769C7">
        <w:rPr>
          <w:rFonts w:ascii="Arial" w:hAnsi="Arial" w:cs="Arial"/>
          <w:sz w:val="24"/>
          <w:szCs w:val="24"/>
        </w:rPr>
        <w:lastRenderedPageBreak/>
        <w:t>1. Mediante escrito presentado el día 13 de septiembre de 1993 y corregido el 19 de octubre siguiente</w:t>
      </w:r>
      <w:r w:rsidRPr="006769C7">
        <w:rPr>
          <w:rStyle w:val="Refdenotaalpie"/>
          <w:rFonts w:ascii="Arial" w:hAnsi="Arial" w:cs="Arial"/>
          <w:sz w:val="24"/>
          <w:szCs w:val="24"/>
        </w:rPr>
        <w:footnoteReference w:id="1"/>
      </w:r>
      <w:r w:rsidRPr="006769C7">
        <w:rPr>
          <w:rFonts w:ascii="Arial" w:hAnsi="Arial" w:cs="Arial"/>
          <w:sz w:val="24"/>
          <w:szCs w:val="24"/>
        </w:rPr>
        <w:t>, dirigido al Tribunal Administrativo de Cundinamarca (f. 2-18 c-1), la sociedad Producciones Punch S.A.</w:t>
      </w:r>
      <w:r w:rsidRPr="006769C7">
        <w:rPr>
          <w:rStyle w:val="Refdenotaalpie"/>
          <w:rFonts w:ascii="Arial" w:hAnsi="Arial" w:cs="Arial"/>
          <w:sz w:val="24"/>
          <w:szCs w:val="24"/>
        </w:rPr>
        <w:footnoteReference w:id="2"/>
      </w:r>
      <w:r w:rsidRPr="006769C7">
        <w:rPr>
          <w:rFonts w:ascii="Arial" w:hAnsi="Arial" w:cs="Arial"/>
          <w:sz w:val="24"/>
          <w:szCs w:val="24"/>
        </w:rPr>
        <w:t>, a través de su representante legal</w:t>
      </w:r>
      <w:r w:rsidRPr="006769C7">
        <w:rPr>
          <w:rStyle w:val="Refdenotaalpie"/>
          <w:rFonts w:ascii="Arial" w:hAnsi="Arial" w:cs="Arial"/>
          <w:sz w:val="24"/>
          <w:szCs w:val="24"/>
        </w:rPr>
        <w:footnoteReference w:id="3"/>
      </w:r>
      <w:r w:rsidRPr="006769C7">
        <w:rPr>
          <w:rFonts w:ascii="Arial" w:hAnsi="Arial" w:cs="Arial"/>
          <w:sz w:val="24"/>
          <w:szCs w:val="24"/>
        </w:rPr>
        <w:t>, presentó demanda, en ejercicio de la acción de reparación directa, en contra de Interconexión Eléctrica S.A. -ISA-</w:t>
      </w:r>
      <w:r w:rsidRPr="006769C7">
        <w:rPr>
          <w:rStyle w:val="Refdenotaalpie"/>
          <w:rFonts w:ascii="Arial" w:hAnsi="Arial" w:cs="Arial"/>
          <w:sz w:val="24"/>
          <w:szCs w:val="24"/>
        </w:rPr>
        <w:footnoteReference w:id="4"/>
      </w:r>
      <w:r w:rsidRPr="006769C7">
        <w:rPr>
          <w:rFonts w:ascii="Arial" w:hAnsi="Arial" w:cs="Arial"/>
          <w:sz w:val="24"/>
          <w:szCs w:val="24"/>
        </w:rPr>
        <w:t xml:space="preserve"> y la Nación-Ministerio de Minas y Energía, en la cual formuló las siguientes pretensiones: </w:t>
      </w:r>
    </w:p>
    <w:p w14:paraId="452617D2" w14:textId="77777777" w:rsidR="002C6BDF" w:rsidRPr="006769C7" w:rsidRDefault="002C6BDF" w:rsidP="006769C7">
      <w:pPr>
        <w:spacing w:line="276" w:lineRule="auto"/>
        <w:jc w:val="both"/>
        <w:rPr>
          <w:rFonts w:ascii="Arial" w:hAnsi="Arial" w:cs="Arial"/>
          <w:b/>
          <w:sz w:val="24"/>
          <w:szCs w:val="24"/>
        </w:rPr>
      </w:pPr>
    </w:p>
    <w:p w14:paraId="616CA004" w14:textId="77777777" w:rsidR="002C6BDF" w:rsidRPr="006769C7" w:rsidRDefault="002C6BDF" w:rsidP="006769C7">
      <w:pPr>
        <w:tabs>
          <w:tab w:val="num" w:pos="480"/>
        </w:tabs>
        <w:spacing w:line="276" w:lineRule="auto"/>
        <w:ind w:left="600" w:right="593"/>
        <w:jc w:val="both"/>
        <w:rPr>
          <w:rFonts w:ascii="Arial" w:hAnsi="Arial" w:cs="Arial"/>
          <w:i/>
          <w:sz w:val="24"/>
          <w:szCs w:val="24"/>
        </w:rPr>
      </w:pPr>
      <w:r w:rsidRPr="006769C7">
        <w:rPr>
          <w:rFonts w:ascii="Arial" w:hAnsi="Arial" w:cs="Arial"/>
          <w:i/>
          <w:sz w:val="24"/>
          <w:szCs w:val="24"/>
        </w:rPr>
        <w:t>1. Que INTERCONEXIÓN ELÉCTRICA S.A. I.S.A. en adelante ISA, y la NACIÓN-MINISTERIO DE MINAS Y ENERGÍA, en lo que le pueda corresponder en virtud del control de tutela que ejerce sobre la primera o de sus propias fallas en la prestación de los servicios que le competen por disposición legal, es o son civilmente responsables por los perjuicios económicos sufridos por PRODUCCIONES PUNCH S.A. en adelante PUNCH, como consecuencia de la falla en la prestación del servicio de suministro de energía eléctrica a que se vio sujeto el país entre el primero (1º) (sic) de marzo de 1992 y el primero de abril de 1993.</w:t>
      </w:r>
    </w:p>
    <w:p w14:paraId="1F43934B" w14:textId="77777777" w:rsidR="002C6BDF" w:rsidRPr="006769C7" w:rsidRDefault="002C6BDF" w:rsidP="006769C7">
      <w:pPr>
        <w:tabs>
          <w:tab w:val="num" w:pos="480"/>
        </w:tabs>
        <w:spacing w:line="276" w:lineRule="auto"/>
        <w:ind w:left="600" w:right="593"/>
        <w:jc w:val="both"/>
        <w:rPr>
          <w:rFonts w:ascii="Arial" w:hAnsi="Arial" w:cs="Arial"/>
          <w:i/>
          <w:sz w:val="24"/>
          <w:szCs w:val="24"/>
        </w:rPr>
      </w:pPr>
    </w:p>
    <w:p w14:paraId="7E7675EA" w14:textId="77777777" w:rsidR="002C6BDF" w:rsidRPr="006769C7" w:rsidRDefault="002C6BDF" w:rsidP="006769C7">
      <w:pPr>
        <w:tabs>
          <w:tab w:val="num" w:pos="480"/>
        </w:tabs>
        <w:spacing w:line="276" w:lineRule="auto"/>
        <w:ind w:left="600" w:right="593"/>
        <w:jc w:val="both"/>
        <w:rPr>
          <w:rFonts w:ascii="Arial" w:hAnsi="Arial" w:cs="Arial"/>
          <w:i/>
          <w:sz w:val="24"/>
          <w:szCs w:val="24"/>
        </w:rPr>
      </w:pPr>
      <w:r w:rsidRPr="006769C7">
        <w:rPr>
          <w:rFonts w:ascii="Arial" w:hAnsi="Arial" w:cs="Arial"/>
          <w:i/>
          <w:sz w:val="24"/>
          <w:szCs w:val="24"/>
        </w:rPr>
        <w:t>2. Que los demandados deben pagar a PUNCH la totalidad de los perjuicios patrimoniales sufridos por dicha empresa como consecuencia de la falla en la prestación del servicio de suministro de energía eléctrica, desde el primero (1º) (sic) de marzo de 1992 y el primero (1º) de abril de 1993, en la cuantía que resulte demostrada en el curso del proceso.</w:t>
      </w:r>
    </w:p>
    <w:p w14:paraId="219691C3" w14:textId="77777777" w:rsidR="002C6BDF" w:rsidRPr="006769C7" w:rsidRDefault="002C6BDF" w:rsidP="006769C7">
      <w:pPr>
        <w:tabs>
          <w:tab w:val="num" w:pos="480"/>
        </w:tabs>
        <w:spacing w:line="276" w:lineRule="auto"/>
        <w:ind w:left="600" w:right="593"/>
        <w:jc w:val="both"/>
        <w:rPr>
          <w:rFonts w:ascii="Arial" w:hAnsi="Arial" w:cs="Arial"/>
          <w:i/>
          <w:sz w:val="24"/>
          <w:szCs w:val="24"/>
        </w:rPr>
      </w:pPr>
    </w:p>
    <w:p w14:paraId="2862B424" w14:textId="77777777" w:rsidR="002C6BDF" w:rsidRPr="006769C7" w:rsidRDefault="002C6BDF" w:rsidP="006769C7">
      <w:pPr>
        <w:tabs>
          <w:tab w:val="num" w:pos="480"/>
        </w:tabs>
        <w:spacing w:line="276" w:lineRule="auto"/>
        <w:ind w:left="600" w:right="593"/>
        <w:jc w:val="both"/>
        <w:rPr>
          <w:rFonts w:ascii="Arial" w:hAnsi="Arial" w:cs="Arial"/>
          <w:i/>
          <w:sz w:val="24"/>
          <w:szCs w:val="24"/>
        </w:rPr>
      </w:pPr>
      <w:r w:rsidRPr="006769C7">
        <w:rPr>
          <w:rFonts w:ascii="Arial" w:hAnsi="Arial" w:cs="Arial"/>
          <w:i/>
          <w:sz w:val="24"/>
          <w:szCs w:val="24"/>
        </w:rPr>
        <w:t xml:space="preserve">3. Que los demandados deben pagar a PUNCH como parte del lucro cesante sufrido, el monto de los intereses compensatorios correspondientes a la tasa del interés bancario corriente vigente para la época, sobre el valor de los perjuicios probados, y </w:t>
      </w:r>
    </w:p>
    <w:p w14:paraId="6DA59BCC" w14:textId="77777777" w:rsidR="002C6BDF" w:rsidRPr="006769C7" w:rsidRDefault="002C6BDF" w:rsidP="006769C7">
      <w:pPr>
        <w:tabs>
          <w:tab w:val="num" w:pos="480"/>
        </w:tabs>
        <w:spacing w:line="276" w:lineRule="auto"/>
        <w:ind w:left="600" w:right="593"/>
        <w:jc w:val="both"/>
        <w:rPr>
          <w:rFonts w:ascii="Arial" w:hAnsi="Arial" w:cs="Arial"/>
          <w:i/>
          <w:sz w:val="24"/>
          <w:szCs w:val="24"/>
        </w:rPr>
      </w:pPr>
    </w:p>
    <w:p w14:paraId="0556CF55" w14:textId="77777777" w:rsidR="002C6BDF" w:rsidRPr="006769C7" w:rsidRDefault="002C6BDF" w:rsidP="006769C7">
      <w:pPr>
        <w:tabs>
          <w:tab w:val="num" w:pos="480"/>
        </w:tabs>
        <w:spacing w:line="276" w:lineRule="auto"/>
        <w:ind w:left="600" w:right="593"/>
        <w:jc w:val="both"/>
        <w:rPr>
          <w:rFonts w:ascii="Arial" w:hAnsi="Arial" w:cs="Arial"/>
          <w:i/>
          <w:sz w:val="24"/>
          <w:szCs w:val="24"/>
        </w:rPr>
      </w:pPr>
      <w:r w:rsidRPr="006769C7">
        <w:rPr>
          <w:rFonts w:ascii="Arial" w:hAnsi="Arial" w:cs="Arial"/>
          <w:i/>
          <w:sz w:val="24"/>
          <w:szCs w:val="24"/>
        </w:rPr>
        <w:t>4. Que en subsidio de lo anterior, los demandantes deben efectuar el pago de la indemnización en pesos corrientes, es decir, teniendo en cuenta la variación porcentual del índice de precios al consumidor entre la fecha de la causación del daño y la fecha del pago.</w:t>
      </w:r>
    </w:p>
    <w:p w14:paraId="6E5CAAD8" w14:textId="77777777" w:rsidR="002C6BDF" w:rsidRPr="006769C7" w:rsidRDefault="002C6BDF" w:rsidP="006769C7">
      <w:pPr>
        <w:tabs>
          <w:tab w:val="num" w:pos="480"/>
        </w:tabs>
        <w:spacing w:line="276" w:lineRule="auto"/>
        <w:ind w:left="600" w:right="593"/>
        <w:jc w:val="both"/>
        <w:rPr>
          <w:rFonts w:ascii="Arial" w:hAnsi="Arial" w:cs="Arial"/>
          <w:i/>
          <w:sz w:val="24"/>
          <w:szCs w:val="24"/>
        </w:rPr>
      </w:pPr>
    </w:p>
    <w:p w14:paraId="74131ECC" w14:textId="77777777" w:rsidR="002C6BDF" w:rsidRPr="006769C7" w:rsidRDefault="002C6BDF" w:rsidP="006769C7">
      <w:pPr>
        <w:tabs>
          <w:tab w:val="num" w:pos="480"/>
        </w:tabs>
        <w:spacing w:line="276" w:lineRule="auto"/>
        <w:ind w:left="600" w:right="593"/>
        <w:jc w:val="both"/>
        <w:rPr>
          <w:rFonts w:ascii="Arial" w:hAnsi="Arial" w:cs="Arial"/>
          <w:i/>
          <w:sz w:val="24"/>
          <w:szCs w:val="24"/>
        </w:rPr>
      </w:pPr>
    </w:p>
    <w:p w14:paraId="1C915B8B" w14:textId="77777777" w:rsidR="002C6BDF" w:rsidRPr="006769C7" w:rsidRDefault="002C6BDF" w:rsidP="006769C7">
      <w:pPr>
        <w:tabs>
          <w:tab w:val="num" w:pos="480"/>
        </w:tabs>
        <w:spacing w:line="276" w:lineRule="auto"/>
        <w:ind w:right="-7"/>
        <w:jc w:val="both"/>
        <w:rPr>
          <w:rFonts w:ascii="Arial" w:hAnsi="Arial" w:cs="Arial"/>
          <w:sz w:val="24"/>
          <w:szCs w:val="24"/>
        </w:rPr>
      </w:pPr>
      <w:r w:rsidRPr="006769C7">
        <w:rPr>
          <w:rFonts w:ascii="Arial" w:hAnsi="Arial" w:cs="Arial"/>
          <w:sz w:val="24"/>
          <w:szCs w:val="24"/>
        </w:rPr>
        <w:t xml:space="preserve">Como fundamento fáctico de las pretensiones de la demanda, se enunciaron los siguientes hechos: </w:t>
      </w:r>
    </w:p>
    <w:p w14:paraId="0F719879" w14:textId="77777777" w:rsidR="002C6BDF" w:rsidRPr="006769C7" w:rsidRDefault="002C6BDF" w:rsidP="006769C7">
      <w:pPr>
        <w:tabs>
          <w:tab w:val="num" w:pos="480"/>
        </w:tabs>
        <w:spacing w:line="276" w:lineRule="auto"/>
        <w:ind w:right="-7"/>
        <w:jc w:val="both"/>
        <w:rPr>
          <w:rFonts w:ascii="Arial" w:hAnsi="Arial" w:cs="Arial"/>
          <w:sz w:val="24"/>
          <w:szCs w:val="24"/>
        </w:rPr>
      </w:pPr>
    </w:p>
    <w:p w14:paraId="13F31D8C" w14:textId="77777777" w:rsidR="002C6BDF" w:rsidRPr="006769C7" w:rsidRDefault="002C6BDF" w:rsidP="006769C7">
      <w:pPr>
        <w:tabs>
          <w:tab w:val="num" w:pos="480"/>
        </w:tabs>
        <w:spacing w:line="276" w:lineRule="auto"/>
        <w:ind w:right="-7"/>
        <w:jc w:val="both"/>
        <w:rPr>
          <w:rFonts w:ascii="Arial" w:hAnsi="Arial" w:cs="Arial"/>
          <w:sz w:val="24"/>
          <w:szCs w:val="24"/>
        </w:rPr>
      </w:pPr>
      <w:r w:rsidRPr="006769C7">
        <w:rPr>
          <w:rFonts w:ascii="Arial" w:hAnsi="Arial" w:cs="Arial"/>
          <w:sz w:val="24"/>
          <w:szCs w:val="24"/>
        </w:rPr>
        <w:t xml:space="preserve">-Producciones Punch S.A., cuyo objeto es </w:t>
      </w:r>
      <w:r w:rsidRPr="006769C7">
        <w:rPr>
          <w:rFonts w:ascii="Arial" w:hAnsi="Arial" w:cs="Arial"/>
          <w:i/>
          <w:sz w:val="24"/>
          <w:szCs w:val="24"/>
        </w:rPr>
        <w:t>“la producción y comercialización de programas de televisión y otros medios de comunicación publicitaria”</w:t>
      </w:r>
      <w:r w:rsidRPr="006769C7">
        <w:rPr>
          <w:rFonts w:ascii="Arial" w:hAnsi="Arial" w:cs="Arial"/>
          <w:sz w:val="24"/>
          <w:szCs w:val="24"/>
        </w:rPr>
        <w:t xml:space="preserve"> suscribió con el Instituto Nacional de Radio y Televisión –INRAVISIÓN- el contrato de concesión de espacios de televisión n.° 2828, por un lapso de 6 años. El contrato quedó </w:t>
      </w:r>
      <w:r w:rsidRPr="006769C7">
        <w:rPr>
          <w:rFonts w:ascii="Arial" w:hAnsi="Arial" w:cs="Arial"/>
          <w:sz w:val="24"/>
          <w:szCs w:val="24"/>
        </w:rPr>
        <w:lastRenderedPageBreak/>
        <w:t xml:space="preserve">perfeccionado en septiembre de 1991, una vez el Consejo de Estado lo declaró ajustado a la ley. </w:t>
      </w:r>
    </w:p>
    <w:p w14:paraId="70C13130" w14:textId="77777777" w:rsidR="002C6BDF" w:rsidRPr="006769C7" w:rsidRDefault="002C6BDF" w:rsidP="006769C7">
      <w:pPr>
        <w:tabs>
          <w:tab w:val="num" w:pos="480"/>
        </w:tabs>
        <w:spacing w:line="276" w:lineRule="auto"/>
        <w:ind w:right="-7"/>
        <w:jc w:val="both"/>
        <w:rPr>
          <w:rFonts w:ascii="Arial" w:hAnsi="Arial" w:cs="Arial"/>
          <w:sz w:val="24"/>
          <w:szCs w:val="24"/>
        </w:rPr>
      </w:pPr>
    </w:p>
    <w:p w14:paraId="3E88FA85" w14:textId="77777777" w:rsidR="002C6BDF" w:rsidRPr="006769C7" w:rsidRDefault="002C6BDF" w:rsidP="006769C7">
      <w:pPr>
        <w:tabs>
          <w:tab w:val="num" w:pos="480"/>
        </w:tabs>
        <w:spacing w:line="276" w:lineRule="auto"/>
        <w:ind w:right="-7"/>
        <w:jc w:val="both"/>
        <w:rPr>
          <w:rFonts w:ascii="Arial" w:hAnsi="Arial" w:cs="Arial"/>
          <w:sz w:val="24"/>
          <w:szCs w:val="24"/>
        </w:rPr>
      </w:pPr>
      <w:r w:rsidRPr="006769C7">
        <w:rPr>
          <w:rFonts w:ascii="Arial" w:hAnsi="Arial" w:cs="Arial"/>
          <w:sz w:val="24"/>
          <w:szCs w:val="24"/>
        </w:rPr>
        <w:t xml:space="preserve">-De acuerdo con ese contrato, el concesionario podía utilizar los espacios que le fueron asignados en la cadena dos de televisión. </w:t>
      </w:r>
    </w:p>
    <w:p w14:paraId="27FF925D" w14:textId="77777777" w:rsidR="002C6BDF" w:rsidRPr="006769C7" w:rsidRDefault="002C6BDF" w:rsidP="006769C7">
      <w:pPr>
        <w:tabs>
          <w:tab w:val="num" w:pos="480"/>
        </w:tabs>
        <w:spacing w:line="276" w:lineRule="auto"/>
        <w:ind w:right="-7"/>
        <w:jc w:val="both"/>
        <w:rPr>
          <w:rFonts w:ascii="Arial" w:hAnsi="Arial" w:cs="Arial"/>
          <w:sz w:val="24"/>
          <w:szCs w:val="24"/>
        </w:rPr>
      </w:pPr>
    </w:p>
    <w:p w14:paraId="129ECFA8" w14:textId="77777777" w:rsidR="002C6BDF" w:rsidRPr="006769C7" w:rsidRDefault="002C6BDF" w:rsidP="006769C7">
      <w:pPr>
        <w:tabs>
          <w:tab w:val="num" w:pos="480"/>
        </w:tabs>
        <w:spacing w:line="276" w:lineRule="auto"/>
        <w:ind w:right="-7"/>
        <w:jc w:val="both"/>
        <w:rPr>
          <w:rFonts w:ascii="Arial" w:hAnsi="Arial" w:cs="Arial"/>
          <w:sz w:val="24"/>
          <w:szCs w:val="24"/>
        </w:rPr>
      </w:pPr>
      <w:r w:rsidRPr="006769C7">
        <w:rPr>
          <w:rFonts w:ascii="Arial" w:hAnsi="Arial" w:cs="Arial"/>
          <w:sz w:val="24"/>
          <w:szCs w:val="24"/>
        </w:rPr>
        <w:t xml:space="preserve">-A partir del 1º de enero de 1992, Punch inició la trasmisión de su nueva programación. </w:t>
      </w:r>
    </w:p>
    <w:p w14:paraId="719119A6" w14:textId="77777777" w:rsidR="002C6BDF" w:rsidRPr="006769C7" w:rsidRDefault="002C6BDF" w:rsidP="006769C7">
      <w:pPr>
        <w:tabs>
          <w:tab w:val="num" w:pos="480"/>
        </w:tabs>
        <w:spacing w:line="276" w:lineRule="auto"/>
        <w:ind w:right="-7"/>
        <w:jc w:val="both"/>
        <w:rPr>
          <w:rFonts w:ascii="Arial" w:hAnsi="Arial" w:cs="Arial"/>
          <w:sz w:val="24"/>
          <w:szCs w:val="24"/>
        </w:rPr>
      </w:pPr>
    </w:p>
    <w:p w14:paraId="6691E94B" w14:textId="77777777" w:rsidR="002C6BDF" w:rsidRPr="006769C7" w:rsidRDefault="002C6BDF" w:rsidP="006769C7">
      <w:pPr>
        <w:tabs>
          <w:tab w:val="num" w:pos="480"/>
        </w:tabs>
        <w:spacing w:line="276" w:lineRule="auto"/>
        <w:ind w:right="-7"/>
        <w:jc w:val="both"/>
        <w:rPr>
          <w:rFonts w:ascii="Arial" w:hAnsi="Arial" w:cs="Arial"/>
          <w:sz w:val="24"/>
          <w:szCs w:val="24"/>
        </w:rPr>
      </w:pPr>
      <w:r w:rsidRPr="006769C7">
        <w:rPr>
          <w:rFonts w:ascii="Arial" w:hAnsi="Arial" w:cs="Arial"/>
          <w:sz w:val="24"/>
          <w:szCs w:val="24"/>
        </w:rPr>
        <w:t>-El 1º de marzo de ese mismo año, el Gobierno Nacional decretó el inicio de un plan de racionamiento de energía eléctrica, que habría de afectar únicamente el sector residencial y tendría una duración de dos horas diarias, pero poco después, a comienzos de abril del mismo año, el racionamiento se extendió a todos los sectores de la población y su duración se incrementó a nueve horas diarias, y se mantuvo en todo el país, en mayor o menor grado hasta el 1º de abril de 1993.</w:t>
      </w:r>
    </w:p>
    <w:p w14:paraId="06AFC2FB" w14:textId="77777777" w:rsidR="002C6BDF" w:rsidRPr="006769C7" w:rsidRDefault="002C6BDF" w:rsidP="006769C7">
      <w:pPr>
        <w:tabs>
          <w:tab w:val="num" w:pos="480"/>
        </w:tabs>
        <w:spacing w:line="276" w:lineRule="auto"/>
        <w:ind w:right="-7"/>
        <w:jc w:val="both"/>
        <w:rPr>
          <w:rFonts w:ascii="Arial" w:hAnsi="Arial" w:cs="Arial"/>
          <w:sz w:val="24"/>
          <w:szCs w:val="24"/>
        </w:rPr>
      </w:pPr>
    </w:p>
    <w:p w14:paraId="1FD7DDC5" w14:textId="77777777" w:rsidR="002C6BDF" w:rsidRPr="006769C7" w:rsidRDefault="002C6BDF" w:rsidP="006769C7">
      <w:pPr>
        <w:tabs>
          <w:tab w:val="num" w:pos="480"/>
        </w:tabs>
        <w:spacing w:line="276" w:lineRule="auto"/>
        <w:ind w:right="-7"/>
        <w:jc w:val="both"/>
        <w:rPr>
          <w:rFonts w:ascii="Arial" w:hAnsi="Arial" w:cs="Arial"/>
          <w:sz w:val="24"/>
          <w:szCs w:val="24"/>
        </w:rPr>
      </w:pPr>
      <w:r w:rsidRPr="006769C7">
        <w:rPr>
          <w:rFonts w:ascii="Arial" w:hAnsi="Arial" w:cs="Arial"/>
          <w:sz w:val="24"/>
          <w:szCs w:val="24"/>
        </w:rPr>
        <w:t>-Como consecuencia de ese racionamiento, las programadoras de televisión vieron reducida sustancialmente su pauta publicitaria. Aún más ante la carencia absoluta de audiencia, los anunciantes se abstuvieron de contratar comerciales de televisión durante el horario del racionamiento.</w:t>
      </w:r>
    </w:p>
    <w:p w14:paraId="37638617" w14:textId="77777777" w:rsidR="002C6BDF" w:rsidRPr="006769C7" w:rsidRDefault="002C6BDF" w:rsidP="006769C7">
      <w:pPr>
        <w:tabs>
          <w:tab w:val="num" w:pos="480"/>
        </w:tabs>
        <w:spacing w:line="276" w:lineRule="auto"/>
        <w:ind w:right="-7"/>
        <w:jc w:val="both"/>
        <w:rPr>
          <w:rFonts w:ascii="Arial" w:hAnsi="Arial" w:cs="Arial"/>
          <w:sz w:val="24"/>
          <w:szCs w:val="24"/>
        </w:rPr>
      </w:pPr>
    </w:p>
    <w:p w14:paraId="001BEAB0" w14:textId="77777777" w:rsidR="002C6BDF" w:rsidRPr="006769C7" w:rsidRDefault="002C6BDF" w:rsidP="006769C7">
      <w:pPr>
        <w:tabs>
          <w:tab w:val="num" w:pos="480"/>
        </w:tabs>
        <w:spacing w:line="276" w:lineRule="auto"/>
        <w:ind w:right="-7"/>
        <w:jc w:val="both"/>
        <w:rPr>
          <w:rFonts w:ascii="Arial" w:hAnsi="Arial" w:cs="Arial"/>
          <w:sz w:val="24"/>
          <w:szCs w:val="24"/>
        </w:rPr>
      </w:pPr>
      <w:r w:rsidRPr="006769C7">
        <w:rPr>
          <w:rFonts w:ascii="Arial" w:hAnsi="Arial" w:cs="Arial"/>
          <w:sz w:val="24"/>
          <w:szCs w:val="24"/>
        </w:rPr>
        <w:t>-Para contrarrestar en alguna medida los graves perjuicios que estaban sufriendo las programadoras de televisión por dicha causa, el Instituto Nacional de Radio y Televisión INRAVISIÓN adoptó las siguientes medidas: (i) autorizar temporalmente a las programadoras de televisión para retransmitir programas de televisión previamente emitidos o, en su defecto, para reponer los espacios comerciales de los programas presentados en espacios afectados por el racionamiento; (ii) reducir unilateralmente la tarifa cobrada a las programadoras por los diversos servicios que les fueran prestados por INRAVISIÓN; (iii) modificar los plazos y la forma de pago de esos derechos.</w:t>
      </w:r>
    </w:p>
    <w:p w14:paraId="4A071C9B" w14:textId="77777777" w:rsidR="002C6BDF" w:rsidRPr="006769C7" w:rsidRDefault="002C6BDF" w:rsidP="006769C7">
      <w:pPr>
        <w:tabs>
          <w:tab w:val="num" w:pos="480"/>
        </w:tabs>
        <w:spacing w:line="276" w:lineRule="auto"/>
        <w:ind w:right="-7"/>
        <w:jc w:val="both"/>
        <w:rPr>
          <w:rFonts w:ascii="Arial" w:hAnsi="Arial" w:cs="Arial"/>
          <w:sz w:val="24"/>
          <w:szCs w:val="24"/>
        </w:rPr>
      </w:pPr>
    </w:p>
    <w:p w14:paraId="0DE148C5" w14:textId="77777777" w:rsidR="002C6BDF" w:rsidRPr="006769C7" w:rsidRDefault="002C6BDF" w:rsidP="006769C7">
      <w:pPr>
        <w:tabs>
          <w:tab w:val="num" w:pos="480"/>
        </w:tabs>
        <w:spacing w:line="276" w:lineRule="auto"/>
        <w:ind w:right="-7"/>
        <w:jc w:val="both"/>
        <w:rPr>
          <w:rFonts w:ascii="Arial" w:hAnsi="Arial" w:cs="Arial"/>
          <w:sz w:val="24"/>
          <w:szCs w:val="24"/>
        </w:rPr>
      </w:pPr>
      <w:r w:rsidRPr="006769C7">
        <w:rPr>
          <w:rFonts w:ascii="Arial" w:hAnsi="Arial" w:cs="Arial"/>
          <w:sz w:val="24"/>
          <w:szCs w:val="24"/>
        </w:rPr>
        <w:t xml:space="preserve">-A pesar de lo anterior, los efectos negativos del racionamiento de energía representaron para Punch una pérdida superior a los novecientos millones de pesos, los cuales no pudo evitar en manera alguna, porque esto hubiera implicado suministrar una planta generadora de energía a cada televidente. </w:t>
      </w:r>
    </w:p>
    <w:p w14:paraId="16B162FE" w14:textId="77777777" w:rsidR="002C6BDF" w:rsidRPr="006769C7" w:rsidRDefault="002C6BDF" w:rsidP="006769C7">
      <w:pPr>
        <w:tabs>
          <w:tab w:val="num" w:pos="480"/>
        </w:tabs>
        <w:spacing w:line="276" w:lineRule="auto"/>
        <w:ind w:right="-7"/>
        <w:jc w:val="both"/>
        <w:rPr>
          <w:rFonts w:ascii="Arial" w:hAnsi="Arial" w:cs="Arial"/>
          <w:sz w:val="24"/>
          <w:szCs w:val="24"/>
        </w:rPr>
      </w:pPr>
    </w:p>
    <w:p w14:paraId="2E2F714F" w14:textId="77777777" w:rsidR="002C6BDF" w:rsidRPr="006769C7" w:rsidRDefault="002C6BDF" w:rsidP="006769C7">
      <w:pPr>
        <w:tabs>
          <w:tab w:val="num" w:pos="480"/>
        </w:tabs>
        <w:spacing w:line="276" w:lineRule="auto"/>
        <w:ind w:right="-7"/>
        <w:jc w:val="both"/>
        <w:rPr>
          <w:rFonts w:ascii="Arial" w:hAnsi="Arial" w:cs="Arial"/>
          <w:sz w:val="24"/>
          <w:szCs w:val="24"/>
        </w:rPr>
      </w:pPr>
      <w:r w:rsidRPr="006769C7">
        <w:rPr>
          <w:rFonts w:ascii="Arial" w:hAnsi="Arial" w:cs="Arial"/>
          <w:sz w:val="24"/>
          <w:szCs w:val="24"/>
        </w:rPr>
        <w:t xml:space="preserve">-Los estudios e investigaciones adelantados por las distintas autoridades públicas coinciden en señalar a ISA y al Ministerio de Minas y Energía como los principales responsables de la falla en la prestación del servicio de energía eléctrica. </w:t>
      </w:r>
    </w:p>
    <w:p w14:paraId="6D1A9EAA" w14:textId="77777777" w:rsidR="002C6BDF" w:rsidRPr="006769C7" w:rsidRDefault="002C6BDF" w:rsidP="006769C7">
      <w:pPr>
        <w:spacing w:line="276" w:lineRule="auto"/>
        <w:ind w:right="-15"/>
        <w:jc w:val="both"/>
        <w:rPr>
          <w:rFonts w:ascii="Arial" w:hAnsi="Arial" w:cs="Arial"/>
          <w:bCs/>
          <w:sz w:val="24"/>
          <w:szCs w:val="24"/>
        </w:rPr>
      </w:pPr>
    </w:p>
    <w:p w14:paraId="3145DE17" w14:textId="77777777" w:rsidR="002C6BDF" w:rsidRPr="006769C7" w:rsidRDefault="002C6BDF" w:rsidP="006769C7">
      <w:pPr>
        <w:spacing w:line="276" w:lineRule="auto"/>
        <w:ind w:right="-15"/>
        <w:jc w:val="both"/>
        <w:rPr>
          <w:rFonts w:ascii="Arial" w:hAnsi="Arial" w:cs="Arial"/>
          <w:bCs/>
          <w:sz w:val="24"/>
          <w:szCs w:val="24"/>
        </w:rPr>
      </w:pPr>
      <w:r w:rsidRPr="006769C7">
        <w:rPr>
          <w:rFonts w:ascii="Arial" w:hAnsi="Arial" w:cs="Arial"/>
          <w:bCs/>
          <w:sz w:val="24"/>
          <w:szCs w:val="24"/>
        </w:rPr>
        <w:t xml:space="preserve">2.1. El Ministerio de Minas y Energía dio </w:t>
      </w:r>
      <w:r w:rsidRPr="006769C7">
        <w:rPr>
          <w:rFonts w:ascii="Arial" w:hAnsi="Arial" w:cs="Arial"/>
          <w:b/>
          <w:bCs/>
          <w:sz w:val="24"/>
          <w:szCs w:val="24"/>
        </w:rPr>
        <w:t>respuesta oportuna a la demanda</w:t>
      </w:r>
      <w:r w:rsidRPr="006769C7">
        <w:rPr>
          <w:rFonts w:ascii="Arial" w:hAnsi="Arial" w:cs="Arial"/>
          <w:bCs/>
          <w:sz w:val="24"/>
          <w:szCs w:val="24"/>
        </w:rPr>
        <w:t xml:space="preserve">, en la que se opuso a sus pretensiones (f. 155-175 c-1). Manifestó que sin desconocer las calidades de quienes suscribieron los informes a que se refiere la demanda, lo que se advierte es que, en su mayoría, no son autoridades en la materia y por la premura con la que los rindieron, carecen de análisis realmente profundos y técnicos, por lo cual estos deben recibirse con el beneficio de la duda y esclarecer en el proceso las causas que originaron la crisis de energía en el país. Con mejor fundamentación, en cambio –afirma-, rindieron su concepto dos expertos consultados por la </w:t>
      </w:r>
      <w:r w:rsidRPr="006769C7">
        <w:rPr>
          <w:rFonts w:ascii="Arial" w:hAnsi="Arial" w:cs="Arial"/>
          <w:bCs/>
          <w:sz w:val="24"/>
          <w:szCs w:val="24"/>
        </w:rPr>
        <w:lastRenderedPageBreak/>
        <w:t>Procuraduría Primera Delegada para la Vigilancia Administrativa, quienes desvirtuaron de manera absoluta los posibles errores en la operación del sistema por parte de ISA y señalaron como causa del racionamiento de energía eléctrica el fenómeno de la naturaleza conocido como “del Niño”, que generó la falta de lluvias y con ella la disminución de los embalses, fuente generadora de energía para las distintas electrificadoras, lo cual obligó al gobierno en defensa del interés general a declarar al país en estado de emergencia económica, mediante Decreto 680 de 1993. En consecuencia, se configura para la entidad la eximente de responsabilidad de fuerza mayor o caso fortuito</w:t>
      </w:r>
    </w:p>
    <w:p w14:paraId="6065D56C" w14:textId="77777777" w:rsidR="002C6BDF" w:rsidRPr="006769C7" w:rsidRDefault="002C6BDF" w:rsidP="006769C7">
      <w:pPr>
        <w:spacing w:line="276" w:lineRule="auto"/>
        <w:ind w:right="-15"/>
        <w:jc w:val="both"/>
        <w:rPr>
          <w:rFonts w:ascii="Arial" w:hAnsi="Arial" w:cs="Arial"/>
          <w:bCs/>
          <w:sz w:val="24"/>
          <w:szCs w:val="24"/>
        </w:rPr>
      </w:pPr>
    </w:p>
    <w:p w14:paraId="3DB96B7F" w14:textId="77777777" w:rsidR="002C6BDF" w:rsidRPr="006769C7" w:rsidRDefault="002C6BDF" w:rsidP="006769C7">
      <w:pPr>
        <w:spacing w:line="276" w:lineRule="auto"/>
        <w:ind w:right="-15"/>
        <w:jc w:val="both"/>
        <w:rPr>
          <w:rFonts w:ascii="Arial" w:hAnsi="Arial" w:cs="Arial"/>
          <w:bCs/>
          <w:sz w:val="24"/>
          <w:szCs w:val="24"/>
        </w:rPr>
      </w:pPr>
      <w:r w:rsidRPr="006769C7">
        <w:rPr>
          <w:rFonts w:ascii="Arial" w:hAnsi="Arial" w:cs="Arial"/>
          <w:bCs/>
          <w:sz w:val="24"/>
          <w:szCs w:val="24"/>
        </w:rPr>
        <w:t xml:space="preserve">Formuló, además la excepción de “ilegitimidad de personería pasiva”, con fundamento en que la administración, operación y mantenimiento de las diferentes plantas termoeléctricas e hidroeléctricas son de propiedad de las distintas entidades que tienen ese objeto, las cuales gozan de personería jurídica y, por lo tanto, a pesar de pertenecer al sector administrativo y de estar vinculadas al Ministerio de Minas y Energía asumen la responsabilidad patrimonial que pudieran tener por las causas que generaron el racionamiento de energía y, por lo tanto, la acción debió dirigirse en contra de las mismas. </w:t>
      </w:r>
    </w:p>
    <w:p w14:paraId="0D5DCA1F" w14:textId="77777777" w:rsidR="002C6BDF" w:rsidRPr="006769C7" w:rsidRDefault="002C6BDF" w:rsidP="006769C7">
      <w:pPr>
        <w:spacing w:line="276" w:lineRule="auto"/>
        <w:ind w:right="-15"/>
        <w:jc w:val="both"/>
        <w:rPr>
          <w:rFonts w:ascii="Arial" w:hAnsi="Arial" w:cs="Arial"/>
          <w:bCs/>
          <w:sz w:val="24"/>
          <w:szCs w:val="24"/>
        </w:rPr>
      </w:pPr>
    </w:p>
    <w:p w14:paraId="621FB8B6" w14:textId="77777777" w:rsidR="002C6BDF" w:rsidRPr="006769C7" w:rsidRDefault="002C6BDF" w:rsidP="006769C7">
      <w:pPr>
        <w:spacing w:line="276" w:lineRule="auto"/>
        <w:ind w:right="-15"/>
        <w:jc w:val="both"/>
        <w:rPr>
          <w:rFonts w:ascii="Arial" w:hAnsi="Arial" w:cs="Arial"/>
          <w:bCs/>
          <w:sz w:val="24"/>
          <w:szCs w:val="24"/>
        </w:rPr>
      </w:pPr>
      <w:r w:rsidRPr="006769C7">
        <w:rPr>
          <w:rFonts w:ascii="Arial" w:hAnsi="Arial" w:cs="Arial"/>
          <w:bCs/>
          <w:sz w:val="24"/>
          <w:szCs w:val="24"/>
        </w:rPr>
        <w:t xml:space="preserve">2.2. Interconexión Eléctrica S.A. ISA dio respuesta a la demanda (f. 184-197 c-1), pero por fuera del término de fijación en lista, según la constancia expedida por el secretario de la Sección Tercera del Tribunal </w:t>
      </w:r>
      <w:r w:rsidRPr="006769C7">
        <w:rPr>
          <w:rFonts w:ascii="Arial" w:hAnsi="Arial" w:cs="Arial"/>
          <w:bCs/>
          <w:i/>
          <w:sz w:val="24"/>
          <w:szCs w:val="24"/>
        </w:rPr>
        <w:t>a quo</w:t>
      </w:r>
      <w:r w:rsidRPr="006769C7">
        <w:rPr>
          <w:rFonts w:ascii="Arial" w:hAnsi="Arial" w:cs="Arial"/>
          <w:bCs/>
          <w:sz w:val="24"/>
          <w:szCs w:val="24"/>
        </w:rPr>
        <w:t xml:space="preserve"> (f. 203 c-1). </w:t>
      </w:r>
    </w:p>
    <w:p w14:paraId="75FE19D2" w14:textId="77777777" w:rsidR="002C6BDF" w:rsidRPr="006769C7" w:rsidRDefault="002C6BDF" w:rsidP="006769C7">
      <w:pPr>
        <w:spacing w:line="276" w:lineRule="auto"/>
        <w:ind w:right="-15"/>
        <w:jc w:val="both"/>
        <w:rPr>
          <w:rFonts w:ascii="Arial" w:hAnsi="Arial" w:cs="Arial"/>
          <w:bCs/>
          <w:sz w:val="24"/>
          <w:szCs w:val="24"/>
        </w:rPr>
      </w:pPr>
    </w:p>
    <w:p w14:paraId="30318939"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3. El Ministerio Público solicitó llamar en garantía a los miembros de la gerencia y de la junta directiva de ISA; del comité de planeación del sector energético; del comité de operación del sector eléctrico; al jefe de la división eléctrica del Ministerio de Minas y Energía; a los miembros del comité de operación del sector eléctrico de la Empresa de Energía de Bogotá y a los miembros del comité de operación del sector eléctrico de Empresas Públicas de Medellín (f. 1-13 c-3).  </w:t>
      </w:r>
    </w:p>
    <w:p w14:paraId="776A13F7" w14:textId="77777777" w:rsidR="002C6BDF" w:rsidRPr="006769C7" w:rsidRDefault="002C6BDF" w:rsidP="006769C7">
      <w:pPr>
        <w:spacing w:line="276" w:lineRule="auto"/>
        <w:ind w:right="-15"/>
        <w:jc w:val="both"/>
        <w:rPr>
          <w:rFonts w:ascii="Arial" w:hAnsi="Arial" w:cs="Arial"/>
          <w:bCs/>
          <w:color w:val="000000"/>
          <w:sz w:val="24"/>
          <w:szCs w:val="24"/>
        </w:rPr>
      </w:pPr>
    </w:p>
    <w:p w14:paraId="3B8CD6C7"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3.1. Mediante providencia de 14 de julio de 1994, el Tribunal </w:t>
      </w:r>
      <w:r w:rsidRPr="006769C7">
        <w:rPr>
          <w:rFonts w:ascii="Arial" w:hAnsi="Arial" w:cs="Arial"/>
          <w:bCs/>
          <w:i/>
          <w:color w:val="000000"/>
          <w:sz w:val="24"/>
          <w:szCs w:val="24"/>
        </w:rPr>
        <w:t xml:space="preserve">a quo </w:t>
      </w:r>
      <w:r w:rsidRPr="006769C7">
        <w:rPr>
          <w:rFonts w:ascii="Arial" w:hAnsi="Arial" w:cs="Arial"/>
          <w:bCs/>
          <w:color w:val="000000"/>
          <w:sz w:val="24"/>
          <w:szCs w:val="24"/>
        </w:rPr>
        <w:t xml:space="preserve">citó a los señores Pedro Javier Soto Sierra, Uriel Salazar Duque, Eugenio Castro Carvajal, Oscar Emiro Mazuera González, Hernán Correa Noguera, Carlos Enrique Moreno Mejía, Graciela Palacios Meiressone, Luis Álvaro Sánchez Baracaldo, Douglas Velásquez Jácome, Diego Otero Prada, Yesid Obregón Flórez, Lázaro Rafael Mejía Arango, Jaime Maldonado Fisher, Carlos Arturo García Botero, Luis Fernando Ramírez Acuña, Luis Bernardo Flórez Enciso, Nelson Marino Caicedo Girón, Alberto Javier Peralta Barros, Héctor Manuel Hernández Ramírez, Jaime Ramos Agudelo, Gilberto Jaimes Flórez, Leopoldo Montañez Cruz, Pedro Antonio Roa Barragán, Adriano Peña Serrano, Javier Augusto Díaz Velasco, José Vicente Camargo Hernández, Edgardo José Soto González, Diego Antonio Moreno, Agobardo Reyes Mejía, Carlos Arturo Diago Abello, Rodrigo Navia López, Graciela Rincón Bonilla, Luis Fernando Botero Sánchez, Henry Navarro, Ernesto Moreno, Roberto Ríos Martínez, Germán Corredor Abella, Luis Fernando Aristizábal Gil, Sergio Montoya M., y Carlos Duque Uribe, a quienes se ordenó notificar personalmente en las direcciones suministradas por la entidad solicitante. Para el efecto se ordenó suspender el </w:t>
      </w:r>
      <w:r w:rsidRPr="006769C7">
        <w:rPr>
          <w:rFonts w:ascii="Arial" w:hAnsi="Arial" w:cs="Arial"/>
          <w:bCs/>
          <w:color w:val="000000"/>
          <w:sz w:val="24"/>
          <w:szCs w:val="24"/>
        </w:rPr>
        <w:lastRenderedPageBreak/>
        <w:t>proceso por un término de hasta 90 días y se ordenó fijar en lista el proceso por el término de 5 días, para que los llamados intervinieran en el mismo (f. 14-18 c-3)</w:t>
      </w:r>
      <w:r w:rsidRPr="006769C7">
        <w:rPr>
          <w:rStyle w:val="Refdenotaalpie"/>
          <w:rFonts w:ascii="Arial" w:hAnsi="Arial" w:cs="Arial"/>
          <w:bCs/>
          <w:color w:val="000000"/>
          <w:sz w:val="24"/>
          <w:szCs w:val="24"/>
        </w:rPr>
        <w:footnoteReference w:id="5"/>
      </w:r>
      <w:r w:rsidRPr="006769C7">
        <w:rPr>
          <w:rFonts w:ascii="Arial" w:hAnsi="Arial" w:cs="Arial"/>
          <w:bCs/>
          <w:color w:val="000000"/>
          <w:sz w:val="24"/>
          <w:szCs w:val="24"/>
        </w:rPr>
        <w:t xml:space="preserve">. </w:t>
      </w:r>
    </w:p>
    <w:p w14:paraId="25186770" w14:textId="77777777" w:rsidR="002C6BDF" w:rsidRPr="006769C7" w:rsidRDefault="002C6BDF" w:rsidP="006769C7">
      <w:pPr>
        <w:spacing w:line="276" w:lineRule="auto"/>
        <w:ind w:right="-15"/>
        <w:jc w:val="both"/>
        <w:rPr>
          <w:rFonts w:ascii="Arial" w:hAnsi="Arial" w:cs="Arial"/>
          <w:bCs/>
          <w:color w:val="000000"/>
          <w:sz w:val="24"/>
          <w:szCs w:val="24"/>
        </w:rPr>
      </w:pPr>
    </w:p>
    <w:p w14:paraId="3444F0AE"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3.2. En contra de esa providencia, los señores Héctor Hernández Ramírez, José Vicente Camargo Hernández, Javier Augusto Díaz Velasco, Uriel Salazar Duque y Adriano Peña Serrano (f. 71-73 c-3), y el señor Roberto Ríos Martínez (f. 205-208 c-3), interpusieron recurso de reposición y, en su subsidio, apelación, a fin de que se revocara la providencia, en cuanto los había llamado en garantía, por inexistencia de relación legal o contractual de los mismos con las entidades que fueron demandadas. </w:t>
      </w:r>
    </w:p>
    <w:p w14:paraId="53D21781" w14:textId="77777777" w:rsidR="002C6BDF" w:rsidRPr="006769C7" w:rsidRDefault="002C6BDF" w:rsidP="006769C7">
      <w:pPr>
        <w:spacing w:line="276" w:lineRule="auto"/>
        <w:ind w:right="-15"/>
        <w:jc w:val="both"/>
        <w:rPr>
          <w:rFonts w:ascii="Arial" w:hAnsi="Arial" w:cs="Arial"/>
          <w:bCs/>
          <w:color w:val="000000"/>
          <w:sz w:val="24"/>
          <w:szCs w:val="24"/>
        </w:rPr>
      </w:pPr>
    </w:p>
    <w:p w14:paraId="3DDC96F7"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El </w:t>
      </w:r>
      <w:r w:rsidRPr="006769C7">
        <w:rPr>
          <w:rFonts w:ascii="Arial" w:hAnsi="Arial" w:cs="Arial"/>
          <w:bCs/>
          <w:i/>
          <w:color w:val="000000"/>
          <w:sz w:val="24"/>
          <w:szCs w:val="24"/>
        </w:rPr>
        <w:t>a quo</w:t>
      </w:r>
      <w:r w:rsidRPr="006769C7">
        <w:rPr>
          <w:rFonts w:ascii="Arial" w:hAnsi="Arial" w:cs="Arial"/>
          <w:bCs/>
          <w:color w:val="000000"/>
          <w:sz w:val="24"/>
          <w:szCs w:val="24"/>
        </w:rPr>
        <w:t xml:space="preserve"> se abstuvo de resolver el recurso de reposición interpuesto (f. 230-231 c-3), por considerar </w:t>
      </w:r>
      <w:r w:rsidRPr="006769C7">
        <w:rPr>
          <w:rFonts w:ascii="Arial" w:hAnsi="Arial" w:cs="Arial"/>
          <w:bCs/>
          <w:color w:val="000000"/>
          <w:sz w:val="24"/>
          <w:szCs w:val="24"/>
        </w:rPr>
        <w:tab/>
        <w:t xml:space="preserve">que el mismo era improcedente, por haberse interpuesto en contra de una providencia susceptible de apelación y, en su lugar, concedió este último recurso.  </w:t>
      </w:r>
    </w:p>
    <w:p w14:paraId="5298592C" w14:textId="77777777" w:rsidR="002C6BDF" w:rsidRPr="006769C7" w:rsidRDefault="002C6BDF" w:rsidP="006769C7">
      <w:pPr>
        <w:spacing w:line="276" w:lineRule="auto"/>
        <w:ind w:right="-15"/>
        <w:jc w:val="both"/>
        <w:rPr>
          <w:rFonts w:ascii="Arial" w:hAnsi="Arial" w:cs="Arial"/>
          <w:bCs/>
          <w:color w:val="000000"/>
          <w:sz w:val="24"/>
          <w:szCs w:val="24"/>
        </w:rPr>
      </w:pPr>
    </w:p>
    <w:p w14:paraId="39A1C5DA"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Mediante auto de 14 de diciembre de 1995, adicionado por auto de 1º de marzo de 1996, la Sección Tercera de la Corporación confirmó la providencia recurrida, por considerar que </w:t>
      </w:r>
      <w:r w:rsidRPr="006769C7">
        <w:rPr>
          <w:rFonts w:ascii="Arial" w:hAnsi="Arial" w:cs="Arial"/>
          <w:bCs/>
          <w:i/>
          <w:color w:val="000000"/>
          <w:sz w:val="24"/>
          <w:szCs w:val="24"/>
        </w:rPr>
        <w:t>“Cuando la administración o el ministerio público llama a un tercero, lo hace, no porque tenga de antemano la prueba de esa conducta dolosa o gravemente culposa, sino porque estima que pueden probarse tales supuestos dentro del proceso. Tan cierto es esto que la que formula el llamamiento tendrá la carga de probar los supuestos que configuran tal clase de conducta. En otros términos, el hecho de aceptar un llamamiento, no implica condena para nadie; solo se busca, por economía procesal, lograr la efectividad de la repetición ordenada en la carta como sanción al funcionario que actuó con dolo o con culpa grave”</w:t>
      </w:r>
      <w:r w:rsidRPr="006769C7">
        <w:rPr>
          <w:rFonts w:ascii="Arial" w:hAnsi="Arial" w:cs="Arial"/>
          <w:bCs/>
          <w:color w:val="000000"/>
          <w:sz w:val="24"/>
          <w:szCs w:val="24"/>
        </w:rPr>
        <w:t xml:space="preserve"> (f. 351-355 y 359-361 c-3). </w:t>
      </w:r>
    </w:p>
    <w:p w14:paraId="0E300002" w14:textId="77777777" w:rsidR="002C6BDF" w:rsidRPr="006769C7" w:rsidRDefault="002C6BDF" w:rsidP="006769C7">
      <w:pPr>
        <w:spacing w:line="276" w:lineRule="auto"/>
        <w:ind w:right="-15"/>
        <w:jc w:val="both"/>
        <w:rPr>
          <w:rFonts w:ascii="Arial" w:hAnsi="Arial" w:cs="Arial"/>
          <w:bCs/>
          <w:color w:val="000000"/>
          <w:sz w:val="24"/>
          <w:szCs w:val="24"/>
        </w:rPr>
      </w:pPr>
    </w:p>
    <w:p w14:paraId="627D0EF6"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3.3. El 23 de junio de 1998, ISA formuló incidente de nulidad, de conformidad con lo previsto en los numerales 6 y 9 del artículo 140 del C.P.C., a partir del 9 de diciembre de 1994, dado que desde el día 7 inmediatamente anterior, se venció el término de suspensión del proceso y, por lo tanto, debió fijarse en lista el proceso, con el fin de que los llamados en garantía pudieran ejercer debidamente su derecho de defensa. Sin embargo, esa última actuación no había sido surtida hasta la fecha de solicitud de nulidad, a pesar de que mediante auto de 14 de septiembre de 1995 se decretaron las pruebas solicitadas por las partes (f. 1-8 c-8). </w:t>
      </w:r>
    </w:p>
    <w:p w14:paraId="72B3E315" w14:textId="77777777" w:rsidR="002C6BDF" w:rsidRPr="006769C7" w:rsidRDefault="002C6BDF" w:rsidP="006769C7">
      <w:pPr>
        <w:spacing w:line="276" w:lineRule="auto"/>
        <w:ind w:right="-15"/>
        <w:jc w:val="both"/>
        <w:rPr>
          <w:rFonts w:ascii="Arial" w:hAnsi="Arial" w:cs="Arial"/>
          <w:bCs/>
          <w:color w:val="000000"/>
          <w:sz w:val="24"/>
          <w:szCs w:val="24"/>
        </w:rPr>
      </w:pPr>
    </w:p>
    <w:p w14:paraId="7A1B9629"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El Tribunal </w:t>
      </w:r>
      <w:r w:rsidRPr="006769C7">
        <w:rPr>
          <w:rFonts w:ascii="Arial" w:hAnsi="Arial" w:cs="Arial"/>
          <w:bCs/>
          <w:i/>
          <w:color w:val="000000"/>
          <w:sz w:val="24"/>
          <w:szCs w:val="24"/>
        </w:rPr>
        <w:t>a quo</w:t>
      </w:r>
      <w:r w:rsidRPr="006769C7">
        <w:rPr>
          <w:rFonts w:ascii="Arial" w:hAnsi="Arial" w:cs="Arial"/>
          <w:bCs/>
          <w:color w:val="000000"/>
          <w:sz w:val="24"/>
          <w:szCs w:val="24"/>
        </w:rPr>
        <w:t xml:space="preserve">, mediante providencia de 28 de enero de 1999 negó la solicitud de nulidad impetrada, por considerar que no se había vulnerado el derecho de defensa de los llamados en garantía, dado que la providencia no se notificó a todos ellos y, por lo tanto, solo quienes fueron vinculados contaban con el término de 10 días para contestar la demanda, proponer excepciones y solicitar pruebas, según lo previsto en el artículo 207, numeral 5º del C.C.A., subrogado por el artículo 58 de la Ley 446 de 1998 (f.42-46 c-8). </w:t>
      </w:r>
    </w:p>
    <w:p w14:paraId="0F5C94B7" w14:textId="77777777" w:rsidR="002C6BDF" w:rsidRPr="006769C7" w:rsidRDefault="002C6BDF" w:rsidP="006769C7">
      <w:pPr>
        <w:spacing w:line="276" w:lineRule="auto"/>
        <w:ind w:right="-15"/>
        <w:jc w:val="both"/>
        <w:rPr>
          <w:rFonts w:ascii="Arial" w:hAnsi="Arial" w:cs="Arial"/>
          <w:bCs/>
          <w:color w:val="000000"/>
          <w:sz w:val="24"/>
          <w:szCs w:val="24"/>
        </w:rPr>
      </w:pPr>
    </w:p>
    <w:p w14:paraId="6DC1E0A8"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3.4. Los llamados que fueron notificados dieron respuesta al llamamiento, así:</w:t>
      </w:r>
    </w:p>
    <w:p w14:paraId="41D4855E" w14:textId="77777777" w:rsidR="002C6BDF" w:rsidRPr="006769C7" w:rsidRDefault="002C6BDF" w:rsidP="006769C7">
      <w:pPr>
        <w:spacing w:line="276" w:lineRule="auto"/>
        <w:ind w:right="-15"/>
        <w:jc w:val="both"/>
        <w:rPr>
          <w:rFonts w:ascii="Arial" w:hAnsi="Arial" w:cs="Arial"/>
          <w:bCs/>
          <w:color w:val="000000"/>
          <w:sz w:val="24"/>
          <w:szCs w:val="24"/>
        </w:rPr>
      </w:pPr>
    </w:p>
    <w:p w14:paraId="110D3633"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3.4.1. El señor Roberto Ríos Martínez (f. 239-243 c-3), se pronunció sobre los hechos de la demanda, en relación con los cuales señaló o bien que no le constaban, o que eran apreciaciones subjetivas del demandante. En cuanto al daño aducido por la empresa, manifestó que si bien era cierto que las pautas publicitarias se redujeron en razón del racionamiento, sus costos debieron elevarse, en compensación, y si esto no se hizo así, el daño es atribuible a la mala administración de la empresa. Se opuso a las pretensiones de la demanda y formuló las excepciones de: (i) falta de causa, por cuanto el incumplimiento de la prestación debida del servicio eléctrico ocurrió por fuerza mayor o caso fortuito, originado en factores como el intenso verano, los fuertes vientos secos que disminuían la capacidad hidráulica de los embalses y, en especial, el “Fenómeno del Niño”. Por lo tanto, no puede predicarse culpa alguna del demandado; (ii) inexistencia del llamado en garantía e incapacidad para ser demandado , porque el agente del Ministerio Público pidió llamar a los funcionarios y exfuncionarios de ISA y el señor Ríos Martínez nunca fue empleado de esa empresa; (iii) no haberse presentado prueba de la calidad de los llamados en garantía, para formar parte integral de la demanda; (iv) ineptitud de la demanda de llamamiento en garantía, por falta de requisitos formales, como la de suministrar el domicilio del demandado, o residencia o la manifestación, bajo la gravedad del juramento, de que se ignora esta; y (v) inexistencia de causales para demandar la indemnización, dado que el apagón se debió a factores externos e imprevisibles.   </w:t>
      </w:r>
    </w:p>
    <w:p w14:paraId="42E50E34" w14:textId="77777777" w:rsidR="002C6BDF" w:rsidRPr="006769C7" w:rsidRDefault="002C6BDF" w:rsidP="006769C7">
      <w:pPr>
        <w:spacing w:line="276" w:lineRule="auto"/>
        <w:ind w:right="-15"/>
        <w:jc w:val="both"/>
        <w:rPr>
          <w:rFonts w:ascii="Arial" w:hAnsi="Arial" w:cs="Arial"/>
          <w:bCs/>
          <w:color w:val="000000"/>
          <w:sz w:val="24"/>
          <w:szCs w:val="24"/>
        </w:rPr>
      </w:pPr>
    </w:p>
    <w:p w14:paraId="685ECC43"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3.4.2. Los señores Javier Augusto Díaz Velasco, Uriel Salazar Duque, José Vicente Camargo Hernández y Héctor Manuel Hernández Ramírez dieron respuesta conjunta a la demanda y al llamamiento en garantía. </w:t>
      </w:r>
    </w:p>
    <w:p w14:paraId="17CF0B59" w14:textId="77777777" w:rsidR="002C6BDF" w:rsidRPr="006769C7" w:rsidRDefault="002C6BDF" w:rsidP="006769C7">
      <w:pPr>
        <w:spacing w:line="276" w:lineRule="auto"/>
        <w:ind w:right="-15"/>
        <w:jc w:val="both"/>
        <w:rPr>
          <w:rFonts w:ascii="Arial" w:hAnsi="Arial" w:cs="Arial"/>
          <w:bCs/>
          <w:color w:val="000000"/>
          <w:sz w:val="24"/>
          <w:szCs w:val="24"/>
        </w:rPr>
      </w:pPr>
    </w:p>
    <w:p w14:paraId="7CF3031C"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-En relación con los hechos y pretensiones de la demanda (f. 340-374 c-11), afirmaron que en esta se cita el artículo 3º del Decreto 1318 de 1990, que contiene los Estatutos de ISA, para justificar su vinculación al proceso. No obstante, el contenido completo de la norma señala que la competencia de esa entidad, conforme a la norma citada, se contraía a elaborar los estudios que luego eran presentados para su adaptación a la Comisión Nacional de Energía, siendo esta la competente para evaluarlos y hacerlos efectivos. Por lo tanto, en caso de que dichos estudios no se hubieran realizado, debió demandarse entonces a dicha comisión. El no hacerlo hace inepta la demanda, por no haberse integrado el litisconsorcio necesario por pasiva. Aclararon que ISA no prestaba el servicio público domiciliario </w:t>
      </w:r>
      <w:r w:rsidRPr="006769C7">
        <w:rPr>
          <w:rFonts w:ascii="Arial" w:hAnsi="Arial" w:cs="Arial"/>
          <w:bCs/>
          <w:color w:val="000000"/>
          <w:sz w:val="24"/>
          <w:szCs w:val="24"/>
        </w:rPr>
        <w:lastRenderedPageBreak/>
        <w:t xml:space="preserve">de energía eléctrica y, además, que la parte demandante no probó que dichos estudios no se hubieran realizado, o que lo hubiera sido de manera inadecuada. </w:t>
      </w:r>
    </w:p>
    <w:p w14:paraId="11CB48B4" w14:textId="77777777" w:rsidR="002C6BDF" w:rsidRPr="006769C7" w:rsidRDefault="002C6BDF" w:rsidP="006769C7">
      <w:pPr>
        <w:spacing w:line="276" w:lineRule="auto"/>
        <w:ind w:right="-15"/>
        <w:jc w:val="both"/>
        <w:rPr>
          <w:rFonts w:ascii="Arial" w:hAnsi="Arial" w:cs="Arial"/>
          <w:bCs/>
          <w:color w:val="000000"/>
          <w:sz w:val="24"/>
          <w:szCs w:val="24"/>
        </w:rPr>
      </w:pPr>
    </w:p>
    <w:p w14:paraId="3EB0DADC"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-En cuanto a la indemnización solicitada por la parte demandante, señalaron que el perjuicio carecía de certeza, a pesar de que el racionamiento que, presuntamente, había dado lugar al mismo se produjo cinco meses y medio antes de que se presentara la demanda y, sin embargo, en esta se hacen meras especulaciones, como: si hubiera habido energía, los anunciantes hubieran contratado pautas publicitarias con Punch. Dicho daño carece también del requisito de la especialidad, en cuanto el racionamiento de energía fue una carga legítima que debieron soportar todas las personas que se encontraran en el territorio colombiano, es decir, el daño fue generalizado. En cuanto a la valoración del daño, advierte que la demandante reclama una indemnización, para el año 1992, superior al 2.400% de las utilidades netas que obtuvo en 1990.     </w:t>
      </w:r>
    </w:p>
    <w:p w14:paraId="21C90FFA" w14:textId="77777777" w:rsidR="002C6BDF" w:rsidRPr="006769C7" w:rsidRDefault="002C6BDF" w:rsidP="006769C7">
      <w:pPr>
        <w:spacing w:line="276" w:lineRule="auto"/>
        <w:ind w:right="-15"/>
        <w:jc w:val="both"/>
        <w:rPr>
          <w:rFonts w:ascii="Arial" w:hAnsi="Arial" w:cs="Arial"/>
          <w:bCs/>
          <w:color w:val="000000"/>
          <w:sz w:val="24"/>
          <w:szCs w:val="24"/>
        </w:rPr>
      </w:pPr>
    </w:p>
    <w:p w14:paraId="3976AC6F"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-Señaló que en razón a que Punch no determinó cuál de los hechos relacionados en la demanda fue la causa eficiente del daño, se refirió a cada uno de estos y concluyó que: (i) si la causa del daño se hacía derivar de la existencia del contrato que la demandante celebró con INRAVISIÓN, la acción procedente era la contractual; (ii) según el demandante, el Gobierno Nacional decretó una disminución de la oferta de energía en el país. Por lo tanto, la acción que debió interponer era la de nulidad y restablecimiento contra el presunto acto. No obstante, manifestó que dicha reducción de energía fue declarada por el Comité Directivo de Operación, que agrupa a las empresas del sector eléctrico que hacían parte del sistema interconectado, el cual no profiere actos administrativos. Por lo tanto, si se considera que la causa del perjuicio es la decisión tomada por dicho comité, la demandada carece de legitimación en la causa por pasiva, porque debieron ser demandadas todas las empresas que tomaron la decisión y la ejecutaron; (iii) los horarios en los cuales se hacía el racionamiento eran determinados por cada una de las empresas, en su zona de influencia, siempre que dieran cumplimiento a la cuota asignada. Por lo tanto, las demandadas debieron ser las electrificadoras a cuyo cargo estaba la prestación del servicio; (iv) en cuanto a que los anunciantes perdieran interés en contratar comerciales de televisión en horarios de racionamiento, es un hecho que debe ser probado, dado que pueden ser múltiples las causas de ese desinterés. Debe tenerse en cuenta que los demás medios de comunicación masiva, distintos a la televisión, incrementaron su difusión y, por lo tanto, sus pautas comerciales. El objeto comercial de Punch se encuentra abierto a todos los medios de comunicación; por lo tanto, si bien su pauta publicitaria televisiva pudo disminuir, en esa misma proporción pudo incrementarse su pauta por otros medios. Al margen de todo ello, lo cierto es que esa causa tampoco puede ser imputada a los demandados.</w:t>
      </w:r>
    </w:p>
    <w:p w14:paraId="18C1E429" w14:textId="77777777" w:rsidR="002C6BDF" w:rsidRPr="006769C7" w:rsidRDefault="002C6BDF" w:rsidP="006769C7">
      <w:pPr>
        <w:spacing w:line="276" w:lineRule="auto"/>
        <w:ind w:right="-15"/>
        <w:jc w:val="both"/>
        <w:rPr>
          <w:rFonts w:ascii="Arial" w:hAnsi="Arial" w:cs="Arial"/>
          <w:bCs/>
          <w:color w:val="000000"/>
          <w:sz w:val="24"/>
          <w:szCs w:val="24"/>
        </w:rPr>
      </w:pPr>
    </w:p>
    <w:p w14:paraId="615AB775"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-Si en gracia de discusión, la demanda se orienta a señalar que el daño que se pide reparar se originó en “las causas del racionamiento”, debe tenerse en cuenta que ISA no suministró información falsa alguna, como pretende hacerse ver en la demanda; por el contrario, esa información la recibe de las empresas propietarias. Además, según uno de los informes traídos al expediente, el 45% de las plantas que estaban fuera de servicio eran de propiedad de ISA y no el 45% del parque </w:t>
      </w:r>
      <w:r w:rsidRPr="006769C7">
        <w:rPr>
          <w:rFonts w:ascii="Arial" w:hAnsi="Arial" w:cs="Arial"/>
          <w:bCs/>
          <w:color w:val="000000"/>
          <w:sz w:val="24"/>
          <w:szCs w:val="24"/>
        </w:rPr>
        <w:lastRenderedPageBreak/>
        <w:t>termoeléctrico, como de manera tendenciosa se presenta el resumen de esa información en la demanda.</w:t>
      </w:r>
    </w:p>
    <w:p w14:paraId="703CF70A" w14:textId="77777777" w:rsidR="002C6BDF" w:rsidRPr="006769C7" w:rsidRDefault="002C6BDF" w:rsidP="006769C7">
      <w:pPr>
        <w:spacing w:line="276" w:lineRule="auto"/>
        <w:ind w:right="-15"/>
        <w:jc w:val="both"/>
        <w:rPr>
          <w:rFonts w:ascii="Arial" w:hAnsi="Arial" w:cs="Arial"/>
          <w:bCs/>
          <w:color w:val="000000"/>
          <w:sz w:val="24"/>
          <w:szCs w:val="24"/>
        </w:rPr>
      </w:pPr>
    </w:p>
    <w:p w14:paraId="6DDE3E48"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-Transcribió apartes de los informes que obran en el expediente y concluyó que en relación con los mismos, la demandante escindió su contenido, con el fin de desfigurar la realidad. Señaló, además, que tales documentos contenían estudios parciales, adelantados por personas que carecían de los conocimientos técnicos especializados, sesgados por claros criterios políticos, más orientados, como lo señaló la Corte Constitucional, a identificar responsables, y no a determinar las verdaderas causas del racionamiento de energía. Finalmente, se remitieron a los documentos elaborados por funcionarios de ISA y a la sentencia C-447 de 1992, dictada por la Corte Constitucional, mediante la cual se revisó el Decreto 680 de 1992, que declaró el Estado de Emergencia Económica y Social, en la cual se concluyó que la crisis del sector energético se precipitó por un evento hidrológico extremo, que fue el peor verano en 34 años, que llegó en un momento de vulnerabilidad coyuntural y estructural del sector, afectado por la inoperatividad del parque termoeléctrico, que tiene su causa en el hecho de terceros, fundamentalmente, en los hechos de sabotaje y terrorismo de la guerrilla, así como a la crónica situación de insolvencia de las empresas que debieron destinar sus ingresos al pago de la deuda externa y no a la reparación, acrecentamiento y provisión de las térmicas. También se concluyó en esas decisiones que ISA no tenía la dirección del sistema. De igual manera, se citó la decisión adoptada por la Procuraduría Primera Delegada para la Vigilancia Administrativa, en la investigación que se adelantó en contra de los funcionarios de la entidad demandada, en la cual se concluyó que el racionamiento tuvo su origen en causas coyunturales surgidas de hechos imposibles de prever y, en consecuencia, absolvió a todos los implicados. </w:t>
      </w:r>
    </w:p>
    <w:p w14:paraId="02082F8B" w14:textId="77777777" w:rsidR="002C6BDF" w:rsidRPr="006769C7" w:rsidRDefault="002C6BDF" w:rsidP="006769C7">
      <w:pPr>
        <w:spacing w:line="276" w:lineRule="auto"/>
        <w:ind w:right="-15"/>
        <w:jc w:val="both"/>
        <w:rPr>
          <w:rFonts w:ascii="Arial" w:hAnsi="Arial" w:cs="Arial"/>
          <w:bCs/>
          <w:color w:val="000000"/>
          <w:sz w:val="24"/>
          <w:szCs w:val="24"/>
        </w:rPr>
      </w:pPr>
    </w:p>
    <w:p w14:paraId="0F14A3D1"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Con fundamento en las anteriores alegaciones, formuló las excepciones de inepta demanda, por ejercicio inadecuado de la acción, falta de los hechos y omisiones que le sirven de fundamento, falta de legitimación en la causa por pasiva y carencia de fundamentos de derecho de las pretensiones. </w:t>
      </w:r>
    </w:p>
    <w:p w14:paraId="25DD44DF" w14:textId="77777777" w:rsidR="002C6BDF" w:rsidRPr="006769C7" w:rsidRDefault="002C6BDF" w:rsidP="006769C7">
      <w:pPr>
        <w:spacing w:line="276" w:lineRule="auto"/>
        <w:ind w:right="-15"/>
        <w:jc w:val="both"/>
        <w:rPr>
          <w:rFonts w:ascii="Arial" w:hAnsi="Arial" w:cs="Arial"/>
          <w:bCs/>
          <w:color w:val="000000"/>
          <w:sz w:val="24"/>
          <w:szCs w:val="24"/>
        </w:rPr>
      </w:pPr>
    </w:p>
    <w:p w14:paraId="34A7F57B"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En relación con el llamamiento en garantía (f. 141-148 c-11), manifestaron que, según lo ha considerado la jurisprudencia del Consejo de Estado, las entidades no deben abusar de ese derecho. El uso serio y razonable de este mecanismo procesal implica la realización efectiva de una valoración de los hechos de la demanda, en los eventos en que se pueda inferir la existencia de culpa grave o dolo por parte de los servidores estatales en la causación de los daños que dieron lugar a la reclamación. En el escrito de llamamiento en garantía deben relacionarse los hechos y normas jurídicas que sirvan de fundamento al mismo, pero esas exigencias no fueron satisfechas por el Ministerio Público. No se señalaron cuáles fueron los hechos constitutivos de la presunta conducta dolosa o gravemente culposa y tampoco se señalaron las normas que contienen las obligaciones que debían cumplir los llamados, cuyo incumplimiento permite deducir su responsabilidad patrimonial y tampoco se señalaron las pruebas mediante las cuales se pretendían acreditar tales hechos. </w:t>
      </w:r>
    </w:p>
    <w:p w14:paraId="2A813AB0" w14:textId="77777777" w:rsidR="002C6BDF" w:rsidRPr="006769C7" w:rsidRDefault="002C6BDF" w:rsidP="006769C7">
      <w:pPr>
        <w:spacing w:line="276" w:lineRule="auto"/>
        <w:ind w:right="-15"/>
        <w:jc w:val="both"/>
        <w:rPr>
          <w:rFonts w:ascii="Arial" w:hAnsi="Arial" w:cs="Arial"/>
          <w:bCs/>
          <w:color w:val="000000"/>
          <w:sz w:val="24"/>
          <w:szCs w:val="24"/>
        </w:rPr>
      </w:pPr>
    </w:p>
    <w:p w14:paraId="3AB544F5"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lastRenderedPageBreak/>
        <w:t xml:space="preserve">Agregaron que mediante resolución de 21 de noviembre de 1994, la Procuraduría Primera Delegada para la Vigilancia Administrativa falló a su favor la investigación disciplinaria que cursó en su contra, la cual quedó en firme, según resolución de 18 de septiembre de 1997, dictada por el Viceprocurador General de la Nación, lo cual significa que el superior jerárquico del funcionario que pidió que se les llamara en garantía, después de una profunda y extensa investigación concluyó que sus actuaciones estaban ajustadas a derecho y, en consecuencia, no puede predicarse en relación con ellos responsabilidad, debiendo por lo tanto, ser absueltos de cualquier obligación de reembolso a favor de ISA.     </w:t>
      </w:r>
    </w:p>
    <w:p w14:paraId="57234EBB" w14:textId="77777777" w:rsidR="002C6BDF" w:rsidRPr="006769C7" w:rsidRDefault="002C6BDF" w:rsidP="006769C7">
      <w:pPr>
        <w:spacing w:line="276" w:lineRule="auto"/>
        <w:ind w:right="-15"/>
        <w:jc w:val="both"/>
        <w:rPr>
          <w:rFonts w:ascii="Arial" w:hAnsi="Arial" w:cs="Arial"/>
          <w:bCs/>
          <w:color w:val="000000"/>
          <w:sz w:val="24"/>
          <w:szCs w:val="24"/>
        </w:rPr>
      </w:pPr>
    </w:p>
    <w:p w14:paraId="00905313"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4. En la </w:t>
      </w:r>
      <w:r w:rsidRPr="006769C7">
        <w:rPr>
          <w:rFonts w:ascii="Arial" w:hAnsi="Arial" w:cs="Arial"/>
          <w:b/>
          <w:bCs/>
          <w:color w:val="000000"/>
          <w:sz w:val="24"/>
          <w:szCs w:val="24"/>
        </w:rPr>
        <w:t xml:space="preserve">sentencia </w:t>
      </w:r>
      <w:r w:rsidRPr="006769C7">
        <w:rPr>
          <w:rFonts w:ascii="Arial" w:hAnsi="Arial" w:cs="Arial"/>
          <w:bCs/>
          <w:color w:val="000000"/>
          <w:sz w:val="24"/>
          <w:szCs w:val="24"/>
        </w:rPr>
        <w:t>dictada el 13 de noviembre de 2003, por la Sala de Descongestión del Tribunal Administrativo de Cundinamarca (f. 576-593), se negaron las pretensiones de la demanda, por considerar que:</w:t>
      </w:r>
    </w:p>
    <w:p w14:paraId="3BCFAC09" w14:textId="77777777" w:rsidR="002C6BDF" w:rsidRPr="006769C7" w:rsidRDefault="002C6BDF" w:rsidP="006769C7">
      <w:pPr>
        <w:spacing w:line="276" w:lineRule="auto"/>
        <w:ind w:right="-15"/>
        <w:jc w:val="both"/>
        <w:rPr>
          <w:rFonts w:ascii="Arial" w:hAnsi="Arial" w:cs="Arial"/>
          <w:bCs/>
          <w:color w:val="000000"/>
          <w:sz w:val="24"/>
          <w:szCs w:val="24"/>
        </w:rPr>
      </w:pPr>
    </w:p>
    <w:p w14:paraId="2907AE96"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-El fenómeno climático tuvo una gran incidencia en el racionamiento de energía, razón por la cual no era posible adoptar medidas que permitieran conjurar la crisis de las reservas hídricas para el manejo del sistema de interconexión eléctrica, conclusión a la que llegó a partir del informe rendido a solicitud de la Procuraduría Delegada para la Vigilancia Administrativa.  </w:t>
      </w:r>
    </w:p>
    <w:p w14:paraId="26C18337" w14:textId="77777777" w:rsidR="002C6BDF" w:rsidRPr="006769C7" w:rsidRDefault="002C6BDF" w:rsidP="006769C7">
      <w:pPr>
        <w:spacing w:line="276" w:lineRule="auto"/>
        <w:ind w:right="-15"/>
        <w:jc w:val="both"/>
        <w:rPr>
          <w:rFonts w:ascii="Arial" w:hAnsi="Arial" w:cs="Arial"/>
          <w:bCs/>
          <w:color w:val="000000"/>
          <w:sz w:val="24"/>
          <w:szCs w:val="24"/>
        </w:rPr>
      </w:pPr>
    </w:p>
    <w:p w14:paraId="68D39CD6"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-El daño aducido por la productora fue de carácter general, sin que se encuentre demostrado en el expediente que se haya establecido una carga mayor para la programadora, teniendo en cuenta que todos los habitantes del país sufrieron los rigores del racionamiento, como medida adoptada para evitar una situación más gravosa, la cual hubiera causado perjuicios mayores.</w:t>
      </w:r>
    </w:p>
    <w:p w14:paraId="19349F00" w14:textId="77777777" w:rsidR="002C6BDF" w:rsidRPr="006769C7" w:rsidRDefault="002C6BDF" w:rsidP="006769C7">
      <w:pPr>
        <w:spacing w:line="276" w:lineRule="auto"/>
        <w:ind w:right="-15"/>
        <w:jc w:val="both"/>
        <w:rPr>
          <w:rFonts w:ascii="Arial" w:hAnsi="Arial" w:cs="Arial"/>
          <w:bCs/>
          <w:color w:val="000000"/>
          <w:sz w:val="24"/>
          <w:szCs w:val="24"/>
        </w:rPr>
      </w:pPr>
    </w:p>
    <w:p w14:paraId="12C49400"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-El daño se originó en una medida adoptada por el Gobierno Nacional, a través del Decreto 680 de 23 de abril de 1992, que declaró el Estado de Emergencia Económica y Social, el cual fue declarado exequible por la Corte Constitucional, mediante sentencia C-447 de 1992, por considerar que la crisis se precipitó por un evento hidrológico externo, que lo fue el verano más intenso de los últimos 34 años, que coincidió con un momento vulnerable de la estructura del sector energético, aunado a la inoperatividad del parque térmico, sin dejar de lado hechos externos, como el sabotaje y terrorismo de la guerrilla.</w:t>
      </w:r>
    </w:p>
    <w:p w14:paraId="1A6E850A" w14:textId="77777777" w:rsidR="002C6BDF" w:rsidRPr="006769C7" w:rsidRDefault="002C6BDF" w:rsidP="006769C7">
      <w:pPr>
        <w:spacing w:line="276" w:lineRule="auto"/>
        <w:ind w:right="-15"/>
        <w:jc w:val="both"/>
        <w:rPr>
          <w:rFonts w:ascii="Arial" w:hAnsi="Arial" w:cs="Arial"/>
          <w:bCs/>
          <w:color w:val="000000"/>
          <w:sz w:val="24"/>
          <w:szCs w:val="24"/>
        </w:rPr>
      </w:pPr>
    </w:p>
    <w:p w14:paraId="1CF29D96"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-Destacó, finalmente, las medidas adoptadas por Inravisión, como ente rector de los espacios de televisión, para disminuir el impacto negativo que representó la alteración de los horarios en los cuales se tenía la mayor audiencia y que, por lo tanto, generaba un desinterés por parte de los publicistas para contratar espacios destinados a los comerciales, medidas de las cuales Producciones Punch hizo uso en un 100%.  </w:t>
      </w:r>
    </w:p>
    <w:p w14:paraId="22944BE0" w14:textId="77777777" w:rsidR="002C6BDF" w:rsidRPr="006769C7" w:rsidRDefault="002C6BDF" w:rsidP="006769C7">
      <w:pPr>
        <w:spacing w:line="276" w:lineRule="auto"/>
        <w:ind w:right="-15"/>
        <w:jc w:val="both"/>
        <w:rPr>
          <w:rFonts w:ascii="Arial" w:hAnsi="Arial" w:cs="Arial"/>
          <w:bCs/>
          <w:color w:val="000000"/>
          <w:sz w:val="24"/>
          <w:szCs w:val="24"/>
        </w:rPr>
      </w:pPr>
    </w:p>
    <w:p w14:paraId="2E2F95AF"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5. La parte demandante interpuso recurso de apelación contra la sentencia proferida por el Tribunal de Cundinamarca (f. 595-599 c-1). Adujo que: </w:t>
      </w:r>
    </w:p>
    <w:p w14:paraId="728E3516" w14:textId="77777777" w:rsidR="002C6BDF" w:rsidRPr="006769C7" w:rsidRDefault="002C6BDF" w:rsidP="006769C7">
      <w:pPr>
        <w:spacing w:line="276" w:lineRule="auto"/>
        <w:ind w:right="-15"/>
        <w:jc w:val="both"/>
        <w:rPr>
          <w:rFonts w:ascii="Arial" w:hAnsi="Arial" w:cs="Arial"/>
          <w:bCs/>
          <w:color w:val="000000"/>
          <w:sz w:val="24"/>
          <w:szCs w:val="24"/>
        </w:rPr>
      </w:pPr>
    </w:p>
    <w:p w14:paraId="54977704"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-La sentencia interpreta mal la demanda y se abstiene de analizar los aspectos señalados en la misma, los cuales fueron presentados de manera muy detallada en el alegato de conclusión, y tampoco se hizo una mínima evaluación de las pruebas </w:t>
      </w:r>
      <w:r w:rsidRPr="006769C7">
        <w:rPr>
          <w:rFonts w:ascii="Arial" w:hAnsi="Arial" w:cs="Arial"/>
          <w:bCs/>
          <w:color w:val="000000"/>
          <w:sz w:val="24"/>
          <w:szCs w:val="24"/>
        </w:rPr>
        <w:lastRenderedPageBreak/>
        <w:t>aportadas al proceso. En la demanda no se pretende deducir la responsabilidad del Estado derivada del acto administrativo mediante el cual se dispuso el racionamiento de energía sino de la falla del servicio derivada del incumplimiento de los deberes ordenados en la Constitución, que se concretó en la falta de planeamiento del sector eléctrico; de un adecuado y oportuno mantenimiento de las centrales; del mal manejo de los embalses; la omisión de adoptar medidas de prevención, y la falsa información suministrada sobre la disponibilidad de las plantas térmicas. La sentencia se limita a citar unos párrafos del estudio practicado por petición de la Procuraduría, sin valorar esa prueba ni referirse a los demás conceptos que obran en el expediente. Dicho estudio plantea la imposibilidad de predicción de la sequía, lo cual pone en evidencia la debilidad del sistema, pero no cuestiona o analiza las causas de dicha debilidad.</w:t>
      </w:r>
    </w:p>
    <w:p w14:paraId="51BDAF31" w14:textId="77777777" w:rsidR="002C6BDF" w:rsidRPr="006769C7" w:rsidRDefault="002C6BDF" w:rsidP="006769C7">
      <w:pPr>
        <w:spacing w:line="276" w:lineRule="auto"/>
        <w:ind w:right="-15"/>
        <w:jc w:val="both"/>
        <w:rPr>
          <w:rFonts w:ascii="Arial" w:hAnsi="Arial" w:cs="Arial"/>
          <w:bCs/>
          <w:color w:val="000000"/>
          <w:sz w:val="24"/>
          <w:szCs w:val="24"/>
        </w:rPr>
      </w:pPr>
    </w:p>
    <w:p w14:paraId="74F6C35D"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-Dice el Tribunal que el efecto general de la restricción hace imposible el resarcimiento. Esto es un sofisma. La violación a deberes administrativos puede ser causa eficiente de muchos perjuicios, lo cual no supone que cada uno de ellos no sea individualizable. La extensión del daño no mengua la responsabilidad. Por ser generales esos daños, los asociados no tienen la carga de soportarlos. </w:t>
      </w:r>
    </w:p>
    <w:p w14:paraId="39B1BB73" w14:textId="77777777" w:rsidR="002C6BDF" w:rsidRPr="006769C7" w:rsidRDefault="002C6BDF" w:rsidP="006769C7">
      <w:pPr>
        <w:spacing w:line="276" w:lineRule="auto"/>
        <w:ind w:right="-15"/>
        <w:jc w:val="both"/>
        <w:rPr>
          <w:rFonts w:ascii="Arial" w:hAnsi="Arial" w:cs="Arial"/>
          <w:bCs/>
          <w:color w:val="000000"/>
          <w:sz w:val="24"/>
          <w:szCs w:val="24"/>
        </w:rPr>
      </w:pPr>
    </w:p>
    <w:p w14:paraId="7270FD92" w14:textId="77777777" w:rsidR="002C6BDF" w:rsidRPr="006769C7" w:rsidRDefault="002C6BDF" w:rsidP="006769C7">
      <w:pPr>
        <w:spacing w:line="276" w:lineRule="auto"/>
        <w:ind w:left="54" w:right="-15"/>
        <w:jc w:val="both"/>
        <w:rPr>
          <w:rFonts w:ascii="Arial" w:hAnsi="Arial" w:cs="Arial"/>
          <w:bCs/>
          <w:color w:val="000000"/>
          <w:sz w:val="24"/>
          <w:szCs w:val="24"/>
        </w:rPr>
      </w:pPr>
      <w:r w:rsidRPr="006769C7">
        <w:rPr>
          <w:rFonts w:ascii="Arial" w:hAnsi="Arial" w:cs="Arial"/>
          <w:bCs/>
          <w:color w:val="000000"/>
          <w:sz w:val="24"/>
          <w:szCs w:val="24"/>
        </w:rPr>
        <w:t xml:space="preserve">-Resulta impertinente la referencia a la conducta de Inravisión para mitigar los efectos de la interrupción del servicio. Establecida la responsabilidad, esas medidas solo incidirían en la dimensión del daño. </w:t>
      </w:r>
    </w:p>
    <w:p w14:paraId="73BCBF39" w14:textId="77777777" w:rsidR="002C6BDF" w:rsidRPr="006769C7" w:rsidRDefault="002C6BDF" w:rsidP="006769C7">
      <w:pPr>
        <w:spacing w:line="276" w:lineRule="auto"/>
        <w:ind w:right="-15"/>
        <w:jc w:val="both"/>
        <w:rPr>
          <w:rFonts w:ascii="Arial" w:hAnsi="Arial" w:cs="Arial"/>
          <w:bCs/>
          <w:color w:val="000000"/>
          <w:sz w:val="24"/>
          <w:szCs w:val="24"/>
        </w:rPr>
      </w:pPr>
    </w:p>
    <w:p w14:paraId="2B00F135" w14:textId="77777777" w:rsidR="002C6BDF" w:rsidRPr="006769C7" w:rsidRDefault="002C6BDF" w:rsidP="006769C7">
      <w:pPr>
        <w:spacing w:line="276" w:lineRule="auto"/>
        <w:ind w:right="-15"/>
        <w:jc w:val="both"/>
        <w:rPr>
          <w:rFonts w:ascii="Arial" w:hAnsi="Arial" w:cs="Arial"/>
          <w:bCs/>
          <w:color w:val="000000"/>
          <w:sz w:val="24"/>
          <w:szCs w:val="24"/>
        </w:rPr>
      </w:pPr>
    </w:p>
    <w:p w14:paraId="5E324FB3"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6. Del término concedido en esta instancia para presentar </w:t>
      </w:r>
      <w:r w:rsidRPr="006769C7">
        <w:rPr>
          <w:rFonts w:ascii="Arial" w:hAnsi="Arial" w:cs="Arial"/>
          <w:b/>
          <w:bCs/>
          <w:color w:val="000000"/>
          <w:sz w:val="24"/>
          <w:szCs w:val="24"/>
        </w:rPr>
        <w:t>alegatos de conclusión</w:t>
      </w:r>
      <w:r w:rsidRPr="006769C7">
        <w:rPr>
          <w:rFonts w:ascii="Arial" w:hAnsi="Arial" w:cs="Arial"/>
          <w:bCs/>
          <w:color w:val="000000"/>
          <w:sz w:val="24"/>
          <w:szCs w:val="24"/>
        </w:rPr>
        <w:t xml:space="preserve"> hicieron uso las partes. El Ministerio Público guardó silencio.</w:t>
      </w:r>
    </w:p>
    <w:p w14:paraId="4B2870E0" w14:textId="77777777" w:rsidR="002C6BDF" w:rsidRPr="006769C7" w:rsidRDefault="002C6BDF" w:rsidP="006769C7">
      <w:pPr>
        <w:spacing w:line="276" w:lineRule="auto"/>
        <w:ind w:right="-15"/>
        <w:jc w:val="both"/>
        <w:rPr>
          <w:rFonts w:ascii="Arial" w:hAnsi="Arial" w:cs="Arial"/>
          <w:bCs/>
          <w:color w:val="000000"/>
          <w:sz w:val="24"/>
          <w:szCs w:val="24"/>
        </w:rPr>
      </w:pPr>
    </w:p>
    <w:p w14:paraId="697F1BF6"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61. Producciones Punch S.A. se remitió a los argumentos expuestos en el escrito de sustentación del recurso de apelación. </w:t>
      </w:r>
    </w:p>
    <w:p w14:paraId="4C609D5C" w14:textId="77777777" w:rsidR="002C6BDF" w:rsidRPr="006769C7" w:rsidRDefault="002C6BDF" w:rsidP="006769C7">
      <w:pPr>
        <w:spacing w:line="276" w:lineRule="auto"/>
        <w:ind w:right="-15"/>
        <w:jc w:val="both"/>
        <w:rPr>
          <w:rFonts w:ascii="Arial" w:hAnsi="Arial" w:cs="Arial"/>
          <w:bCs/>
          <w:color w:val="000000"/>
          <w:sz w:val="24"/>
          <w:szCs w:val="24"/>
        </w:rPr>
      </w:pPr>
    </w:p>
    <w:p w14:paraId="3181A8F7"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6.2. El Ministerio de Minas y Energía (f. 607-609 c-1), solicita que se confirme la sentencia impugnada, porque, en su criterio, en ella se valoraron debidamente las pruebas que obran en el expediente y sus conclusiones son coherentes con las mismas, particularmente, en lo relacionado con la imprevisibilidad de las causas que pudieron originar el daño alegado en la demanda.   </w:t>
      </w:r>
    </w:p>
    <w:p w14:paraId="563BDDB3" w14:textId="77777777" w:rsidR="002C6BDF" w:rsidRPr="006769C7" w:rsidRDefault="002C6BDF" w:rsidP="006769C7">
      <w:pPr>
        <w:spacing w:line="276" w:lineRule="auto"/>
        <w:ind w:right="-15"/>
        <w:jc w:val="both"/>
        <w:rPr>
          <w:rFonts w:ascii="Arial" w:hAnsi="Arial" w:cs="Arial"/>
          <w:bCs/>
          <w:color w:val="000000"/>
          <w:sz w:val="24"/>
          <w:szCs w:val="24"/>
        </w:rPr>
      </w:pPr>
    </w:p>
    <w:p w14:paraId="51B5114A"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Afirma que resulta manifiesta la modificación de la </w:t>
      </w:r>
      <w:r w:rsidRPr="006769C7">
        <w:rPr>
          <w:rFonts w:ascii="Arial" w:hAnsi="Arial" w:cs="Arial"/>
          <w:bCs/>
          <w:i/>
          <w:color w:val="000000"/>
          <w:sz w:val="24"/>
          <w:szCs w:val="24"/>
        </w:rPr>
        <w:t>causa petendi</w:t>
      </w:r>
      <w:r w:rsidRPr="006769C7">
        <w:rPr>
          <w:rFonts w:ascii="Arial" w:hAnsi="Arial" w:cs="Arial"/>
          <w:bCs/>
          <w:color w:val="000000"/>
          <w:sz w:val="24"/>
          <w:szCs w:val="24"/>
        </w:rPr>
        <w:t xml:space="preserve"> hecha por la parte demandante en el escrito de apelación, dado que en la demanda solicita que se declare la responsabilidad del Ministerio y de ISA, por la falla en la prestación del suministro de energía eléctrica en el país, en el lapso comprendido entre el 2 de marzo de 1992 y el 1º de abril de 1993; pero en el escrito de apelación de la sentencia aduce que la causa eficiente del daño que aduce haber sufrido no la constituye la restricción del servicio de energía eléctrica, sino el incumplimiento de la administración de una serie de deberes, que le habían sido legalmente conferidos. Para apoyar esa nueva imputación, se remitió al informe presentado por la Comisión Evaluadora del Sector Eléctrico, creada por la Presidencia, conformada por representantes del sector privado; de la Contraloría General, y de la Comisión </w:t>
      </w:r>
      <w:r w:rsidRPr="006769C7">
        <w:rPr>
          <w:rFonts w:ascii="Arial" w:hAnsi="Arial" w:cs="Arial"/>
          <w:bCs/>
          <w:color w:val="000000"/>
          <w:sz w:val="24"/>
          <w:szCs w:val="24"/>
        </w:rPr>
        <w:lastRenderedPageBreak/>
        <w:t xml:space="preserve">Quinta del Senado, la cual pretendió identificar no solo las causas del racionamiento de energía sino también los presuntos responsables de la misma. </w:t>
      </w:r>
    </w:p>
    <w:p w14:paraId="2A6527FD" w14:textId="77777777" w:rsidR="002C6BDF" w:rsidRPr="006769C7" w:rsidRDefault="002C6BDF" w:rsidP="006769C7">
      <w:pPr>
        <w:spacing w:line="276" w:lineRule="auto"/>
        <w:ind w:right="-15"/>
        <w:jc w:val="both"/>
        <w:rPr>
          <w:rFonts w:ascii="Arial" w:hAnsi="Arial" w:cs="Arial"/>
          <w:bCs/>
          <w:color w:val="000000"/>
          <w:sz w:val="24"/>
          <w:szCs w:val="24"/>
        </w:rPr>
      </w:pPr>
    </w:p>
    <w:p w14:paraId="05BBE22A"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No obstante -añadió-, que los integrantes de dicha comisión, sin desconocer sus calidades profesionales, carecían de conocimientos especializados sobre el tema, y el informe, por la premura con la cual fue rendido, no contó con estudios realmente profundos. Situación distinta acontecía con el concepto rendido por el consultor contratado por la Procuraduría General, ese sí especialista en el tema, quien señaló como causa del racionamiento de energía el “Fenómeno del Niño”, cuya magnitud e impacto en un sistema hidrológico resulta completamente imprevisible.    </w:t>
      </w:r>
    </w:p>
    <w:p w14:paraId="13E02327" w14:textId="77777777" w:rsidR="002C6BDF" w:rsidRPr="006769C7" w:rsidRDefault="002C6BDF" w:rsidP="006769C7">
      <w:pPr>
        <w:spacing w:line="276" w:lineRule="auto"/>
        <w:ind w:right="-15"/>
        <w:jc w:val="both"/>
        <w:rPr>
          <w:rFonts w:ascii="Arial" w:hAnsi="Arial" w:cs="Arial"/>
          <w:bCs/>
          <w:color w:val="000000"/>
          <w:sz w:val="24"/>
          <w:szCs w:val="24"/>
        </w:rPr>
      </w:pPr>
    </w:p>
    <w:p w14:paraId="18B143FF"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6.3. Interconexión Eléctrica S.A. (f. 611-632 c-1), solicita, igualmente, que se confirme la sentencia impugnada, con fundamento en las siguientes razones: </w:t>
      </w:r>
    </w:p>
    <w:p w14:paraId="638A4349" w14:textId="77777777" w:rsidR="002C6BDF" w:rsidRPr="006769C7" w:rsidRDefault="002C6BDF" w:rsidP="006769C7">
      <w:pPr>
        <w:spacing w:line="276" w:lineRule="auto"/>
        <w:ind w:right="-15"/>
        <w:jc w:val="both"/>
        <w:rPr>
          <w:rFonts w:ascii="Arial" w:hAnsi="Arial" w:cs="Arial"/>
          <w:bCs/>
          <w:color w:val="000000"/>
          <w:sz w:val="24"/>
          <w:szCs w:val="24"/>
        </w:rPr>
      </w:pPr>
    </w:p>
    <w:p w14:paraId="4A442375" w14:textId="77777777" w:rsidR="002C6BDF" w:rsidRPr="006769C7" w:rsidRDefault="002C6BDF" w:rsidP="006769C7">
      <w:pPr>
        <w:spacing w:line="276" w:lineRule="auto"/>
        <w:ind w:right="-15"/>
        <w:jc w:val="both"/>
        <w:rPr>
          <w:rFonts w:ascii="Arial" w:hAnsi="Arial" w:cs="Arial"/>
          <w:bCs/>
          <w:color w:val="000000"/>
          <w:sz w:val="24"/>
          <w:szCs w:val="24"/>
        </w:rPr>
      </w:pPr>
      <w:r w:rsidRPr="006769C7">
        <w:rPr>
          <w:rFonts w:ascii="Arial" w:hAnsi="Arial" w:cs="Arial"/>
          <w:bCs/>
          <w:color w:val="000000"/>
          <w:sz w:val="24"/>
          <w:szCs w:val="24"/>
        </w:rPr>
        <w:t xml:space="preserve">-El </w:t>
      </w:r>
      <w:r w:rsidRPr="006769C7">
        <w:rPr>
          <w:rFonts w:ascii="Arial" w:hAnsi="Arial" w:cs="Arial"/>
          <w:bCs/>
          <w:i/>
          <w:color w:val="000000"/>
          <w:sz w:val="24"/>
          <w:szCs w:val="24"/>
        </w:rPr>
        <w:t>a quo</w:t>
      </w:r>
      <w:r w:rsidRPr="006769C7">
        <w:rPr>
          <w:rFonts w:ascii="Arial" w:hAnsi="Arial" w:cs="Arial"/>
          <w:bCs/>
          <w:color w:val="000000"/>
          <w:sz w:val="24"/>
          <w:szCs w:val="24"/>
        </w:rPr>
        <w:t xml:space="preserve"> omitió pronunciarse sobre las excepciones que propuso en la contestación de la demanda, presentada oportunamente dentro del trámite del llamamiento en garantía, que se concretan en las de inepta demanda, por ejercicio inadecuado de la acción invocada, por la falta de hechos u omisiones que sirven de fundamento a la acción invocada, por falta de legitimación en la causa por pasiva y por falta de fundamentos de derecho de las pretensiones. De conformidad con lo previsto en el artículo 164 del Código Contencioso Administrativo, el </w:t>
      </w:r>
      <w:r w:rsidRPr="006769C7">
        <w:rPr>
          <w:rFonts w:ascii="Arial" w:hAnsi="Arial" w:cs="Arial"/>
          <w:bCs/>
          <w:i/>
          <w:color w:val="000000"/>
          <w:sz w:val="24"/>
          <w:szCs w:val="24"/>
        </w:rPr>
        <w:t>ad quem</w:t>
      </w:r>
      <w:r w:rsidRPr="006769C7">
        <w:rPr>
          <w:rFonts w:ascii="Arial" w:hAnsi="Arial" w:cs="Arial"/>
          <w:bCs/>
          <w:color w:val="000000"/>
          <w:sz w:val="24"/>
          <w:szCs w:val="24"/>
        </w:rPr>
        <w:t xml:space="preserve"> puede estudiar y fallar sobre las otras excepciones alegadas por la parte demandada y reconocer otra distinta a la acogida por el juez de primera instancia, aunque el excepcionante no hubiera apelado la sentencia.  </w:t>
      </w:r>
    </w:p>
    <w:p w14:paraId="33111479" w14:textId="77777777" w:rsidR="002C6BDF" w:rsidRPr="006769C7" w:rsidRDefault="002C6BDF" w:rsidP="006769C7">
      <w:pPr>
        <w:spacing w:line="276" w:lineRule="auto"/>
        <w:ind w:right="-15"/>
        <w:jc w:val="both"/>
        <w:rPr>
          <w:rFonts w:ascii="Arial" w:hAnsi="Arial" w:cs="Arial"/>
          <w:b/>
          <w:bCs/>
          <w:sz w:val="24"/>
          <w:szCs w:val="24"/>
        </w:rPr>
      </w:pPr>
    </w:p>
    <w:p w14:paraId="314B3F0C" w14:textId="77777777" w:rsidR="002C6BDF" w:rsidRPr="006769C7" w:rsidRDefault="002C6BDF" w:rsidP="006769C7">
      <w:pPr>
        <w:spacing w:line="276" w:lineRule="auto"/>
        <w:ind w:right="-15"/>
        <w:jc w:val="both"/>
        <w:rPr>
          <w:rFonts w:ascii="Arial" w:hAnsi="Arial" w:cs="Arial"/>
          <w:bCs/>
          <w:sz w:val="24"/>
          <w:szCs w:val="24"/>
        </w:rPr>
      </w:pPr>
      <w:r w:rsidRPr="006769C7">
        <w:rPr>
          <w:rFonts w:ascii="Arial" w:hAnsi="Arial" w:cs="Arial"/>
          <w:bCs/>
          <w:sz w:val="24"/>
          <w:szCs w:val="24"/>
        </w:rPr>
        <w:t xml:space="preserve">-Manifestó que no era cierto que el Gobierno Nacional o ISA hubieran dispuesto el racionamiento de energía para todo el territorio nacional. Esa decisión fue tomada por el Comité Directivo de Operación, integrado por nueve empresas generadoras, previo estudio presentado por ISA, teniendo en cuenta la situación del momento: falta de agua en los embalses, problemas laborales, acciones de sabotaje de la guerrilla, mal estado de las plantas térmicas y la sequía anormal en la que se encontraba el país.   </w:t>
      </w:r>
    </w:p>
    <w:p w14:paraId="2EBE8813" w14:textId="77777777" w:rsidR="002C6BDF" w:rsidRPr="006769C7" w:rsidRDefault="002C6BDF" w:rsidP="006769C7">
      <w:pPr>
        <w:spacing w:line="276" w:lineRule="auto"/>
        <w:ind w:right="-15"/>
        <w:jc w:val="both"/>
        <w:rPr>
          <w:rFonts w:ascii="Arial" w:hAnsi="Arial" w:cs="Arial"/>
          <w:bCs/>
          <w:sz w:val="24"/>
          <w:szCs w:val="24"/>
        </w:rPr>
      </w:pPr>
    </w:p>
    <w:p w14:paraId="5E771D23" w14:textId="77777777" w:rsidR="002C6BDF" w:rsidRPr="006769C7" w:rsidRDefault="002C6BDF" w:rsidP="006769C7">
      <w:pPr>
        <w:spacing w:line="276" w:lineRule="auto"/>
        <w:ind w:right="-15"/>
        <w:jc w:val="both"/>
        <w:rPr>
          <w:rFonts w:ascii="Arial" w:hAnsi="Arial" w:cs="Arial"/>
          <w:bCs/>
          <w:sz w:val="24"/>
          <w:szCs w:val="24"/>
        </w:rPr>
      </w:pPr>
      <w:r w:rsidRPr="006769C7">
        <w:rPr>
          <w:rFonts w:ascii="Arial" w:hAnsi="Arial" w:cs="Arial"/>
          <w:bCs/>
          <w:sz w:val="24"/>
          <w:szCs w:val="24"/>
        </w:rPr>
        <w:t>-ISA no tenía injerencia alguna en la toma de decisiones relacionadas con los proyectos hidroeléctricos, como el Guavio y Riogrande II, o con el mantenimiento de las plantas térmicas. Esas decisiones, dado su alto impacto financiero sobre las finanzas nacionales estaban a cargo de cada una de las empresas y de las entidades gubernamentales, especialmente, de los Ministerios de Minas y Energía y de Hacienda y Crédito Público y del Departamento de Planeación Nacional. Tampoco era responsable de la información que se suministraba en relación con la disponibilidad de las plantas térmicas. Dicha información la recibía de cada una de las entidades propietarias.</w:t>
      </w:r>
    </w:p>
    <w:p w14:paraId="1AA5B88F" w14:textId="77777777" w:rsidR="002C6BDF" w:rsidRPr="006769C7" w:rsidRDefault="002C6BDF" w:rsidP="006769C7">
      <w:pPr>
        <w:spacing w:line="276" w:lineRule="auto"/>
        <w:ind w:right="-15"/>
        <w:jc w:val="both"/>
        <w:rPr>
          <w:rFonts w:ascii="Arial" w:hAnsi="Arial" w:cs="Arial"/>
          <w:bCs/>
          <w:sz w:val="24"/>
          <w:szCs w:val="24"/>
        </w:rPr>
      </w:pPr>
    </w:p>
    <w:p w14:paraId="62A60E8E" w14:textId="77777777" w:rsidR="002C6BDF" w:rsidRPr="006769C7" w:rsidRDefault="002C6BDF" w:rsidP="006769C7">
      <w:pPr>
        <w:spacing w:line="276" w:lineRule="auto"/>
        <w:ind w:right="-15"/>
        <w:jc w:val="both"/>
        <w:rPr>
          <w:rFonts w:ascii="Arial" w:hAnsi="Arial" w:cs="Arial"/>
          <w:bCs/>
          <w:sz w:val="24"/>
          <w:szCs w:val="24"/>
        </w:rPr>
      </w:pPr>
      <w:r w:rsidRPr="006769C7">
        <w:rPr>
          <w:rFonts w:ascii="Arial" w:hAnsi="Arial" w:cs="Arial"/>
          <w:bCs/>
          <w:sz w:val="24"/>
          <w:szCs w:val="24"/>
        </w:rPr>
        <w:t xml:space="preserve">-En la sentencia C-447 de 1992, al revisar la constitucionalidad del Decreto 680 de 1992, que declaró el Estado de Emergencia Económica y Social, la Corte Constitucional hizo un estudio de los 3 informes que obran en el expediente y de otros 15 estudios y llega a la conclusión de que el detonante de la crisis fue el evento hidrológico extremo, sin el cual esta no se habría presentado, a pesar de la </w:t>
      </w:r>
      <w:r w:rsidRPr="006769C7">
        <w:rPr>
          <w:rFonts w:ascii="Arial" w:hAnsi="Arial" w:cs="Arial"/>
          <w:bCs/>
          <w:sz w:val="24"/>
          <w:szCs w:val="24"/>
        </w:rPr>
        <w:lastRenderedPageBreak/>
        <w:t xml:space="preserve">existencia de otros factores, tales como los sabotajes de la guerrilla, los paros laborales, la  insolvencia de las empresas, la inoperatividad del parque térmico y la debilidad de la estructura energética, que dependía en un 78% de la generación hidráulica. Advierte, además, que la Procuraduría General de la Nación absolvió a los funcionarios investigados, mediante providencia de 21 de noviembre de 1994, que fue confirmada en providencia de 18 de septiembre de 1997. Luego, si los funcionarios obraron de acuerdo con sus deberes, es forzoso concluir que la persona jurídica en nombre de la cual actuaban, también obró conforme a derecho. </w:t>
      </w:r>
    </w:p>
    <w:p w14:paraId="178937CD" w14:textId="77777777" w:rsidR="002C6BDF" w:rsidRPr="006769C7" w:rsidRDefault="002C6BDF" w:rsidP="006769C7">
      <w:pPr>
        <w:spacing w:line="276" w:lineRule="auto"/>
        <w:ind w:right="-15"/>
        <w:jc w:val="both"/>
        <w:rPr>
          <w:rFonts w:ascii="Arial" w:hAnsi="Arial" w:cs="Arial"/>
          <w:bCs/>
          <w:sz w:val="24"/>
          <w:szCs w:val="24"/>
        </w:rPr>
      </w:pPr>
    </w:p>
    <w:p w14:paraId="062E81A0" w14:textId="77777777" w:rsidR="002C6BDF" w:rsidRPr="006769C7" w:rsidRDefault="002C6BDF" w:rsidP="006769C7">
      <w:pPr>
        <w:spacing w:line="276" w:lineRule="auto"/>
        <w:ind w:right="-15"/>
        <w:jc w:val="both"/>
        <w:rPr>
          <w:rFonts w:ascii="Arial" w:hAnsi="Arial" w:cs="Arial"/>
          <w:bCs/>
          <w:sz w:val="24"/>
          <w:szCs w:val="24"/>
        </w:rPr>
      </w:pPr>
      <w:r w:rsidRPr="006769C7">
        <w:rPr>
          <w:rFonts w:ascii="Arial" w:hAnsi="Arial" w:cs="Arial"/>
          <w:bCs/>
          <w:sz w:val="24"/>
          <w:szCs w:val="24"/>
        </w:rPr>
        <w:t xml:space="preserve">-El racionamiento de energía finalizó el 1º de abril de 1993 y la demanda se presentó el 13 de septiembre siguiente; en consecuencia, para la fecha de presentación de la demanda debía existir certeza sobre el daño y su cuantificación, pero en la demanda se habla de pérdidas hipotéticas, por contratos que pudieron haberse celebrado y no se celebraron. La parte actora debió presentar contratos resciliados o resueltos por los anunciantes y las declaraciones de aquellos que pensaban contratar publicidad y no lo hicieron por causa del racionamiento. </w:t>
      </w:r>
    </w:p>
    <w:p w14:paraId="412F9BE9" w14:textId="77777777" w:rsidR="002C6BDF" w:rsidRPr="006769C7" w:rsidRDefault="002C6BDF" w:rsidP="006769C7">
      <w:pPr>
        <w:spacing w:line="276" w:lineRule="auto"/>
        <w:ind w:right="-15"/>
        <w:jc w:val="both"/>
        <w:rPr>
          <w:rFonts w:ascii="Arial" w:hAnsi="Arial" w:cs="Arial"/>
          <w:bCs/>
          <w:sz w:val="24"/>
          <w:szCs w:val="24"/>
        </w:rPr>
      </w:pPr>
    </w:p>
    <w:p w14:paraId="5A7D09BE" w14:textId="77777777" w:rsidR="002C6BDF" w:rsidRPr="006769C7" w:rsidRDefault="002C6BDF" w:rsidP="006769C7">
      <w:pPr>
        <w:spacing w:line="276" w:lineRule="auto"/>
        <w:ind w:right="-15"/>
        <w:jc w:val="both"/>
        <w:rPr>
          <w:rFonts w:ascii="Arial" w:hAnsi="Arial" w:cs="Arial"/>
          <w:bCs/>
          <w:sz w:val="24"/>
          <w:szCs w:val="24"/>
        </w:rPr>
      </w:pPr>
      <w:r w:rsidRPr="006769C7">
        <w:rPr>
          <w:rFonts w:ascii="Arial" w:hAnsi="Arial" w:cs="Arial"/>
          <w:bCs/>
          <w:sz w:val="24"/>
          <w:szCs w:val="24"/>
        </w:rPr>
        <w:t xml:space="preserve">-Finalmente, se remitió a la objeción al dictamen pericial que presentó en su momento y criticó la fórmula utilizada por los peritos para realizar el cálculo, el cual obtienen al multiplicar la utilidad en libros de Punch, para el año 1992, por el valor establecido para la variable de ese año, fórmula que califica de ilegal, ilógica, contraria a cualquier práctica estadística y hasta malintencionada. </w:t>
      </w:r>
    </w:p>
    <w:p w14:paraId="09EB9E89" w14:textId="77777777" w:rsidR="002C6BDF" w:rsidRPr="006769C7" w:rsidRDefault="002C6BDF" w:rsidP="006769C7">
      <w:pPr>
        <w:spacing w:line="276" w:lineRule="auto"/>
        <w:ind w:right="-15"/>
        <w:jc w:val="both"/>
        <w:rPr>
          <w:rFonts w:ascii="Arial" w:hAnsi="Arial" w:cs="Arial"/>
          <w:b/>
          <w:bCs/>
          <w:sz w:val="24"/>
          <w:szCs w:val="24"/>
        </w:rPr>
      </w:pPr>
    </w:p>
    <w:p w14:paraId="2F2D9F73" w14:textId="77777777" w:rsidR="002C6BDF" w:rsidRPr="006769C7" w:rsidRDefault="002C6BDF" w:rsidP="006769C7">
      <w:pPr>
        <w:spacing w:line="276" w:lineRule="auto"/>
        <w:ind w:right="-15"/>
        <w:jc w:val="both"/>
        <w:rPr>
          <w:rFonts w:ascii="Arial" w:hAnsi="Arial" w:cs="Arial"/>
          <w:b/>
          <w:bCs/>
          <w:sz w:val="24"/>
          <w:szCs w:val="24"/>
        </w:rPr>
      </w:pPr>
    </w:p>
    <w:p w14:paraId="044AC2AB" w14:textId="77777777" w:rsidR="002C6BDF" w:rsidRPr="006769C7" w:rsidRDefault="002C6BDF" w:rsidP="006769C7">
      <w:pPr>
        <w:pStyle w:val="Ttulo3"/>
        <w:spacing w:line="276" w:lineRule="auto"/>
        <w:ind w:right="-15"/>
        <w:jc w:val="center"/>
        <w:rPr>
          <w:rFonts w:ascii="Arial" w:hAnsi="Arial" w:cs="Arial"/>
          <w:b/>
          <w:sz w:val="24"/>
        </w:rPr>
      </w:pPr>
      <w:r w:rsidRPr="006769C7">
        <w:rPr>
          <w:rFonts w:ascii="Arial" w:hAnsi="Arial" w:cs="Arial"/>
          <w:b/>
          <w:sz w:val="24"/>
        </w:rPr>
        <w:t>CONSIDERACIONES</w:t>
      </w:r>
    </w:p>
    <w:p w14:paraId="431ABCF7" w14:textId="77777777" w:rsidR="002C6BDF" w:rsidRPr="006769C7" w:rsidRDefault="002C6BDF" w:rsidP="006769C7">
      <w:pPr>
        <w:spacing w:line="276" w:lineRule="auto"/>
        <w:rPr>
          <w:rFonts w:ascii="Arial" w:hAnsi="Arial" w:cs="Arial"/>
          <w:sz w:val="24"/>
          <w:szCs w:val="24"/>
        </w:rPr>
      </w:pPr>
    </w:p>
    <w:p w14:paraId="73D014F6" w14:textId="77777777" w:rsidR="002C6BDF" w:rsidRPr="006769C7" w:rsidRDefault="002C6BDF" w:rsidP="006769C7">
      <w:pPr>
        <w:spacing w:line="276" w:lineRule="auto"/>
        <w:rPr>
          <w:rFonts w:ascii="Arial" w:hAnsi="Arial" w:cs="Arial"/>
          <w:sz w:val="24"/>
          <w:szCs w:val="24"/>
        </w:rPr>
      </w:pPr>
    </w:p>
    <w:p w14:paraId="10C11B47" w14:textId="77777777" w:rsidR="002C6BDF" w:rsidRPr="006769C7" w:rsidRDefault="002C6BDF" w:rsidP="006769C7">
      <w:pPr>
        <w:pStyle w:val="Textoindependiente3"/>
        <w:spacing w:line="276" w:lineRule="auto"/>
        <w:ind w:right="-7"/>
        <w:rPr>
          <w:rFonts w:ascii="Arial" w:hAnsi="Arial" w:cs="Arial"/>
          <w:b/>
          <w:sz w:val="24"/>
        </w:rPr>
      </w:pPr>
      <w:r w:rsidRPr="006769C7">
        <w:rPr>
          <w:rFonts w:ascii="Arial" w:hAnsi="Arial" w:cs="Arial"/>
          <w:b/>
          <w:sz w:val="24"/>
        </w:rPr>
        <w:t>1. Los presupuestos procesales de la acción</w:t>
      </w:r>
    </w:p>
    <w:p w14:paraId="5B403AA6" w14:textId="77777777" w:rsidR="002C6BDF" w:rsidRPr="006769C7" w:rsidRDefault="002C6BDF" w:rsidP="006769C7">
      <w:pPr>
        <w:pStyle w:val="Textoindependiente2"/>
        <w:spacing w:line="276" w:lineRule="auto"/>
        <w:rPr>
          <w:rFonts w:ascii="Arial" w:hAnsi="Arial" w:cs="Arial"/>
          <w:sz w:val="24"/>
        </w:rPr>
      </w:pPr>
    </w:p>
    <w:p w14:paraId="4A16D390" w14:textId="77777777" w:rsidR="002C6BDF" w:rsidRPr="006769C7" w:rsidRDefault="002C6BDF" w:rsidP="006769C7">
      <w:pPr>
        <w:pStyle w:val="Textoindependiente2"/>
        <w:spacing w:line="276" w:lineRule="auto"/>
        <w:rPr>
          <w:rFonts w:ascii="Arial" w:hAnsi="Arial" w:cs="Arial"/>
          <w:sz w:val="24"/>
        </w:rPr>
      </w:pPr>
      <w:r w:rsidRPr="006769C7">
        <w:rPr>
          <w:rFonts w:ascii="Arial" w:hAnsi="Arial" w:cs="Arial"/>
          <w:sz w:val="24"/>
        </w:rPr>
        <w:t>Previo a analizar el fondo del presente asunto, resulta pertinente pronunciarse sobre la competencia de la Sala, la procedencia de la acción, la legitimación en la causa y la caducidad.</w:t>
      </w:r>
    </w:p>
    <w:p w14:paraId="68BF0C4F" w14:textId="77777777" w:rsidR="002C6BDF" w:rsidRPr="006769C7" w:rsidRDefault="002C6BDF" w:rsidP="006769C7">
      <w:pPr>
        <w:pStyle w:val="Textoindependiente3"/>
        <w:tabs>
          <w:tab w:val="clear" w:pos="426"/>
          <w:tab w:val="left" w:pos="1565"/>
        </w:tabs>
        <w:spacing w:line="276" w:lineRule="auto"/>
        <w:ind w:right="-7"/>
        <w:rPr>
          <w:rFonts w:ascii="Arial" w:hAnsi="Arial" w:cs="Arial"/>
          <w:sz w:val="24"/>
        </w:rPr>
      </w:pPr>
      <w:r w:rsidRPr="006769C7">
        <w:rPr>
          <w:rFonts w:ascii="Arial" w:hAnsi="Arial" w:cs="Arial"/>
          <w:sz w:val="24"/>
        </w:rPr>
        <w:tab/>
      </w:r>
    </w:p>
    <w:p w14:paraId="04481A1B" w14:textId="77777777" w:rsidR="002C6BDF" w:rsidRPr="006769C7" w:rsidRDefault="002C6BDF" w:rsidP="006769C7">
      <w:pPr>
        <w:pStyle w:val="Textoindependiente3"/>
        <w:spacing w:line="276" w:lineRule="auto"/>
        <w:ind w:right="-7"/>
        <w:rPr>
          <w:rFonts w:ascii="Arial" w:hAnsi="Arial" w:cs="Arial"/>
          <w:b/>
          <w:sz w:val="24"/>
        </w:rPr>
      </w:pPr>
    </w:p>
    <w:p w14:paraId="5D1E2465" w14:textId="77777777" w:rsidR="002C6BDF" w:rsidRPr="006769C7" w:rsidRDefault="002C6BDF" w:rsidP="006769C7">
      <w:pPr>
        <w:pStyle w:val="Textoindependiente3"/>
        <w:spacing w:line="276" w:lineRule="auto"/>
        <w:ind w:right="-7"/>
        <w:rPr>
          <w:rFonts w:ascii="Arial" w:hAnsi="Arial" w:cs="Arial"/>
          <w:b/>
          <w:sz w:val="24"/>
        </w:rPr>
      </w:pPr>
    </w:p>
    <w:p w14:paraId="6867256F" w14:textId="77777777" w:rsidR="002C6BDF" w:rsidRPr="006769C7" w:rsidRDefault="002C6BDF" w:rsidP="006769C7">
      <w:pPr>
        <w:pStyle w:val="Textoindependiente3"/>
        <w:spacing w:line="276" w:lineRule="auto"/>
        <w:ind w:right="-7"/>
        <w:rPr>
          <w:rFonts w:ascii="Arial" w:hAnsi="Arial" w:cs="Arial"/>
          <w:b/>
          <w:sz w:val="24"/>
        </w:rPr>
      </w:pPr>
    </w:p>
    <w:p w14:paraId="5813FEFF" w14:textId="77777777" w:rsidR="002C6BDF" w:rsidRPr="006769C7" w:rsidRDefault="002C6BDF" w:rsidP="006769C7">
      <w:pPr>
        <w:pStyle w:val="Textoindependiente3"/>
        <w:spacing w:line="276" w:lineRule="auto"/>
        <w:ind w:right="-7"/>
        <w:rPr>
          <w:rFonts w:ascii="Arial" w:hAnsi="Arial" w:cs="Arial"/>
          <w:b/>
          <w:sz w:val="24"/>
        </w:rPr>
      </w:pPr>
      <w:r w:rsidRPr="006769C7">
        <w:rPr>
          <w:rFonts w:ascii="Arial" w:hAnsi="Arial" w:cs="Arial"/>
          <w:b/>
          <w:sz w:val="24"/>
        </w:rPr>
        <w:t>1.1. Competencia de la Sala</w:t>
      </w:r>
    </w:p>
    <w:p w14:paraId="122A5727" w14:textId="77777777" w:rsidR="002C6BDF" w:rsidRPr="006769C7" w:rsidRDefault="002C6BDF" w:rsidP="006769C7">
      <w:pPr>
        <w:pStyle w:val="Textoindependiente3"/>
        <w:spacing w:line="276" w:lineRule="auto"/>
        <w:ind w:right="-7"/>
        <w:rPr>
          <w:rFonts w:ascii="Arial" w:hAnsi="Arial" w:cs="Arial"/>
          <w:sz w:val="24"/>
        </w:rPr>
      </w:pPr>
    </w:p>
    <w:p w14:paraId="7D5E36D3" w14:textId="77777777" w:rsidR="002C6BDF" w:rsidRPr="006769C7" w:rsidRDefault="002C6BDF" w:rsidP="006769C7">
      <w:pPr>
        <w:pStyle w:val="Textoindependiente3"/>
        <w:spacing w:line="276" w:lineRule="auto"/>
        <w:ind w:right="-7"/>
        <w:rPr>
          <w:rFonts w:ascii="Arial" w:hAnsi="Arial" w:cs="Arial"/>
          <w:sz w:val="24"/>
        </w:rPr>
      </w:pPr>
      <w:r w:rsidRPr="006769C7">
        <w:rPr>
          <w:rFonts w:ascii="Arial" w:hAnsi="Arial" w:cs="Arial"/>
          <w:sz w:val="24"/>
        </w:rPr>
        <w:t>La Sala es competente para conocer del recurso de apelación interpuesto por la parte demandante</w:t>
      </w:r>
      <w:r w:rsidRPr="006769C7">
        <w:rPr>
          <w:rStyle w:val="Refdenotaalpie"/>
          <w:rFonts w:ascii="Arial" w:hAnsi="Arial" w:cs="Arial"/>
          <w:sz w:val="24"/>
        </w:rPr>
        <w:footnoteReference w:id="6"/>
      </w:r>
      <w:r w:rsidRPr="006769C7">
        <w:rPr>
          <w:rFonts w:ascii="Arial" w:hAnsi="Arial" w:cs="Arial"/>
          <w:sz w:val="24"/>
        </w:rPr>
        <w:t xml:space="preserve">, en un proceso con vocación de segunda instancia ante el </w:t>
      </w:r>
      <w:r w:rsidRPr="006769C7">
        <w:rPr>
          <w:rFonts w:ascii="Arial" w:hAnsi="Arial" w:cs="Arial"/>
          <w:sz w:val="24"/>
        </w:rPr>
        <w:lastRenderedPageBreak/>
        <w:t xml:space="preserve">Consejo de Estado, dado que la cuantía de la demanda, determinada por el valor de la mayor de las pretensiones, supera la </w:t>
      </w:r>
      <w:r w:rsidRPr="006769C7">
        <w:rPr>
          <w:rFonts w:ascii="Arial" w:hAnsi="Arial" w:cs="Arial"/>
          <w:sz w:val="24"/>
          <w:lang w:val="es-CO"/>
        </w:rPr>
        <w:t>cuantía exigida por la ley vigente para ese momento</w:t>
      </w:r>
      <w:r w:rsidRPr="006769C7">
        <w:rPr>
          <w:rStyle w:val="Refdenotaalpie"/>
          <w:rFonts w:ascii="Arial" w:hAnsi="Arial" w:cs="Arial"/>
          <w:sz w:val="24"/>
        </w:rPr>
        <w:footnoteReference w:id="7"/>
      </w:r>
      <w:r w:rsidRPr="006769C7">
        <w:rPr>
          <w:rFonts w:ascii="Arial" w:hAnsi="Arial" w:cs="Arial"/>
          <w:sz w:val="24"/>
        </w:rPr>
        <w:t>.</w:t>
      </w:r>
    </w:p>
    <w:p w14:paraId="226A3DAE" w14:textId="77777777" w:rsidR="002C6BDF" w:rsidRPr="006769C7" w:rsidRDefault="002C6BDF" w:rsidP="006769C7">
      <w:pPr>
        <w:pStyle w:val="Textoindependiente3"/>
        <w:spacing w:line="276" w:lineRule="auto"/>
        <w:ind w:right="-7"/>
        <w:rPr>
          <w:rFonts w:ascii="Arial" w:hAnsi="Arial" w:cs="Arial"/>
          <w:sz w:val="24"/>
        </w:rPr>
      </w:pPr>
      <w:r w:rsidRPr="006769C7">
        <w:rPr>
          <w:rFonts w:ascii="Arial" w:hAnsi="Arial" w:cs="Arial"/>
          <w:b/>
          <w:sz w:val="24"/>
        </w:rPr>
        <w:t xml:space="preserve">1.2. Procedencia de la acción </w:t>
      </w:r>
    </w:p>
    <w:p w14:paraId="60CD0DF5" w14:textId="77777777" w:rsidR="002C6BDF" w:rsidRPr="006769C7" w:rsidRDefault="002C6BDF" w:rsidP="006769C7">
      <w:pPr>
        <w:pStyle w:val="Textoindependiente3"/>
        <w:spacing w:line="276" w:lineRule="auto"/>
        <w:ind w:right="-7"/>
        <w:rPr>
          <w:rFonts w:ascii="Arial" w:hAnsi="Arial" w:cs="Arial"/>
          <w:sz w:val="24"/>
        </w:rPr>
      </w:pPr>
    </w:p>
    <w:p w14:paraId="359D505D" w14:textId="77777777" w:rsidR="002C6BDF" w:rsidRPr="006769C7" w:rsidRDefault="002C6BDF" w:rsidP="006769C7">
      <w:pPr>
        <w:pStyle w:val="Textoindependiente3"/>
        <w:spacing w:line="276" w:lineRule="auto"/>
        <w:ind w:right="-7"/>
        <w:rPr>
          <w:rFonts w:ascii="Arial" w:hAnsi="Arial" w:cs="Arial"/>
          <w:bCs w:val="0"/>
          <w:color w:val="000000"/>
          <w:sz w:val="24"/>
        </w:rPr>
      </w:pPr>
      <w:r w:rsidRPr="006769C7">
        <w:rPr>
          <w:rFonts w:ascii="Arial" w:hAnsi="Arial" w:cs="Arial"/>
          <w:sz w:val="24"/>
        </w:rPr>
        <w:t xml:space="preserve">La acción de reparación directa es la procedente para resolver el conflicto planteado, por cuanto se pretende la indemnización de los perjuicios sufridos por </w:t>
      </w:r>
      <w:r w:rsidRPr="006769C7">
        <w:rPr>
          <w:rFonts w:ascii="Arial" w:hAnsi="Arial" w:cs="Arial"/>
          <w:bCs w:val="0"/>
          <w:color w:val="000000"/>
          <w:sz w:val="24"/>
        </w:rPr>
        <w:t xml:space="preserve">la sociedad demandante, como consecuencia de las fallas en las que, según su afirmación, incurrieron la Nación-Ministerio de Minas y Energía e ISA, derivadas del incumplimiento de las obligaciones que les correspondía en relación con el planeamiento, mantenimiento de las centrales y la adopción de las medidas de prevención procedentes para garantizar la prestación permanente del servicio de energía eléctrica, entre otras. </w:t>
      </w:r>
    </w:p>
    <w:p w14:paraId="6F20C9E3" w14:textId="77777777" w:rsidR="002C6BDF" w:rsidRPr="006769C7" w:rsidRDefault="002C6BDF" w:rsidP="006769C7">
      <w:pPr>
        <w:pStyle w:val="Textoindependiente3"/>
        <w:spacing w:line="276" w:lineRule="auto"/>
        <w:ind w:right="-7"/>
        <w:rPr>
          <w:rFonts w:ascii="Arial" w:hAnsi="Arial" w:cs="Arial"/>
          <w:bCs w:val="0"/>
          <w:color w:val="000000"/>
          <w:sz w:val="24"/>
        </w:rPr>
      </w:pPr>
    </w:p>
    <w:p w14:paraId="57EDFBF4" w14:textId="77777777" w:rsidR="002C6BDF" w:rsidRPr="006769C7" w:rsidRDefault="002C6BDF" w:rsidP="006769C7">
      <w:pPr>
        <w:pStyle w:val="Textoindependiente3"/>
        <w:spacing w:line="276" w:lineRule="auto"/>
        <w:ind w:right="-7"/>
        <w:rPr>
          <w:rFonts w:ascii="Arial" w:hAnsi="Arial" w:cs="Arial"/>
          <w:sz w:val="24"/>
        </w:rPr>
      </w:pPr>
      <w:r w:rsidRPr="006769C7">
        <w:rPr>
          <w:rFonts w:ascii="Arial" w:hAnsi="Arial" w:cs="Arial"/>
          <w:bCs w:val="0"/>
          <w:color w:val="000000"/>
          <w:sz w:val="24"/>
        </w:rPr>
        <w:t xml:space="preserve">En otros términos, el fundamento de la demanda son las omisiones y acciones en las que incurrieron las demandadas, que culminaron con la declaratoria del racionamiento de energía, y no esta decisión en sí misma; </w:t>
      </w:r>
      <w:r w:rsidRPr="006769C7">
        <w:rPr>
          <w:rFonts w:ascii="Arial" w:hAnsi="Arial" w:cs="Arial"/>
          <w:sz w:val="24"/>
        </w:rPr>
        <w:t xml:space="preserve">por lo tanto, no le asiste razón a la demandada al señalar que se debió demandar, a través de la acción de nulidad y restablecimiento del derecho el acto administrativo mediante el cual se tomó la decisión de racionar el servicio. </w:t>
      </w:r>
    </w:p>
    <w:p w14:paraId="5FE7AE75" w14:textId="77777777" w:rsidR="002C6BDF" w:rsidRPr="006769C7" w:rsidRDefault="002C6BDF" w:rsidP="006769C7">
      <w:pPr>
        <w:spacing w:line="276" w:lineRule="auto"/>
        <w:jc w:val="both"/>
        <w:rPr>
          <w:rFonts w:ascii="Arial" w:hAnsi="Arial" w:cs="Arial"/>
          <w:b/>
          <w:sz w:val="24"/>
          <w:szCs w:val="24"/>
        </w:rPr>
      </w:pPr>
    </w:p>
    <w:p w14:paraId="561CB125" w14:textId="77777777" w:rsidR="002C6BDF" w:rsidRPr="006769C7" w:rsidRDefault="002C6BDF" w:rsidP="006769C7">
      <w:pPr>
        <w:spacing w:line="276" w:lineRule="auto"/>
        <w:jc w:val="both"/>
        <w:rPr>
          <w:rFonts w:ascii="Arial" w:hAnsi="Arial" w:cs="Arial"/>
          <w:b/>
          <w:sz w:val="24"/>
          <w:szCs w:val="24"/>
        </w:rPr>
      </w:pPr>
      <w:r w:rsidRPr="006769C7">
        <w:rPr>
          <w:rFonts w:ascii="Arial" w:hAnsi="Arial" w:cs="Arial"/>
          <w:b/>
          <w:sz w:val="24"/>
          <w:szCs w:val="24"/>
        </w:rPr>
        <w:t>1.3. Legitimación en la causa</w:t>
      </w:r>
    </w:p>
    <w:p w14:paraId="25C4AED6" w14:textId="77777777" w:rsidR="002C6BDF" w:rsidRPr="006769C7" w:rsidRDefault="002C6BDF" w:rsidP="006769C7">
      <w:pPr>
        <w:spacing w:line="276" w:lineRule="auto"/>
        <w:jc w:val="both"/>
        <w:rPr>
          <w:rFonts w:ascii="Arial" w:hAnsi="Arial" w:cs="Arial"/>
          <w:sz w:val="24"/>
          <w:szCs w:val="24"/>
        </w:rPr>
      </w:pPr>
    </w:p>
    <w:p w14:paraId="05740BC8" w14:textId="77777777" w:rsidR="002C6BDF" w:rsidRPr="006769C7" w:rsidRDefault="002C6BDF" w:rsidP="006769C7">
      <w:pPr>
        <w:pStyle w:val="Textoindependiente2"/>
        <w:spacing w:line="276" w:lineRule="auto"/>
        <w:rPr>
          <w:rFonts w:ascii="Arial" w:hAnsi="Arial" w:cs="Arial"/>
          <w:sz w:val="24"/>
        </w:rPr>
      </w:pPr>
      <w:r w:rsidRPr="006769C7">
        <w:rPr>
          <w:rFonts w:ascii="Arial" w:hAnsi="Arial" w:cs="Arial"/>
          <w:sz w:val="24"/>
        </w:rPr>
        <w:lastRenderedPageBreak/>
        <w:t xml:space="preserve">Quienes integran la parte demandante están legitimados en la causa, toda vez que la demandante-Producciones Punch, es quien afirma haber sufrido el daño cuya indemnización reclama, como consecuencia del racionamiento de energía, y las demandadas son entidades de derecho público. </w:t>
      </w:r>
    </w:p>
    <w:p w14:paraId="4FF4A86F" w14:textId="77777777" w:rsidR="002C6BDF" w:rsidRPr="006769C7" w:rsidRDefault="002C6BDF" w:rsidP="006769C7">
      <w:pPr>
        <w:pStyle w:val="Textoindependiente2"/>
        <w:spacing w:line="276" w:lineRule="auto"/>
        <w:rPr>
          <w:rFonts w:ascii="Arial" w:hAnsi="Arial" w:cs="Arial"/>
          <w:sz w:val="24"/>
        </w:rPr>
      </w:pPr>
    </w:p>
    <w:p w14:paraId="77EE8DAD" w14:textId="77777777" w:rsidR="002C6BDF" w:rsidRPr="006769C7" w:rsidRDefault="002C6BDF" w:rsidP="006769C7">
      <w:pPr>
        <w:pStyle w:val="Textoindependiente2"/>
        <w:spacing w:line="276" w:lineRule="auto"/>
        <w:rPr>
          <w:rFonts w:ascii="Arial" w:hAnsi="Arial" w:cs="Arial"/>
          <w:b/>
          <w:sz w:val="24"/>
        </w:rPr>
      </w:pPr>
      <w:r w:rsidRPr="006769C7">
        <w:rPr>
          <w:rFonts w:ascii="Arial" w:hAnsi="Arial" w:cs="Arial"/>
          <w:b/>
          <w:sz w:val="24"/>
        </w:rPr>
        <w:t>1.4. La demanda en tiempo</w:t>
      </w:r>
    </w:p>
    <w:p w14:paraId="15BE2082" w14:textId="77777777" w:rsidR="002C6BDF" w:rsidRPr="006769C7" w:rsidRDefault="002C6BDF" w:rsidP="006769C7">
      <w:pPr>
        <w:pStyle w:val="Textoindependiente2"/>
        <w:spacing w:line="276" w:lineRule="auto"/>
        <w:rPr>
          <w:rFonts w:ascii="Arial" w:hAnsi="Arial" w:cs="Arial"/>
          <w:sz w:val="24"/>
        </w:rPr>
      </w:pPr>
    </w:p>
    <w:p w14:paraId="39F1DC0A" w14:textId="77777777" w:rsidR="002C6BDF" w:rsidRPr="006769C7" w:rsidRDefault="002C6BDF" w:rsidP="006769C7">
      <w:pPr>
        <w:pStyle w:val="Textoindependiente2"/>
        <w:spacing w:line="276" w:lineRule="auto"/>
        <w:rPr>
          <w:rFonts w:ascii="Arial" w:hAnsi="Arial" w:cs="Arial"/>
          <w:sz w:val="24"/>
        </w:rPr>
      </w:pPr>
      <w:r w:rsidRPr="006769C7">
        <w:rPr>
          <w:rFonts w:ascii="Arial" w:hAnsi="Arial" w:cs="Arial"/>
          <w:sz w:val="24"/>
        </w:rPr>
        <w:t xml:space="preserve">En el presente asunto se pretende la reparación de los daños causados a la sociedad demandante con el racionamiento de energía que se extendió entre el 2 de marzo de 1992 y el 1º de abril de 1993. Dado que la demanda se presentó el 13 de septiembre de 1993, lo fue dentro de los dos años previstos en el numeral 10 del artículo 136 del Código Contencioso Administrativo. </w:t>
      </w:r>
    </w:p>
    <w:p w14:paraId="0E934A0C" w14:textId="77777777" w:rsidR="002C6BDF" w:rsidRPr="006769C7" w:rsidRDefault="002C6BDF" w:rsidP="006769C7">
      <w:pPr>
        <w:spacing w:line="276" w:lineRule="auto"/>
        <w:ind w:right="-15"/>
        <w:jc w:val="both"/>
        <w:rPr>
          <w:rFonts w:ascii="Arial" w:hAnsi="Arial" w:cs="Arial"/>
          <w:sz w:val="24"/>
          <w:szCs w:val="24"/>
        </w:rPr>
      </w:pPr>
    </w:p>
    <w:p w14:paraId="438C5CBD" w14:textId="77777777" w:rsidR="002C6BDF" w:rsidRPr="006769C7" w:rsidRDefault="002C6BDF" w:rsidP="006769C7">
      <w:pPr>
        <w:tabs>
          <w:tab w:val="left" w:pos="1177"/>
        </w:tabs>
        <w:spacing w:line="276" w:lineRule="auto"/>
        <w:ind w:right="96"/>
        <w:jc w:val="both"/>
        <w:rPr>
          <w:rFonts w:ascii="Arial" w:hAnsi="Arial" w:cs="Arial"/>
          <w:sz w:val="24"/>
          <w:szCs w:val="24"/>
        </w:rPr>
      </w:pPr>
      <w:r w:rsidRPr="006769C7">
        <w:rPr>
          <w:rFonts w:ascii="Arial" w:hAnsi="Arial" w:cs="Arial"/>
          <w:b/>
          <w:sz w:val="24"/>
          <w:szCs w:val="24"/>
        </w:rPr>
        <w:t>2. Problema jurídico</w:t>
      </w:r>
    </w:p>
    <w:p w14:paraId="7ACEA934" w14:textId="77777777" w:rsidR="002C6BDF" w:rsidRPr="006769C7" w:rsidRDefault="002C6BDF" w:rsidP="006769C7">
      <w:pPr>
        <w:spacing w:line="276" w:lineRule="auto"/>
        <w:ind w:right="-15"/>
        <w:jc w:val="both"/>
        <w:rPr>
          <w:rFonts w:ascii="Arial" w:hAnsi="Arial" w:cs="Arial"/>
          <w:sz w:val="24"/>
          <w:szCs w:val="24"/>
        </w:rPr>
      </w:pPr>
    </w:p>
    <w:p w14:paraId="653E3B55"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Deberá resolver la Sala si la Nación-Ministerio de Minas y Energía y la empresa Interconexión Eléctrica S.A. ISA son responsables de los perjuicios que dice haber sufrido Producciones Punch, por la pérdida de los ingresos que aspiraba obtener con la comercialización de la pauta publicitaria, durante el racionamiento de energía eléctrica producido en el país, entre el 2 de marzo de 1992 y el 1º de abril de 1993.</w:t>
      </w:r>
    </w:p>
    <w:p w14:paraId="1F770712" w14:textId="77777777" w:rsidR="002C6BDF" w:rsidRPr="006769C7" w:rsidRDefault="002C6BDF" w:rsidP="006769C7">
      <w:pPr>
        <w:spacing w:line="276" w:lineRule="auto"/>
        <w:ind w:right="-15"/>
        <w:jc w:val="both"/>
        <w:rPr>
          <w:rFonts w:ascii="Arial" w:hAnsi="Arial" w:cs="Arial"/>
          <w:b/>
          <w:sz w:val="24"/>
          <w:szCs w:val="24"/>
        </w:rPr>
      </w:pPr>
    </w:p>
    <w:p w14:paraId="3456F330" w14:textId="77777777" w:rsidR="002C6BDF" w:rsidRPr="006769C7" w:rsidRDefault="002C6BDF" w:rsidP="006769C7">
      <w:pPr>
        <w:spacing w:line="276" w:lineRule="auto"/>
        <w:ind w:right="-15"/>
        <w:jc w:val="both"/>
        <w:rPr>
          <w:rFonts w:ascii="Arial" w:hAnsi="Arial" w:cs="Arial"/>
          <w:b/>
          <w:sz w:val="24"/>
          <w:szCs w:val="24"/>
        </w:rPr>
      </w:pPr>
      <w:r w:rsidRPr="006769C7">
        <w:rPr>
          <w:rFonts w:ascii="Arial" w:hAnsi="Arial" w:cs="Arial"/>
          <w:b/>
          <w:sz w:val="24"/>
          <w:szCs w:val="24"/>
        </w:rPr>
        <w:t>3. Análisis de la Sala</w:t>
      </w:r>
    </w:p>
    <w:p w14:paraId="06BC5461" w14:textId="77777777" w:rsidR="002C6BDF" w:rsidRPr="006769C7" w:rsidRDefault="002C6BDF" w:rsidP="006769C7">
      <w:pPr>
        <w:spacing w:line="276" w:lineRule="auto"/>
        <w:ind w:right="-15"/>
        <w:jc w:val="both"/>
        <w:rPr>
          <w:rFonts w:ascii="Arial" w:hAnsi="Arial" w:cs="Arial"/>
          <w:b/>
          <w:sz w:val="24"/>
          <w:szCs w:val="24"/>
        </w:rPr>
      </w:pPr>
    </w:p>
    <w:p w14:paraId="01FDBBD9"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Según la demanda, el daño sufrido por Producciones Punch S.A. consistió en la pérdida de los ingresos que le hubiera generado la comercialización de la pauta publicitaria que emitía en los horarios previstos en el contrato que celebró con INRAVISIÓN, en septiembre de 1991, con ejecución a partir del 1º de enero de 1992. </w:t>
      </w:r>
    </w:p>
    <w:p w14:paraId="7E1C268E" w14:textId="77777777" w:rsidR="002C6BDF" w:rsidRPr="006769C7" w:rsidRDefault="002C6BDF" w:rsidP="006769C7">
      <w:pPr>
        <w:spacing w:line="276" w:lineRule="auto"/>
        <w:ind w:right="-15"/>
        <w:jc w:val="both"/>
        <w:rPr>
          <w:rFonts w:ascii="Arial" w:hAnsi="Arial" w:cs="Arial"/>
          <w:sz w:val="24"/>
          <w:szCs w:val="24"/>
        </w:rPr>
      </w:pPr>
    </w:p>
    <w:p w14:paraId="190014AB"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Antes de realizar el análisis de las pruebas que obran en el expediente, con el fin de establecer la existencia del daño alegado por la sociedad demandante, considera la Sala relevante referirse a las investigaciones administrativas, en las cuales se pretendió determinar las causas del racionamiento y sus posibles responsables, pero con la advertencia de que esas pruebas sólo serán valoradas en el evento de que haya quedado probado el daño y, por ende, deba definirse a quién le es imputable el mismo. </w:t>
      </w:r>
    </w:p>
    <w:p w14:paraId="3325B113" w14:textId="77777777" w:rsidR="002C6BDF" w:rsidRPr="006769C7" w:rsidRDefault="002C6BDF" w:rsidP="006769C7">
      <w:pPr>
        <w:spacing w:line="276" w:lineRule="auto"/>
        <w:ind w:right="-15"/>
        <w:jc w:val="both"/>
        <w:rPr>
          <w:rFonts w:ascii="Arial" w:hAnsi="Arial" w:cs="Arial"/>
          <w:sz w:val="24"/>
          <w:szCs w:val="24"/>
        </w:rPr>
      </w:pPr>
    </w:p>
    <w:p w14:paraId="4806EE48"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La importancia de poner de manifiesto los hechos que, a juicio de las entidades que adelantaron las distintas investigaciones administrativas y disciplinarias, originaron el desabastecimiento de la energía  en el país durante el lapso trascurrido entre el 2 de marzo de 1992 y el 1º de abril de 1993, permite recabar sobre los mismos, con el fin de instar a las autoridades responsables a fin de que adopten, si aún no lo han hecho, las medidas necesarias para evitar que esa situación se repita, precaviendo el efecto de las causas naturales, en especial, del fenómeno del Niño, el cual se produce de manera cíclica. Este llamado se inscribe en el deber que tiene la </w:t>
      </w:r>
      <w:r w:rsidRPr="006769C7">
        <w:rPr>
          <w:rFonts w:ascii="Arial" w:hAnsi="Arial" w:cs="Arial"/>
          <w:sz w:val="24"/>
          <w:szCs w:val="24"/>
        </w:rPr>
        <w:lastRenderedPageBreak/>
        <w:t>jurisdicción de ejercer control de la actividad administrativa del Estado</w:t>
      </w:r>
      <w:r w:rsidRPr="006769C7">
        <w:rPr>
          <w:rStyle w:val="Refdenotaalpie"/>
          <w:rFonts w:ascii="Arial" w:hAnsi="Arial" w:cs="Arial"/>
          <w:sz w:val="24"/>
          <w:szCs w:val="24"/>
        </w:rPr>
        <w:footnoteReference w:id="8"/>
      </w:r>
      <w:r w:rsidRPr="006769C7">
        <w:rPr>
          <w:rFonts w:ascii="Arial" w:hAnsi="Arial" w:cs="Arial"/>
          <w:sz w:val="24"/>
          <w:szCs w:val="24"/>
        </w:rPr>
        <w:t xml:space="preserve">, el cual supera la mera resolución del litigio concreto. </w:t>
      </w:r>
    </w:p>
    <w:p w14:paraId="4CF02BD4" w14:textId="77777777" w:rsidR="002C6BDF" w:rsidRPr="006769C7" w:rsidRDefault="002C6BDF" w:rsidP="006769C7">
      <w:pPr>
        <w:spacing w:line="276" w:lineRule="auto"/>
        <w:ind w:right="-15"/>
        <w:jc w:val="both"/>
        <w:rPr>
          <w:rFonts w:ascii="Arial" w:hAnsi="Arial" w:cs="Arial"/>
          <w:sz w:val="24"/>
          <w:szCs w:val="24"/>
        </w:rPr>
      </w:pPr>
    </w:p>
    <w:p w14:paraId="34CE3E88"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3.1. Durante el lapso comprendido entre el 2 de marzo de 1992 y el 1º de abril de 1993 se produjo un racionamiento de energía en el país</w:t>
      </w:r>
      <w:r w:rsidRPr="006769C7">
        <w:rPr>
          <w:rStyle w:val="Refdenotaalpie"/>
          <w:rFonts w:ascii="Arial" w:hAnsi="Arial" w:cs="Arial"/>
          <w:sz w:val="24"/>
          <w:szCs w:val="24"/>
        </w:rPr>
        <w:footnoteReference w:id="9"/>
      </w:r>
      <w:r w:rsidRPr="006769C7">
        <w:rPr>
          <w:rFonts w:ascii="Arial" w:hAnsi="Arial" w:cs="Arial"/>
          <w:sz w:val="24"/>
          <w:szCs w:val="24"/>
        </w:rPr>
        <w:t xml:space="preserve">, el cual fue ordenado por el Comité Directivo de Operación de la empresa Interconexión Eléctrica S.A. ISA , conformado por los directores o gerentes de la Corporación Eléctrica de la Costa Atlántica, la Central Hidroeléctrica de Betania S.A., Corporación Autónoma Regional del Cauca, Central Hidroeléctrica del Alto Anchicayá, Empresas Públicas de Medellín, Empresa de Energía de Bogotá, Central Hidroeléctrica de Caldas, Instituto Colombiano de Energía Eléctrica e Interconexión Eléctrica S.A., según la respuesta dada al oficio del </w:t>
      </w:r>
      <w:r w:rsidRPr="006769C7">
        <w:rPr>
          <w:rFonts w:ascii="Arial" w:hAnsi="Arial" w:cs="Arial"/>
          <w:i/>
          <w:sz w:val="24"/>
          <w:szCs w:val="24"/>
        </w:rPr>
        <w:t>a quo</w:t>
      </w:r>
      <w:r w:rsidRPr="006769C7">
        <w:rPr>
          <w:rFonts w:ascii="Arial" w:hAnsi="Arial" w:cs="Arial"/>
          <w:sz w:val="24"/>
          <w:szCs w:val="24"/>
        </w:rPr>
        <w:t xml:space="preserve">, por el secretario general de esta última entidad (f. 166-169 c-1). Se aclaró que la intensidad horaria promedio mensual de racionamiento era diferente por empresa y tipo de usuario y que esta era revisada y modificada semanal o quincenalmente por el Comité. Cada empresa distribuidora era autónoma en hacer esa distribución, mientras cumpliera con la cuota diaria o semanal asignada por el Comité.  </w:t>
      </w:r>
    </w:p>
    <w:p w14:paraId="6741AB10" w14:textId="77777777" w:rsidR="002C6BDF" w:rsidRPr="006769C7" w:rsidRDefault="002C6BDF" w:rsidP="006769C7">
      <w:pPr>
        <w:spacing w:line="276" w:lineRule="auto"/>
        <w:ind w:right="-15"/>
        <w:jc w:val="both"/>
        <w:rPr>
          <w:rFonts w:ascii="Arial" w:hAnsi="Arial" w:cs="Arial"/>
          <w:b/>
          <w:sz w:val="24"/>
          <w:szCs w:val="24"/>
        </w:rPr>
      </w:pPr>
    </w:p>
    <w:p w14:paraId="5D4C85D6" w14:textId="77777777" w:rsidR="002C6BDF" w:rsidRPr="006769C7" w:rsidRDefault="002C6BDF" w:rsidP="006769C7">
      <w:pPr>
        <w:spacing w:line="276" w:lineRule="auto"/>
        <w:ind w:right="-15"/>
        <w:jc w:val="both"/>
        <w:rPr>
          <w:rFonts w:ascii="Arial" w:hAnsi="Arial" w:cs="Arial"/>
          <w:b/>
          <w:sz w:val="24"/>
          <w:szCs w:val="24"/>
        </w:rPr>
      </w:pPr>
      <w:r w:rsidRPr="006769C7">
        <w:rPr>
          <w:rFonts w:ascii="Arial" w:hAnsi="Arial" w:cs="Arial"/>
          <w:bCs/>
          <w:sz w:val="24"/>
          <w:szCs w:val="24"/>
        </w:rPr>
        <w:t>3.2. En la sentencia C-447 de 1992 proferida por la Corte Constitucional revisó el Decreto 680 de 1992, que declaró el Estado de Emergencia Económica y Social. En esa sentencia se consideró que el detonante de la crisis fue el evento hidrológico extremo, sin el cual esta no se habría presentado, a pesar de la existencia de otros factores, tales como los sabotajes de la guerrilla, los paros laborales, la insolvencia de las empresas, la inoperatividad del parque térmico y la debilidad de la estructura energética, que dependía en un 78% de la generación hidráulica.</w:t>
      </w:r>
    </w:p>
    <w:p w14:paraId="5BB75AB3" w14:textId="77777777" w:rsidR="002C6BDF" w:rsidRPr="006769C7" w:rsidRDefault="002C6BDF" w:rsidP="006769C7">
      <w:pPr>
        <w:spacing w:line="276" w:lineRule="auto"/>
        <w:ind w:right="-15"/>
        <w:jc w:val="both"/>
        <w:rPr>
          <w:rFonts w:ascii="Arial" w:hAnsi="Arial" w:cs="Arial"/>
          <w:b/>
          <w:sz w:val="24"/>
          <w:szCs w:val="24"/>
        </w:rPr>
      </w:pPr>
    </w:p>
    <w:p w14:paraId="241F7DD0"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r w:rsidRPr="006769C7">
        <w:rPr>
          <w:rFonts w:ascii="Arial" w:hAnsi="Arial" w:cs="Arial"/>
          <w:sz w:val="24"/>
          <w:szCs w:val="24"/>
        </w:rPr>
        <w:t xml:space="preserve">3.3. El Ministerio de Minas y Energía remitió al </w:t>
      </w:r>
      <w:r w:rsidRPr="006769C7">
        <w:rPr>
          <w:rFonts w:ascii="Arial" w:hAnsi="Arial" w:cs="Arial"/>
          <w:i/>
          <w:sz w:val="24"/>
          <w:szCs w:val="24"/>
        </w:rPr>
        <w:t>a quo</w:t>
      </w:r>
      <w:r w:rsidRPr="006769C7">
        <w:rPr>
          <w:rFonts w:ascii="Arial" w:hAnsi="Arial" w:cs="Arial"/>
          <w:sz w:val="24"/>
          <w:szCs w:val="24"/>
        </w:rPr>
        <w:t xml:space="preserve"> copia de las actas del Comité Directivo de Operación, correspondientes al decreto del racionamiento, seguimiento y terminación, celebradas entre el 20 de febrero de 1992 y el 1º de abril de 1993 (f. 19-95 c-2). En la reunión de 20 de febrero de 1992 se recomendó continuar con las campañas que se venían adelantando sobre el uso racional de la energía e informar a la opinión pública que el racionamiento tenía como causas la intensa sequía y los conflictos de orden laboral que se habían presentado en varias empresas del sistema. </w:t>
      </w:r>
    </w:p>
    <w:p w14:paraId="672A66E8" w14:textId="77777777" w:rsidR="002C6BDF" w:rsidRPr="006769C7" w:rsidRDefault="002C6BDF" w:rsidP="006769C7">
      <w:pPr>
        <w:spacing w:line="276" w:lineRule="auto"/>
        <w:ind w:right="-15"/>
        <w:jc w:val="both"/>
        <w:rPr>
          <w:rFonts w:ascii="Arial" w:hAnsi="Arial" w:cs="Arial"/>
          <w:b/>
          <w:sz w:val="24"/>
          <w:szCs w:val="24"/>
        </w:rPr>
      </w:pPr>
    </w:p>
    <w:p w14:paraId="60BAC405"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r w:rsidRPr="006769C7">
        <w:rPr>
          <w:rFonts w:ascii="Arial" w:hAnsi="Arial" w:cs="Arial"/>
          <w:sz w:val="24"/>
          <w:szCs w:val="24"/>
        </w:rPr>
        <w:t>3.4. En el concepto rendido por el experto contratado por la Procuraduría Primera Delegada para la Vigilancia Administrativa, en el proceso disciplinario adelantado contra funcionarios de ISA (f. 1-18 c-2)</w:t>
      </w:r>
      <w:r w:rsidRPr="006769C7">
        <w:rPr>
          <w:rStyle w:val="Refdenotaalpie"/>
          <w:rFonts w:ascii="Arial" w:hAnsi="Arial" w:cs="Arial"/>
          <w:sz w:val="24"/>
          <w:szCs w:val="24"/>
        </w:rPr>
        <w:footnoteReference w:id="10"/>
      </w:r>
      <w:r w:rsidRPr="006769C7">
        <w:rPr>
          <w:rFonts w:ascii="Arial" w:hAnsi="Arial" w:cs="Arial"/>
          <w:sz w:val="24"/>
          <w:szCs w:val="24"/>
        </w:rPr>
        <w:t xml:space="preserve">, destacó que el sistema eléctrico del país </w:t>
      </w:r>
      <w:r w:rsidRPr="006769C7">
        <w:rPr>
          <w:rFonts w:ascii="Arial" w:hAnsi="Arial" w:cs="Arial"/>
          <w:sz w:val="24"/>
          <w:szCs w:val="24"/>
        </w:rPr>
        <w:lastRenderedPageBreak/>
        <w:t xml:space="preserve">dependía en un altísimo porcentaje del componente hidráulico, por lo que en los períodos de intenso verano podía presentarse una crisis, como en efecto ocurrió en el año 1992, año en el que se registró la situación hidrológica más crítica registrada hasta ese momento en el país, por lo que aún adoptando todas las medidas preventivas posibles, igual hubiera ocurrido el racionamiento; solo el 15% del sistema, compuesto por los embalses de Peñol y agregado de Bogotá tenían capacidad de regulación, los cuales constituían la única reserva real del sistema; aunque advirtió que el sistema agregado de Bogotá tenía muchas restricciones, además de que el abastecimiento de la capital era su prioridad, por lo que en verdad no podía ser considerado como una reserva real del sistema. En cuanto al Peñol, señaló que, si bien su capacidad de almacenamiento era muy alta, su capacidad de generación era muy baja, por lo que podía contarse con cantidad de agua suficiente, que sin embargo, no podía utilizarse para generar energía, por su limitada capacidad de diseñar un sistema con una confiabilidad del 100%, porque sería extraordinariamente costoso para el país, y que se había establecido que el fenómeno del Niño tardaba 3 meses en llegar al país, luego de su ocurrencia en el océano Pacífico, pero no era posible predecir su impacto sobre la hidrología, dado que fenómenos grandes, en sentido climático, habían tenido efectos moderados en la hidrología y, viceversa, así, el fenómeno del Niño del 91-92 tuvo efectos muy críticos sobre la hidrología colombiana y, sin embargo, no fue un fenómeno fuerte, en el sentido climático: </w:t>
      </w:r>
    </w:p>
    <w:p w14:paraId="77FEE9AD"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p>
    <w:p w14:paraId="09578757"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r w:rsidRPr="006769C7">
        <w:rPr>
          <w:rFonts w:ascii="Arial" w:hAnsi="Arial" w:cs="Arial"/>
          <w:i/>
          <w:sz w:val="24"/>
          <w:szCs w:val="24"/>
        </w:rPr>
        <w:t xml:space="preserve">El sistema interconectado de generación de energía eléctrica nacional no ha sido diseñado para una confiabilidad del 100%. Se espera, entonces, es lo natural, que el sistema caiga en períodos cíclicos de crisis en donde no es posible el abastecimiento completo de los requerimientos (demandas) de energía eléctrica. Diseñar el sistema para una confiabilidad del 100% sería extraordinariamente costoso para el país. En el caso del sistema colombiano esto es aún más crítico debido al alto componente hidráulico del sistema (aproximadamente el 80%), de los cuales solo una pequeña cantidad tiene capacidad de regulación (aproximadamente el 15%), haciéndolo un sistema altamente vulnerable a la hidrología que se presente en un momento determinado. La </w:t>
      </w:r>
      <w:r w:rsidRPr="006769C7">
        <w:rPr>
          <w:rFonts w:ascii="Arial" w:hAnsi="Arial" w:cs="Arial"/>
          <w:i/>
          <w:sz w:val="24"/>
          <w:szCs w:val="24"/>
        </w:rPr>
        <w:lastRenderedPageBreak/>
        <w:t>hidrología que se presentó en el verano de 1991-1992 fue la más crítica registrada por el sector y aún, tomando todas las previsiones que se quisiera, hubiera ocurrido racionamiento de energía eléctrica en el país. No se está entonces cuestionando la ocurrencia o no de racionamiento en el país durante la época en qué ocurrió, sino la posibilidad de que la magnitud del racionamiento se hubiera reducido si se hubieran tomado algunas medidas oportunamente.</w:t>
      </w:r>
    </w:p>
    <w:p w14:paraId="7DEFC0E2"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r w:rsidRPr="006769C7">
        <w:rPr>
          <w:rFonts w:ascii="Arial" w:hAnsi="Arial" w:cs="Arial"/>
          <w:i/>
          <w:sz w:val="24"/>
          <w:szCs w:val="24"/>
        </w:rPr>
        <w:t>(…)</w:t>
      </w:r>
    </w:p>
    <w:p w14:paraId="71C7ABB7"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r w:rsidRPr="006769C7">
        <w:rPr>
          <w:rFonts w:ascii="Arial" w:hAnsi="Arial" w:cs="Arial"/>
          <w:i/>
          <w:sz w:val="24"/>
          <w:szCs w:val="24"/>
        </w:rPr>
        <w:t>Las predicciones climáticas constituyen uno de los grandes retos para los científicos dedicados a esta disciplina. En el caso actual del arte en esta disciplina, no es posible hacer predicciones con cierta confiabilidad por más de solo unos pocos días. Pensar en predicciones acertadas por algunas semanas o algunos meses es completamente utópico.</w:t>
      </w:r>
    </w:p>
    <w:p w14:paraId="14137103"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p>
    <w:p w14:paraId="48E3385C"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r w:rsidRPr="006769C7">
        <w:rPr>
          <w:rFonts w:ascii="Arial" w:hAnsi="Arial" w:cs="Arial"/>
          <w:i/>
          <w:sz w:val="24"/>
          <w:szCs w:val="24"/>
        </w:rPr>
        <w:t xml:space="preserve">Algunas anomalías climáticas como el fenómeno del Niño han sido estudiadas como fenómenos climáticos globales, es decir, como fenómenos que originan en ciertos lugares de la tierra y tiene efectos muy diversos sobre otros lugares muy distantes. Debido a que su efecto sobre esos lugares muy distantes demora algún tiempo en ocurrir después de que se ha detectado su ocurrencia en el lugar de origen, es posible predecir con cierta anticipación, la ocurrencia de esos fenómenos climáticos en Colombia…Lo que sí es mucho más difícil o prácticamente imposible es definir cuál va a ser el impacto de este fenómeno sobre la hidrología del país. En el pasado, fenómenos Niño grandes (grandes en el sentido climático) han tenido un efecto benigno sobre la hidrología del país, y Niños moderados han tenido efectos muy fuertes sobre la hidrología colombiana. El fenómeno del Niño 91-92 tuvo efectos muy críticos sobre la hidrología colombiana y, sin embargo, no fue un fenómeno del Niño fuerte, en el sentido climático (temperaturas en la superficie del mar en ciertas regiones del océano pacífico o el índice de oscilación del sur). El conocimiento anticipado de la ocurrencia del fenómeno del Niño parece entonces no aportar indicaciones claras sobre la necesidad de tomar medidas de austeridad anticipadas sobre la operación del sistema interconectado de generación colombiano (…). </w:t>
      </w:r>
    </w:p>
    <w:p w14:paraId="4FF60B12"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p>
    <w:p w14:paraId="2D138FBA" w14:textId="77777777" w:rsidR="002C6BDF" w:rsidRPr="006769C7" w:rsidRDefault="002C6BDF" w:rsidP="006769C7">
      <w:pPr>
        <w:spacing w:line="276" w:lineRule="auto"/>
        <w:ind w:right="-15"/>
        <w:jc w:val="both"/>
        <w:rPr>
          <w:rFonts w:ascii="Arial" w:hAnsi="Arial" w:cs="Arial"/>
          <w:sz w:val="24"/>
          <w:szCs w:val="24"/>
        </w:rPr>
      </w:pPr>
    </w:p>
    <w:p w14:paraId="627D9268"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3.5. Mediante Resolución 216 de 1994 (f. 8-635 c-8), la Procuraduría General de la Nación absolvió a los funcionarios investigados, de los cargos que se les había imputado en relación con el déficit del suministro de energía, a partir del 2 de marzo de 1992</w:t>
      </w:r>
      <w:r w:rsidRPr="006769C7">
        <w:rPr>
          <w:rStyle w:val="Refdenotaalpie"/>
          <w:rFonts w:ascii="Arial" w:hAnsi="Arial" w:cs="Arial"/>
          <w:sz w:val="24"/>
          <w:szCs w:val="24"/>
        </w:rPr>
        <w:footnoteReference w:id="11"/>
      </w:r>
      <w:r w:rsidRPr="006769C7">
        <w:rPr>
          <w:rFonts w:ascii="Arial" w:hAnsi="Arial" w:cs="Arial"/>
          <w:sz w:val="24"/>
          <w:szCs w:val="24"/>
        </w:rPr>
        <w:t xml:space="preserve">. Se señaló en ese acto que dicha investigación se había iniciado a petición del Presidente de la República y que en esta se contó con los informes presentados por la Comisión Quinta del Senado, la Contraloría General y la Comisión Evaluadora de la Situación Eléctrica y sus Perspectivas, pero que después de agotar la etapa </w:t>
      </w:r>
      <w:r w:rsidRPr="006769C7">
        <w:rPr>
          <w:rFonts w:ascii="Arial" w:hAnsi="Arial" w:cs="Arial"/>
          <w:sz w:val="24"/>
          <w:szCs w:val="24"/>
        </w:rPr>
        <w:lastRenderedPageBreak/>
        <w:t xml:space="preserve">probatoria, se llegó a la conclusión de que no existían evidencias que mostraran negligencia de los investigados en el cumplimiento de sus funciones. Las fallas estructurales diluían la </w:t>
      </w:r>
      <w:r w:rsidRPr="006769C7">
        <w:rPr>
          <w:rStyle w:val="nfasis"/>
          <w:rFonts w:ascii="Arial" w:hAnsi="Arial" w:cs="Arial"/>
          <w:i w:val="0"/>
          <w:sz w:val="24"/>
          <w:szCs w:val="24"/>
        </w:rPr>
        <w:t>responsabilidad</w:t>
      </w:r>
      <w:r w:rsidRPr="006769C7">
        <w:rPr>
          <w:rFonts w:ascii="Arial" w:hAnsi="Arial" w:cs="Arial"/>
          <w:i/>
          <w:sz w:val="24"/>
          <w:szCs w:val="24"/>
        </w:rPr>
        <w:t xml:space="preserve"> </w:t>
      </w:r>
      <w:r w:rsidRPr="006769C7">
        <w:rPr>
          <w:rFonts w:ascii="Arial" w:hAnsi="Arial" w:cs="Arial"/>
          <w:sz w:val="24"/>
          <w:szCs w:val="24"/>
        </w:rPr>
        <w:t xml:space="preserve">de los funcionarios. </w:t>
      </w:r>
    </w:p>
    <w:p w14:paraId="066696B2" w14:textId="77777777" w:rsidR="002C6BDF" w:rsidRPr="006769C7" w:rsidRDefault="002C6BDF" w:rsidP="006769C7">
      <w:pPr>
        <w:spacing w:line="276" w:lineRule="auto"/>
        <w:ind w:right="-15"/>
        <w:jc w:val="both"/>
        <w:rPr>
          <w:rFonts w:ascii="Arial" w:hAnsi="Arial" w:cs="Arial"/>
          <w:b/>
          <w:sz w:val="24"/>
          <w:szCs w:val="24"/>
        </w:rPr>
      </w:pPr>
    </w:p>
    <w:p w14:paraId="28AFE842"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También señaló que para la época de los hechos, el Sector Eléctrico Colombiano se encontraba conformado por una serie de entidades de distinta naturaleza. A la cabeza estaba el Gobierno Nacional, representado por el Ministerio de Minas y Energía, el Departamento Nacional de Planeación, el Ministerio de Hacienda y Crédito Público, la Comisión Nacional de Energía, la Financiera Energética Nacional, entre otras. Y por el sector regional, las Empresas Públicas de Medellín, la Empresa de Energía de Bogotá, la Corporación Autónoma Regional del Cauca, el Instituto Colombiano de Energía Eléctrica, la Corporación Eléctrica de la Costa Atlántica, y la Central Hidroeléctrica de Caldas, las cuales se integraron a través del Sistema Integrado Nacional –SIN. </w:t>
      </w:r>
    </w:p>
    <w:p w14:paraId="7F6DEB4A" w14:textId="77777777" w:rsidR="002C6BDF" w:rsidRPr="006769C7" w:rsidRDefault="002C6BDF" w:rsidP="006769C7">
      <w:pPr>
        <w:spacing w:line="276" w:lineRule="auto"/>
        <w:ind w:right="-15"/>
        <w:jc w:val="both"/>
        <w:rPr>
          <w:rFonts w:ascii="Arial" w:hAnsi="Arial" w:cs="Arial"/>
          <w:sz w:val="24"/>
          <w:szCs w:val="24"/>
        </w:rPr>
      </w:pPr>
    </w:p>
    <w:p w14:paraId="36E86261"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Para el planeamiento del sector, se creó la empresa Interconexión Eléctrica S.A. ISA, vinculada al Ministerio de Minas y Energía, como una sociedad anónima, cuyos socios, hasta el mes de octubre de 1991, eran las empresas mencionadas, pero a partir de ese mes, el Gobierno Nacional entró como accionista mayoritario. Esa entidad tenía, entre sus funciones, las de </w:t>
      </w:r>
      <w:r w:rsidRPr="006769C7">
        <w:rPr>
          <w:rFonts w:ascii="Arial" w:hAnsi="Arial" w:cs="Arial"/>
          <w:i/>
          <w:sz w:val="24"/>
          <w:szCs w:val="24"/>
        </w:rPr>
        <w:t>“coordinar la operación integrada del SIN para planear la expansión de la generación y la trasmisión, en un contexto nacional y para construir y operar los proyectos de generación que requirieran el esfuerzo conjunto de las empresas generadoras”.</w:t>
      </w:r>
    </w:p>
    <w:p w14:paraId="0C12FDAE" w14:textId="77777777" w:rsidR="002C6BDF" w:rsidRPr="006769C7" w:rsidRDefault="002C6BDF" w:rsidP="006769C7">
      <w:pPr>
        <w:spacing w:line="276" w:lineRule="auto"/>
        <w:ind w:right="-15"/>
        <w:jc w:val="both"/>
        <w:rPr>
          <w:rFonts w:ascii="Arial" w:hAnsi="Arial" w:cs="Arial"/>
          <w:b/>
          <w:sz w:val="24"/>
          <w:szCs w:val="24"/>
        </w:rPr>
      </w:pPr>
    </w:p>
    <w:p w14:paraId="4F9AB8E7"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Se concluyó en dicho acto que el racionamiento había obedecido a (i) causas coyunturales, fundamentalmente, la severa sequía presentada a finales de 1991 y durante 1992; (ii) causas estructurales, y (iii) fallas institucionales, que se concretaron así: </w:t>
      </w:r>
    </w:p>
    <w:p w14:paraId="7DB454B3" w14:textId="77777777" w:rsidR="002C6BDF" w:rsidRPr="006769C7" w:rsidRDefault="002C6BDF" w:rsidP="006769C7">
      <w:pPr>
        <w:spacing w:line="276" w:lineRule="auto"/>
        <w:ind w:right="-15"/>
        <w:jc w:val="both"/>
        <w:rPr>
          <w:rFonts w:ascii="Arial" w:hAnsi="Arial" w:cs="Arial"/>
          <w:sz w:val="24"/>
          <w:szCs w:val="24"/>
        </w:rPr>
      </w:pPr>
    </w:p>
    <w:p w14:paraId="0A224E9E" w14:textId="77777777" w:rsidR="002C6BDF" w:rsidRPr="006769C7" w:rsidRDefault="002C6BDF" w:rsidP="006769C7">
      <w:pPr>
        <w:spacing w:line="276" w:lineRule="auto"/>
        <w:ind w:right="-15"/>
        <w:jc w:val="both"/>
        <w:rPr>
          <w:rFonts w:ascii="Arial" w:hAnsi="Arial" w:cs="Arial"/>
          <w:i/>
          <w:sz w:val="24"/>
          <w:szCs w:val="24"/>
        </w:rPr>
      </w:pPr>
      <w:r w:rsidRPr="006769C7">
        <w:rPr>
          <w:rFonts w:ascii="Arial" w:hAnsi="Arial" w:cs="Arial"/>
          <w:sz w:val="24"/>
          <w:szCs w:val="24"/>
        </w:rPr>
        <w:t>(i) Causas coyunturales:</w:t>
      </w:r>
    </w:p>
    <w:p w14:paraId="612EB2FA" w14:textId="77777777" w:rsidR="002C6BDF" w:rsidRPr="006769C7" w:rsidRDefault="002C6BDF" w:rsidP="006769C7">
      <w:pPr>
        <w:spacing w:line="276" w:lineRule="auto"/>
        <w:ind w:right="-15"/>
        <w:jc w:val="both"/>
        <w:rPr>
          <w:rFonts w:ascii="Arial" w:hAnsi="Arial" w:cs="Arial"/>
          <w:sz w:val="24"/>
          <w:szCs w:val="24"/>
        </w:rPr>
      </w:pPr>
    </w:p>
    <w:p w14:paraId="579507C5" w14:textId="77777777" w:rsidR="002C6BDF" w:rsidRPr="006769C7" w:rsidRDefault="002C6BDF" w:rsidP="006769C7">
      <w:pPr>
        <w:spacing w:line="276" w:lineRule="auto"/>
        <w:ind w:right="-15"/>
        <w:jc w:val="both"/>
        <w:rPr>
          <w:rFonts w:ascii="Arial" w:hAnsi="Arial" w:cs="Arial"/>
          <w:b/>
          <w:i/>
          <w:sz w:val="24"/>
          <w:szCs w:val="24"/>
        </w:rPr>
      </w:pPr>
      <w:r w:rsidRPr="006769C7">
        <w:rPr>
          <w:rFonts w:ascii="Arial" w:hAnsi="Arial" w:cs="Arial"/>
          <w:sz w:val="24"/>
          <w:szCs w:val="24"/>
        </w:rPr>
        <w:t xml:space="preserve">-La hidrología. El sistema eléctrico tenía un componente hidráulico del 78% y un componente térmico del 22% de la capacidad de generación, lo que lo hacía extremadamente vulnerable al comportamiento de la hidrología. El déficit energético del país se debió esencialmente a la dramática ausencia de lluvias en el país en los años 1991 y 1992, jamás registrados en la historia estadística del SIN. Se concluyó en ese punto que: </w:t>
      </w:r>
      <w:r w:rsidRPr="006769C7">
        <w:rPr>
          <w:rFonts w:ascii="Arial" w:hAnsi="Arial" w:cs="Arial"/>
          <w:i/>
          <w:sz w:val="24"/>
          <w:szCs w:val="24"/>
        </w:rPr>
        <w:t xml:space="preserve">“Exigir un sistema más confiable y amparado contra riesgos de hidrología como los que se presentaron, implica mayores inversiones en generación que se traduce en la construcción de embalses y más plantas de generación, con exagerados sobrecostos para los usuarios, quienes, obviamente, deben pagar tarifas superiores por el suministro de energía, a fin de hacer costeables las inversiones”. </w:t>
      </w:r>
    </w:p>
    <w:p w14:paraId="0B580070" w14:textId="77777777" w:rsidR="002C6BDF" w:rsidRPr="006769C7" w:rsidRDefault="002C6BDF" w:rsidP="006769C7">
      <w:pPr>
        <w:spacing w:line="276" w:lineRule="auto"/>
        <w:ind w:right="-15"/>
        <w:jc w:val="both"/>
        <w:rPr>
          <w:rFonts w:ascii="Arial" w:hAnsi="Arial" w:cs="Arial"/>
          <w:b/>
          <w:sz w:val="24"/>
          <w:szCs w:val="24"/>
        </w:rPr>
      </w:pPr>
    </w:p>
    <w:p w14:paraId="4A15836E"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-Reducción de la disponibilidad térmica. La operación del sistema se planeó con una disponibilidad de plantas térmicas equivalente al 75%; sin embargo, esta se vio reducida súbitamente al 64%, por insuficiencia en el suministro de combustible y, especialmente, por los problemas laborales que se presentaron en la Corporación Eléctrica de la Costa Atlántica- CORELCA, el Instituto Colombiano de Energía </w:t>
      </w:r>
      <w:r w:rsidRPr="006769C7">
        <w:rPr>
          <w:rFonts w:ascii="Arial" w:hAnsi="Arial" w:cs="Arial"/>
          <w:sz w:val="24"/>
          <w:szCs w:val="24"/>
        </w:rPr>
        <w:lastRenderedPageBreak/>
        <w:t xml:space="preserve">Eléctrica-ICEL, la Empresa de Energía de Bogotá EEB, responsables de la mayor generación térmica. </w:t>
      </w:r>
      <w:r w:rsidRPr="006769C7">
        <w:rPr>
          <w:rFonts w:ascii="Arial" w:hAnsi="Arial" w:cs="Arial"/>
          <w:i/>
          <w:sz w:val="24"/>
          <w:szCs w:val="24"/>
        </w:rPr>
        <w:t>“La disponibilidad o capacidad esperada es una proyección que tiene, indiscutiblemente, cierto grado de incertidumbre, ya que depende del cumplimiento de los programas de mantenimiento de las plantas, estimados con anticipación, de la disponibilidad de combustibles, del recurso económico, imposibles de prever con suficiente anticipación”.</w:t>
      </w:r>
      <w:r w:rsidRPr="006769C7">
        <w:rPr>
          <w:rFonts w:ascii="Arial" w:hAnsi="Arial" w:cs="Arial"/>
          <w:sz w:val="24"/>
          <w:szCs w:val="24"/>
        </w:rPr>
        <w:t xml:space="preserve"> </w:t>
      </w:r>
    </w:p>
    <w:p w14:paraId="365FFC63" w14:textId="77777777" w:rsidR="002C6BDF" w:rsidRPr="006769C7" w:rsidRDefault="002C6BDF" w:rsidP="006769C7">
      <w:pPr>
        <w:spacing w:line="276" w:lineRule="auto"/>
        <w:ind w:right="-15"/>
        <w:jc w:val="both"/>
        <w:rPr>
          <w:rFonts w:ascii="Arial" w:hAnsi="Arial" w:cs="Arial"/>
          <w:b/>
          <w:sz w:val="24"/>
          <w:szCs w:val="24"/>
        </w:rPr>
      </w:pPr>
    </w:p>
    <w:p w14:paraId="1B622B3F"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-Atentados terroristas. Durante el año 1991 y los primeros meses de 1992, numerosos atentados terroristas al sistema de trasmisión impidieron la normal operación del sistema de generación, lo cual impidió la generación térmica, forzando así el aumento de las descargas en los embalses.</w:t>
      </w:r>
    </w:p>
    <w:p w14:paraId="2021DC17" w14:textId="77777777" w:rsidR="002C6BDF" w:rsidRPr="006769C7" w:rsidRDefault="002C6BDF" w:rsidP="006769C7">
      <w:pPr>
        <w:spacing w:line="276" w:lineRule="auto"/>
        <w:ind w:right="-15"/>
        <w:jc w:val="both"/>
        <w:rPr>
          <w:rFonts w:ascii="Arial" w:hAnsi="Arial" w:cs="Arial"/>
          <w:sz w:val="24"/>
          <w:szCs w:val="24"/>
        </w:rPr>
      </w:pPr>
    </w:p>
    <w:p w14:paraId="4E052DC7"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-Problemas laborales. Los problemas laborales presentados en el sector eléctrico, especialmente, los ocurridos en los últimos meses de diciembre de 1991 y los primeros de 1992 fueron graves y afectaron incuestionablemente la prestación del servicio de energía eléctrica. Se presentaron sabotajes contra las plantas térmicas, brazos caídos, operación tortuga, etc. </w:t>
      </w:r>
    </w:p>
    <w:p w14:paraId="37BA19D0" w14:textId="77777777" w:rsidR="002C6BDF" w:rsidRPr="006769C7" w:rsidRDefault="002C6BDF" w:rsidP="006769C7">
      <w:pPr>
        <w:spacing w:line="276" w:lineRule="auto"/>
        <w:ind w:right="-15"/>
        <w:jc w:val="both"/>
        <w:rPr>
          <w:rFonts w:ascii="Arial" w:hAnsi="Arial" w:cs="Arial"/>
          <w:sz w:val="24"/>
          <w:szCs w:val="24"/>
        </w:rPr>
      </w:pPr>
    </w:p>
    <w:p w14:paraId="797D1754" w14:textId="77777777" w:rsidR="002C6BDF" w:rsidRPr="006769C7" w:rsidRDefault="002C6BDF" w:rsidP="006769C7">
      <w:pPr>
        <w:spacing w:line="276" w:lineRule="auto"/>
        <w:ind w:right="-15"/>
        <w:jc w:val="both"/>
        <w:rPr>
          <w:rFonts w:ascii="Arial" w:hAnsi="Arial" w:cs="Arial"/>
          <w:i/>
          <w:sz w:val="24"/>
          <w:szCs w:val="24"/>
        </w:rPr>
      </w:pPr>
      <w:r w:rsidRPr="006769C7">
        <w:rPr>
          <w:rFonts w:ascii="Arial" w:hAnsi="Arial" w:cs="Arial"/>
          <w:sz w:val="24"/>
          <w:szCs w:val="24"/>
        </w:rPr>
        <w:t xml:space="preserve">-Demanda de energía superior a la proyectada. La demanda de energía en el lapso comprendido entre mayo de 1991 y febrero de 1992 fue superior a la esperada en 470 Gwh. </w:t>
      </w:r>
      <w:r w:rsidRPr="006769C7">
        <w:rPr>
          <w:rFonts w:ascii="Arial" w:hAnsi="Arial" w:cs="Arial"/>
          <w:i/>
          <w:sz w:val="24"/>
          <w:szCs w:val="24"/>
        </w:rPr>
        <w:t xml:space="preserve">“Si bien, el sector contaba con modelos econométricos para la proyección de demanda, no puede desconocerse la dificultad para hacer proyecciones confiables de los principales indicadores económicos, lo que conduce a derivaciones que en ocasiones hacen ver períodos de sobreinstalación y excedentes de energía y, en otras, períodos de racionamiento, con los consecuentes problemas que ambas circunstancias traen para la economía”.   </w:t>
      </w:r>
    </w:p>
    <w:p w14:paraId="4EF4D864" w14:textId="77777777" w:rsidR="002C6BDF" w:rsidRPr="006769C7" w:rsidRDefault="002C6BDF" w:rsidP="006769C7">
      <w:pPr>
        <w:spacing w:line="276" w:lineRule="auto"/>
        <w:ind w:right="-15"/>
        <w:jc w:val="both"/>
        <w:rPr>
          <w:rFonts w:ascii="Arial" w:hAnsi="Arial" w:cs="Arial"/>
          <w:i/>
          <w:sz w:val="24"/>
          <w:szCs w:val="24"/>
        </w:rPr>
      </w:pPr>
    </w:p>
    <w:p w14:paraId="221E5D4E"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-Costos de racionamiento. </w:t>
      </w:r>
      <w:r w:rsidRPr="006769C7">
        <w:rPr>
          <w:rFonts w:ascii="Arial" w:hAnsi="Arial" w:cs="Arial"/>
          <w:i/>
          <w:sz w:val="24"/>
          <w:szCs w:val="24"/>
        </w:rPr>
        <w:t>“El incremento del costo de racionamiento a su valor económico a partir de diciembre de 1990 hubiera hecho operar en forma más conservadora los recursos hidráulicos, y haber embalsado unos 100 Gwh, adicionales, suma insignificante frente al total racionado de 6122 Gwh, que si bien eran importantes para el país, su no incremento aparece justificado por impacto comercial que su aumento significaba para algunas empresas del sector, por la falta de reciprocidad entre lo que cuesta generar un Kw y lo que se le cobra al usuario final”.</w:t>
      </w:r>
      <w:r w:rsidRPr="006769C7">
        <w:rPr>
          <w:rFonts w:ascii="Arial" w:hAnsi="Arial" w:cs="Arial"/>
          <w:sz w:val="24"/>
          <w:szCs w:val="24"/>
        </w:rPr>
        <w:t xml:space="preserve"> </w:t>
      </w:r>
    </w:p>
    <w:p w14:paraId="01EE3F2C" w14:textId="77777777" w:rsidR="002C6BDF" w:rsidRPr="006769C7" w:rsidRDefault="002C6BDF" w:rsidP="006769C7">
      <w:pPr>
        <w:spacing w:line="276" w:lineRule="auto"/>
        <w:ind w:right="-15"/>
        <w:jc w:val="both"/>
        <w:rPr>
          <w:rFonts w:ascii="Arial" w:hAnsi="Arial" w:cs="Arial"/>
          <w:sz w:val="24"/>
          <w:szCs w:val="24"/>
        </w:rPr>
      </w:pPr>
    </w:p>
    <w:p w14:paraId="2BFA398D"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(ii) Causas estructurales</w:t>
      </w:r>
    </w:p>
    <w:p w14:paraId="397EA367" w14:textId="77777777" w:rsidR="002C6BDF" w:rsidRPr="006769C7" w:rsidRDefault="002C6BDF" w:rsidP="006769C7">
      <w:pPr>
        <w:spacing w:line="276" w:lineRule="auto"/>
        <w:ind w:right="-15"/>
        <w:jc w:val="both"/>
        <w:rPr>
          <w:rFonts w:ascii="Arial" w:hAnsi="Arial" w:cs="Arial"/>
          <w:sz w:val="24"/>
          <w:szCs w:val="24"/>
        </w:rPr>
      </w:pPr>
    </w:p>
    <w:p w14:paraId="4A4F7458"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-Retraso en la entrada en operación de los proyectos eléctricos del Guavio y Río Grande II. La entrada en operación de la Central Hidroeléctrica del Guavio fue de 6 años. De haber estado disponible, hubiera generado 4.800 Gwh aproximadamente. La entidad responsable de su construcción fue la Empresa de Energía de Bogotá. Las principales causas de su atraso fueron: retraso en la consecución de créditos, por la indefinición de la propiedad del proyecto; problemas administrativos, financieros y de gestión de la empresa responsable de la ejecución del proyecto; la no adquisición oportuna de los predios necesarios para la construcción del proyecto; cambios en los diseños, demoras, reprogramación y otros hechos que causaron un gran impacto financiero en el proyecto; alta rotación en la dirección del proyecto, y </w:t>
      </w:r>
      <w:r w:rsidRPr="006769C7">
        <w:rPr>
          <w:rFonts w:ascii="Arial" w:hAnsi="Arial" w:cs="Arial"/>
          <w:sz w:val="24"/>
          <w:szCs w:val="24"/>
        </w:rPr>
        <w:lastRenderedPageBreak/>
        <w:t xml:space="preserve">reprogramación del proyecto por parte del CONPES, en 1986. En cuanto a la Central de Río Grande II o La Tasajera, de cuya construcción era responsable Empresas Públicas de Medellín, su fecha de entrada en operación se retrasó en dos años y medio. De haber podido operar para el verano de 1991-1992, hubiera generado una media anual de 1900 Gwh. Las principales causas de su atraso fueron la prolongación del proceso de licitación de las turbinas y generadores y la pérdida de la prórroga de la oferta financiera por parte de las entidades prestamistas, que eran los mismos proveedores de los equipos. </w:t>
      </w:r>
    </w:p>
    <w:p w14:paraId="652F2A36" w14:textId="77777777" w:rsidR="002C6BDF" w:rsidRPr="006769C7" w:rsidRDefault="002C6BDF" w:rsidP="006769C7">
      <w:pPr>
        <w:spacing w:line="276" w:lineRule="auto"/>
        <w:ind w:right="-15"/>
        <w:jc w:val="both"/>
        <w:rPr>
          <w:rFonts w:ascii="Arial" w:hAnsi="Arial" w:cs="Arial"/>
          <w:sz w:val="24"/>
          <w:szCs w:val="24"/>
        </w:rPr>
      </w:pPr>
    </w:p>
    <w:p w14:paraId="5D733614"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-Demora en el programa de recuperación de unidades de generación. Ante el posible déficit que se preveía para los años 1991, 1992 y 1993, ISA aprobó durante los años 1988 y 1989 iniciar en el sector un plan de recuperación de unidades –PRU-, debido a que algunas unidades de generación del sistema no tenían disponible toda su capacidad instalada, o se encontraban totalmente fuera de servicio. No obstante, ese plan no fue posible llevarlo a cabo, como se había previsto, porque las empresas comprometidas no actuaban en forma autónoma en la obtención de recursos financieros y de crédito para esa clase de programas, sino que dependían del Gobierno Nacional.</w:t>
      </w:r>
    </w:p>
    <w:p w14:paraId="27EE7CA7" w14:textId="77777777" w:rsidR="002C6BDF" w:rsidRPr="006769C7" w:rsidRDefault="002C6BDF" w:rsidP="006769C7">
      <w:pPr>
        <w:spacing w:line="276" w:lineRule="auto"/>
        <w:ind w:right="-15"/>
        <w:jc w:val="both"/>
        <w:rPr>
          <w:rFonts w:ascii="Arial" w:hAnsi="Arial" w:cs="Arial"/>
          <w:sz w:val="24"/>
          <w:szCs w:val="24"/>
        </w:rPr>
      </w:pPr>
    </w:p>
    <w:p w14:paraId="0330CEEA"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(iii) Fallas institucionales</w:t>
      </w:r>
    </w:p>
    <w:p w14:paraId="027E9BFC" w14:textId="77777777" w:rsidR="002C6BDF" w:rsidRPr="006769C7" w:rsidRDefault="002C6BDF" w:rsidP="006769C7">
      <w:pPr>
        <w:spacing w:line="276" w:lineRule="auto"/>
        <w:ind w:right="-15"/>
        <w:jc w:val="both"/>
        <w:rPr>
          <w:rFonts w:ascii="Arial" w:hAnsi="Arial" w:cs="Arial"/>
          <w:sz w:val="24"/>
          <w:szCs w:val="24"/>
        </w:rPr>
      </w:pPr>
    </w:p>
    <w:p w14:paraId="4E32D622" w14:textId="77777777" w:rsidR="002C6BDF" w:rsidRPr="006769C7" w:rsidRDefault="002C6BDF" w:rsidP="006769C7">
      <w:pPr>
        <w:spacing w:line="276" w:lineRule="auto"/>
        <w:ind w:right="-15"/>
        <w:jc w:val="both"/>
        <w:rPr>
          <w:rFonts w:ascii="Arial" w:hAnsi="Arial" w:cs="Arial"/>
          <w:i/>
          <w:sz w:val="24"/>
          <w:szCs w:val="24"/>
        </w:rPr>
      </w:pPr>
      <w:r w:rsidRPr="006769C7">
        <w:rPr>
          <w:rFonts w:ascii="Arial" w:hAnsi="Arial" w:cs="Arial"/>
          <w:sz w:val="24"/>
          <w:szCs w:val="24"/>
        </w:rPr>
        <w:t xml:space="preserve">-Carencia de una estructura técnica en el Ministerio de Minas y Energía, que le permitiera acceso a la operación del sistema y así pudiera detectar fallas posibles en la operación, para buscar los mecanismos que garantizaran la prestación del servicio, en vez de quedar supeditado a las decisiones que tomaran los organismos del sector eléctrico. </w:t>
      </w:r>
      <w:r w:rsidRPr="006769C7">
        <w:rPr>
          <w:rFonts w:ascii="Arial" w:hAnsi="Arial" w:cs="Arial"/>
          <w:i/>
          <w:sz w:val="24"/>
          <w:szCs w:val="24"/>
        </w:rPr>
        <w:t xml:space="preserve">“La crisis energética ciertamente dejó en evidencia que el Estado tiene grandes debilidades institucionales en el planteamiento y control del sector, pues no aparece claro que si en las etapas de planeamiento del Sistema Integrado Nacional se atienden las recomendaciones que los planeadores del sector hacen en cuanto a la estrategia de inversiones en programas de generación para atender la demanda futura de energía y estos son aprobados en los planes de expansión, posteriormente, por razones de diversa índole y muy discutibles, que generalmente no toman en consideración las variables aleatorias que conforme al Acuerdo Reglamentario juegan papel importante en la operación del SIN, como la baja en las proyecciones de la demanda, etc., se modifican dando lugar a recortes financieros y reprogramaciones que necesariamente modifican desfavorablemente la generación de energía que se había previsto para satisfacer la demanda proyectada, con el advenimiento de sobrecostos de todo tipo, por los mencionados aplazamientos”.    </w:t>
      </w:r>
    </w:p>
    <w:p w14:paraId="0F4DC10C" w14:textId="77777777" w:rsidR="002C6BDF" w:rsidRPr="006769C7" w:rsidRDefault="002C6BDF" w:rsidP="006769C7">
      <w:pPr>
        <w:spacing w:line="276" w:lineRule="auto"/>
        <w:ind w:right="-15"/>
        <w:jc w:val="both"/>
        <w:rPr>
          <w:rFonts w:ascii="Arial" w:hAnsi="Arial" w:cs="Arial"/>
          <w:b/>
          <w:sz w:val="24"/>
          <w:szCs w:val="24"/>
        </w:rPr>
      </w:pPr>
    </w:p>
    <w:p w14:paraId="34F3AE5F"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-Déficit presupuestal. Hubo falta de decisión política para darle al sistema el flujo de recursos financieros que demandaba; se presentaron recortes presupuestales considerables para inversión y mantenimiento de las plantas, así como para el trámite y otorgamiento de garantías para los créditos. Todo esto, agregado a la situación deficitaria en la que se encontraban las empresas del sector. </w:t>
      </w:r>
    </w:p>
    <w:p w14:paraId="03753128" w14:textId="77777777" w:rsidR="002C6BDF" w:rsidRPr="006769C7" w:rsidRDefault="002C6BDF" w:rsidP="006769C7">
      <w:pPr>
        <w:spacing w:line="276" w:lineRule="auto"/>
        <w:ind w:right="-15"/>
        <w:jc w:val="both"/>
        <w:rPr>
          <w:rFonts w:ascii="Arial" w:hAnsi="Arial" w:cs="Arial"/>
          <w:sz w:val="24"/>
          <w:szCs w:val="24"/>
        </w:rPr>
      </w:pPr>
    </w:p>
    <w:p w14:paraId="41EB7950"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-Conflicto de intereses. El hecho de que en las instancias, en las cuales se tomaban las decisiones más importantes del sector coexistieran intereses empresariales, </w:t>
      </w:r>
      <w:r w:rsidRPr="006769C7">
        <w:rPr>
          <w:rFonts w:ascii="Arial" w:hAnsi="Arial" w:cs="Arial"/>
          <w:sz w:val="24"/>
          <w:szCs w:val="24"/>
        </w:rPr>
        <w:lastRenderedPageBreak/>
        <w:t xml:space="preserve">regionales y nacionales, impedía que primara el interés general de la Nación, situación que solo se corrigió cuando el Estado se constituyó como socio mayoritario de ISA, a finales de 1991.  </w:t>
      </w:r>
    </w:p>
    <w:p w14:paraId="0199CB3B" w14:textId="77777777" w:rsidR="002C6BDF" w:rsidRPr="006769C7" w:rsidRDefault="002C6BDF" w:rsidP="006769C7">
      <w:pPr>
        <w:spacing w:line="276" w:lineRule="auto"/>
        <w:ind w:right="-15"/>
        <w:jc w:val="both"/>
        <w:rPr>
          <w:rFonts w:ascii="Arial" w:hAnsi="Arial" w:cs="Arial"/>
          <w:sz w:val="24"/>
          <w:szCs w:val="24"/>
        </w:rPr>
      </w:pPr>
    </w:p>
    <w:p w14:paraId="04164FC2"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-Trámites burocráticos, lo cual llevó a retardar, hasta en años, los procesos de licitación o importación, como ocurrió en la culminación de los proyectos de Guavio y Río Grande II.  </w:t>
      </w:r>
    </w:p>
    <w:p w14:paraId="66FE773A" w14:textId="77777777" w:rsidR="002C6BDF" w:rsidRPr="006769C7" w:rsidRDefault="002C6BDF" w:rsidP="006769C7">
      <w:pPr>
        <w:spacing w:line="276" w:lineRule="auto"/>
        <w:ind w:right="-15"/>
        <w:jc w:val="both"/>
        <w:rPr>
          <w:rFonts w:ascii="Arial" w:hAnsi="Arial" w:cs="Arial"/>
          <w:sz w:val="24"/>
          <w:szCs w:val="24"/>
        </w:rPr>
      </w:pPr>
    </w:p>
    <w:p w14:paraId="4B30E8C9" w14:textId="77777777" w:rsidR="002C6BDF" w:rsidRPr="006769C7" w:rsidRDefault="002C6BDF" w:rsidP="006769C7">
      <w:pPr>
        <w:spacing w:line="276" w:lineRule="auto"/>
        <w:ind w:right="-15"/>
        <w:jc w:val="both"/>
        <w:rPr>
          <w:rFonts w:ascii="Arial" w:hAnsi="Arial" w:cs="Arial"/>
          <w:i/>
          <w:sz w:val="24"/>
          <w:szCs w:val="24"/>
        </w:rPr>
      </w:pPr>
      <w:r w:rsidRPr="006769C7">
        <w:rPr>
          <w:rFonts w:ascii="Arial" w:hAnsi="Arial" w:cs="Arial"/>
          <w:sz w:val="24"/>
          <w:szCs w:val="24"/>
        </w:rPr>
        <w:t xml:space="preserve">-Rezago tarifario con respecto a los costos de prestación del servicio, no le permitían a las empresas cubrir sus gastos de funcionamiento, el servicio de la deuda y los planes de inversión. </w:t>
      </w:r>
      <w:r w:rsidRPr="006769C7">
        <w:rPr>
          <w:rFonts w:ascii="Arial" w:hAnsi="Arial" w:cs="Arial"/>
          <w:i/>
          <w:sz w:val="24"/>
          <w:szCs w:val="24"/>
        </w:rPr>
        <w:t xml:space="preserve">“Es digno de destacar en este punto la utilización incorrecta de la energía por parte de toda clase de usuarios. A vía de ejemplo, vale señalar alguno de lo cual todos somos testigos y es el derroche innecesario de energía, por lo general, en las oficinas públicas y en las horas de la noche, así mismo, ese derroche también se hace evidente en las avenidas y calles públicas de todas las ciudades y poblaciones, las cuales en el día aparecen iluminadas”. </w:t>
      </w:r>
    </w:p>
    <w:p w14:paraId="2E5F3326" w14:textId="77777777" w:rsidR="002C6BDF" w:rsidRPr="006769C7" w:rsidRDefault="002C6BDF" w:rsidP="006769C7">
      <w:pPr>
        <w:spacing w:line="276" w:lineRule="auto"/>
        <w:ind w:right="-15"/>
        <w:jc w:val="both"/>
        <w:rPr>
          <w:rFonts w:ascii="Arial" w:hAnsi="Arial" w:cs="Arial"/>
          <w:sz w:val="24"/>
          <w:szCs w:val="24"/>
        </w:rPr>
      </w:pPr>
    </w:p>
    <w:p w14:paraId="153A0143"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-Debilitamiento financiero. La devaluación masiva, acaecida en 1985, unida al aumento gradual de la cartera vencida golpeó la estabilidad de las empresas del sector. Además, las mismas entidades oficiales incumplían su obligación de cancelar de manera oportuna las deudas adquiridas por el servicio de energía, lo que repercutía negativamente en sus planes de expansión.   </w:t>
      </w:r>
    </w:p>
    <w:p w14:paraId="6D4F339D" w14:textId="77777777" w:rsidR="002C6BDF" w:rsidRPr="006769C7" w:rsidRDefault="002C6BDF" w:rsidP="006769C7">
      <w:pPr>
        <w:spacing w:line="276" w:lineRule="auto"/>
        <w:ind w:right="-15"/>
        <w:jc w:val="both"/>
        <w:rPr>
          <w:rFonts w:ascii="Arial" w:hAnsi="Arial" w:cs="Arial"/>
          <w:sz w:val="24"/>
          <w:szCs w:val="24"/>
        </w:rPr>
      </w:pPr>
    </w:p>
    <w:p w14:paraId="127C0ACB"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-Incremento de la burocracia. El aumento de los gastos de funcionamiento fue exagerado. Entre 1985 y 1990 se vincularon 2.800 empleados a las empresas ICEL y CORELCA. En esos años, se firmaron convenciones colectivas con prebendas excesivas, en perjuicio de las finanzas de las empresas. </w:t>
      </w:r>
    </w:p>
    <w:p w14:paraId="3BB6D1DB" w14:textId="77777777" w:rsidR="002C6BDF" w:rsidRPr="006769C7" w:rsidRDefault="002C6BDF" w:rsidP="006769C7">
      <w:pPr>
        <w:spacing w:line="276" w:lineRule="auto"/>
        <w:ind w:right="-15"/>
        <w:jc w:val="both"/>
        <w:rPr>
          <w:rFonts w:ascii="Arial" w:hAnsi="Arial" w:cs="Arial"/>
          <w:sz w:val="24"/>
          <w:szCs w:val="24"/>
        </w:rPr>
      </w:pPr>
    </w:p>
    <w:p w14:paraId="6F9D9CAA"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-Conformación institucional del sector. El complejo y excesivo número de entidades en las que coexistían intereses y funciones a veces incompatibles, solo se remedió con la expedición de la Ley 143 de 1994, “Ley Eléctrica”. </w:t>
      </w:r>
    </w:p>
    <w:p w14:paraId="0C902B5C" w14:textId="77777777" w:rsidR="002C6BDF" w:rsidRPr="006769C7" w:rsidRDefault="002C6BDF" w:rsidP="006769C7">
      <w:pPr>
        <w:spacing w:line="276" w:lineRule="auto"/>
        <w:ind w:right="-15"/>
        <w:jc w:val="both"/>
        <w:rPr>
          <w:rFonts w:ascii="Arial" w:hAnsi="Arial" w:cs="Arial"/>
          <w:sz w:val="24"/>
          <w:szCs w:val="24"/>
        </w:rPr>
      </w:pPr>
    </w:p>
    <w:p w14:paraId="11DC16CE" w14:textId="77777777" w:rsidR="002C6BDF" w:rsidRPr="006769C7" w:rsidRDefault="002C6BDF" w:rsidP="006769C7">
      <w:pPr>
        <w:spacing w:line="276" w:lineRule="auto"/>
        <w:ind w:right="-15"/>
        <w:jc w:val="both"/>
        <w:rPr>
          <w:rFonts w:ascii="Arial" w:hAnsi="Arial" w:cs="Arial"/>
          <w:i/>
          <w:sz w:val="24"/>
          <w:szCs w:val="24"/>
        </w:rPr>
      </w:pPr>
      <w:r w:rsidRPr="006769C7">
        <w:rPr>
          <w:rFonts w:ascii="Arial" w:hAnsi="Arial" w:cs="Arial"/>
          <w:sz w:val="24"/>
          <w:szCs w:val="24"/>
        </w:rPr>
        <w:t xml:space="preserve">-Prestación del servicio por el Estado. </w:t>
      </w:r>
      <w:r w:rsidRPr="006769C7">
        <w:rPr>
          <w:rFonts w:ascii="Arial" w:hAnsi="Arial" w:cs="Arial"/>
          <w:i/>
          <w:sz w:val="24"/>
          <w:szCs w:val="24"/>
        </w:rPr>
        <w:t xml:space="preserve">“Si la prestación de los servicios públicos tiene que ver con el bienestar general y el mejoramiento de la calidad de vida de la población, como lo pregona el artículo 366 [de la Constitución], una interpretación errada y por lo demás utópica, sería la de dar por establecido que absolutamente, en todo tiempo y lugar del territorio se pueda garantizar estrictamente la prestación de tales servicios, por cuanto ningún Estado, por más desarrollado que se encuentre, garantiza el ciento por ciento tal cometido, sin que su falla objetiva permita afirmar que se violan los principios de igualdad y continuidad de las personas frente a los servicios públicos”.  </w:t>
      </w:r>
    </w:p>
    <w:p w14:paraId="4363A105"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p>
    <w:p w14:paraId="602521E5"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r w:rsidRPr="006769C7">
        <w:rPr>
          <w:rFonts w:ascii="Arial" w:hAnsi="Arial" w:cs="Arial"/>
          <w:sz w:val="24"/>
          <w:szCs w:val="24"/>
        </w:rPr>
        <w:t>3.6. En el informe presentado el 27 de mayo de 1992, por la Contraloría General de la República, las causas y responsables del racionamiento de energía eléctrica (f. 49-103 c-1), fueron las siguientes:</w:t>
      </w:r>
    </w:p>
    <w:p w14:paraId="0B92294F" w14:textId="77777777" w:rsidR="002C6BDF" w:rsidRPr="006769C7" w:rsidRDefault="002C6BDF" w:rsidP="006769C7">
      <w:pPr>
        <w:widowControl w:val="0"/>
        <w:tabs>
          <w:tab w:val="left" w:pos="480"/>
        </w:tabs>
        <w:spacing w:line="276" w:lineRule="auto"/>
        <w:ind w:right="533"/>
        <w:jc w:val="both"/>
        <w:rPr>
          <w:rFonts w:ascii="Arial" w:hAnsi="Arial" w:cs="Arial"/>
          <w:b/>
          <w:i/>
          <w:sz w:val="24"/>
          <w:szCs w:val="24"/>
        </w:rPr>
      </w:pPr>
    </w:p>
    <w:p w14:paraId="01476A62"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p>
    <w:p w14:paraId="2BC8EB4C"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t xml:space="preserve">1) La organización institucional actual del sector eléctrico ha permitido que </w:t>
      </w:r>
      <w:r w:rsidRPr="006769C7">
        <w:rPr>
          <w:rFonts w:ascii="Arial" w:hAnsi="Arial" w:cs="Arial"/>
          <w:i/>
          <w:sz w:val="24"/>
          <w:szCs w:val="24"/>
        </w:rPr>
        <w:lastRenderedPageBreak/>
        <w:t>la autonomía de las empresas sea cada vez mayor y que el país dependa de la racionalidad de sus decisiones, no siempre acertadas, según se deduce de hechos como la autorización concedida por ISA a las Empresas Públicas de Medellín para desembalsar la represa del Peñol, causando un desperdicio de agua injustificado.</w:t>
      </w:r>
    </w:p>
    <w:p w14:paraId="55F79734"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p>
    <w:p w14:paraId="16708E02"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t>2) La actual situación de racionamiento demuestra las imperfecciones y rigideces con que opera el modelo de despacho económico de las plantas de generación de ISA, al depender éste básicamente de la información que le suministran las empresas socias o el propio comité de planeamiento de la entidad. La confiabilidad de esa información ha dejado mucho que desear, pues con frecuencia está supeditada a los diferentes intereses comerciales y financieros de cada una de las empresas, más que al interés nacional.</w:t>
      </w:r>
    </w:p>
    <w:p w14:paraId="770491EE"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p>
    <w:p w14:paraId="055F41F0"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t>3) Los programas de mantenimiento que aplican las empresas a las unidades térmicas no son consecuentes con la importancia de estas últimas como fuente de respaldo del sistema de generación hidráulica. Los criterios fundamentales que los han guiado han sido de carácter estrictamente comercial, y han sido estimulados por las empresas de generación hidráulica, pues de esa manera pueden incrementar sus utilidades.</w:t>
      </w:r>
    </w:p>
    <w:p w14:paraId="32714C03"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p>
    <w:p w14:paraId="3F7DCEEE"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t>4) El mito de sobredimensionamiento ha servido para justificar varias decisiones. A las entidades de planificación del Estado les ha facilitado la realización del ajuste financiero, al cual están comprometidas para poder conseguir nuevos créditos. Y las empresas lo han utilizado como excusa para descuidar el mantenimiento requerido por sus unidades térmicas.</w:t>
      </w:r>
    </w:p>
    <w:p w14:paraId="58785102"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p>
    <w:p w14:paraId="1AC89DAF"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t>5) A juicio de la CGR, el papel cumplido en este episodio por la División de Energía del Departamento Nacional de Planeación muestra que ese organismo no cuenta con los instrumentos adecuados para la evaluación continua del manejo de la situación de generación de energía eléctrica del país en el corto plazo. En este sentido, sería conveniente que dicha división se fortaleciera técnicamente para que sus previsiones de mediano y largo plazo cuenten permanentemente con un conocimiento directo de lo que está sucediendo en el corto plazo.</w:t>
      </w:r>
    </w:p>
    <w:p w14:paraId="1D5601E4"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p>
    <w:p w14:paraId="07934DF7"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t>6) Para la CGR resulta incomprensible que el Gobierno Nacional se haya demorado quince meses para proceder a nombrar gerente de ISA.</w:t>
      </w:r>
    </w:p>
    <w:p w14:paraId="3922B0CE"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p>
    <w:p w14:paraId="02E5B1E5"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t>7) La CGR no desconoce que el retraso en la entrada en operación de los proyectos del Río Grande y Guavio influyó en el actual racionamiento, pues de haberse contado con su generación, no se habría presentado el racionamiento.</w:t>
      </w:r>
    </w:p>
    <w:p w14:paraId="40E6569D"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p>
    <w:p w14:paraId="5F959642" w14:textId="77777777" w:rsidR="002C6BDF" w:rsidRPr="006769C7" w:rsidRDefault="002C6BDF" w:rsidP="006769C7">
      <w:pPr>
        <w:widowControl w:val="0"/>
        <w:tabs>
          <w:tab w:val="left" w:pos="480"/>
        </w:tabs>
        <w:spacing w:line="276" w:lineRule="auto"/>
        <w:ind w:left="540" w:right="533"/>
        <w:jc w:val="both"/>
        <w:rPr>
          <w:rFonts w:ascii="Arial" w:hAnsi="Arial" w:cs="Arial"/>
          <w:b/>
          <w:i/>
          <w:sz w:val="24"/>
          <w:szCs w:val="24"/>
        </w:rPr>
      </w:pPr>
      <w:r w:rsidRPr="006769C7">
        <w:rPr>
          <w:rFonts w:ascii="Arial" w:hAnsi="Arial" w:cs="Arial"/>
          <w:b/>
          <w:i/>
          <w:sz w:val="24"/>
          <w:szCs w:val="24"/>
        </w:rPr>
        <w:t>La responsabilidad directa del racionamiento</w:t>
      </w:r>
    </w:p>
    <w:p w14:paraId="08B24EED"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p>
    <w:p w14:paraId="3B8A919F"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lastRenderedPageBreak/>
        <w:t>De acuerdo con la investigación que lleva a cabo la CGR, los responsables directos del racionamiento son:</w:t>
      </w:r>
    </w:p>
    <w:p w14:paraId="4E014B17"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p>
    <w:p w14:paraId="22AA9264"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t>1) Los representantes de las empresas ante la Junta Directiva de ISA y el gerente general de esta entidad en 1991, por no haber tenido la capacidad necesaria para prevenir al país sobre el peligro de un racionamiento y por falta de diligencia y eficacia en el cumplimiento de sus precisas funciones.</w:t>
      </w:r>
    </w:p>
    <w:p w14:paraId="04BEC26D"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t>…</w:t>
      </w:r>
    </w:p>
    <w:p w14:paraId="253576A3"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t>2) El comité de operación de ISA, por haber permitido la mala utilización de los embalses, en especial el del Peñol…</w:t>
      </w:r>
    </w:p>
    <w:p w14:paraId="0F15170C"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t>…</w:t>
      </w:r>
    </w:p>
    <w:p w14:paraId="3721D3F1"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t xml:space="preserve">3) El secretario de la Comisión Nacional de Energía durante 1991, Francisco Ochoa, por haber inobservado lo dispuesto en la Ley 51 de 1989 en sus artículos 2º. 7º. 8º. Y 12º donde se le fijaron, entre otros objetivos, el de “organizar y regular la utilización racional e integral de las distintas fuentes de energía, de acuerdo con los requerimientos del país”. </w:t>
      </w:r>
    </w:p>
    <w:p w14:paraId="27CCA150"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p>
    <w:p w14:paraId="70554EF4"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t xml:space="preserve">4) La CGR no encuentra de manera alguna justificable el comportamiento de algunas empresas municipales y de energía eléctrica, en especial las de Bogotá, Medellín, Cali, Pereira, Barranquilla y Bucaramanga, que durante el mes de diciembre de 1991 se dedicaron a iluminar suntuosamente sus respectivas ciudades, desconociendo de esta manera los altos costos económicos y fiscales que conlleva un racionamiento eléctrico, como el que está sufriendo el país en la actualidad. </w:t>
      </w:r>
    </w:p>
    <w:p w14:paraId="13C2DF21"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p>
    <w:p w14:paraId="35F6AB76"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t>4) (sic) La CGR considera que para prevenir situaciones de racionamiento de la magnitud que hoy en día soporta el país, ISA debe revisar el modelo de despacho económico del sistema de generación, incluyéndole parámetros más realistas, como el costo del racionamiento que utiliza. Así mismo, debe disminuir los niveles de probabilidad de los caudales menos factibles en la operación del sistema de generación.</w:t>
      </w:r>
    </w:p>
    <w:p w14:paraId="531CA9BA"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p>
    <w:p w14:paraId="0DA838F0"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t xml:space="preserve">5) En el aspecto institucional se deberá ejercer un mayor control sobre la operación de las empresas. La CNE en su calidad de órgano de apoyo técnico del Ministerio de Minas y Energía no solamente debe dedicar sus esfuerzos en la evaluación del desarrollo del sector, sino también a realizar un seguimiento de la operación de corto plazo. </w:t>
      </w:r>
    </w:p>
    <w:p w14:paraId="099D060A" w14:textId="77777777" w:rsidR="002C6BDF" w:rsidRPr="006769C7" w:rsidRDefault="002C6BDF" w:rsidP="006769C7">
      <w:pPr>
        <w:widowControl w:val="0"/>
        <w:tabs>
          <w:tab w:val="left" w:pos="480"/>
        </w:tabs>
        <w:spacing w:line="276" w:lineRule="auto"/>
        <w:ind w:left="540" w:right="533"/>
        <w:jc w:val="both"/>
        <w:rPr>
          <w:rFonts w:ascii="Arial" w:hAnsi="Arial" w:cs="Arial"/>
          <w:i/>
          <w:sz w:val="24"/>
          <w:szCs w:val="24"/>
        </w:rPr>
      </w:pPr>
      <w:r w:rsidRPr="006769C7">
        <w:rPr>
          <w:rFonts w:ascii="Arial" w:hAnsi="Arial" w:cs="Arial"/>
          <w:i/>
          <w:sz w:val="24"/>
          <w:szCs w:val="24"/>
        </w:rPr>
        <w:t xml:space="preserve"> </w:t>
      </w:r>
    </w:p>
    <w:p w14:paraId="67FD5F9C"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p>
    <w:p w14:paraId="7E49C36D"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r w:rsidRPr="006769C7">
        <w:rPr>
          <w:rFonts w:ascii="Arial" w:hAnsi="Arial" w:cs="Arial"/>
          <w:sz w:val="24"/>
          <w:szCs w:val="24"/>
        </w:rPr>
        <w:t xml:space="preserve">3.7. En el </w:t>
      </w:r>
      <w:r w:rsidRPr="006769C7">
        <w:rPr>
          <w:rFonts w:ascii="Arial" w:hAnsi="Arial" w:cs="Arial"/>
          <w:i/>
          <w:sz w:val="24"/>
          <w:szCs w:val="24"/>
        </w:rPr>
        <w:t xml:space="preserve">“Informe final de investigación sobre la actual crisis eléctrica del país”, </w:t>
      </w:r>
      <w:r w:rsidRPr="006769C7">
        <w:rPr>
          <w:rFonts w:ascii="Arial" w:hAnsi="Arial" w:cs="Arial"/>
          <w:sz w:val="24"/>
          <w:szCs w:val="24"/>
        </w:rPr>
        <w:t xml:space="preserve">adelantada por la Comisión Quinta Constitucional Permanente del Senado de la República (f. 104-122 c-11), concluyó que la principal causa del racionamiento había sido el esquema de planeamiento del sector eléctrico, desde la misma creación de ISA, dado que esta entidad estaba llamada a ser la reguladora del sector, pero al ser integrada por las empresas regionales prestadoras del servicio, se generaron al interior insalvables conflictos, que repercutieron en el sesgo de sus decisiones, sin una visión nacional, en la que prevalecían criterios de carácter regional, con graves repercusiones en la prestación del servicio. </w:t>
      </w:r>
    </w:p>
    <w:p w14:paraId="6EDB320B"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p>
    <w:p w14:paraId="6A1BBD2A"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r w:rsidRPr="006769C7">
        <w:rPr>
          <w:rFonts w:ascii="Arial" w:hAnsi="Arial" w:cs="Arial"/>
          <w:sz w:val="24"/>
          <w:szCs w:val="24"/>
        </w:rPr>
        <w:t>Se destacó en el mismo la dicotomía existente entre la obligación constitucional de garantizar la prestación del servicio a todos los usuarios, y el subsidio involucrado en el régimen tarifario, lo cual ha contribuido al desfinanciamiento del sector y, consecuencialmente, a su bajísima capacidad para asimilar nuevas tecnologías, lentitud para acomodarse a una situación de cambio del entorno financiero y su burocratización.</w:t>
      </w:r>
    </w:p>
    <w:p w14:paraId="4534E71F"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p>
    <w:p w14:paraId="19937B90"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r w:rsidRPr="006769C7">
        <w:rPr>
          <w:rFonts w:ascii="Arial" w:hAnsi="Arial" w:cs="Arial"/>
          <w:sz w:val="24"/>
          <w:szCs w:val="24"/>
        </w:rPr>
        <w:t>Se refirió a la inconveniente fuente de financiamiento de los megaproyectos con créditos externos, en la década de los 80, que en casos como el de la represa Betania, fueron del 95%, lo que generó una acumulación de obligaciones entre los años 1985 y 1990, de tal magnitud, que las empresas fueron incapaces de atender sus pagos puntualmente, lo que, además, les impidió dedicar recursos propios a la inversión. Además, esos créditos representaban un alto porcentaje de la deuda externa, contraída básicamente con el Banco Mundial y el BID, en un momento financiero coyuntural, en el que el dólar resultó afectado por el cambio de relación entre las monedas de los países europeos y del Japón, y para colmo, concomitante con esa situación, se decidió acelerar la devaluación del peso de forma dramática, con el fin de proteger el sector privado, pero afectando gravemente el sector eléctrico.</w:t>
      </w:r>
    </w:p>
    <w:p w14:paraId="49F7FAFC"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p>
    <w:p w14:paraId="49646DD0" w14:textId="77777777" w:rsidR="002C6BDF" w:rsidRPr="006769C7" w:rsidRDefault="002C6BDF" w:rsidP="006769C7">
      <w:pPr>
        <w:widowControl w:val="0"/>
        <w:tabs>
          <w:tab w:val="left" w:pos="480"/>
        </w:tabs>
        <w:spacing w:line="276" w:lineRule="auto"/>
        <w:ind w:right="51"/>
        <w:jc w:val="both"/>
        <w:rPr>
          <w:rFonts w:ascii="Arial" w:hAnsi="Arial" w:cs="Arial"/>
          <w:i/>
          <w:sz w:val="24"/>
          <w:szCs w:val="24"/>
        </w:rPr>
      </w:pPr>
      <w:r w:rsidRPr="006769C7">
        <w:rPr>
          <w:rFonts w:ascii="Arial" w:hAnsi="Arial" w:cs="Arial"/>
          <w:sz w:val="24"/>
          <w:szCs w:val="24"/>
        </w:rPr>
        <w:t xml:space="preserve">La Comisión clasificó las causas del racionamiento, como no controlables y controlables. Ubicó entre las primeras, la intensidad de la sequía, la prolongación del verano, la escalada terrorista contra el sistema de interconexión nacional y el conflicto laboral generado con los sindicatos de las empresas eléctricas. Y, entre las causas previsibles y controlables, se señalaron: (i) el planeamiento del sistema, en tanto privilegia la generación hidráulica sobre la térmica, la cual si bien representa un costo menor, está expuesta a riegos innecesarios, que se tornan aún más graves si se tiene en cuenta su concentración en una sola cuenca hidrográfica; (ii) la renuncia de ISA a la interconexión con Venezuela, lo cual habría brindado a CORELCA mayor firmeza y confiabilidad; (iii) la falta de un adecuado y oportuno mantenimiento de las centrales térmicas, y (iv) haber permitido que se desocuparan los embalses desde septiembre de 1991. </w:t>
      </w:r>
      <w:r w:rsidRPr="006769C7">
        <w:rPr>
          <w:rFonts w:ascii="Arial" w:hAnsi="Arial" w:cs="Arial"/>
          <w:i/>
          <w:sz w:val="24"/>
          <w:szCs w:val="24"/>
        </w:rPr>
        <w:t xml:space="preserve">“La subvaloración del costo de racionamiento en los modelos de despacho económico trajo como consecuencia la sobreexplotación de los embalses, particularmente, durante los últimos meses del año de 1991, cuando todavía existía disponibilidad de energía térmica”. </w:t>
      </w:r>
      <w:r w:rsidRPr="006769C7">
        <w:rPr>
          <w:rFonts w:ascii="Arial" w:hAnsi="Arial" w:cs="Arial"/>
          <w:sz w:val="24"/>
          <w:szCs w:val="24"/>
        </w:rPr>
        <w:t>El informe concluye con las siguientes recomendaciones:</w:t>
      </w:r>
    </w:p>
    <w:p w14:paraId="2CD59D5B" w14:textId="77777777" w:rsidR="002C6BDF" w:rsidRPr="006769C7" w:rsidRDefault="002C6BDF" w:rsidP="006769C7">
      <w:pPr>
        <w:widowControl w:val="0"/>
        <w:tabs>
          <w:tab w:val="left" w:pos="480"/>
        </w:tabs>
        <w:spacing w:line="276" w:lineRule="auto"/>
        <w:ind w:right="51"/>
        <w:jc w:val="both"/>
        <w:rPr>
          <w:rFonts w:ascii="Arial" w:hAnsi="Arial" w:cs="Arial"/>
          <w:i/>
          <w:sz w:val="24"/>
          <w:szCs w:val="24"/>
        </w:rPr>
      </w:pPr>
    </w:p>
    <w:p w14:paraId="1A0268E7"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r w:rsidRPr="006769C7">
        <w:rPr>
          <w:rFonts w:ascii="Arial" w:hAnsi="Arial" w:cs="Arial"/>
          <w:i/>
          <w:sz w:val="24"/>
          <w:szCs w:val="24"/>
        </w:rPr>
        <w:t xml:space="preserve">1. Elevar el componente térmico de la base de generación a no menos del 35%, mediante la repotenciación de las unidades térmicas de la Costa Atlántica, que consumen gas natural, que están en capacidad de incorporar al sistema interconectado 1000 MW de potencia, al tiempo que se eleva sustancialmente la deficiencia en la operación. </w:t>
      </w:r>
    </w:p>
    <w:p w14:paraId="697F2C46"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p>
    <w:p w14:paraId="4ED268C6"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r w:rsidRPr="006769C7">
        <w:rPr>
          <w:rFonts w:ascii="Arial" w:hAnsi="Arial" w:cs="Arial"/>
          <w:i/>
          <w:sz w:val="24"/>
          <w:szCs w:val="24"/>
        </w:rPr>
        <w:t>2. Construcción de una nueva unidad térmica de 300 MW en el interior del país, especialmente, en Boyacá, para aprovechar la producción carbonífera allí existente, la cual tendría, de otra forma, escasas posibilidades de comercialización.</w:t>
      </w:r>
    </w:p>
    <w:p w14:paraId="790A4A9E"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p>
    <w:p w14:paraId="1ADD95AC"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r w:rsidRPr="006769C7">
        <w:rPr>
          <w:rFonts w:ascii="Arial" w:hAnsi="Arial" w:cs="Arial"/>
          <w:i/>
          <w:sz w:val="24"/>
          <w:szCs w:val="24"/>
        </w:rPr>
        <w:t>3. Agilizar la contratación y construcción de la segunda línea de interconexión a 230 kv de doble circuito, entre la estación Cuatricentenario (en el estado de Zulia), y la subestación de Cuestecitas (Guajira), aportando de esta manera 300 MW al sistema.</w:t>
      </w:r>
    </w:p>
    <w:p w14:paraId="41C3AE24"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p>
    <w:p w14:paraId="0AFC7FEF"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r w:rsidRPr="006769C7">
        <w:rPr>
          <w:rFonts w:ascii="Arial" w:hAnsi="Arial" w:cs="Arial"/>
          <w:i/>
          <w:sz w:val="24"/>
          <w:szCs w:val="24"/>
        </w:rPr>
        <w:t xml:space="preserve">4. Terminar la construcción del proyecto hidroeléctrico URRA I, ya en ejecución, que cumpliría el doble propósito de incorporar 340 MW de energía y controlar las recurrentes inundaciones del río Sinú. </w:t>
      </w:r>
    </w:p>
    <w:p w14:paraId="13C4BA09"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p>
    <w:p w14:paraId="7D21A64F"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r w:rsidRPr="006769C7">
        <w:rPr>
          <w:rFonts w:ascii="Arial" w:hAnsi="Arial" w:cs="Arial"/>
          <w:i/>
          <w:sz w:val="24"/>
          <w:szCs w:val="24"/>
        </w:rPr>
        <w:t>5. Arbitrar la totalidad de los recursos necesarios para adelantar la recuperación y mantenimiento de las líneas de trasmisión, subtrasmisión y distribución del sector eléctrico.</w:t>
      </w:r>
    </w:p>
    <w:p w14:paraId="0EF62A00"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p>
    <w:p w14:paraId="14B5FAE0"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r w:rsidRPr="006769C7">
        <w:rPr>
          <w:rFonts w:ascii="Arial" w:hAnsi="Arial" w:cs="Arial"/>
          <w:i/>
          <w:sz w:val="24"/>
          <w:szCs w:val="24"/>
        </w:rPr>
        <w:t>6. Se precisa la necesidad de diversificar el riesgo climático, localizando los nuevos proyectos hidroeléctricos en distintas regiones del país, en atención a sus particularidades hidrográficas.</w:t>
      </w:r>
    </w:p>
    <w:p w14:paraId="246611AF" w14:textId="77777777" w:rsidR="002C6BDF" w:rsidRPr="006769C7" w:rsidRDefault="002C6BDF" w:rsidP="006769C7">
      <w:pPr>
        <w:widowControl w:val="0"/>
        <w:tabs>
          <w:tab w:val="left" w:pos="480"/>
        </w:tabs>
        <w:spacing w:line="276" w:lineRule="auto"/>
        <w:ind w:left="567" w:right="618"/>
        <w:jc w:val="both"/>
        <w:rPr>
          <w:rFonts w:ascii="Arial" w:hAnsi="Arial" w:cs="Arial"/>
          <w:i/>
          <w:sz w:val="24"/>
          <w:szCs w:val="24"/>
        </w:rPr>
      </w:pPr>
    </w:p>
    <w:p w14:paraId="7AC123CA" w14:textId="77777777" w:rsidR="002C6BDF" w:rsidRPr="006769C7" w:rsidRDefault="002C6BDF" w:rsidP="006769C7">
      <w:pPr>
        <w:widowControl w:val="0"/>
        <w:tabs>
          <w:tab w:val="left" w:pos="480"/>
        </w:tabs>
        <w:spacing w:line="276" w:lineRule="auto"/>
        <w:ind w:left="567" w:right="618"/>
        <w:jc w:val="both"/>
        <w:rPr>
          <w:rFonts w:ascii="Arial" w:hAnsi="Arial" w:cs="Arial"/>
          <w:sz w:val="24"/>
          <w:szCs w:val="24"/>
        </w:rPr>
      </w:pPr>
      <w:r w:rsidRPr="006769C7">
        <w:rPr>
          <w:rFonts w:ascii="Arial" w:hAnsi="Arial" w:cs="Arial"/>
          <w:i/>
          <w:sz w:val="24"/>
          <w:szCs w:val="24"/>
        </w:rPr>
        <w:t xml:space="preserve">7. Definir y agilizar la ampliación de la producción gasífera a no menos de 500 MMPCD, a fin de garantizar el suficiente abastecimiento del parque térmico de CORELCA, la repotenciación de las plantas, así como la ampliación de la cobertura de gas domiciliario en la Costa Atlántica y el resto de las regiones del país.  </w:t>
      </w:r>
    </w:p>
    <w:p w14:paraId="5E86E595" w14:textId="77777777" w:rsidR="002C6BDF" w:rsidRPr="006769C7" w:rsidRDefault="002C6BDF" w:rsidP="006769C7">
      <w:pPr>
        <w:spacing w:line="276" w:lineRule="auto"/>
        <w:ind w:right="-15"/>
        <w:jc w:val="both"/>
        <w:rPr>
          <w:rFonts w:ascii="Arial" w:hAnsi="Arial" w:cs="Arial"/>
          <w:b/>
          <w:sz w:val="24"/>
          <w:szCs w:val="24"/>
        </w:rPr>
      </w:pPr>
    </w:p>
    <w:p w14:paraId="78225FDD" w14:textId="77777777" w:rsidR="002C6BDF" w:rsidRPr="006769C7" w:rsidRDefault="002C6BDF" w:rsidP="006769C7">
      <w:pPr>
        <w:spacing w:line="276" w:lineRule="auto"/>
        <w:ind w:right="-15"/>
        <w:jc w:val="both"/>
        <w:rPr>
          <w:rFonts w:ascii="Arial" w:hAnsi="Arial" w:cs="Arial"/>
          <w:b/>
          <w:sz w:val="24"/>
          <w:szCs w:val="24"/>
        </w:rPr>
      </w:pPr>
    </w:p>
    <w:p w14:paraId="59C4A036"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3.8. En el informe presentado por la Comisión Evaluadora de la Situación Eléctrica y sus Perspectivas (f. 50-76 c-11), señala como causas inmediatas generadoras del racionamiento:</w:t>
      </w:r>
    </w:p>
    <w:p w14:paraId="67432C6E" w14:textId="77777777" w:rsidR="002C6BDF" w:rsidRPr="006769C7" w:rsidRDefault="002C6BDF" w:rsidP="006769C7">
      <w:pPr>
        <w:spacing w:line="276" w:lineRule="auto"/>
        <w:ind w:right="-15"/>
        <w:jc w:val="both"/>
        <w:rPr>
          <w:rFonts w:ascii="Arial" w:hAnsi="Arial" w:cs="Arial"/>
          <w:sz w:val="24"/>
          <w:szCs w:val="24"/>
        </w:rPr>
      </w:pPr>
    </w:p>
    <w:p w14:paraId="170C589F"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(1) Errores en la operación del sistema. El racionamiento se hubiera reducido al menos en la mitad, si se hubieran utilizado parámetros racionales e información veraz sobre disponibilidad de las térmicas y si, además, estas hubieran tenido buen mantenimiento, y (2) El complejo modelo de operación del sistema interconectado desarrollado por ISA presenta algunas deficiencias, tales como: (i) no correlaciona las diferentes hidrologías. Subestima las probabilidades de hidrología bajas y altas, y (ii) no entrega diferentes señales de alarma. Solo cuando se cruzan las curvas de reservas hidráulicas con en nivel crítico y se requiere racionalizar, el modelo ordena tomar medidas de emergencia; en consecuencia, no constituye un instrumento que advierta oportunamente del riesgo de racionamiento y evite situaciones dramáticas, como la actual. No obstante, ese modelo no es el principal responsable de los errores. Dichos errores obedecieron a los equivocados parámetros con los que este se corrió, los cuales daban señales equivocadas, dado que: (i) el modelo usó hasta 1991 un costo de $28/KWH, que minimizaba el impacto económico del racionamiento. Ese costo es muy inferior al real; (ii) el modelo se calibró para operación bajo riesgo de tener una hidrología con el 80% de probabilidad de ser superada; sin embargo, se mantuvo en el año 1991, a pesar de que se conocía el retraso de la central Río Grande II, los atentados guerrilleros, la agitación laboral, la mala hidrología de 1991 y la previsible de 1992. Agregó que el fenómeno del Niño </w:t>
      </w:r>
      <w:r w:rsidRPr="006769C7">
        <w:rPr>
          <w:rFonts w:ascii="Arial" w:hAnsi="Arial" w:cs="Arial"/>
          <w:sz w:val="24"/>
          <w:szCs w:val="24"/>
        </w:rPr>
        <w:lastRenderedPageBreak/>
        <w:t>era conocido en el segundo semestre de 1991, pero que, de acuerdo con informaciones de ISA, el HIMAT solo informó ese hecho en noviembre; (iii) falsa información sobre la disponibilidad de las plantas térmicas. Si al modelo se le informa de una mayor disponibilidad de las plantas térmicas, el efecto es el de ordenar un mayor desembalsamiento, por cuanto el soporte térmico aleja la posibilidad de racionamiento. Si las plantas térmicas hubieran operado entre agosto y noviembre de 1991 al nivel en el que operaron entre diciembre de 1991 y marzo de 1992, se hubieran generado 900 GWH adicionales, reduciendo así el racionamiento en por lo menos una tercera parte; (iv) crisis en el mantenimiento de las plantas térmicas; (v) problemas laborales; (vi) la guerrilla. En dicho informe se concluyó:</w:t>
      </w:r>
    </w:p>
    <w:p w14:paraId="4FB08B60" w14:textId="77777777" w:rsidR="002C6BDF" w:rsidRPr="006769C7" w:rsidRDefault="002C6BDF" w:rsidP="006769C7">
      <w:pPr>
        <w:spacing w:line="276" w:lineRule="auto"/>
        <w:ind w:right="-15"/>
        <w:jc w:val="both"/>
        <w:rPr>
          <w:rFonts w:ascii="Arial" w:hAnsi="Arial" w:cs="Arial"/>
          <w:sz w:val="24"/>
          <w:szCs w:val="24"/>
        </w:rPr>
      </w:pPr>
    </w:p>
    <w:p w14:paraId="42DFC3E2"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Es importante que la opinión pública conozca que la casi totalidad del racionamiento hubiera podido ser evitado con una mejor operación del modelo, con una real disponibilidad de las plantas térmicas anunciadas, y sin los actos de sabotaje laboral y guerrillero. La parte atribuible a la hidrología (aproximadamente una quinta parte del racionamiento actual), también se hubiera evitado si las plantas térmicas que han debido operar en la emergencia hubieran tenido mantenimiento.</w:t>
      </w:r>
    </w:p>
    <w:p w14:paraId="1D6A7F0F"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199920A4"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La evidencia documental muestra que el Ministerio de Minas y Energía y, por lo tanto, el Presidente de la República, no fueron informados de la inminencia del racionamiento sino pocos días antes de que este se presentara como un hecho inevitable. La poca atención prestada por los Miembros de la Junta Directiva de ISA al flujo de información sobre el sistema de embalses reportado por la empresa deja profundas dudas sobre el nivel de interés, capacidad y responsabilidad de los administradores. Es evidente que en el sector eléctrico se sobrepone el interés particular de cada empresa al interés público. </w:t>
      </w:r>
    </w:p>
    <w:p w14:paraId="22860447" w14:textId="77777777" w:rsidR="002C6BDF" w:rsidRPr="006769C7" w:rsidRDefault="002C6BDF" w:rsidP="006769C7">
      <w:pPr>
        <w:spacing w:line="276" w:lineRule="auto"/>
        <w:ind w:left="567" w:right="618"/>
        <w:jc w:val="both"/>
        <w:rPr>
          <w:rFonts w:ascii="Arial" w:hAnsi="Arial" w:cs="Arial"/>
          <w:i/>
          <w:sz w:val="24"/>
          <w:szCs w:val="24"/>
        </w:rPr>
      </w:pPr>
    </w:p>
    <w:p w14:paraId="0A5EE353"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La Comisión tiene la certeza de que si los funcionarios de ISA que conocían de tiempo atrás las altas probabilidades de racionamiento hubiesen insistido durante el año pasado ante la Junta Directiva de esa empresa sobre este punto, y si ese organismo hubiese corregido los modelos con datos adecuados acerca del costo del racionamiento, de la posibilidad de ocurrencia de un verano severo, y de la verdadera disponibilidad de las térmicas, el país no estaría hoy sufriendo los enormes perjuicios económicos y sociales a que se ha visto sometido. </w:t>
      </w:r>
    </w:p>
    <w:p w14:paraId="75439E39" w14:textId="77777777" w:rsidR="002C6BDF" w:rsidRPr="006769C7" w:rsidRDefault="002C6BDF" w:rsidP="006769C7">
      <w:pPr>
        <w:spacing w:line="276" w:lineRule="auto"/>
        <w:ind w:left="567" w:right="618"/>
        <w:jc w:val="both"/>
        <w:rPr>
          <w:rFonts w:ascii="Arial" w:hAnsi="Arial" w:cs="Arial"/>
          <w:sz w:val="24"/>
          <w:szCs w:val="24"/>
        </w:rPr>
      </w:pPr>
    </w:p>
    <w:p w14:paraId="3E19DDF4" w14:textId="77777777" w:rsidR="002C6BDF" w:rsidRPr="006769C7" w:rsidRDefault="002C6BDF" w:rsidP="006769C7">
      <w:pPr>
        <w:spacing w:line="276" w:lineRule="auto"/>
        <w:ind w:right="-15"/>
        <w:jc w:val="both"/>
        <w:rPr>
          <w:rFonts w:ascii="Arial" w:hAnsi="Arial" w:cs="Arial"/>
          <w:sz w:val="24"/>
          <w:szCs w:val="24"/>
        </w:rPr>
      </w:pPr>
    </w:p>
    <w:p w14:paraId="0164AD31"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En dicho informe se señalan como causas estructurales, las siguientes: (i) ineficiencia administrativa e impunidad; (ii) complejidad institucional del sistema. La múltiple participación de entidades de todo orden en la operación del sector propició un esquema de responsabilidad diluida. </w:t>
      </w:r>
      <w:r w:rsidRPr="006769C7">
        <w:rPr>
          <w:rFonts w:ascii="Arial" w:hAnsi="Arial" w:cs="Arial"/>
          <w:i/>
          <w:sz w:val="24"/>
          <w:szCs w:val="24"/>
        </w:rPr>
        <w:t xml:space="preserve">“El sector eléctrico estatal es un monopolio estatal de la peor especie, con rasgos de oligopolio, que se colude para unos efectos, y se hace fraude para otros. Carece de dolientes que se ocupen de proteger la eficiencia macroeconómica en cada empresa, y de un claro responsable nacional con poder suficiente para velar por el permanente suministro de energía a la </w:t>
      </w:r>
      <w:r w:rsidRPr="006769C7">
        <w:rPr>
          <w:rFonts w:ascii="Arial" w:hAnsi="Arial" w:cs="Arial"/>
          <w:i/>
          <w:sz w:val="24"/>
          <w:szCs w:val="24"/>
        </w:rPr>
        <w:lastRenderedPageBreak/>
        <w:t>sociedad civil”</w:t>
      </w:r>
      <w:r w:rsidRPr="006769C7">
        <w:rPr>
          <w:rFonts w:ascii="Arial" w:hAnsi="Arial" w:cs="Arial"/>
          <w:sz w:val="24"/>
          <w:szCs w:val="24"/>
        </w:rPr>
        <w:t xml:space="preserve">; (iii) debilitamiento financiero del sector. </w:t>
      </w:r>
      <w:r w:rsidRPr="006769C7">
        <w:rPr>
          <w:rFonts w:ascii="Arial" w:hAnsi="Arial" w:cs="Arial"/>
          <w:i/>
          <w:sz w:val="24"/>
          <w:szCs w:val="24"/>
        </w:rPr>
        <w:t>“La congelación de tarifas en el año 1974, disparó la deuda hacia finales del 78; nuevamente, la medida de reducir las tarifas en términos reales tomada en el 83, aunada a una devaluación masiva en 1985 hizo ya inmanejable el servicio de la deuda”</w:t>
      </w:r>
      <w:r w:rsidRPr="006769C7">
        <w:rPr>
          <w:rFonts w:ascii="Arial" w:hAnsi="Arial" w:cs="Arial"/>
          <w:sz w:val="24"/>
          <w:szCs w:val="24"/>
        </w:rPr>
        <w:t xml:space="preserve">; (iv) esquema tarifario. Las tarifas de energía han sido manejadas con criterios populistas, lo que ha impedido que sus niveles se adecuen a los costos reales del sistema, que deben comprender no solo los directos de operación, sino, además, unas partidas necesarias para asegurar su expansión. </w:t>
      </w:r>
      <w:r w:rsidRPr="006769C7">
        <w:rPr>
          <w:rFonts w:ascii="Arial" w:hAnsi="Arial" w:cs="Arial"/>
          <w:i/>
          <w:sz w:val="24"/>
          <w:szCs w:val="24"/>
        </w:rPr>
        <w:t>“Por otra parte, mientras la comunidad tenga la clara y real convicción de que los ingresos de las empresas se dilapidan en mantener grupos privilegiados de administradores y trabajadores, unido a una clara percepción de inmoralidad y corrupción, muy difícilmente aceptará niveles tarifarios acordes con las necesidades de expansión y operación del sector”</w:t>
      </w:r>
      <w:r w:rsidRPr="006769C7">
        <w:rPr>
          <w:rFonts w:ascii="Arial" w:hAnsi="Arial" w:cs="Arial"/>
          <w:sz w:val="24"/>
          <w:szCs w:val="24"/>
        </w:rPr>
        <w:t xml:space="preserve">; (v) devaluación. Las obras de expansión son contratadas en moneda extranjera con créditos a largo plazo. La devaluación del peso con relación a esas divisas afecta la deuda externa del sector; (vi) desgreño administrativo. Hubo incremento de costos laborales, duplicidad de funciones entre empresas del sector, costosísimas convenciones colectivas, que en algunos casos han elevado los niveles prestacionales, por encima del 200%, en algunos casos; las pérdidas de energía que pueden corregirse con operaciones de mantenimiento; falta de control de los robos de energía; (vii) clientelismo político y sindical. </w:t>
      </w:r>
      <w:r w:rsidRPr="006769C7">
        <w:rPr>
          <w:rFonts w:ascii="Arial" w:hAnsi="Arial" w:cs="Arial"/>
          <w:i/>
          <w:sz w:val="24"/>
          <w:szCs w:val="24"/>
        </w:rPr>
        <w:t>“En la práctica, un estilo perverso de privatización se ha apoderado de las empresas. Sus ‘dueños’ (los poderes administrativos, sindicales y electorales), no invirtieron sus capitales ni tomaron riesgos para hacerse al control de esos activos y usufructuarlos en su propio beneficio”</w:t>
      </w:r>
      <w:r w:rsidRPr="006769C7">
        <w:rPr>
          <w:rFonts w:ascii="Arial" w:hAnsi="Arial" w:cs="Arial"/>
          <w:sz w:val="24"/>
          <w:szCs w:val="24"/>
        </w:rPr>
        <w:t xml:space="preserve">; (viii) preferencia de los administradores por los proyectos de beneficios concentrados y costos distribuidos. Es innegable la preferencia del sector por la construcción de los macropoyectos y por las grandes contrataciones que esto conlleva, en desmedro de la construcción de redes de trasmisión para evacuar la energía que generarán y del mantenimiento de las obras construidas; (ix) retraso en los proyectos de generación del Guavio y Río Grande II, y (x) dimensionamiento del sector. </w:t>
      </w:r>
      <w:r w:rsidRPr="006769C7">
        <w:rPr>
          <w:rFonts w:ascii="Arial" w:hAnsi="Arial" w:cs="Arial"/>
          <w:i/>
          <w:sz w:val="24"/>
          <w:szCs w:val="24"/>
        </w:rPr>
        <w:t xml:space="preserve">“El racionamiento de los años 80-81 condujo a acelerar una serie de proyectos, lo cual produjo un sobredimensionamiento por algunos años y el sobreendeudamiento del sector. Se descuidó casi totalmente el mantenimiento de las plantas. Igualmente, la situación de crisis llevó a decisiones de inversión poco eficientes”. </w:t>
      </w:r>
      <w:r w:rsidRPr="006769C7">
        <w:rPr>
          <w:rFonts w:ascii="Arial" w:hAnsi="Arial" w:cs="Arial"/>
          <w:sz w:val="24"/>
          <w:szCs w:val="24"/>
        </w:rPr>
        <w:t xml:space="preserve"> </w:t>
      </w:r>
    </w:p>
    <w:p w14:paraId="0E54D239" w14:textId="77777777" w:rsidR="002C6BDF" w:rsidRPr="006769C7" w:rsidRDefault="002C6BDF" w:rsidP="006769C7">
      <w:pPr>
        <w:spacing w:line="276" w:lineRule="auto"/>
        <w:ind w:right="-15"/>
        <w:jc w:val="both"/>
        <w:rPr>
          <w:rFonts w:ascii="Arial" w:hAnsi="Arial" w:cs="Arial"/>
          <w:b/>
          <w:sz w:val="24"/>
          <w:szCs w:val="24"/>
        </w:rPr>
      </w:pPr>
    </w:p>
    <w:p w14:paraId="671188A2"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Verificado el hecho incontrovertible del racionamiento de energía en el país durante el lapso trascurrido entre el 2 de enero de 1992 y el 1º de abril de 1993, por causas de distinta naturaleza, pero cuyo mayor detonante fue el “fenómeno del Niño”, procede la Sala a determinar si se encuentra o no demostrada la existencia del daño alegado por la parte demandante. </w:t>
      </w:r>
    </w:p>
    <w:p w14:paraId="26B38F79" w14:textId="77777777" w:rsidR="002C6BDF" w:rsidRPr="006769C7" w:rsidRDefault="002C6BDF" w:rsidP="006769C7">
      <w:pPr>
        <w:spacing w:line="276" w:lineRule="auto"/>
        <w:ind w:right="-15"/>
        <w:jc w:val="both"/>
        <w:rPr>
          <w:rFonts w:ascii="Arial" w:hAnsi="Arial" w:cs="Arial"/>
          <w:sz w:val="24"/>
          <w:szCs w:val="24"/>
        </w:rPr>
      </w:pPr>
    </w:p>
    <w:p w14:paraId="5193E43B" w14:textId="77777777" w:rsidR="002C6BDF" w:rsidRPr="006769C7" w:rsidRDefault="002C6BDF" w:rsidP="006769C7">
      <w:pPr>
        <w:spacing w:line="276" w:lineRule="auto"/>
        <w:ind w:right="-15"/>
        <w:jc w:val="both"/>
        <w:rPr>
          <w:rFonts w:ascii="Arial" w:hAnsi="Arial" w:cs="Arial"/>
          <w:sz w:val="24"/>
          <w:szCs w:val="24"/>
        </w:rPr>
      </w:pPr>
    </w:p>
    <w:p w14:paraId="31A78C04" w14:textId="77777777" w:rsidR="002C6BDF" w:rsidRPr="006769C7" w:rsidRDefault="002C6BDF" w:rsidP="006769C7">
      <w:pPr>
        <w:spacing w:line="276" w:lineRule="auto"/>
        <w:ind w:right="-15"/>
        <w:jc w:val="both"/>
        <w:rPr>
          <w:rFonts w:ascii="Arial" w:hAnsi="Arial" w:cs="Arial"/>
          <w:sz w:val="24"/>
          <w:szCs w:val="24"/>
        </w:rPr>
      </w:pPr>
    </w:p>
    <w:p w14:paraId="03B35477" w14:textId="77777777" w:rsidR="002C6BDF" w:rsidRPr="006769C7" w:rsidRDefault="002C6BDF" w:rsidP="006769C7">
      <w:pPr>
        <w:spacing w:line="276" w:lineRule="auto"/>
        <w:ind w:right="-15"/>
        <w:jc w:val="both"/>
        <w:rPr>
          <w:rFonts w:ascii="Arial" w:hAnsi="Arial" w:cs="Arial"/>
          <w:sz w:val="24"/>
          <w:szCs w:val="24"/>
        </w:rPr>
      </w:pPr>
    </w:p>
    <w:p w14:paraId="11BC18FF" w14:textId="77777777" w:rsidR="002C6BDF" w:rsidRPr="006769C7" w:rsidRDefault="002C6BDF" w:rsidP="006769C7">
      <w:pPr>
        <w:spacing w:line="276" w:lineRule="auto"/>
        <w:ind w:right="-15"/>
        <w:jc w:val="both"/>
        <w:rPr>
          <w:rFonts w:ascii="Arial" w:hAnsi="Arial" w:cs="Arial"/>
          <w:b/>
          <w:sz w:val="24"/>
          <w:szCs w:val="24"/>
        </w:rPr>
      </w:pPr>
      <w:r w:rsidRPr="006769C7">
        <w:rPr>
          <w:rFonts w:ascii="Arial" w:hAnsi="Arial" w:cs="Arial"/>
          <w:b/>
          <w:sz w:val="24"/>
          <w:szCs w:val="24"/>
        </w:rPr>
        <w:t>4. El daño</w:t>
      </w:r>
    </w:p>
    <w:p w14:paraId="7817B837" w14:textId="77777777" w:rsidR="002C6BDF" w:rsidRPr="006769C7" w:rsidRDefault="002C6BDF" w:rsidP="006769C7">
      <w:pPr>
        <w:spacing w:line="276" w:lineRule="auto"/>
        <w:ind w:right="-15"/>
        <w:jc w:val="both"/>
        <w:rPr>
          <w:rFonts w:ascii="Arial" w:hAnsi="Arial" w:cs="Arial"/>
          <w:b/>
          <w:sz w:val="24"/>
          <w:szCs w:val="24"/>
        </w:rPr>
      </w:pPr>
    </w:p>
    <w:p w14:paraId="4102FE0E"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Como antes se señaló, el demandante afirma que el racionamiento de energía le impidió obtener los ingresos que hubiera derivado en condiciones normales en desarrollo del contrato que celebró en septiembre de 1991, con INRAVISIÓN.  </w:t>
      </w:r>
    </w:p>
    <w:p w14:paraId="2AD94477" w14:textId="77777777" w:rsidR="002C6BDF" w:rsidRPr="006769C7" w:rsidRDefault="002C6BDF" w:rsidP="006769C7">
      <w:pPr>
        <w:spacing w:line="276" w:lineRule="auto"/>
        <w:ind w:right="-15"/>
        <w:jc w:val="both"/>
        <w:rPr>
          <w:rFonts w:ascii="Arial" w:hAnsi="Arial" w:cs="Arial"/>
          <w:b/>
          <w:sz w:val="24"/>
          <w:szCs w:val="24"/>
        </w:rPr>
      </w:pPr>
    </w:p>
    <w:p w14:paraId="6C2459DA"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4.1. Está demostrado que conforme a lo establecido en la Ley 14 de 1991, el Instituto Nacional de Radio y Televisión –INRAVISION- celebró el contrato de concesión de espacios de televisión 2828 de 1991, con la sociedad Producciones Punch S.A., en el cual se permitía al concesionario la utilización de los espacios asignados en la cadena dos de televisión. El plazo de ejecución del contrato se pactó en 6 años, prorrogables y su precio se estimó en $7.726.289.813 (f. 19-26 c-1). </w:t>
      </w:r>
    </w:p>
    <w:p w14:paraId="4997EB1E" w14:textId="77777777" w:rsidR="002C6BDF" w:rsidRPr="006769C7" w:rsidRDefault="002C6BDF" w:rsidP="006769C7">
      <w:pPr>
        <w:spacing w:line="276" w:lineRule="auto"/>
        <w:ind w:right="-15"/>
        <w:jc w:val="both"/>
        <w:rPr>
          <w:rFonts w:ascii="Arial" w:hAnsi="Arial" w:cs="Arial"/>
          <w:sz w:val="24"/>
          <w:szCs w:val="24"/>
        </w:rPr>
      </w:pPr>
    </w:p>
    <w:p w14:paraId="6423BF87"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Los espacios contratados con la programadora, fueron los siguientes:</w:t>
      </w:r>
    </w:p>
    <w:p w14:paraId="4A7791E2" w14:textId="77777777" w:rsidR="002C6BDF" w:rsidRPr="006769C7" w:rsidRDefault="002C6BDF" w:rsidP="006769C7">
      <w:pPr>
        <w:spacing w:line="276" w:lineRule="auto"/>
        <w:ind w:right="-15"/>
        <w:jc w:val="both"/>
        <w:rPr>
          <w:rFonts w:ascii="Arial" w:hAnsi="Arial" w:cs="Arial"/>
          <w:sz w:val="24"/>
          <w:szCs w:val="24"/>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275"/>
        <w:gridCol w:w="1843"/>
        <w:gridCol w:w="3544"/>
      </w:tblGrid>
      <w:tr w:rsidR="002C6BDF" w:rsidRPr="006769C7" w14:paraId="0A3899EB" w14:textId="77777777" w:rsidTr="007B3E92">
        <w:tc>
          <w:tcPr>
            <w:tcW w:w="1101" w:type="dxa"/>
          </w:tcPr>
          <w:p w14:paraId="68245DE5" w14:textId="77777777" w:rsidR="002C6BDF" w:rsidRPr="006769C7" w:rsidRDefault="002C6BDF" w:rsidP="006769C7">
            <w:pPr>
              <w:tabs>
                <w:tab w:val="left" w:pos="1418"/>
              </w:tabs>
              <w:spacing w:line="276" w:lineRule="auto"/>
              <w:ind w:right="-108"/>
              <w:jc w:val="both"/>
              <w:rPr>
                <w:rFonts w:ascii="Arial" w:hAnsi="Arial" w:cs="Arial"/>
                <w:b/>
                <w:i/>
                <w:sz w:val="24"/>
                <w:szCs w:val="24"/>
              </w:rPr>
            </w:pPr>
            <w:r w:rsidRPr="006769C7">
              <w:rPr>
                <w:rFonts w:ascii="Arial" w:hAnsi="Arial" w:cs="Arial"/>
                <w:b/>
                <w:i/>
                <w:sz w:val="24"/>
                <w:szCs w:val="24"/>
              </w:rPr>
              <w:t>DIA</w:t>
            </w:r>
          </w:p>
        </w:tc>
        <w:tc>
          <w:tcPr>
            <w:tcW w:w="1275" w:type="dxa"/>
          </w:tcPr>
          <w:p w14:paraId="56330F61" w14:textId="77777777" w:rsidR="002C6BDF" w:rsidRPr="006769C7" w:rsidRDefault="002C6BDF" w:rsidP="006769C7">
            <w:pPr>
              <w:tabs>
                <w:tab w:val="left" w:pos="1418"/>
              </w:tabs>
              <w:spacing w:line="276" w:lineRule="auto"/>
              <w:ind w:right="-108"/>
              <w:jc w:val="both"/>
              <w:rPr>
                <w:rFonts w:ascii="Arial" w:hAnsi="Arial" w:cs="Arial"/>
                <w:b/>
                <w:i/>
                <w:sz w:val="24"/>
                <w:szCs w:val="24"/>
              </w:rPr>
            </w:pPr>
            <w:r w:rsidRPr="006769C7">
              <w:rPr>
                <w:rFonts w:ascii="Arial" w:hAnsi="Arial" w:cs="Arial"/>
                <w:b/>
                <w:i/>
                <w:sz w:val="24"/>
                <w:szCs w:val="24"/>
              </w:rPr>
              <w:t>HORARIO</w:t>
            </w:r>
          </w:p>
        </w:tc>
        <w:tc>
          <w:tcPr>
            <w:tcW w:w="1843" w:type="dxa"/>
          </w:tcPr>
          <w:p w14:paraId="7FE1D95F" w14:textId="77777777" w:rsidR="002C6BDF" w:rsidRPr="006769C7" w:rsidRDefault="002C6BDF" w:rsidP="006769C7">
            <w:pPr>
              <w:tabs>
                <w:tab w:val="left" w:pos="1418"/>
                <w:tab w:val="left" w:pos="1627"/>
              </w:tabs>
              <w:spacing w:line="276" w:lineRule="auto"/>
              <w:ind w:right="-108"/>
              <w:jc w:val="both"/>
              <w:rPr>
                <w:rFonts w:ascii="Arial" w:hAnsi="Arial" w:cs="Arial"/>
                <w:b/>
                <w:i/>
                <w:sz w:val="24"/>
                <w:szCs w:val="24"/>
              </w:rPr>
            </w:pPr>
            <w:r w:rsidRPr="006769C7">
              <w:rPr>
                <w:rFonts w:ascii="Arial" w:hAnsi="Arial" w:cs="Arial"/>
                <w:b/>
                <w:i/>
                <w:sz w:val="24"/>
                <w:szCs w:val="24"/>
              </w:rPr>
              <w:t>CLASIFICACIÓN</w:t>
            </w:r>
          </w:p>
        </w:tc>
        <w:tc>
          <w:tcPr>
            <w:tcW w:w="3544" w:type="dxa"/>
          </w:tcPr>
          <w:p w14:paraId="165D0940" w14:textId="77777777" w:rsidR="002C6BDF" w:rsidRPr="006769C7" w:rsidRDefault="002C6BDF" w:rsidP="006769C7">
            <w:pPr>
              <w:tabs>
                <w:tab w:val="left" w:pos="1418"/>
              </w:tabs>
              <w:spacing w:line="276" w:lineRule="auto"/>
              <w:ind w:right="618"/>
              <w:jc w:val="both"/>
              <w:rPr>
                <w:rFonts w:ascii="Arial" w:hAnsi="Arial" w:cs="Arial"/>
                <w:b/>
                <w:i/>
                <w:sz w:val="24"/>
                <w:szCs w:val="24"/>
              </w:rPr>
            </w:pPr>
            <w:r w:rsidRPr="006769C7">
              <w:rPr>
                <w:rFonts w:ascii="Arial" w:hAnsi="Arial" w:cs="Arial"/>
                <w:b/>
                <w:i/>
                <w:sz w:val="24"/>
                <w:szCs w:val="24"/>
              </w:rPr>
              <w:t>CARÁCTER</w:t>
            </w:r>
          </w:p>
        </w:tc>
      </w:tr>
      <w:tr w:rsidR="002C6BDF" w:rsidRPr="006769C7" w14:paraId="3E05277A" w14:textId="77777777" w:rsidTr="007B3E92">
        <w:tc>
          <w:tcPr>
            <w:tcW w:w="1101" w:type="dxa"/>
          </w:tcPr>
          <w:p w14:paraId="387592A8" w14:textId="77777777" w:rsidR="002C6BDF" w:rsidRPr="006769C7" w:rsidRDefault="002C6BDF" w:rsidP="006769C7">
            <w:pPr>
              <w:tabs>
                <w:tab w:val="left" w:pos="1418"/>
              </w:tabs>
              <w:spacing w:line="276" w:lineRule="auto"/>
              <w:ind w:right="-108" w:firstLine="7"/>
              <w:jc w:val="both"/>
              <w:rPr>
                <w:rFonts w:ascii="Arial" w:hAnsi="Arial" w:cs="Arial"/>
                <w:i/>
                <w:sz w:val="24"/>
                <w:szCs w:val="24"/>
              </w:rPr>
            </w:pPr>
            <w:r w:rsidRPr="006769C7">
              <w:rPr>
                <w:rFonts w:ascii="Arial" w:hAnsi="Arial" w:cs="Arial"/>
                <w:i/>
                <w:sz w:val="24"/>
                <w:szCs w:val="24"/>
              </w:rPr>
              <w:t>Lunes</w:t>
            </w:r>
          </w:p>
        </w:tc>
        <w:tc>
          <w:tcPr>
            <w:tcW w:w="1275" w:type="dxa"/>
          </w:tcPr>
          <w:p w14:paraId="1187F90C" w14:textId="77777777" w:rsidR="002C6BDF" w:rsidRPr="006769C7" w:rsidRDefault="002C6BDF" w:rsidP="006769C7">
            <w:pPr>
              <w:tabs>
                <w:tab w:val="left" w:pos="1418"/>
              </w:tabs>
              <w:spacing w:line="276" w:lineRule="auto"/>
              <w:ind w:left="-774" w:right="-108"/>
              <w:jc w:val="both"/>
              <w:rPr>
                <w:rFonts w:ascii="Arial" w:hAnsi="Arial" w:cs="Arial"/>
                <w:i/>
                <w:sz w:val="24"/>
                <w:szCs w:val="24"/>
              </w:rPr>
            </w:pPr>
            <w:r w:rsidRPr="006769C7">
              <w:rPr>
                <w:rFonts w:ascii="Arial" w:hAnsi="Arial" w:cs="Arial"/>
                <w:i/>
                <w:sz w:val="24"/>
                <w:szCs w:val="24"/>
              </w:rPr>
              <w:t>10:00-110:00-10:30</w:t>
            </w:r>
          </w:p>
        </w:tc>
        <w:tc>
          <w:tcPr>
            <w:tcW w:w="1843" w:type="dxa"/>
          </w:tcPr>
          <w:p w14:paraId="2869F5D0" w14:textId="77777777" w:rsidR="002C6BDF" w:rsidRPr="006769C7" w:rsidRDefault="002C6BDF" w:rsidP="006769C7">
            <w:pPr>
              <w:tabs>
                <w:tab w:val="left" w:pos="1418"/>
              </w:tabs>
              <w:spacing w:line="276" w:lineRule="auto"/>
              <w:ind w:right="618"/>
              <w:jc w:val="both"/>
              <w:rPr>
                <w:rFonts w:ascii="Arial" w:hAnsi="Arial" w:cs="Arial"/>
                <w:i/>
                <w:sz w:val="24"/>
                <w:szCs w:val="24"/>
              </w:rPr>
            </w:pPr>
            <w:r w:rsidRPr="006769C7">
              <w:rPr>
                <w:rFonts w:ascii="Arial" w:hAnsi="Arial" w:cs="Arial"/>
                <w:i/>
                <w:sz w:val="24"/>
                <w:szCs w:val="24"/>
              </w:rPr>
              <w:t>A</w:t>
            </w:r>
          </w:p>
        </w:tc>
        <w:tc>
          <w:tcPr>
            <w:tcW w:w="3544" w:type="dxa"/>
          </w:tcPr>
          <w:p w14:paraId="0407E5BD" w14:textId="77777777" w:rsidR="002C6BDF" w:rsidRPr="006769C7" w:rsidRDefault="002C6BDF" w:rsidP="006769C7">
            <w:pPr>
              <w:tabs>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Dramatizado Extranjero</w:t>
            </w:r>
          </w:p>
        </w:tc>
      </w:tr>
      <w:tr w:rsidR="002C6BDF" w:rsidRPr="006769C7" w14:paraId="5DFB14F6" w14:textId="77777777" w:rsidTr="007B3E92">
        <w:tc>
          <w:tcPr>
            <w:tcW w:w="1101" w:type="dxa"/>
          </w:tcPr>
          <w:p w14:paraId="66C8466A" w14:textId="77777777" w:rsidR="002C6BDF" w:rsidRPr="006769C7" w:rsidRDefault="002C6BDF" w:rsidP="006769C7">
            <w:pPr>
              <w:tabs>
                <w:tab w:val="left" w:pos="1418"/>
              </w:tabs>
              <w:spacing w:line="276" w:lineRule="auto"/>
              <w:ind w:right="618"/>
              <w:jc w:val="both"/>
              <w:rPr>
                <w:rFonts w:ascii="Arial" w:hAnsi="Arial" w:cs="Arial"/>
                <w:i/>
                <w:sz w:val="24"/>
                <w:szCs w:val="24"/>
              </w:rPr>
            </w:pPr>
          </w:p>
        </w:tc>
        <w:tc>
          <w:tcPr>
            <w:tcW w:w="1275" w:type="dxa"/>
          </w:tcPr>
          <w:p w14:paraId="2C423B35" w14:textId="77777777" w:rsidR="002C6BDF" w:rsidRPr="006769C7" w:rsidRDefault="002C6BDF" w:rsidP="006769C7">
            <w:pPr>
              <w:tabs>
                <w:tab w:val="left" w:pos="1418"/>
              </w:tabs>
              <w:spacing w:line="276" w:lineRule="auto"/>
              <w:ind w:left="-108" w:right="-108"/>
              <w:jc w:val="both"/>
              <w:rPr>
                <w:rFonts w:ascii="Arial" w:hAnsi="Arial" w:cs="Arial"/>
                <w:i/>
                <w:sz w:val="24"/>
                <w:szCs w:val="24"/>
              </w:rPr>
            </w:pPr>
            <w:r w:rsidRPr="006769C7">
              <w:rPr>
                <w:rFonts w:ascii="Arial" w:hAnsi="Arial" w:cs="Arial"/>
                <w:i/>
                <w:sz w:val="24"/>
                <w:szCs w:val="24"/>
              </w:rPr>
              <w:t>12:00-12:30</w:t>
            </w:r>
          </w:p>
        </w:tc>
        <w:tc>
          <w:tcPr>
            <w:tcW w:w="1843" w:type="dxa"/>
          </w:tcPr>
          <w:p w14:paraId="03E62CE9" w14:textId="77777777" w:rsidR="002C6BDF" w:rsidRPr="006769C7" w:rsidRDefault="002C6BDF" w:rsidP="006769C7">
            <w:pPr>
              <w:tabs>
                <w:tab w:val="left" w:pos="1418"/>
              </w:tabs>
              <w:spacing w:line="276" w:lineRule="auto"/>
              <w:ind w:right="618"/>
              <w:jc w:val="both"/>
              <w:rPr>
                <w:rFonts w:ascii="Arial" w:hAnsi="Arial" w:cs="Arial"/>
                <w:i/>
                <w:sz w:val="24"/>
                <w:szCs w:val="24"/>
              </w:rPr>
            </w:pPr>
            <w:r w:rsidRPr="006769C7">
              <w:rPr>
                <w:rFonts w:ascii="Arial" w:hAnsi="Arial" w:cs="Arial"/>
                <w:i/>
                <w:sz w:val="24"/>
                <w:szCs w:val="24"/>
              </w:rPr>
              <w:t>A</w:t>
            </w:r>
          </w:p>
        </w:tc>
        <w:tc>
          <w:tcPr>
            <w:tcW w:w="3544" w:type="dxa"/>
          </w:tcPr>
          <w:p w14:paraId="30559327" w14:textId="77777777" w:rsidR="002C6BDF" w:rsidRPr="006769C7" w:rsidRDefault="002C6BDF" w:rsidP="006769C7">
            <w:pPr>
              <w:tabs>
                <w:tab w:val="left" w:pos="1418"/>
              </w:tabs>
              <w:spacing w:line="276" w:lineRule="auto"/>
              <w:ind w:right="-108"/>
              <w:jc w:val="both"/>
              <w:rPr>
                <w:rFonts w:ascii="Arial" w:hAnsi="Arial" w:cs="Arial"/>
                <w:i/>
                <w:sz w:val="24"/>
                <w:szCs w:val="24"/>
              </w:rPr>
            </w:pPr>
            <w:r w:rsidRPr="006769C7">
              <w:rPr>
                <w:rFonts w:ascii="Arial" w:hAnsi="Arial" w:cs="Arial"/>
                <w:i/>
                <w:sz w:val="24"/>
                <w:szCs w:val="24"/>
              </w:rPr>
              <w:t xml:space="preserve">Recreativo Dramatizado Nacional </w:t>
            </w:r>
          </w:p>
        </w:tc>
      </w:tr>
      <w:tr w:rsidR="002C6BDF" w:rsidRPr="006769C7" w14:paraId="00FF36A7" w14:textId="77777777" w:rsidTr="007B3E92">
        <w:tc>
          <w:tcPr>
            <w:tcW w:w="1101" w:type="dxa"/>
          </w:tcPr>
          <w:p w14:paraId="045FFA63" w14:textId="77777777" w:rsidR="002C6BDF" w:rsidRPr="006769C7" w:rsidRDefault="002C6BDF" w:rsidP="006769C7">
            <w:pPr>
              <w:tabs>
                <w:tab w:val="left" w:pos="1276"/>
                <w:tab w:val="left" w:pos="1418"/>
              </w:tabs>
              <w:spacing w:line="276" w:lineRule="auto"/>
              <w:ind w:right="618"/>
              <w:jc w:val="both"/>
              <w:rPr>
                <w:rFonts w:ascii="Arial" w:hAnsi="Arial" w:cs="Arial"/>
                <w:i/>
                <w:sz w:val="24"/>
                <w:szCs w:val="24"/>
              </w:rPr>
            </w:pPr>
          </w:p>
        </w:tc>
        <w:tc>
          <w:tcPr>
            <w:tcW w:w="1275" w:type="dxa"/>
          </w:tcPr>
          <w:p w14:paraId="71155358" w14:textId="77777777" w:rsidR="002C6BDF" w:rsidRPr="006769C7" w:rsidRDefault="002C6BDF" w:rsidP="006769C7">
            <w:pPr>
              <w:tabs>
                <w:tab w:val="left" w:pos="1276"/>
                <w:tab w:val="left" w:pos="1418"/>
              </w:tabs>
              <w:spacing w:line="276" w:lineRule="auto"/>
              <w:ind w:left="-108" w:right="-108"/>
              <w:jc w:val="both"/>
              <w:rPr>
                <w:rFonts w:ascii="Arial" w:hAnsi="Arial" w:cs="Arial"/>
                <w:i/>
                <w:sz w:val="24"/>
                <w:szCs w:val="24"/>
              </w:rPr>
            </w:pPr>
            <w:r w:rsidRPr="006769C7">
              <w:rPr>
                <w:rFonts w:ascii="Arial" w:hAnsi="Arial" w:cs="Arial"/>
                <w:i/>
                <w:sz w:val="24"/>
                <w:szCs w:val="24"/>
              </w:rPr>
              <w:t>13:00-13:30</w:t>
            </w:r>
          </w:p>
        </w:tc>
        <w:tc>
          <w:tcPr>
            <w:tcW w:w="1843" w:type="dxa"/>
          </w:tcPr>
          <w:p w14:paraId="5A2B5DB0" w14:textId="77777777" w:rsidR="002C6BDF" w:rsidRPr="006769C7" w:rsidRDefault="002C6BDF" w:rsidP="006769C7">
            <w:pPr>
              <w:tabs>
                <w:tab w:val="left" w:pos="1276"/>
                <w:tab w:val="left" w:pos="1418"/>
              </w:tabs>
              <w:spacing w:line="276" w:lineRule="auto"/>
              <w:ind w:right="618"/>
              <w:jc w:val="both"/>
              <w:rPr>
                <w:rFonts w:ascii="Arial" w:hAnsi="Arial" w:cs="Arial"/>
                <w:i/>
                <w:sz w:val="24"/>
                <w:szCs w:val="24"/>
              </w:rPr>
            </w:pPr>
            <w:r w:rsidRPr="006769C7">
              <w:rPr>
                <w:rFonts w:ascii="Arial" w:hAnsi="Arial" w:cs="Arial"/>
                <w:i/>
                <w:sz w:val="24"/>
                <w:szCs w:val="24"/>
              </w:rPr>
              <w:t>A</w:t>
            </w:r>
          </w:p>
        </w:tc>
        <w:tc>
          <w:tcPr>
            <w:tcW w:w="3544" w:type="dxa"/>
          </w:tcPr>
          <w:p w14:paraId="4CB6198E" w14:textId="77777777" w:rsidR="002C6BDF" w:rsidRPr="006769C7" w:rsidRDefault="002C6BDF" w:rsidP="006769C7">
            <w:pPr>
              <w:tabs>
                <w:tab w:val="left" w:pos="1276"/>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Variedades</w:t>
            </w:r>
          </w:p>
        </w:tc>
      </w:tr>
      <w:tr w:rsidR="002C6BDF" w:rsidRPr="006769C7" w14:paraId="21F775E8" w14:textId="77777777" w:rsidTr="007B3E92">
        <w:tc>
          <w:tcPr>
            <w:tcW w:w="1101" w:type="dxa"/>
          </w:tcPr>
          <w:p w14:paraId="59E064E1" w14:textId="77777777" w:rsidR="002C6BDF" w:rsidRPr="006769C7" w:rsidRDefault="002C6BDF" w:rsidP="006769C7">
            <w:pPr>
              <w:tabs>
                <w:tab w:val="left" w:pos="1276"/>
                <w:tab w:val="left" w:pos="1418"/>
              </w:tabs>
              <w:spacing w:line="276" w:lineRule="auto"/>
              <w:ind w:right="618"/>
              <w:jc w:val="both"/>
              <w:rPr>
                <w:rFonts w:ascii="Arial" w:hAnsi="Arial" w:cs="Arial"/>
                <w:i/>
                <w:sz w:val="24"/>
                <w:szCs w:val="24"/>
              </w:rPr>
            </w:pPr>
          </w:p>
        </w:tc>
        <w:tc>
          <w:tcPr>
            <w:tcW w:w="1275" w:type="dxa"/>
          </w:tcPr>
          <w:p w14:paraId="108AFF22" w14:textId="77777777" w:rsidR="002C6BDF" w:rsidRPr="006769C7" w:rsidRDefault="002C6BDF" w:rsidP="006769C7">
            <w:pPr>
              <w:tabs>
                <w:tab w:val="left" w:pos="1276"/>
                <w:tab w:val="left" w:pos="1418"/>
              </w:tabs>
              <w:spacing w:line="276" w:lineRule="auto"/>
              <w:ind w:left="-108" w:right="-108"/>
              <w:jc w:val="both"/>
              <w:rPr>
                <w:rFonts w:ascii="Arial" w:hAnsi="Arial" w:cs="Arial"/>
                <w:i/>
                <w:sz w:val="24"/>
                <w:szCs w:val="24"/>
              </w:rPr>
            </w:pPr>
            <w:r w:rsidRPr="006769C7">
              <w:rPr>
                <w:rFonts w:ascii="Arial" w:hAnsi="Arial" w:cs="Arial"/>
                <w:i/>
                <w:sz w:val="24"/>
                <w:szCs w:val="24"/>
              </w:rPr>
              <w:t>21:00-21:30</w:t>
            </w:r>
          </w:p>
        </w:tc>
        <w:tc>
          <w:tcPr>
            <w:tcW w:w="1843" w:type="dxa"/>
          </w:tcPr>
          <w:p w14:paraId="3F6A6FCD" w14:textId="77777777" w:rsidR="002C6BDF" w:rsidRPr="006769C7" w:rsidRDefault="002C6BDF" w:rsidP="006769C7">
            <w:pPr>
              <w:tabs>
                <w:tab w:val="left" w:pos="1276"/>
                <w:tab w:val="left" w:pos="1418"/>
              </w:tabs>
              <w:spacing w:line="276" w:lineRule="auto"/>
              <w:ind w:right="618"/>
              <w:jc w:val="both"/>
              <w:rPr>
                <w:rFonts w:ascii="Arial" w:hAnsi="Arial" w:cs="Arial"/>
                <w:i/>
                <w:sz w:val="24"/>
                <w:szCs w:val="24"/>
              </w:rPr>
            </w:pPr>
            <w:r w:rsidRPr="006769C7">
              <w:rPr>
                <w:rFonts w:ascii="Arial" w:hAnsi="Arial" w:cs="Arial"/>
                <w:i/>
                <w:sz w:val="24"/>
                <w:szCs w:val="24"/>
              </w:rPr>
              <w:t>AAA</w:t>
            </w:r>
          </w:p>
        </w:tc>
        <w:tc>
          <w:tcPr>
            <w:tcW w:w="3544" w:type="dxa"/>
          </w:tcPr>
          <w:p w14:paraId="714FEB01" w14:textId="77777777" w:rsidR="002C6BDF" w:rsidRPr="006769C7" w:rsidRDefault="002C6BDF" w:rsidP="006769C7">
            <w:pPr>
              <w:tabs>
                <w:tab w:val="left" w:pos="1276"/>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Variedades</w:t>
            </w:r>
          </w:p>
        </w:tc>
      </w:tr>
      <w:tr w:rsidR="002C6BDF" w:rsidRPr="006769C7" w14:paraId="20EC2789" w14:textId="77777777" w:rsidTr="007B3E92">
        <w:tc>
          <w:tcPr>
            <w:tcW w:w="1101" w:type="dxa"/>
          </w:tcPr>
          <w:p w14:paraId="2D731887" w14:textId="77777777" w:rsidR="002C6BDF" w:rsidRPr="006769C7" w:rsidRDefault="002C6BDF" w:rsidP="006769C7">
            <w:pPr>
              <w:tabs>
                <w:tab w:val="left" w:pos="1418"/>
              </w:tabs>
              <w:spacing w:line="276" w:lineRule="auto"/>
              <w:ind w:right="-108" w:firstLine="7"/>
              <w:jc w:val="both"/>
              <w:rPr>
                <w:rFonts w:ascii="Arial" w:hAnsi="Arial" w:cs="Arial"/>
                <w:i/>
                <w:sz w:val="24"/>
                <w:szCs w:val="24"/>
              </w:rPr>
            </w:pPr>
            <w:r w:rsidRPr="006769C7">
              <w:rPr>
                <w:rFonts w:ascii="Arial" w:hAnsi="Arial" w:cs="Arial"/>
                <w:i/>
                <w:sz w:val="24"/>
                <w:szCs w:val="24"/>
              </w:rPr>
              <w:t>Martes</w:t>
            </w:r>
          </w:p>
        </w:tc>
        <w:tc>
          <w:tcPr>
            <w:tcW w:w="1275" w:type="dxa"/>
          </w:tcPr>
          <w:p w14:paraId="3380C551" w14:textId="77777777" w:rsidR="002C6BDF" w:rsidRPr="006769C7" w:rsidRDefault="002C6BDF" w:rsidP="006769C7">
            <w:pPr>
              <w:tabs>
                <w:tab w:val="left" w:pos="1418"/>
              </w:tabs>
              <w:spacing w:line="276" w:lineRule="auto"/>
              <w:ind w:left="-774" w:right="-108"/>
              <w:jc w:val="both"/>
              <w:rPr>
                <w:rFonts w:ascii="Arial" w:hAnsi="Arial" w:cs="Arial"/>
                <w:i/>
                <w:sz w:val="24"/>
                <w:szCs w:val="24"/>
              </w:rPr>
            </w:pPr>
            <w:r w:rsidRPr="006769C7">
              <w:rPr>
                <w:rFonts w:ascii="Arial" w:hAnsi="Arial" w:cs="Arial"/>
                <w:i/>
                <w:sz w:val="24"/>
                <w:szCs w:val="24"/>
              </w:rPr>
              <w:t>10:00-112:00-12:30</w:t>
            </w:r>
          </w:p>
        </w:tc>
        <w:tc>
          <w:tcPr>
            <w:tcW w:w="1843" w:type="dxa"/>
          </w:tcPr>
          <w:p w14:paraId="6E1E78D5" w14:textId="77777777" w:rsidR="002C6BDF" w:rsidRPr="006769C7" w:rsidRDefault="002C6BDF" w:rsidP="006769C7">
            <w:pPr>
              <w:tabs>
                <w:tab w:val="left" w:pos="1418"/>
              </w:tabs>
              <w:spacing w:line="276" w:lineRule="auto"/>
              <w:ind w:right="618"/>
              <w:jc w:val="both"/>
              <w:rPr>
                <w:rFonts w:ascii="Arial" w:hAnsi="Arial" w:cs="Arial"/>
                <w:i/>
                <w:sz w:val="24"/>
                <w:szCs w:val="24"/>
              </w:rPr>
            </w:pPr>
            <w:r w:rsidRPr="006769C7">
              <w:rPr>
                <w:rFonts w:ascii="Arial" w:hAnsi="Arial" w:cs="Arial"/>
                <w:i/>
                <w:sz w:val="24"/>
                <w:szCs w:val="24"/>
              </w:rPr>
              <w:t>A</w:t>
            </w:r>
          </w:p>
        </w:tc>
        <w:tc>
          <w:tcPr>
            <w:tcW w:w="3544" w:type="dxa"/>
          </w:tcPr>
          <w:p w14:paraId="220E7D5D" w14:textId="77777777" w:rsidR="002C6BDF" w:rsidRPr="006769C7" w:rsidRDefault="002C6BDF" w:rsidP="006769C7">
            <w:pPr>
              <w:tabs>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Dramatizado Nacional</w:t>
            </w:r>
          </w:p>
        </w:tc>
      </w:tr>
      <w:tr w:rsidR="002C6BDF" w:rsidRPr="006769C7" w14:paraId="7AD5A4F9" w14:textId="77777777" w:rsidTr="007B3E92">
        <w:tc>
          <w:tcPr>
            <w:tcW w:w="1101" w:type="dxa"/>
          </w:tcPr>
          <w:p w14:paraId="1EB588F0" w14:textId="77777777" w:rsidR="002C6BDF" w:rsidRPr="006769C7" w:rsidRDefault="002C6BDF" w:rsidP="006769C7">
            <w:pPr>
              <w:tabs>
                <w:tab w:val="left" w:pos="1418"/>
              </w:tabs>
              <w:spacing w:line="276" w:lineRule="auto"/>
              <w:ind w:right="618"/>
              <w:jc w:val="both"/>
              <w:rPr>
                <w:rFonts w:ascii="Arial" w:hAnsi="Arial" w:cs="Arial"/>
                <w:i/>
                <w:sz w:val="24"/>
                <w:szCs w:val="24"/>
              </w:rPr>
            </w:pPr>
          </w:p>
        </w:tc>
        <w:tc>
          <w:tcPr>
            <w:tcW w:w="1275" w:type="dxa"/>
          </w:tcPr>
          <w:p w14:paraId="355334AF" w14:textId="77777777" w:rsidR="002C6BDF" w:rsidRPr="006769C7" w:rsidRDefault="002C6BDF" w:rsidP="006769C7">
            <w:pPr>
              <w:tabs>
                <w:tab w:val="left" w:pos="1418"/>
              </w:tabs>
              <w:spacing w:line="276" w:lineRule="auto"/>
              <w:ind w:left="-108" w:right="-108"/>
              <w:jc w:val="both"/>
              <w:rPr>
                <w:rFonts w:ascii="Arial" w:hAnsi="Arial" w:cs="Arial"/>
                <w:i/>
                <w:sz w:val="24"/>
                <w:szCs w:val="24"/>
              </w:rPr>
            </w:pPr>
            <w:r w:rsidRPr="006769C7">
              <w:rPr>
                <w:rFonts w:ascii="Arial" w:hAnsi="Arial" w:cs="Arial"/>
                <w:i/>
                <w:sz w:val="24"/>
                <w:szCs w:val="24"/>
              </w:rPr>
              <w:t>22:00-32:30</w:t>
            </w:r>
          </w:p>
        </w:tc>
        <w:tc>
          <w:tcPr>
            <w:tcW w:w="1843" w:type="dxa"/>
          </w:tcPr>
          <w:p w14:paraId="5418DAB7" w14:textId="77777777" w:rsidR="002C6BDF" w:rsidRPr="006769C7" w:rsidRDefault="002C6BDF" w:rsidP="006769C7">
            <w:pPr>
              <w:tabs>
                <w:tab w:val="left" w:pos="1418"/>
              </w:tabs>
              <w:spacing w:line="276" w:lineRule="auto"/>
              <w:ind w:right="618"/>
              <w:jc w:val="both"/>
              <w:rPr>
                <w:rFonts w:ascii="Arial" w:hAnsi="Arial" w:cs="Arial"/>
                <w:i/>
                <w:sz w:val="24"/>
                <w:szCs w:val="24"/>
              </w:rPr>
            </w:pPr>
            <w:r w:rsidRPr="006769C7">
              <w:rPr>
                <w:rFonts w:ascii="Arial" w:hAnsi="Arial" w:cs="Arial"/>
                <w:i/>
                <w:sz w:val="24"/>
                <w:szCs w:val="24"/>
              </w:rPr>
              <w:t>BB</w:t>
            </w:r>
          </w:p>
        </w:tc>
        <w:tc>
          <w:tcPr>
            <w:tcW w:w="3544" w:type="dxa"/>
          </w:tcPr>
          <w:p w14:paraId="588B80B6" w14:textId="77777777" w:rsidR="002C6BDF" w:rsidRPr="006769C7" w:rsidRDefault="002C6BDF" w:rsidP="006769C7">
            <w:pPr>
              <w:tabs>
                <w:tab w:val="left" w:pos="1418"/>
              </w:tabs>
              <w:spacing w:line="276" w:lineRule="auto"/>
              <w:ind w:right="-108"/>
              <w:jc w:val="both"/>
              <w:rPr>
                <w:rFonts w:ascii="Arial" w:hAnsi="Arial" w:cs="Arial"/>
                <w:i/>
                <w:sz w:val="24"/>
                <w:szCs w:val="24"/>
              </w:rPr>
            </w:pPr>
            <w:r w:rsidRPr="006769C7">
              <w:rPr>
                <w:rFonts w:ascii="Arial" w:hAnsi="Arial" w:cs="Arial"/>
                <w:i/>
                <w:sz w:val="24"/>
                <w:szCs w:val="24"/>
              </w:rPr>
              <w:t>Informativo Opinión</w:t>
            </w:r>
          </w:p>
        </w:tc>
      </w:tr>
      <w:tr w:rsidR="002C6BDF" w:rsidRPr="006769C7" w14:paraId="48781384" w14:textId="77777777" w:rsidTr="007B3E92">
        <w:tc>
          <w:tcPr>
            <w:tcW w:w="1101" w:type="dxa"/>
          </w:tcPr>
          <w:p w14:paraId="7126E302" w14:textId="77777777" w:rsidR="002C6BDF" w:rsidRPr="006769C7" w:rsidRDefault="002C6BDF" w:rsidP="006769C7">
            <w:pPr>
              <w:tabs>
                <w:tab w:val="left" w:pos="1276"/>
                <w:tab w:val="left" w:pos="1418"/>
              </w:tabs>
              <w:spacing w:line="276" w:lineRule="auto"/>
              <w:jc w:val="both"/>
              <w:rPr>
                <w:rFonts w:ascii="Arial" w:hAnsi="Arial" w:cs="Arial"/>
                <w:i/>
                <w:sz w:val="24"/>
                <w:szCs w:val="24"/>
              </w:rPr>
            </w:pPr>
            <w:r w:rsidRPr="006769C7">
              <w:rPr>
                <w:rFonts w:ascii="Arial" w:hAnsi="Arial" w:cs="Arial"/>
                <w:i/>
                <w:sz w:val="24"/>
                <w:szCs w:val="24"/>
              </w:rPr>
              <w:t>Miércoles</w:t>
            </w:r>
          </w:p>
        </w:tc>
        <w:tc>
          <w:tcPr>
            <w:tcW w:w="1275" w:type="dxa"/>
          </w:tcPr>
          <w:p w14:paraId="7BDFBBFC" w14:textId="77777777" w:rsidR="002C6BDF" w:rsidRPr="006769C7" w:rsidRDefault="002C6BDF" w:rsidP="006769C7">
            <w:pPr>
              <w:tabs>
                <w:tab w:val="left" w:pos="1276"/>
                <w:tab w:val="left" w:pos="1418"/>
              </w:tabs>
              <w:spacing w:line="276" w:lineRule="auto"/>
              <w:ind w:left="-108" w:right="-108"/>
              <w:jc w:val="both"/>
              <w:rPr>
                <w:rFonts w:ascii="Arial" w:hAnsi="Arial" w:cs="Arial"/>
                <w:i/>
                <w:sz w:val="24"/>
                <w:szCs w:val="24"/>
              </w:rPr>
            </w:pPr>
            <w:r w:rsidRPr="006769C7">
              <w:rPr>
                <w:rFonts w:ascii="Arial" w:hAnsi="Arial" w:cs="Arial"/>
                <w:i/>
                <w:sz w:val="24"/>
                <w:szCs w:val="24"/>
              </w:rPr>
              <w:t>11:00-11:30</w:t>
            </w:r>
          </w:p>
        </w:tc>
        <w:tc>
          <w:tcPr>
            <w:tcW w:w="1843" w:type="dxa"/>
          </w:tcPr>
          <w:p w14:paraId="513BA0EA" w14:textId="77777777" w:rsidR="002C6BDF" w:rsidRPr="006769C7" w:rsidRDefault="002C6BDF" w:rsidP="006769C7">
            <w:pPr>
              <w:tabs>
                <w:tab w:val="left" w:pos="1276"/>
                <w:tab w:val="left" w:pos="1418"/>
              </w:tabs>
              <w:spacing w:line="276" w:lineRule="auto"/>
              <w:ind w:right="618"/>
              <w:jc w:val="both"/>
              <w:rPr>
                <w:rFonts w:ascii="Arial" w:hAnsi="Arial" w:cs="Arial"/>
                <w:i/>
                <w:sz w:val="24"/>
                <w:szCs w:val="24"/>
              </w:rPr>
            </w:pPr>
            <w:r w:rsidRPr="006769C7">
              <w:rPr>
                <w:rFonts w:ascii="Arial" w:hAnsi="Arial" w:cs="Arial"/>
                <w:i/>
                <w:sz w:val="24"/>
                <w:szCs w:val="24"/>
              </w:rPr>
              <w:t>A</w:t>
            </w:r>
          </w:p>
        </w:tc>
        <w:tc>
          <w:tcPr>
            <w:tcW w:w="3544" w:type="dxa"/>
          </w:tcPr>
          <w:p w14:paraId="77992046" w14:textId="77777777" w:rsidR="002C6BDF" w:rsidRPr="006769C7" w:rsidRDefault="002C6BDF" w:rsidP="006769C7">
            <w:pPr>
              <w:tabs>
                <w:tab w:val="left" w:pos="1276"/>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variedades</w:t>
            </w:r>
          </w:p>
        </w:tc>
      </w:tr>
      <w:tr w:rsidR="002C6BDF" w:rsidRPr="006769C7" w14:paraId="4281139D" w14:textId="77777777" w:rsidTr="007B3E92">
        <w:tc>
          <w:tcPr>
            <w:tcW w:w="1101" w:type="dxa"/>
          </w:tcPr>
          <w:p w14:paraId="419192FC" w14:textId="77777777" w:rsidR="002C6BDF" w:rsidRPr="006769C7" w:rsidRDefault="002C6BDF" w:rsidP="006769C7">
            <w:pPr>
              <w:tabs>
                <w:tab w:val="left" w:pos="1276"/>
                <w:tab w:val="left" w:pos="1418"/>
              </w:tabs>
              <w:spacing w:line="276" w:lineRule="auto"/>
              <w:ind w:right="618"/>
              <w:jc w:val="both"/>
              <w:rPr>
                <w:rFonts w:ascii="Arial" w:hAnsi="Arial" w:cs="Arial"/>
                <w:i/>
                <w:sz w:val="24"/>
                <w:szCs w:val="24"/>
              </w:rPr>
            </w:pPr>
          </w:p>
        </w:tc>
        <w:tc>
          <w:tcPr>
            <w:tcW w:w="1275" w:type="dxa"/>
          </w:tcPr>
          <w:p w14:paraId="08C093D5" w14:textId="77777777" w:rsidR="002C6BDF" w:rsidRPr="006769C7" w:rsidRDefault="002C6BDF" w:rsidP="006769C7">
            <w:pPr>
              <w:tabs>
                <w:tab w:val="left" w:pos="1276"/>
                <w:tab w:val="left" w:pos="1418"/>
              </w:tabs>
              <w:spacing w:line="276" w:lineRule="auto"/>
              <w:ind w:left="-108" w:right="-108"/>
              <w:jc w:val="both"/>
              <w:rPr>
                <w:rFonts w:ascii="Arial" w:hAnsi="Arial" w:cs="Arial"/>
                <w:i/>
                <w:sz w:val="24"/>
                <w:szCs w:val="24"/>
              </w:rPr>
            </w:pPr>
            <w:r w:rsidRPr="006769C7">
              <w:rPr>
                <w:rFonts w:ascii="Arial" w:hAnsi="Arial" w:cs="Arial"/>
                <w:i/>
                <w:sz w:val="24"/>
                <w:szCs w:val="24"/>
              </w:rPr>
              <w:t>11:30-12:00</w:t>
            </w:r>
          </w:p>
        </w:tc>
        <w:tc>
          <w:tcPr>
            <w:tcW w:w="1843" w:type="dxa"/>
          </w:tcPr>
          <w:p w14:paraId="5EF41464" w14:textId="77777777" w:rsidR="002C6BDF" w:rsidRPr="006769C7" w:rsidRDefault="002C6BDF" w:rsidP="006769C7">
            <w:pPr>
              <w:tabs>
                <w:tab w:val="left" w:pos="1276"/>
                <w:tab w:val="left" w:pos="1418"/>
              </w:tabs>
              <w:spacing w:line="276" w:lineRule="auto"/>
              <w:ind w:right="618"/>
              <w:jc w:val="both"/>
              <w:rPr>
                <w:rFonts w:ascii="Arial" w:hAnsi="Arial" w:cs="Arial"/>
                <w:i/>
                <w:sz w:val="24"/>
                <w:szCs w:val="24"/>
              </w:rPr>
            </w:pPr>
            <w:r w:rsidRPr="006769C7">
              <w:rPr>
                <w:rFonts w:ascii="Arial" w:hAnsi="Arial" w:cs="Arial"/>
                <w:i/>
                <w:sz w:val="24"/>
                <w:szCs w:val="24"/>
              </w:rPr>
              <w:t>A</w:t>
            </w:r>
          </w:p>
        </w:tc>
        <w:tc>
          <w:tcPr>
            <w:tcW w:w="3544" w:type="dxa"/>
          </w:tcPr>
          <w:p w14:paraId="54BF1B24" w14:textId="77777777" w:rsidR="002C6BDF" w:rsidRPr="006769C7" w:rsidRDefault="002C6BDF" w:rsidP="006769C7">
            <w:pPr>
              <w:tabs>
                <w:tab w:val="left" w:pos="1276"/>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variedades</w:t>
            </w:r>
          </w:p>
        </w:tc>
      </w:tr>
      <w:tr w:rsidR="002C6BDF" w:rsidRPr="006769C7" w14:paraId="426AB258" w14:textId="77777777" w:rsidTr="007B3E92">
        <w:tc>
          <w:tcPr>
            <w:tcW w:w="1101" w:type="dxa"/>
          </w:tcPr>
          <w:p w14:paraId="6CDA3836" w14:textId="77777777" w:rsidR="002C6BDF" w:rsidRPr="006769C7" w:rsidRDefault="002C6BDF" w:rsidP="006769C7">
            <w:pPr>
              <w:tabs>
                <w:tab w:val="left" w:pos="1418"/>
              </w:tabs>
              <w:spacing w:line="276" w:lineRule="auto"/>
              <w:ind w:right="-108" w:firstLine="7"/>
              <w:jc w:val="both"/>
              <w:rPr>
                <w:rFonts w:ascii="Arial" w:hAnsi="Arial" w:cs="Arial"/>
                <w:i/>
                <w:sz w:val="24"/>
                <w:szCs w:val="24"/>
              </w:rPr>
            </w:pPr>
          </w:p>
        </w:tc>
        <w:tc>
          <w:tcPr>
            <w:tcW w:w="1275" w:type="dxa"/>
          </w:tcPr>
          <w:p w14:paraId="0AAB6914" w14:textId="77777777" w:rsidR="002C6BDF" w:rsidRPr="006769C7" w:rsidRDefault="002C6BDF" w:rsidP="006769C7">
            <w:pPr>
              <w:tabs>
                <w:tab w:val="left" w:pos="1418"/>
              </w:tabs>
              <w:spacing w:line="276" w:lineRule="auto"/>
              <w:ind w:left="-774" w:right="-108"/>
              <w:jc w:val="both"/>
              <w:rPr>
                <w:rFonts w:ascii="Arial" w:hAnsi="Arial" w:cs="Arial"/>
                <w:i/>
                <w:sz w:val="24"/>
                <w:szCs w:val="24"/>
              </w:rPr>
            </w:pPr>
            <w:r w:rsidRPr="006769C7">
              <w:rPr>
                <w:rFonts w:ascii="Arial" w:hAnsi="Arial" w:cs="Arial"/>
                <w:i/>
                <w:sz w:val="24"/>
                <w:szCs w:val="24"/>
              </w:rPr>
              <w:t>10:00-112:00-12:30</w:t>
            </w:r>
          </w:p>
        </w:tc>
        <w:tc>
          <w:tcPr>
            <w:tcW w:w="1843" w:type="dxa"/>
          </w:tcPr>
          <w:p w14:paraId="6CEAE8AC" w14:textId="77777777" w:rsidR="002C6BDF" w:rsidRPr="006769C7" w:rsidRDefault="002C6BDF" w:rsidP="006769C7">
            <w:pPr>
              <w:tabs>
                <w:tab w:val="left" w:pos="1418"/>
              </w:tabs>
              <w:spacing w:line="276" w:lineRule="auto"/>
              <w:ind w:right="618"/>
              <w:jc w:val="both"/>
              <w:rPr>
                <w:rFonts w:ascii="Arial" w:hAnsi="Arial" w:cs="Arial"/>
                <w:i/>
                <w:sz w:val="24"/>
                <w:szCs w:val="24"/>
              </w:rPr>
            </w:pPr>
            <w:r w:rsidRPr="006769C7">
              <w:rPr>
                <w:rFonts w:ascii="Arial" w:hAnsi="Arial" w:cs="Arial"/>
                <w:i/>
                <w:sz w:val="24"/>
                <w:szCs w:val="24"/>
              </w:rPr>
              <w:t>A</w:t>
            </w:r>
          </w:p>
        </w:tc>
        <w:tc>
          <w:tcPr>
            <w:tcW w:w="3544" w:type="dxa"/>
          </w:tcPr>
          <w:p w14:paraId="0AED0879" w14:textId="77777777" w:rsidR="002C6BDF" w:rsidRPr="006769C7" w:rsidRDefault="002C6BDF" w:rsidP="006769C7">
            <w:pPr>
              <w:tabs>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Dramatizado Nacional</w:t>
            </w:r>
          </w:p>
        </w:tc>
      </w:tr>
      <w:tr w:rsidR="002C6BDF" w:rsidRPr="006769C7" w14:paraId="529E2AB0" w14:textId="77777777" w:rsidTr="007B3E92">
        <w:tc>
          <w:tcPr>
            <w:tcW w:w="1101" w:type="dxa"/>
          </w:tcPr>
          <w:p w14:paraId="1248B024" w14:textId="77777777" w:rsidR="002C6BDF" w:rsidRPr="006769C7" w:rsidRDefault="002C6BDF" w:rsidP="006769C7">
            <w:pPr>
              <w:tabs>
                <w:tab w:val="left" w:pos="1418"/>
              </w:tabs>
              <w:spacing w:line="276" w:lineRule="auto"/>
              <w:ind w:right="618"/>
              <w:jc w:val="both"/>
              <w:rPr>
                <w:rFonts w:ascii="Arial" w:hAnsi="Arial" w:cs="Arial"/>
                <w:i/>
                <w:sz w:val="24"/>
                <w:szCs w:val="24"/>
              </w:rPr>
            </w:pPr>
          </w:p>
        </w:tc>
        <w:tc>
          <w:tcPr>
            <w:tcW w:w="1275" w:type="dxa"/>
          </w:tcPr>
          <w:p w14:paraId="099A0436" w14:textId="77777777" w:rsidR="002C6BDF" w:rsidRPr="006769C7" w:rsidRDefault="002C6BDF" w:rsidP="006769C7">
            <w:pPr>
              <w:tabs>
                <w:tab w:val="left" w:pos="1418"/>
              </w:tabs>
              <w:spacing w:line="276" w:lineRule="auto"/>
              <w:ind w:left="-108" w:right="-108"/>
              <w:jc w:val="both"/>
              <w:rPr>
                <w:rFonts w:ascii="Arial" w:hAnsi="Arial" w:cs="Arial"/>
                <w:i/>
                <w:sz w:val="24"/>
                <w:szCs w:val="24"/>
              </w:rPr>
            </w:pPr>
            <w:r w:rsidRPr="006769C7">
              <w:rPr>
                <w:rFonts w:ascii="Arial" w:hAnsi="Arial" w:cs="Arial"/>
                <w:i/>
                <w:sz w:val="24"/>
                <w:szCs w:val="24"/>
              </w:rPr>
              <w:t>16:55-17:25</w:t>
            </w:r>
          </w:p>
        </w:tc>
        <w:tc>
          <w:tcPr>
            <w:tcW w:w="1843" w:type="dxa"/>
          </w:tcPr>
          <w:p w14:paraId="74A048C1" w14:textId="77777777" w:rsidR="002C6BDF" w:rsidRPr="006769C7" w:rsidRDefault="002C6BDF" w:rsidP="006769C7">
            <w:pPr>
              <w:tabs>
                <w:tab w:val="left" w:pos="1418"/>
              </w:tabs>
              <w:spacing w:line="276" w:lineRule="auto"/>
              <w:ind w:right="618"/>
              <w:jc w:val="both"/>
              <w:rPr>
                <w:rFonts w:ascii="Arial" w:hAnsi="Arial" w:cs="Arial"/>
                <w:i/>
                <w:sz w:val="24"/>
                <w:szCs w:val="24"/>
              </w:rPr>
            </w:pPr>
            <w:r w:rsidRPr="006769C7">
              <w:rPr>
                <w:rFonts w:ascii="Arial" w:hAnsi="Arial" w:cs="Arial"/>
                <w:i/>
                <w:sz w:val="24"/>
                <w:szCs w:val="24"/>
              </w:rPr>
              <w:t>BB</w:t>
            </w:r>
          </w:p>
        </w:tc>
        <w:tc>
          <w:tcPr>
            <w:tcW w:w="3544" w:type="dxa"/>
          </w:tcPr>
          <w:p w14:paraId="44141CB5" w14:textId="77777777" w:rsidR="002C6BDF" w:rsidRPr="006769C7" w:rsidRDefault="002C6BDF" w:rsidP="006769C7">
            <w:pPr>
              <w:tabs>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variedades</w:t>
            </w:r>
          </w:p>
        </w:tc>
      </w:tr>
      <w:tr w:rsidR="002C6BDF" w:rsidRPr="006769C7" w14:paraId="5DDA286F" w14:textId="77777777" w:rsidTr="007B3E92">
        <w:tc>
          <w:tcPr>
            <w:tcW w:w="1101" w:type="dxa"/>
          </w:tcPr>
          <w:p w14:paraId="18D88119" w14:textId="77777777" w:rsidR="002C6BDF" w:rsidRPr="006769C7" w:rsidRDefault="002C6BDF" w:rsidP="006769C7">
            <w:pPr>
              <w:tabs>
                <w:tab w:val="left" w:pos="1276"/>
                <w:tab w:val="left" w:pos="1418"/>
              </w:tabs>
              <w:spacing w:line="276" w:lineRule="auto"/>
              <w:ind w:right="618"/>
              <w:jc w:val="both"/>
              <w:rPr>
                <w:rFonts w:ascii="Arial" w:hAnsi="Arial" w:cs="Arial"/>
                <w:i/>
                <w:sz w:val="24"/>
                <w:szCs w:val="24"/>
              </w:rPr>
            </w:pPr>
          </w:p>
        </w:tc>
        <w:tc>
          <w:tcPr>
            <w:tcW w:w="1275" w:type="dxa"/>
          </w:tcPr>
          <w:p w14:paraId="44DD69C8" w14:textId="77777777" w:rsidR="002C6BDF" w:rsidRPr="006769C7" w:rsidRDefault="002C6BDF" w:rsidP="006769C7">
            <w:pPr>
              <w:tabs>
                <w:tab w:val="left" w:pos="1276"/>
                <w:tab w:val="left" w:pos="1418"/>
              </w:tabs>
              <w:spacing w:line="276" w:lineRule="auto"/>
              <w:ind w:left="-108" w:right="-108"/>
              <w:jc w:val="both"/>
              <w:rPr>
                <w:rFonts w:ascii="Arial" w:hAnsi="Arial" w:cs="Arial"/>
                <w:i/>
                <w:sz w:val="24"/>
                <w:szCs w:val="24"/>
              </w:rPr>
            </w:pPr>
            <w:r w:rsidRPr="006769C7">
              <w:rPr>
                <w:rFonts w:ascii="Arial" w:hAnsi="Arial" w:cs="Arial"/>
                <w:i/>
                <w:sz w:val="24"/>
                <w:szCs w:val="24"/>
              </w:rPr>
              <w:t>17:25-17:55</w:t>
            </w:r>
          </w:p>
        </w:tc>
        <w:tc>
          <w:tcPr>
            <w:tcW w:w="1843" w:type="dxa"/>
          </w:tcPr>
          <w:p w14:paraId="7D30055B" w14:textId="77777777" w:rsidR="002C6BDF" w:rsidRPr="006769C7" w:rsidRDefault="002C6BDF" w:rsidP="006769C7">
            <w:pPr>
              <w:tabs>
                <w:tab w:val="left" w:pos="1276"/>
                <w:tab w:val="left" w:pos="1418"/>
              </w:tabs>
              <w:spacing w:line="276" w:lineRule="auto"/>
              <w:ind w:right="618"/>
              <w:jc w:val="both"/>
              <w:rPr>
                <w:rFonts w:ascii="Arial" w:hAnsi="Arial" w:cs="Arial"/>
                <w:i/>
                <w:sz w:val="24"/>
                <w:szCs w:val="24"/>
              </w:rPr>
            </w:pPr>
            <w:r w:rsidRPr="006769C7">
              <w:rPr>
                <w:rFonts w:ascii="Arial" w:hAnsi="Arial" w:cs="Arial"/>
                <w:i/>
                <w:sz w:val="24"/>
                <w:szCs w:val="24"/>
              </w:rPr>
              <w:t>BB</w:t>
            </w:r>
          </w:p>
        </w:tc>
        <w:tc>
          <w:tcPr>
            <w:tcW w:w="3544" w:type="dxa"/>
          </w:tcPr>
          <w:p w14:paraId="364A5CE2" w14:textId="77777777" w:rsidR="002C6BDF" w:rsidRPr="006769C7" w:rsidRDefault="002C6BDF" w:rsidP="006769C7">
            <w:pPr>
              <w:tabs>
                <w:tab w:val="left" w:pos="1276"/>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variedades</w:t>
            </w:r>
          </w:p>
        </w:tc>
      </w:tr>
      <w:tr w:rsidR="002C6BDF" w:rsidRPr="006769C7" w14:paraId="0979E582" w14:textId="77777777" w:rsidTr="007B3E92">
        <w:tc>
          <w:tcPr>
            <w:tcW w:w="1101" w:type="dxa"/>
          </w:tcPr>
          <w:p w14:paraId="154E1E77" w14:textId="77777777" w:rsidR="002C6BDF" w:rsidRPr="006769C7" w:rsidRDefault="002C6BDF" w:rsidP="006769C7">
            <w:pPr>
              <w:tabs>
                <w:tab w:val="left" w:pos="1276"/>
                <w:tab w:val="left" w:pos="1418"/>
              </w:tabs>
              <w:spacing w:line="276" w:lineRule="auto"/>
              <w:ind w:right="-108"/>
              <w:jc w:val="both"/>
              <w:rPr>
                <w:rFonts w:ascii="Arial" w:hAnsi="Arial" w:cs="Arial"/>
                <w:i/>
                <w:sz w:val="24"/>
                <w:szCs w:val="24"/>
              </w:rPr>
            </w:pPr>
            <w:r w:rsidRPr="006769C7">
              <w:rPr>
                <w:rFonts w:ascii="Arial" w:hAnsi="Arial" w:cs="Arial"/>
                <w:i/>
                <w:sz w:val="24"/>
                <w:szCs w:val="24"/>
              </w:rPr>
              <w:t>Jueves</w:t>
            </w:r>
          </w:p>
        </w:tc>
        <w:tc>
          <w:tcPr>
            <w:tcW w:w="1275" w:type="dxa"/>
          </w:tcPr>
          <w:p w14:paraId="70F38389" w14:textId="77777777" w:rsidR="002C6BDF" w:rsidRPr="006769C7" w:rsidRDefault="002C6BDF" w:rsidP="006769C7">
            <w:pPr>
              <w:tabs>
                <w:tab w:val="left" w:pos="1276"/>
                <w:tab w:val="left" w:pos="1418"/>
              </w:tabs>
              <w:spacing w:line="276" w:lineRule="auto"/>
              <w:ind w:left="-108" w:right="-108"/>
              <w:jc w:val="both"/>
              <w:rPr>
                <w:rFonts w:ascii="Arial" w:hAnsi="Arial" w:cs="Arial"/>
                <w:i/>
                <w:sz w:val="24"/>
                <w:szCs w:val="24"/>
              </w:rPr>
            </w:pPr>
            <w:r w:rsidRPr="006769C7">
              <w:rPr>
                <w:rFonts w:ascii="Arial" w:hAnsi="Arial" w:cs="Arial"/>
                <w:i/>
                <w:sz w:val="24"/>
                <w:szCs w:val="24"/>
              </w:rPr>
              <w:t>12:00-12:30</w:t>
            </w:r>
          </w:p>
        </w:tc>
        <w:tc>
          <w:tcPr>
            <w:tcW w:w="1843" w:type="dxa"/>
          </w:tcPr>
          <w:p w14:paraId="490A0379" w14:textId="77777777" w:rsidR="002C6BDF" w:rsidRPr="006769C7" w:rsidRDefault="002C6BDF" w:rsidP="006769C7">
            <w:pPr>
              <w:tabs>
                <w:tab w:val="left" w:pos="1276"/>
                <w:tab w:val="left" w:pos="1418"/>
              </w:tabs>
              <w:spacing w:line="276" w:lineRule="auto"/>
              <w:ind w:right="618"/>
              <w:jc w:val="both"/>
              <w:rPr>
                <w:rFonts w:ascii="Arial" w:hAnsi="Arial" w:cs="Arial"/>
                <w:i/>
                <w:sz w:val="24"/>
                <w:szCs w:val="24"/>
              </w:rPr>
            </w:pPr>
            <w:r w:rsidRPr="006769C7">
              <w:rPr>
                <w:rFonts w:ascii="Arial" w:hAnsi="Arial" w:cs="Arial"/>
                <w:i/>
                <w:sz w:val="24"/>
                <w:szCs w:val="24"/>
              </w:rPr>
              <w:t>A</w:t>
            </w:r>
          </w:p>
        </w:tc>
        <w:tc>
          <w:tcPr>
            <w:tcW w:w="3544" w:type="dxa"/>
          </w:tcPr>
          <w:p w14:paraId="20341798" w14:textId="77777777" w:rsidR="002C6BDF" w:rsidRPr="006769C7" w:rsidRDefault="002C6BDF" w:rsidP="006769C7">
            <w:pPr>
              <w:tabs>
                <w:tab w:val="left" w:pos="1276"/>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Dramatizado Nacional</w:t>
            </w:r>
          </w:p>
        </w:tc>
      </w:tr>
      <w:tr w:rsidR="002C6BDF" w:rsidRPr="006769C7" w14:paraId="395AA80E" w14:textId="77777777" w:rsidTr="007B3E92">
        <w:tc>
          <w:tcPr>
            <w:tcW w:w="1101" w:type="dxa"/>
          </w:tcPr>
          <w:p w14:paraId="2466640D" w14:textId="77777777" w:rsidR="002C6BDF" w:rsidRPr="006769C7" w:rsidRDefault="002C6BDF" w:rsidP="006769C7">
            <w:pPr>
              <w:tabs>
                <w:tab w:val="left" w:pos="1418"/>
              </w:tabs>
              <w:spacing w:line="276" w:lineRule="auto"/>
              <w:ind w:right="-108" w:firstLine="7"/>
              <w:jc w:val="both"/>
              <w:rPr>
                <w:rFonts w:ascii="Arial" w:hAnsi="Arial" w:cs="Arial"/>
                <w:i/>
                <w:sz w:val="24"/>
                <w:szCs w:val="24"/>
              </w:rPr>
            </w:pPr>
          </w:p>
        </w:tc>
        <w:tc>
          <w:tcPr>
            <w:tcW w:w="1275" w:type="dxa"/>
          </w:tcPr>
          <w:p w14:paraId="07190691" w14:textId="77777777" w:rsidR="002C6BDF" w:rsidRPr="006769C7" w:rsidRDefault="002C6BDF" w:rsidP="006769C7">
            <w:pPr>
              <w:tabs>
                <w:tab w:val="left" w:pos="1418"/>
              </w:tabs>
              <w:spacing w:line="276" w:lineRule="auto"/>
              <w:ind w:left="-774" w:right="-108"/>
              <w:jc w:val="both"/>
              <w:rPr>
                <w:rFonts w:ascii="Arial" w:hAnsi="Arial" w:cs="Arial"/>
                <w:i/>
                <w:sz w:val="24"/>
                <w:szCs w:val="24"/>
              </w:rPr>
            </w:pPr>
            <w:r w:rsidRPr="006769C7">
              <w:rPr>
                <w:rFonts w:ascii="Arial" w:hAnsi="Arial" w:cs="Arial"/>
                <w:i/>
                <w:sz w:val="24"/>
                <w:szCs w:val="24"/>
              </w:rPr>
              <w:t>10:00-115:55-16:25</w:t>
            </w:r>
          </w:p>
        </w:tc>
        <w:tc>
          <w:tcPr>
            <w:tcW w:w="1843" w:type="dxa"/>
          </w:tcPr>
          <w:p w14:paraId="661D92DC" w14:textId="77777777" w:rsidR="002C6BDF" w:rsidRPr="006769C7" w:rsidRDefault="002C6BDF" w:rsidP="006769C7">
            <w:pPr>
              <w:tabs>
                <w:tab w:val="left" w:pos="1418"/>
              </w:tabs>
              <w:spacing w:line="276" w:lineRule="auto"/>
              <w:ind w:right="618"/>
              <w:jc w:val="both"/>
              <w:rPr>
                <w:rFonts w:ascii="Arial" w:hAnsi="Arial" w:cs="Arial"/>
                <w:i/>
                <w:sz w:val="24"/>
                <w:szCs w:val="24"/>
              </w:rPr>
            </w:pPr>
            <w:r w:rsidRPr="006769C7">
              <w:rPr>
                <w:rFonts w:ascii="Arial" w:hAnsi="Arial" w:cs="Arial"/>
                <w:i/>
                <w:sz w:val="24"/>
                <w:szCs w:val="24"/>
              </w:rPr>
              <w:t>BB</w:t>
            </w:r>
          </w:p>
        </w:tc>
        <w:tc>
          <w:tcPr>
            <w:tcW w:w="3544" w:type="dxa"/>
          </w:tcPr>
          <w:p w14:paraId="1797E5E1" w14:textId="77777777" w:rsidR="002C6BDF" w:rsidRPr="006769C7" w:rsidRDefault="002C6BDF" w:rsidP="006769C7">
            <w:pPr>
              <w:tabs>
                <w:tab w:val="left" w:pos="1418"/>
              </w:tabs>
              <w:spacing w:line="276" w:lineRule="auto"/>
              <w:ind w:right="-108"/>
              <w:jc w:val="both"/>
              <w:rPr>
                <w:rFonts w:ascii="Arial" w:hAnsi="Arial" w:cs="Arial"/>
                <w:i/>
                <w:sz w:val="24"/>
                <w:szCs w:val="24"/>
              </w:rPr>
            </w:pPr>
            <w:r w:rsidRPr="006769C7">
              <w:rPr>
                <w:rFonts w:ascii="Arial" w:hAnsi="Arial" w:cs="Arial"/>
                <w:i/>
                <w:sz w:val="24"/>
                <w:szCs w:val="24"/>
              </w:rPr>
              <w:t>Didáctico</w:t>
            </w:r>
          </w:p>
        </w:tc>
      </w:tr>
      <w:tr w:rsidR="002C6BDF" w:rsidRPr="006769C7" w14:paraId="547C02E1" w14:textId="77777777" w:rsidTr="007B3E92">
        <w:tc>
          <w:tcPr>
            <w:tcW w:w="1101" w:type="dxa"/>
          </w:tcPr>
          <w:p w14:paraId="65EDE738" w14:textId="77777777" w:rsidR="002C6BDF" w:rsidRPr="006769C7" w:rsidRDefault="002C6BDF" w:rsidP="006769C7">
            <w:pPr>
              <w:tabs>
                <w:tab w:val="left" w:pos="1418"/>
              </w:tabs>
              <w:spacing w:line="276" w:lineRule="auto"/>
              <w:ind w:right="618"/>
              <w:jc w:val="both"/>
              <w:rPr>
                <w:rFonts w:ascii="Arial" w:hAnsi="Arial" w:cs="Arial"/>
                <w:i/>
                <w:sz w:val="24"/>
                <w:szCs w:val="24"/>
              </w:rPr>
            </w:pPr>
          </w:p>
        </w:tc>
        <w:tc>
          <w:tcPr>
            <w:tcW w:w="1275" w:type="dxa"/>
          </w:tcPr>
          <w:p w14:paraId="72CC29C8" w14:textId="77777777" w:rsidR="002C6BDF" w:rsidRPr="006769C7" w:rsidRDefault="002C6BDF" w:rsidP="006769C7">
            <w:pPr>
              <w:tabs>
                <w:tab w:val="left" w:pos="1418"/>
              </w:tabs>
              <w:spacing w:line="276" w:lineRule="auto"/>
              <w:ind w:left="-108" w:right="-108"/>
              <w:jc w:val="both"/>
              <w:rPr>
                <w:rFonts w:ascii="Arial" w:hAnsi="Arial" w:cs="Arial"/>
                <w:i/>
                <w:sz w:val="24"/>
                <w:szCs w:val="24"/>
              </w:rPr>
            </w:pPr>
            <w:r w:rsidRPr="006769C7">
              <w:rPr>
                <w:rFonts w:ascii="Arial" w:hAnsi="Arial" w:cs="Arial"/>
                <w:i/>
                <w:sz w:val="24"/>
                <w:szCs w:val="24"/>
              </w:rPr>
              <w:t>16:25-16:55</w:t>
            </w:r>
          </w:p>
        </w:tc>
        <w:tc>
          <w:tcPr>
            <w:tcW w:w="1843" w:type="dxa"/>
          </w:tcPr>
          <w:p w14:paraId="1D6BC0B7" w14:textId="77777777" w:rsidR="002C6BDF" w:rsidRPr="006769C7" w:rsidRDefault="002C6BDF" w:rsidP="006769C7">
            <w:pPr>
              <w:tabs>
                <w:tab w:val="left" w:pos="1418"/>
              </w:tabs>
              <w:spacing w:line="276" w:lineRule="auto"/>
              <w:ind w:right="618"/>
              <w:jc w:val="both"/>
              <w:rPr>
                <w:rFonts w:ascii="Arial" w:hAnsi="Arial" w:cs="Arial"/>
                <w:i/>
                <w:sz w:val="24"/>
                <w:szCs w:val="24"/>
              </w:rPr>
            </w:pPr>
            <w:r w:rsidRPr="006769C7">
              <w:rPr>
                <w:rFonts w:ascii="Arial" w:hAnsi="Arial" w:cs="Arial"/>
                <w:i/>
                <w:sz w:val="24"/>
                <w:szCs w:val="24"/>
              </w:rPr>
              <w:t>BB</w:t>
            </w:r>
          </w:p>
        </w:tc>
        <w:tc>
          <w:tcPr>
            <w:tcW w:w="3544" w:type="dxa"/>
          </w:tcPr>
          <w:p w14:paraId="49CCE50D" w14:textId="77777777" w:rsidR="002C6BDF" w:rsidRPr="006769C7" w:rsidRDefault="002C6BDF" w:rsidP="006769C7">
            <w:pPr>
              <w:tabs>
                <w:tab w:val="left" w:pos="1418"/>
              </w:tabs>
              <w:spacing w:line="276" w:lineRule="auto"/>
              <w:ind w:right="-108"/>
              <w:jc w:val="both"/>
              <w:rPr>
                <w:rFonts w:ascii="Arial" w:hAnsi="Arial" w:cs="Arial"/>
                <w:i/>
                <w:sz w:val="24"/>
                <w:szCs w:val="24"/>
              </w:rPr>
            </w:pPr>
            <w:r w:rsidRPr="006769C7">
              <w:rPr>
                <w:rFonts w:ascii="Arial" w:hAnsi="Arial" w:cs="Arial"/>
                <w:i/>
                <w:sz w:val="24"/>
                <w:szCs w:val="24"/>
              </w:rPr>
              <w:t>Didáctico</w:t>
            </w:r>
          </w:p>
        </w:tc>
      </w:tr>
      <w:tr w:rsidR="002C6BDF" w:rsidRPr="006769C7" w14:paraId="1E9801AE" w14:textId="77777777" w:rsidTr="007B3E92">
        <w:tc>
          <w:tcPr>
            <w:tcW w:w="1101" w:type="dxa"/>
          </w:tcPr>
          <w:p w14:paraId="348765CE" w14:textId="77777777" w:rsidR="002C6BDF" w:rsidRPr="006769C7" w:rsidRDefault="002C6BDF" w:rsidP="006769C7">
            <w:pPr>
              <w:tabs>
                <w:tab w:val="left" w:pos="1276"/>
                <w:tab w:val="left" w:pos="1418"/>
              </w:tabs>
              <w:spacing w:line="276" w:lineRule="auto"/>
              <w:ind w:right="618"/>
              <w:jc w:val="both"/>
              <w:rPr>
                <w:rFonts w:ascii="Arial" w:hAnsi="Arial" w:cs="Arial"/>
                <w:i/>
                <w:sz w:val="24"/>
                <w:szCs w:val="24"/>
              </w:rPr>
            </w:pPr>
          </w:p>
        </w:tc>
        <w:tc>
          <w:tcPr>
            <w:tcW w:w="1275" w:type="dxa"/>
          </w:tcPr>
          <w:p w14:paraId="4959512C" w14:textId="77777777" w:rsidR="002C6BDF" w:rsidRPr="006769C7" w:rsidRDefault="002C6BDF" w:rsidP="006769C7">
            <w:pPr>
              <w:tabs>
                <w:tab w:val="left" w:pos="1276"/>
                <w:tab w:val="left" w:pos="1418"/>
              </w:tabs>
              <w:spacing w:line="276" w:lineRule="auto"/>
              <w:ind w:left="-108" w:right="-108"/>
              <w:jc w:val="both"/>
              <w:rPr>
                <w:rFonts w:ascii="Arial" w:hAnsi="Arial" w:cs="Arial"/>
                <w:i/>
                <w:sz w:val="24"/>
                <w:szCs w:val="24"/>
              </w:rPr>
            </w:pPr>
            <w:r w:rsidRPr="006769C7">
              <w:rPr>
                <w:rFonts w:ascii="Arial" w:hAnsi="Arial" w:cs="Arial"/>
                <w:i/>
                <w:sz w:val="24"/>
                <w:szCs w:val="24"/>
              </w:rPr>
              <w:t>23:40-24:10</w:t>
            </w:r>
          </w:p>
        </w:tc>
        <w:tc>
          <w:tcPr>
            <w:tcW w:w="1843" w:type="dxa"/>
          </w:tcPr>
          <w:p w14:paraId="028BEDD0" w14:textId="77777777" w:rsidR="002C6BDF" w:rsidRPr="006769C7" w:rsidRDefault="002C6BDF" w:rsidP="006769C7">
            <w:pPr>
              <w:tabs>
                <w:tab w:val="left" w:pos="1276"/>
                <w:tab w:val="left" w:pos="1418"/>
              </w:tabs>
              <w:spacing w:line="276" w:lineRule="auto"/>
              <w:ind w:right="618"/>
              <w:jc w:val="both"/>
              <w:rPr>
                <w:rFonts w:ascii="Arial" w:hAnsi="Arial" w:cs="Arial"/>
                <w:i/>
                <w:sz w:val="24"/>
                <w:szCs w:val="24"/>
              </w:rPr>
            </w:pPr>
            <w:r w:rsidRPr="006769C7">
              <w:rPr>
                <w:rFonts w:ascii="Arial" w:hAnsi="Arial" w:cs="Arial"/>
                <w:i/>
                <w:sz w:val="24"/>
                <w:szCs w:val="24"/>
              </w:rPr>
              <w:t>B</w:t>
            </w:r>
          </w:p>
        </w:tc>
        <w:tc>
          <w:tcPr>
            <w:tcW w:w="3544" w:type="dxa"/>
          </w:tcPr>
          <w:p w14:paraId="4D2EFC75" w14:textId="77777777" w:rsidR="002C6BDF" w:rsidRPr="006769C7" w:rsidRDefault="002C6BDF" w:rsidP="006769C7">
            <w:pPr>
              <w:tabs>
                <w:tab w:val="left" w:pos="1276"/>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variedades</w:t>
            </w:r>
          </w:p>
        </w:tc>
      </w:tr>
      <w:tr w:rsidR="002C6BDF" w:rsidRPr="006769C7" w14:paraId="04CDF09F" w14:textId="77777777" w:rsidTr="007B3E92">
        <w:tc>
          <w:tcPr>
            <w:tcW w:w="1101" w:type="dxa"/>
          </w:tcPr>
          <w:p w14:paraId="48852D47" w14:textId="77777777" w:rsidR="002C6BDF" w:rsidRPr="006769C7" w:rsidRDefault="002C6BDF" w:rsidP="006769C7">
            <w:pPr>
              <w:tabs>
                <w:tab w:val="left" w:pos="1276"/>
                <w:tab w:val="left" w:pos="1418"/>
              </w:tabs>
              <w:spacing w:line="276" w:lineRule="auto"/>
              <w:ind w:right="-108"/>
              <w:jc w:val="both"/>
              <w:rPr>
                <w:rFonts w:ascii="Arial" w:hAnsi="Arial" w:cs="Arial"/>
                <w:i/>
                <w:sz w:val="24"/>
                <w:szCs w:val="24"/>
              </w:rPr>
            </w:pPr>
            <w:r w:rsidRPr="006769C7">
              <w:rPr>
                <w:rFonts w:ascii="Arial" w:hAnsi="Arial" w:cs="Arial"/>
                <w:i/>
                <w:sz w:val="24"/>
                <w:szCs w:val="24"/>
              </w:rPr>
              <w:t>Viernes</w:t>
            </w:r>
          </w:p>
        </w:tc>
        <w:tc>
          <w:tcPr>
            <w:tcW w:w="1275" w:type="dxa"/>
          </w:tcPr>
          <w:p w14:paraId="3826D80E" w14:textId="77777777" w:rsidR="002C6BDF" w:rsidRPr="006769C7" w:rsidRDefault="002C6BDF" w:rsidP="006769C7">
            <w:pPr>
              <w:tabs>
                <w:tab w:val="left" w:pos="1276"/>
                <w:tab w:val="left" w:pos="1418"/>
              </w:tabs>
              <w:spacing w:line="276" w:lineRule="auto"/>
              <w:ind w:left="-108" w:right="-108"/>
              <w:jc w:val="both"/>
              <w:rPr>
                <w:rFonts w:ascii="Arial" w:hAnsi="Arial" w:cs="Arial"/>
                <w:i/>
                <w:sz w:val="24"/>
                <w:szCs w:val="24"/>
              </w:rPr>
            </w:pPr>
            <w:r w:rsidRPr="006769C7">
              <w:rPr>
                <w:rFonts w:ascii="Arial" w:hAnsi="Arial" w:cs="Arial"/>
                <w:i/>
                <w:sz w:val="24"/>
                <w:szCs w:val="24"/>
              </w:rPr>
              <w:t>12:00-12:30</w:t>
            </w:r>
          </w:p>
        </w:tc>
        <w:tc>
          <w:tcPr>
            <w:tcW w:w="1843" w:type="dxa"/>
          </w:tcPr>
          <w:p w14:paraId="453B7411" w14:textId="77777777" w:rsidR="002C6BDF" w:rsidRPr="006769C7" w:rsidRDefault="002C6BDF" w:rsidP="006769C7">
            <w:pPr>
              <w:tabs>
                <w:tab w:val="left" w:pos="1276"/>
                <w:tab w:val="left" w:pos="1418"/>
              </w:tabs>
              <w:spacing w:line="276" w:lineRule="auto"/>
              <w:ind w:right="618"/>
              <w:jc w:val="both"/>
              <w:rPr>
                <w:rFonts w:ascii="Arial" w:hAnsi="Arial" w:cs="Arial"/>
                <w:i/>
                <w:sz w:val="24"/>
                <w:szCs w:val="24"/>
              </w:rPr>
            </w:pPr>
            <w:r w:rsidRPr="006769C7">
              <w:rPr>
                <w:rFonts w:ascii="Arial" w:hAnsi="Arial" w:cs="Arial"/>
                <w:i/>
                <w:sz w:val="24"/>
                <w:szCs w:val="24"/>
              </w:rPr>
              <w:t>A</w:t>
            </w:r>
          </w:p>
        </w:tc>
        <w:tc>
          <w:tcPr>
            <w:tcW w:w="3544" w:type="dxa"/>
          </w:tcPr>
          <w:p w14:paraId="14E087FF" w14:textId="77777777" w:rsidR="002C6BDF" w:rsidRPr="006769C7" w:rsidRDefault="002C6BDF" w:rsidP="006769C7">
            <w:pPr>
              <w:tabs>
                <w:tab w:val="left" w:pos="1276"/>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Dramatizado Nacional</w:t>
            </w:r>
          </w:p>
        </w:tc>
      </w:tr>
      <w:tr w:rsidR="002C6BDF" w:rsidRPr="006769C7" w14:paraId="7D0DE85A" w14:textId="77777777" w:rsidTr="007B3E92">
        <w:tc>
          <w:tcPr>
            <w:tcW w:w="1101" w:type="dxa"/>
          </w:tcPr>
          <w:p w14:paraId="6B94B2F7" w14:textId="77777777" w:rsidR="002C6BDF" w:rsidRPr="006769C7" w:rsidRDefault="002C6BDF" w:rsidP="006769C7">
            <w:pPr>
              <w:tabs>
                <w:tab w:val="left" w:pos="1418"/>
              </w:tabs>
              <w:spacing w:line="276" w:lineRule="auto"/>
              <w:ind w:right="-108" w:firstLine="7"/>
              <w:jc w:val="both"/>
              <w:rPr>
                <w:rFonts w:ascii="Arial" w:hAnsi="Arial" w:cs="Arial"/>
                <w:i/>
                <w:sz w:val="24"/>
                <w:szCs w:val="24"/>
              </w:rPr>
            </w:pPr>
          </w:p>
        </w:tc>
        <w:tc>
          <w:tcPr>
            <w:tcW w:w="1275" w:type="dxa"/>
          </w:tcPr>
          <w:p w14:paraId="42A29834" w14:textId="77777777" w:rsidR="002C6BDF" w:rsidRPr="006769C7" w:rsidRDefault="002C6BDF" w:rsidP="006769C7">
            <w:pPr>
              <w:tabs>
                <w:tab w:val="left" w:pos="1418"/>
              </w:tabs>
              <w:spacing w:line="276" w:lineRule="auto"/>
              <w:ind w:left="-774" w:right="-108"/>
              <w:jc w:val="both"/>
              <w:rPr>
                <w:rFonts w:ascii="Arial" w:hAnsi="Arial" w:cs="Arial"/>
                <w:i/>
                <w:sz w:val="24"/>
                <w:szCs w:val="24"/>
              </w:rPr>
            </w:pPr>
            <w:r w:rsidRPr="006769C7">
              <w:rPr>
                <w:rFonts w:ascii="Arial" w:hAnsi="Arial" w:cs="Arial"/>
                <w:i/>
                <w:sz w:val="24"/>
                <w:szCs w:val="24"/>
              </w:rPr>
              <w:t>10:00-113:00-13:30</w:t>
            </w:r>
          </w:p>
        </w:tc>
        <w:tc>
          <w:tcPr>
            <w:tcW w:w="1843" w:type="dxa"/>
          </w:tcPr>
          <w:p w14:paraId="72B5E113" w14:textId="77777777" w:rsidR="002C6BDF" w:rsidRPr="006769C7" w:rsidRDefault="002C6BDF" w:rsidP="006769C7">
            <w:pPr>
              <w:tabs>
                <w:tab w:val="left" w:pos="1418"/>
              </w:tabs>
              <w:spacing w:line="276" w:lineRule="auto"/>
              <w:ind w:right="618"/>
              <w:jc w:val="both"/>
              <w:rPr>
                <w:rFonts w:ascii="Arial" w:hAnsi="Arial" w:cs="Arial"/>
                <w:i/>
                <w:sz w:val="24"/>
                <w:szCs w:val="24"/>
              </w:rPr>
            </w:pPr>
            <w:r w:rsidRPr="006769C7">
              <w:rPr>
                <w:rFonts w:ascii="Arial" w:hAnsi="Arial" w:cs="Arial"/>
                <w:i/>
                <w:sz w:val="24"/>
                <w:szCs w:val="24"/>
              </w:rPr>
              <w:t>A</w:t>
            </w:r>
          </w:p>
        </w:tc>
        <w:tc>
          <w:tcPr>
            <w:tcW w:w="3544" w:type="dxa"/>
          </w:tcPr>
          <w:p w14:paraId="46887C1B" w14:textId="77777777" w:rsidR="002C6BDF" w:rsidRPr="006769C7" w:rsidRDefault="002C6BDF" w:rsidP="006769C7">
            <w:pPr>
              <w:tabs>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variedades</w:t>
            </w:r>
          </w:p>
        </w:tc>
      </w:tr>
      <w:tr w:rsidR="002C6BDF" w:rsidRPr="006769C7" w14:paraId="3AA48B6F" w14:textId="77777777" w:rsidTr="007B3E92">
        <w:tc>
          <w:tcPr>
            <w:tcW w:w="1101" w:type="dxa"/>
          </w:tcPr>
          <w:p w14:paraId="1997CF04" w14:textId="77777777" w:rsidR="002C6BDF" w:rsidRPr="006769C7" w:rsidRDefault="002C6BDF" w:rsidP="006769C7">
            <w:pPr>
              <w:tabs>
                <w:tab w:val="left" w:pos="1418"/>
              </w:tabs>
              <w:spacing w:line="276" w:lineRule="auto"/>
              <w:ind w:right="618"/>
              <w:jc w:val="both"/>
              <w:rPr>
                <w:rFonts w:ascii="Arial" w:hAnsi="Arial" w:cs="Arial"/>
                <w:i/>
                <w:sz w:val="24"/>
                <w:szCs w:val="24"/>
              </w:rPr>
            </w:pPr>
          </w:p>
        </w:tc>
        <w:tc>
          <w:tcPr>
            <w:tcW w:w="1275" w:type="dxa"/>
          </w:tcPr>
          <w:p w14:paraId="6FED8BEA" w14:textId="77777777" w:rsidR="002C6BDF" w:rsidRPr="006769C7" w:rsidRDefault="002C6BDF" w:rsidP="006769C7">
            <w:pPr>
              <w:tabs>
                <w:tab w:val="left" w:pos="1418"/>
              </w:tabs>
              <w:spacing w:line="276" w:lineRule="auto"/>
              <w:ind w:left="-108" w:right="-108"/>
              <w:jc w:val="both"/>
              <w:rPr>
                <w:rFonts w:ascii="Arial" w:hAnsi="Arial" w:cs="Arial"/>
                <w:i/>
                <w:sz w:val="24"/>
                <w:szCs w:val="24"/>
              </w:rPr>
            </w:pPr>
            <w:r w:rsidRPr="006769C7">
              <w:rPr>
                <w:rFonts w:ascii="Arial" w:hAnsi="Arial" w:cs="Arial"/>
                <w:i/>
                <w:sz w:val="24"/>
                <w:szCs w:val="24"/>
              </w:rPr>
              <w:t>23:40-24:10</w:t>
            </w:r>
          </w:p>
        </w:tc>
        <w:tc>
          <w:tcPr>
            <w:tcW w:w="1843" w:type="dxa"/>
          </w:tcPr>
          <w:p w14:paraId="071D8A72" w14:textId="77777777" w:rsidR="002C6BDF" w:rsidRPr="006769C7" w:rsidRDefault="002C6BDF" w:rsidP="006769C7">
            <w:pPr>
              <w:tabs>
                <w:tab w:val="left" w:pos="1418"/>
              </w:tabs>
              <w:spacing w:line="276" w:lineRule="auto"/>
              <w:ind w:right="618"/>
              <w:jc w:val="both"/>
              <w:rPr>
                <w:rFonts w:ascii="Arial" w:hAnsi="Arial" w:cs="Arial"/>
                <w:i/>
                <w:sz w:val="24"/>
                <w:szCs w:val="24"/>
              </w:rPr>
            </w:pPr>
            <w:r w:rsidRPr="006769C7">
              <w:rPr>
                <w:rFonts w:ascii="Arial" w:hAnsi="Arial" w:cs="Arial"/>
                <w:i/>
                <w:sz w:val="24"/>
                <w:szCs w:val="24"/>
              </w:rPr>
              <w:t>B</w:t>
            </w:r>
          </w:p>
        </w:tc>
        <w:tc>
          <w:tcPr>
            <w:tcW w:w="3544" w:type="dxa"/>
          </w:tcPr>
          <w:p w14:paraId="1354E366" w14:textId="77777777" w:rsidR="002C6BDF" w:rsidRPr="006769C7" w:rsidRDefault="002C6BDF" w:rsidP="006769C7">
            <w:pPr>
              <w:tabs>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variedades</w:t>
            </w:r>
          </w:p>
        </w:tc>
      </w:tr>
      <w:tr w:rsidR="002C6BDF" w:rsidRPr="006769C7" w14:paraId="32502911" w14:textId="77777777" w:rsidTr="007B3E92">
        <w:tc>
          <w:tcPr>
            <w:tcW w:w="1101" w:type="dxa"/>
          </w:tcPr>
          <w:p w14:paraId="5585F0D2" w14:textId="77777777" w:rsidR="002C6BDF" w:rsidRPr="006769C7" w:rsidRDefault="002C6BDF" w:rsidP="006769C7">
            <w:pPr>
              <w:tabs>
                <w:tab w:val="left" w:pos="1276"/>
                <w:tab w:val="left" w:pos="1418"/>
              </w:tabs>
              <w:spacing w:line="276" w:lineRule="auto"/>
              <w:ind w:right="-108"/>
              <w:jc w:val="both"/>
              <w:rPr>
                <w:rFonts w:ascii="Arial" w:hAnsi="Arial" w:cs="Arial"/>
                <w:i/>
                <w:sz w:val="24"/>
                <w:szCs w:val="24"/>
              </w:rPr>
            </w:pPr>
            <w:r w:rsidRPr="006769C7">
              <w:rPr>
                <w:rFonts w:ascii="Arial" w:hAnsi="Arial" w:cs="Arial"/>
                <w:i/>
                <w:sz w:val="24"/>
                <w:szCs w:val="24"/>
              </w:rPr>
              <w:t>Sábado</w:t>
            </w:r>
          </w:p>
        </w:tc>
        <w:tc>
          <w:tcPr>
            <w:tcW w:w="1275" w:type="dxa"/>
          </w:tcPr>
          <w:p w14:paraId="0E749DC8" w14:textId="77777777" w:rsidR="002C6BDF" w:rsidRPr="006769C7" w:rsidRDefault="002C6BDF" w:rsidP="006769C7">
            <w:pPr>
              <w:tabs>
                <w:tab w:val="left" w:pos="1276"/>
                <w:tab w:val="left" w:pos="1418"/>
              </w:tabs>
              <w:spacing w:line="276" w:lineRule="auto"/>
              <w:ind w:left="-108" w:right="-108"/>
              <w:jc w:val="both"/>
              <w:rPr>
                <w:rFonts w:ascii="Arial" w:hAnsi="Arial" w:cs="Arial"/>
                <w:i/>
                <w:sz w:val="24"/>
                <w:szCs w:val="24"/>
              </w:rPr>
            </w:pPr>
            <w:r w:rsidRPr="006769C7">
              <w:rPr>
                <w:rFonts w:ascii="Arial" w:hAnsi="Arial" w:cs="Arial"/>
                <w:i/>
                <w:sz w:val="24"/>
                <w:szCs w:val="24"/>
              </w:rPr>
              <w:t>19:30-20:00</w:t>
            </w:r>
          </w:p>
        </w:tc>
        <w:tc>
          <w:tcPr>
            <w:tcW w:w="1843" w:type="dxa"/>
          </w:tcPr>
          <w:p w14:paraId="2AD5ADF1" w14:textId="77777777" w:rsidR="002C6BDF" w:rsidRPr="006769C7" w:rsidRDefault="002C6BDF" w:rsidP="006769C7">
            <w:pPr>
              <w:tabs>
                <w:tab w:val="left" w:pos="1276"/>
                <w:tab w:val="left" w:pos="1418"/>
              </w:tabs>
              <w:spacing w:line="276" w:lineRule="auto"/>
              <w:ind w:right="618"/>
              <w:jc w:val="both"/>
              <w:rPr>
                <w:rFonts w:ascii="Arial" w:hAnsi="Arial" w:cs="Arial"/>
                <w:i/>
                <w:sz w:val="24"/>
                <w:szCs w:val="24"/>
              </w:rPr>
            </w:pPr>
            <w:r w:rsidRPr="006769C7">
              <w:rPr>
                <w:rFonts w:ascii="Arial" w:hAnsi="Arial" w:cs="Arial"/>
                <w:i/>
                <w:sz w:val="24"/>
                <w:szCs w:val="24"/>
              </w:rPr>
              <w:t>AAA</w:t>
            </w:r>
          </w:p>
        </w:tc>
        <w:tc>
          <w:tcPr>
            <w:tcW w:w="3544" w:type="dxa"/>
          </w:tcPr>
          <w:p w14:paraId="627EB770" w14:textId="77777777" w:rsidR="002C6BDF" w:rsidRPr="006769C7" w:rsidRDefault="002C6BDF" w:rsidP="006769C7">
            <w:pPr>
              <w:tabs>
                <w:tab w:val="left" w:pos="1276"/>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variedades</w:t>
            </w:r>
          </w:p>
        </w:tc>
      </w:tr>
      <w:tr w:rsidR="002C6BDF" w:rsidRPr="006769C7" w14:paraId="2D826E52" w14:textId="77777777" w:rsidTr="007B3E92">
        <w:tc>
          <w:tcPr>
            <w:tcW w:w="1101" w:type="dxa"/>
          </w:tcPr>
          <w:p w14:paraId="484441CC" w14:textId="77777777" w:rsidR="002C6BDF" w:rsidRPr="006769C7" w:rsidRDefault="002C6BDF" w:rsidP="006769C7">
            <w:pPr>
              <w:tabs>
                <w:tab w:val="left" w:pos="1276"/>
                <w:tab w:val="left" w:pos="1418"/>
              </w:tabs>
              <w:spacing w:line="276" w:lineRule="auto"/>
              <w:ind w:right="-108"/>
              <w:jc w:val="both"/>
              <w:rPr>
                <w:rFonts w:ascii="Arial" w:hAnsi="Arial" w:cs="Arial"/>
                <w:i/>
                <w:sz w:val="24"/>
                <w:szCs w:val="24"/>
              </w:rPr>
            </w:pPr>
            <w:r w:rsidRPr="006769C7">
              <w:rPr>
                <w:rFonts w:ascii="Arial" w:hAnsi="Arial" w:cs="Arial"/>
                <w:i/>
                <w:sz w:val="24"/>
                <w:szCs w:val="24"/>
              </w:rPr>
              <w:t>Domingo</w:t>
            </w:r>
          </w:p>
        </w:tc>
        <w:tc>
          <w:tcPr>
            <w:tcW w:w="1275" w:type="dxa"/>
          </w:tcPr>
          <w:p w14:paraId="7D9D1A07" w14:textId="77777777" w:rsidR="002C6BDF" w:rsidRPr="006769C7" w:rsidRDefault="002C6BDF" w:rsidP="006769C7">
            <w:pPr>
              <w:tabs>
                <w:tab w:val="left" w:pos="1276"/>
                <w:tab w:val="left" w:pos="1418"/>
              </w:tabs>
              <w:spacing w:line="276" w:lineRule="auto"/>
              <w:ind w:left="-108" w:right="-108"/>
              <w:jc w:val="both"/>
              <w:rPr>
                <w:rFonts w:ascii="Arial" w:hAnsi="Arial" w:cs="Arial"/>
                <w:i/>
                <w:sz w:val="24"/>
                <w:szCs w:val="24"/>
              </w:rPr>
            </w:pPr>
            <w:r w:rsidRPr="006769C7">
              <w:rPr>
                <w:rFonts w:ascii="Arial" w:hAnsi="Arial" w:cs="Arial"/>
                <w:i/>
                <w:sz w:val="24"/>
                <w:szCs w:val="24"/>
              </w:rPr>
              <w:t>13:30-14:00</w:t>
            </w:r>
          </w:p>
        </w:tc>
        <w:tc>
          <w:tcPr>
            <w:tcW w:w="1843" w:type="dxa"/>
          </w:tcPr>
          <w:p w14:paraId="0EFC8677" w14:textId="77777777" w:rsidR="002C6BDF" w:rsidRPr="006769C7" w:rsidRDefault="002C6BDF" w:rsidP="006769C7">
            <w:pPr>
              <w:tabs>
                <w:tab w:val="left" w:pos="1276"/>
                <w:tab w:val="left" w:pos="1418"/>
              </w:tabs>
              <w:spacing w:line="276" w:lineRule="auto"/>
              <w:ind w:right="618"/>
              <w:jc w:val="both"/>
              <w:rPr>
                <w:rFonts w:ascii="Arial" w:hAnsi="Arial" w:cs="Arial"/>
                <w:i/>
                <w:sz w:val="24"/>
                <w:szCs w:val="24"/>
              </w:rPr>
            </w:pPr>
            <w:r w:rsidRPr="006769C7">
              <w:rPr>
                <w:rFonts w:ascii="Arial" w:hAnsi="Arial" w:cs="Arial"/>
                <w:i/>
                <w:sz w:val="24"/>
                <w:szCs w:val="24"/>
              </w:rPr>
              <w:t>AA</w:t>
            </w:r>
          </w:p>
        </w:tc>
        <w:tc>
          <w:tcPr>
            <w:tcW w:w="3544" w:type="dxa"/>
          </w:tcPr>
          <w:p w14:paraId="08BF49E4" w14:textId="77777777" w:rsidR="002C6BDF" w:rsidRPr="006769C7" w:rsidRDefault="002C6BDF" w:rsidP="006769C7">
            <w:pPr>
              <w:tabs>
                <w:tab w:val="left" w:pos="1276"/>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variedades</w:t>
            </w:r>
          </w:p>
        </w:tc>
      </w:tr>
      <w:tr w:rsidR="002C6BDF" w:rsidRPr="006769C7" w14:paraId="1FBB979D" w14:textId="77777777" w:rsidTr="007B3E92">
        <w:tc>
          <w:tcPr>
            <w:tcW w:w="1101" w:type="dxa"/>
          </w:tcPr>
          <w:p w14:paraId="7FCF05FE" w14:textId="77777777" w:rsidR="002C6BDF" w:rsidRPr="006769C7" w:rsidRDefault="002C6BDF" w:rsidP="006769C7">
            <w:pPr>
              <w:tabs>
                <w:tab w:val="left" w:pos="1418"/>
              </w:tabs>
              <w:spacing w:line="276" w:lineRule="auto"/>
              <w:ind w:right="-108" w:firstLine="7"/>
              <w:jc w:val="both"/>
              <w:rPr>
                <w:rFonts w:ascii="Arial" w:hAnsi="Arial" w:cs="Arial"/>
                <w:i/>
                <w:sz w:val="24"/>
                <w:szCs w:val="24"/>
              </w:rPr>
            </w:pPr>
          </w:p>
        </w:tc>
        <w:tc>
          <w:tcPr>
            <w:tcW w:w="1275" w:type="dxa"/>
          </w:tcPr>
          <w:p w14:paraId="4425E90B" w14:textId="77777777" w:rsidR="002C6BDF" w:rsidRPr="006769C7" w:rsidRDefault="002C6BDF" w:rsidP="006769C7">
            <w:pPr>
              <w:tabs>
                <w:tab w:val="left" w:pos="1418"/>
              </w:tabs>
              <w:spacing w:line="276" w:lineRule="auto"/>
              <w:ind w:left="-774" w:right="-108"/>
              <w:jc w:val="both"/>
              <w:rPr>
                <w:rFonts w:ascii="Arial" w:hAnsi="Arial" w:cs="Arial"/>
                <w:i/>
                <w:sz w:val="24"/>
                <w:szCs w:val="24"/>
              </w:rPr>
            </w:pPr>
            <w:r w:rsidRPr="006769C7">
              <w:rPr>
                <w:rFonts w:ascii="Arial" w:hAnsi="Arial" w:cs="Arial"/>
                <w:i/>
                <w:sz w:val="24"/>
                <w:szCs w:val="24"/>
              </w:rPr>
              <w:t>10:00-114:00-14:30</w:t>
            </w:r>
          </w:p>
        </w:tc>
        <w:tc>
          <w:tcPr>
            <w:tcW w:w="1843" w:type="dxa"/>
          </w:tcPr>
          <w:p w14:paraId="7D6A29ED" w14:textId="77777777" w:rsidR="002C6BDF" w:rsidRPr="006769C7" w:rsidRDefault="002C6BDF" w:rsidP="006769C7">
            <w:pPr>
              <w:tabs>
                <w:tab w:val="left" w:pos="1418"/>
              </w:tabs>
              <w:spacing w:line="276" w:lineRule="auto"/>
              <w:ind w:right="618"/>
              <w:jc w:val="both"/>
              <w:rPr>
                <w:rFonts w:ascii="Arial" w:hAnsi="Arial" w:cs="Arial"/>
                <w:i/>
                <w:sz w:val="24"/>
                <w:szCs w:val="24"/>
              </w:rPr>
            </w:pPr>
            <w:r w:rsidRPr="006769C7">
              <w:rPr>
                <w:rFonts w:ascii="Arial" w:hAnsi="Arial" w:cs="Arial"/>
                <w:i/>
                <w:sz w:val="24"/>
                <w:szCs w:val="24"/>
              </w:rPr>
              <w:t>AA</w:t>
            </w:r>
          </w:p>
        </w:tc>
        <w:tc>
          <w:tcPr>
            <w:tcW w:w="3544" w:type="dxa"/>
          </w:tcPr>
          <w:p w14:paraId="6CD76E9E" w14:textId="77777777" w:rsidR="002C6BDF" w:rsidRPr="006769C7" w:rsidRDefault="002C6BDF" w:rsidP="006769C7">
            <w:pPr>
              <w:tabs>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variedades</w:t>
            </w:r>
          </w:p>
        </w:tc>
      </w:tr>
      <w:tr w:rsidR="002C6BDF" w:rsidRPr="006769C7" w14:paraId="7A2A3CA3" w14:textId="77777777" w:rsidTr="007B3E92">
        <w:tc>
          <w:tcPr>
            <w:tcW w:w="1101" w:type="dxa"/>
          </w:tcPr>
          <w:p w14:paraId="7AB43162" w14:textId="77777777" w:rsidR="002C6BDF" w:rsidRPr="006769C7" w:rsidRDefault="002C6BDF" w:rsidP="006769C7">
            <w:pPr>
              <w:tabs>
                <w:tab w:val="left" w:pos="1418"/>
              </w:tabs>
              <w:spacing w:line="276" w:lineRule="auto"/>
              <w:ind w:right="618"/>
              <w:jc w:val="both"/>
              <w:rPr>
                <w:rFonts w:ascii="Arial" w:hAnsi="Arial" w:cs="Arial"/>
                <w:i/>
                <w:sz w:val="24"/>
                <w:szCs w:val="24"/>
              </w:rPr>
            </w:pPr>
          </w:p>
        </w:tc>
        <w:tc>
          <w:tcPr>
            <w:tcW w:w="1275" w:type="dxa"/>
          </w:tcPr>
          <w:p w14:paraId="6DD76426" w14:textId="77777777" w:rsidR="002C6BDF" w:rsidRPr="006769C7" w:rsidRDefault="002C6BDF" w:rsidP="006769C7">
            <w:pPr>
              <w:tabs>
                <w:tab w:val="left" w:pos="1418"/>
              </w:tabs>
              <w:spacing w:line="276" w:lineRule="auto"/>
              <w:ind w:left="-108" w:right="-108"/>
              <w:jc w:val="both"/>
              <w:rPr>
                <w:rFonts w:ascii="Arial" w:hAnsi="Arial" w:cs="Arial"/>
                <w:i/>
                <w:sz w:val="24"/>
                <w:szCs w:val="24"/>
              </w:rPr>
            </w:pPr>
            <w:r w:rsidRPr="006769C7">
              <w:rPr>
                <w:rFonts w:ascii="Arial" w:hAnsi="Arial" w:cs="Arial"/>
                <w:i/>
                <w:sz w:val="24"/>
                <w:szCs w:val="24"/>
              </w:rPr>
              <w:t>14:30-15:00</w:t>
            </w:r>
          </w:p>
        </w:tc>
        <w:tc>
          <w:tcPr>
            <w:tcW w:w="1843" w:type="dxa"/>
          </w:tcPr>
          <w:p w14:paraId="7B2A0734" w14:textId="77777777" w:rsidR="002C6BDF" w:rsidRPr="006769C7" w:rsidRDefault="002C6BDF" w:rsidP="006769C7">
            <w:pPr>
              <w:tabs>
                <w:tab w:val="left" w:pos="1418"/>
              </w:tabs>
              <w:spacing w:line="276" w:lineRule="auto"/>
              <w:ind w:right="618"/>
              <w:jc w:val="both"/>
              <w:rPr>
                <w:rFonts w:ascii="Arial" w:hAnsi="Arial" w:cs="Arial"/>
                <w:i/>
                <w:sz w:val="24"/>
                <w:szCs w:val="24"/>
              </w:rPr>
            </w:pPr>
            <w:r w:rsidRPr="006769C7">
              <w:rPr>
                <w:rFonts w:ascii="Arial" w:hAnsi="Arial" w:cs="Arial"/>
                <w:i/>
                <w:sz w:val="24"/>
                <w:szCs w:val="24"/>
              </w:rPr>
              <w:t>AA</w:t>
            </w:r>
          </w:p>
        </w:tc>
        <w:tc>
          <w:tcPr>
            <w:tcW w:w="3544" w:type="dxa"/>
          </w:tcPr>
          <w:p w14:paraId="16634A68" w14:textId="77777777" w:rsidR="002C6BDF" w:rsidRPr="006769C7" w:rsidRDefault="002C6BDF" w:rsidP="006769C7">
            <w:pPr>
              <w:tabs>
                <w:tab w:val="left" w:pos="1418"/>
              </w:tabs>
              <w:spacing w:line="276" w:lineRule="auto"/>
              <w:ind w:right="-108"/>
              <w:jc w:val="both"/>
              <w:rPr>
                <w:rFonts w:ascii="Arial" w:hAnsi="Arial" w:cs="Arial"/>
                <w:i/>
                <w:sz w:val="24"/>
                <w:szCs w:val="24"/>
              </w:rPr>
            </w:pPr>
            <w:r w:rsidRPr="006769C7">
              <w:rPr>
                <w:rFonts w:ascii="Arial" w:hAnsi="Arial" w:cs="Arial"/>
                <w:i/>
                <w:sz w:val="24"/>
                <w:szCs w:val="24"/>
              </w:rPr>
              <w:t>Recreativo variedades</w:t>
            </w:r>
          </w:p>
        </w:tc>
      </w:tr>
    </w:tbl>
    <w:p w14:paraId="416536A5" w14:textId="77777777" w:rsidR="002C6BDF" w:rsidRPr="006769C7" w:rsidRDefault="002C6BDF" w:rsidP="006769C7">
      <w:pPr>
        <w:spacing w:line="276" w:lineRule="auto"/>
        <w:ind w:right="-15"/>
        <w:jc w:val="both"/>
        <w:rPr>
          <w:rFonts w:ascii="Arial" w:hAnsi="Arial" w:cs="Arial"/>
          <w:sz w:val="24"/>
          <w:szCs w:val="24"/>
        </w:rPr>
      </w:pPr>
    </w:p>
    <w:p w14:paraId="62EE347A" w14:textId="77777777" w:rsidR="002C6BDF" w:rsidRPr="006769C7" w:rsidRDefault="002C6BDF" w:rsidP="006769C7">
      <w:pPr>
        <w:spacing w:line="276" w:lineRule="auto"/>
        <w:ind w:right="-15"/>
        <w:jc w:val="both"/>
        <w:rPr>
          <w:rFonts w:ascii="Arial" w:hAnsi="Arial" w:cs="Arial"/>
          <w:sz w:val="24"/>
          <w:szCs w:val="24"/>
        </w:rPr>
      </w:pPr>
    </w:p>
    <w:p w14:paraId="676012AC"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Dicho contrato estuvo vigente durante el período comprendido entre el 13 de marzo de 1992 y abril de 1993, según la certificación expedida por el secretario general de INRAVISIÓN (f. 165 c-1). </w:t>
      </w:r>
    </w:p>
    <w:p w14:paraId="6BB92EF7" w14:textId="77777777" w:rsidR="002C6BDF" w:rsidRPr="006769C7" w:rsidRDefault="002C6BDF" w:rsidP="006769C7">
      <w:pPr>
        <w:spacing w:line="276" w:lineRule="auto"/>
        <w:ind w:right="-15"/>
        <w:jc w:val="both"/>
        <w:rPr>
          <w:rFonts w:ascii="Arial" w:hAnsi="Arial" w:cs="Arial"/>
          <w:b/>
          <w:sz w:val="24"/>
          <w:szCs w:val="24"/>
        </w:rPr>
      </w:pPr>
    </w:p>
    <w:p w14:paraId="3A4BBBCF"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r w:rsidRPr="006769C7">
        <w:rPr>
          <w:rFonts w:ascii="Arial" w:hAnsi="Arial" w:cs="Arial"/>
          <w:sz w:val="24"/>
          <w:szCs w:val="24"/>
        </w:rPr>
        <w:t xml:space="preserve">4.2. En la declaración rendida por los testigos en el proceso, estos afirmaron que el racionamiento de energía causó perjuicios económicos a las programadoras. Sus versiones fueron las siguientes: </w:t>
      </w:r>
    </w:p>
    <w:p w14:paraId="0670B444"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r w:rsidRPr="006769C7">
        <w:rPr>
          <w:rFonts w:ascii="Arial" w:hAnsi="Arial" w:cs="Arial"/>
          <w:sz w:val="24"/>
          <w:szCs w:val="24"/>
        </w:rPr>
        <w:t xml:space="preserve">-El señor Christian Guillermo Toro Ibler (f. 96-100 c-2), manifestó que dirigía la empresa “Publicidad Toro Ltda”, agencia que tenía por objeto asesorar en mercadeo y publicidad a clientes nacionales y multinacionales, en todos los medios en los cuales se pudiera dar a conocer un producto o servicio, siendo la televisión el medio por excelencia, en el que mayor inversión se hacía. Durante las horas de racionamiento, la recomendación de los técnicos en publicidad era la de no pautar y, por lo tanto, desplazar los comerciales a horarios diferentes, aunque dicho racionamiento no se daba a la misma hora en todas las ciudades. La mayor atención se concentraba en los horarios de las principales ciudades, donde la demanda de los productos era mayor. Señala que el cambio de hábitos de los televidentes, quienes antes del racionamiento, veían televisión entre las 6:00 y las 7:30, pero durante esa época se dedicaron a actividades distintas, como escuchar radio, ir a centros comerciales, etc, se mantuvo aún después de que terminara la medida; aún más, una vez terminado el racionamiento, las personas debían realizar las actividades que antes no pudieron hacer, lo cual reducía, igualmente, el rating de televisión, estos factores contribuyeron a extender en el tiempo los perjuicios económicos a las programadoras. Añadió que durante el racionamiento creció la inversión en radio y en periódicos y revistas, y que, en general, todas las programadoras resultaron afectadas con la medida.   </w:t>
      </w:r>
    </w:p>
    <w:p w14:paraId="2CC053CB" w14:textId="77777777" w:rsidR="002C6BDF" w:rsidRPr="006769C7" w:rsidRDefault="002C6BDF" w:rsidP="006769C7">
      <w:pPr>
        <w:widowControl w:val="0"/>
        <w:tabs>
          <w:tab w:val="left" w:pos="480"/>
        </w:tabs>
        <w:spacing w:line="276" w:lineRule="auto"/>
        <w:ind w:right="51"/>
        <w:jc w:val="both"/>
        <w:rPr>
          <w:rFonts w:ascii="Arial" w:hAnsi="Arial" w:cs="Arial"/>
          <w:b/>
          <w:sz w:val="24"/>
          <w:szCs w:val="24"/>
        </w:rPr>
      </w:pPr>
    </w:p>
    <w:p w14:paraId="695B6A56"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r w:rsidRPr="006769C7">
        <w:rPr>
          <w:rFonts w:ascii="Arial" w:hAnsi="Arial" w:cs="Arial"/>
          <w:sz w:val="24"/>
          <w:szCs w:val="24"/>
        </w:rPr>
        <w:t>-La señora Ximena Tapias Delporte (f. 101-107 c-2), manifestó que era abogada y desde 1990 se desempeñaba como presidenta ejecutiva del gremio que reunía a las empresas publicitarias del país –Unión de Empresas Publicitarias UCEP- Aclaró que la fuente primordial de financiación de la televisión es la publicidad, la cual no existe sin el canal de comunicación que le permita ser emitida y, por lo tanto, como la televisión requiere energía eléctrica, el racionamiento de energía y el cambio de hora (</w:t>
      </w:r>
      <w:r w:rsidRPr="006769C7">
        <w:rPr>
          <w:rFonts w:ascii="Arial" w:hAnsi="Arial" w:cs="Arial"/>
          <w:i/>
          <w:sz w:val="24"/>
          <w:szCs w:val="24"/>
        </w:rPr>
        <w:t>“hora Gaviria”</w:t>
      </w:r>
      <w:r w:rsidRPr="006769C7">
        <w:rPr>
          <w:rFonts w:ascii="Arial" w:hAnsi="Arial" w:cs="Arial"/>
          <w:sz w:val="24"/>
          <w:szCs w:val="24"/>
        </w:rPr>
        <w:t xml:space="preserve">), implicaron que la exposición del usuario a la televisión bajara sustancialmente, razón por la cual dicha agremiación contrató un estudio que determinara el cambio de hábitos de los televidentes, el cual llegó a la conclusión </w:t>
      </w:r>
      <w:r w:rsidRPr="006769C7">
        <w:rPr>
          <w:rFonts w:ascii="Arial" w:hAnsi="Arial" w:cs="Arial"/>
          <w:sz w:val="24"/>
          <w:szCs w:val="24"/>
        </w:rPr>
        <w:lastRenderedPageBreak/>
        <w:t xml:space="preserve">de que el 69% de las personas estaban dedicando menos tiempo a ver televisión, debido al racionamiento energético. Señaló que entre los esfuerzos hechos por el gobierno nacional para tratar de conjurar la grave situación por la que pasaba la industria publicitaria, INRAVISIÓN expidió el Acuerdo 002, en el que se establecieron medidas de alivio y no de indemnización, y se permitió retransmitir los programas en horarios no afectados por el racionamiento; reposición de comerciales y una medida financiera relativa al arriendo de los espacios, medidas que no lograron impedir las grandes pérdidas para las programadoras, porque el racionamiento no solo cubría muchas horas de trasmisión, sino las horas de mayor audiencia. Destacó la dificultad de implementar esos mecanismos, en razón a la coexistencia de concesionarios de televisión, por lo que ese tipo de decisiones debían tomarse en forma conjunta y unánime; además, INRAVISIÓN no podía afectar sus recursos, dados sus compromisos económicos relacionados con la reposición de equipos y demás obligaciones a su cargo. La testigo explicó que la publicidad disminuyó como consecuencia de que la gente no podía ver televisión en determinados horarios y esa reducción de la frecuencia incidió, igualmente, en su impacto. Señaló también que la inversión publicitaria se desplazó de la televisión a la radio, porque los trasmisores podían operar con pilas o baterías, así como a la prensa y a las revistas.  </w:t>
      </w:r>
    </w:p>
    <w:p w14:paraId="730B4C0A" w14:textId="77777777" w:rsidR="002C6BDF" w:rsidRPr="006769C7" w:rsidRDefault="002C6BDF" w:rsidP="006769C7">
      <w:pPr>
        <w:widowControl w:val="0"/>
        <w:tabs>
          <w:tab w:val="left" w:pos="480"/>
        </w:tabs>
        <w:spacing w:line="276" w:lineRule="auto"/>
        <w:ind w:right="51"/>
        <w:jc w:val="both"/>
        <w:rPr>
          <w:rFonts w:ascii="Arial" w:hAnsi="Arial" w:cs="Arial"/>
          <w:b/>
          <w:sz w:val="24"/>
          <w:szCs w:val="24"/>
        </w:rPr>
      </w:pPr>
    </w:p>
    <w:p w14:paraId="137123EE"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r w:rsidRPr="006769C7">
        <w:rPr>
          <w:rFonts w:ascii="Arial" w:hAnsi="Arial" w:cs="Arial"/>
          <w:sz w:val="24"/>
          <w:szCs w:val="24"/>
        </w:rPr>
        <w:t xml:space="preserve">-En el testimonio rendido por el señor Carlos Delgado Pereira (f. 107-111 c-2), quien para la época de los hechos era presidente de la Asociación Nacional de Anunciantes de Colombia -ANDA, y antes había sido subdirector de INRAVISIÓN, manifestó que la programadora PUNCH no era afiliada a esa agremiación. Explicó que para poner la publicidad al aire, la empresa interesada hace un análisis de mercadeo, que implica determinar cuál es el grupo de potenciales consumidores a los que se quiere llegar y, de acuerdo con los costos de esa inversión, se hace la selección del horario en el que se trasmita esa publicidad; así como la selección del medio, que puede ser radio, televisión, prensa, vallas, y el contenido del programa en el que se haga la pauta. </w:t>
      </w:r>
      <w:r w:rsidRPr="006769C7">
        <w:rPr>
          <w:rFonts w:ascii="Arial" w:hAnsi="Arial" w:cs="Arial"/>
          <w:i/>
          <w:sz w:val="24"/>
          <w:szCs w:val="24"/>
        </w:rPr>
        <w:t>“El rating es muy importante para la publicidad…Indica el número de personas que ven un programa a una hora determinada, la composición de una audiencia y esto sirve para que el anunciante utilice como herramienta el dato para poner su publicidad en el horario adecuado y con la intensidad necesaria para que llegue el mensaje a la audiencia que él necesita”.</w:t>
      </w:r>
      <w:r w:rsidRPr="006769C7">
        <w:rPr>
          <w:rFonts w:ascii="Arial" w:hAnsi="Arial" w:cs="Arial"/>
          <w:sz w:val="24"/>
          <w:szCs w:val="24"/>
        </w:rPr>
        <w:t xml:space="preserve"> Añadió que durante la época del racionamiento, la televisión colombiana, como el resto del país, vivió una situación crítica y, como consecuencia de ello, el Estado dio un tratamiento especial a las programadoras, con el fin de que estas no se </w:t>
      </w:r>
      <w:r w:rsidRPr="006769C7">
        <w:rPr>
          <w:rFonts w:ascii="Arial" w:hAnsi="Arial" w:cs="Arial"/>
          <w:i/>
          <w:sz w:val="24"/>
          <w:szCs w:val="24"/>
        </w:rPr>
        <w:t xml:space="preserve">“perjudicaran de manera contundente”. </w:t>
      </w:r>
    </w:p>
    <w:p w14:paraId="767C2485" w14:textId="77777777" w:rsidR="002C6BDF" w:rsidRPr="006769C7" w:rsidRDefault="002C6BDF" w:rsidP="006769C7">
      <w:pPr>
        <w:widowControl w:val="0"/>
        <w:tabs>
          <w:tab w:val="left" w:pos="480"/>
        </w:tabs>
        <w:spacing w:line="276" w:lineRule="auto"/>
        <w:ind w:right="51"/>
        <w:jc w:val="both"/>
        <w:rPr>
          <w:rFonts w:ascii="Arial" w:hAnsi="Arial" w:cs="Arial"/>
          <w:b/>
          <w:sz w:val="24"/>
          <w:szCs w:val="24"/>
        </w:rPr>
      </w:pPr>
    </w:p>
    <w:p w14:paraId="1391F1F6"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r w:rsidRPr="006769C7">
        <w:rPr>
          <w:rFonts w:ascii="Arial" w:hAnsi="Arial" w:cs="Arial"/>
          <w:sz w:val="24"/>
          <w:szCs w:val="24"/>
        </w:rPr>
        <w:t xml:space="preserve">-El señor Álvaro Arango Correa (f. 115-120 c-2), manifestó que se desempeñaba como presidente de la empresa Propaganda Sancho, agencia de publicidad, que tenía entre sus clientes a la Federación Nacional de Cafeteros, General Motors, Alpina, y por eso podía afirmar con conocimiento de causa que lo que determinaba el interés de los anunciantes para pautar en televisión eran los niveles de audiencia de los programas, de tal manera que aquellos que tienen bajos niveles de sintonía no obtienen pauta publicitaria. Manifestó que el racionamiento de energía afectó a los 35 millones de habitantes del país, porque </w:t>
      </w:r>
      <w:r w:rsidRPr="006769C7">
        <w:rPr>
          <w:rFonts w:ascii="Arial" w:hAnsi="Arial" w:cs="Arial"/>
          <w:i/>
          <w:sz w:val="24"/>
          <w:szCs w:val="24"/>
        </w:rPr>
        <w:t>“las personas fueron condenadas a vivir como los más primitivos ciudadanos del mundo”</w:t>
      </w:r>
      <w:r w:rsidRPr="006769C7">
        <w:rPr>
          <w:rFonts w:ascii="Arial" w:hAnsi="Arial" w:cs="Arial"/>
          <w:sz w:val="24"/>
          <w:szCs w:val="24"/>
        </w:rPr>
        <w:t xml:space="preserve">, dado que el racionamiento </w:t>
      </w:r>
      <w:r w:rsidRPr="006769C7">
        <w:rPr>
          <w:rFonts w:ascii="Arial" w:hAnsi="Arial" w:cs="Arial"/>
          <w:sz w:val="24"/>
          <w:szCs w:val="24"/>
        </w:rPr>
        <w:lastRenderedPageBreak/>
        <w:t xml:space="preserve">nocturno impidió el uso de la televisión como medio de comunicación de las grandes masas, lo cual llevó a los anunciantes a retirar sus pautas, generando así gravísimos perjuicios a la actividad de la publicidad y seguramente al sector industrial. En la época del racionamiento, los anunciantes buscaron como medio alternativo la radio, que al poder ser utilizada usando pilas, fue la gran ganadora. De hecho, programas como “La Luciérnaga”, que nació como respuesta en esa crisis, aún se mantiene, lo que generó un cambio de hábitos, un arraigo de ese medio informativo que a las 6:00 p.m. no era fuerte, lo cual implicó que las programadoras de televisión no recibieran ingresos por publicidad durante los horarios del racionamiento. </w:t>
      </w:r>
    </w:p>
    <w:p w14:paraId="60FC36B8" w14:textId="77777777" w:rsidR="002C6BDF" w:rsidRPr="006769C7" w:rsidRDefault="002C6BDF" w:rsidP="006769C7">
      <w:pPr>
        <w:spacing w:line="276" w:lineRule="auto"/>
        <w:ind w:right="-15"/>
        <w:jc w:val="both"/>
        <w:rPr>
          <w:rFonts w:ascii="Arial" w:hAnsi="Arial" w:cs="Arial"/>
          <w:b/>
          <w:sz w:val="24"/>
          <w:szCs w:val="24"/>
        </w:rPr>
      </w:pPr>
    </w:p>
    <w:p w14:paraId="46CC0E34"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En resumen, según lo afirmado por los testigos, todos ellos vinculados o conocedores de la actividad de comercialización de espacios en medios masivos de comunicación, el racionamiento de energía durante el año 1992 significó para las programadoras perjuicios de carácter económico, por el desinterés de los comerciantes de adquirir pauta publicitaria en programas que habrían de transmitirse en horarios en los cuales se aplicaba la medida, aunque advirtieron que el racionamiento no se hacía a la misma hora en todas las ciudades. </w:t>
      </w:r>
    </w:p>
    <w:p w14:paraId="1D49C72C" w14:textId="77777777" w:rsidR="002C6BDF" w:rsidRPr="006769C7" w:rsidRDefault="002C6BDF" w:rsidP="006769C7">
      <w:pPr>
        <w:spacing w:line="276" w:lineRule="auto"/>
        <w:ind w:right="-15"/>
        <w:jc w:val="both"/>
        <w:rPr>
          <w:rFonts w:ascii="Arial" w:hAnsi="Arial" w:cs="Arial"/>
          <w:sz w:val="24"/>
          <w:szCs w:val="24"/>
        </w:rPr>
      </w:pPr>
    </w:p>
    <w:p w14:paraId="326A9423"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4.3. También está probado que con el fin de reducir los efectos del racionamiento de energía en horarios en los cuales se emitía la programación de las cadenas nacionales, Inravisión adoptó las siguientes medidas: (i) Acuerdo 02 de 1992, mediante el cual se autorizó temporalmente a las programadoras de televisión para retransmitir programas de televisión previamente emitidos o para reponer los espacios comerciales de los programas presentados en espacios afectados por el racionamiento, cuando las empresas concesionarias no opten por las repeticiones señaladas (f. 28-31 c-11); (ii) Acuerdo 03 de 8 de junio de 1992, Inravisión reclasificó los espacios afectados por el racionamiento, reduciendo así su costo para los concesionarios; (iii) Acuerdo 04 de 8 de junio de 1992, por el cual se adiciona el Acuerdo 02, en relación con la repetición de programas recreativos dramatizados nacionales originales y programas informativos noticieros; (iv) Acuerdo 06 de 7 de julio de 1992, por el cual se modifican los plazos para el pago por concepto de los valores que se causaran a favor de Inravisión (f. 36-38 c-11); (v) Acuerdo 09 de diciembre de 1992, por el cual se permitió a los concesionarios de espacios informativos noticieros en el horario señalado en el acto, hacer reposición de anuncios comerciales en los espacios informativos de horarios posteriores;  (vi) Acuerdo 01 de 1993, en el cual se modificaron los plazos de pago por concepto de valores que se causaran a favor de Inravisión, en desarrollo de los contratos de espacios de televisión (f. 174-192 c-2), y Acuerdo 043 de 8 de junio de 1992, mediante el cual Inravisión redujo unilateralmente la tarifa cobrada a las programadoras, teniendo en cuenta el espacio utilizado, el origen y tipo de programa emitido (f. 32-35 c-11). </w:t>
      </w:r>
    </w:p>
    <w:p w14:paraId="3DC1E28C" w14:textId="77777777" w:rsidR="002C6BDF" w:rsidRPr="006769C7" w:rsidRDefault="002C6BDF" w:rsidP="006769C7">
      <w:pPr>
        <w:tabs>
          <w:tab w:val="num" w:pos="480"/>
        </w:tabs>
        <w:spacing w:line="276" w:lineRule="auto"/>
        <w:ind w:right="-7"/>
        <w:jc w:val="both"/>
        <w:rPr>
          <w:rFonts w:ascii="Arial" w:hAnsi="Arial" w:cs="Arial"/>
          <w:sz w:val="24"/>
          <w:szCs w:val="24"/>
        </w:rPr>
      </w:pPr>
    </w:p>
    <w:p w14:paraId="521CFAE9" w14:textId="77777777" w:rsidR="002C6BDF" w:rsidRPr="006769C7" w:rsidRDefault="002C6BDF" w:rsidP="006769C7">
      <w:pPr>
        <w:tabs>
          <w:tab w:val="num" w:pos="480"/>
        </w:tabs>
        <w:spacing w:line="276" w:lineRule="auto"/>
        <w:ind w:right="-7"/>
        <w:jc w:val="both"/>
        <w:rPr>
          <w:rFonts w:ascii="Arial" w:hAnsi="Arial" w:cs="Arial"/>
          <w:sz w:val="24"/>
          <w:szCs w:val="24"/>
        </w:rPr>
      </w:pPr>
      <w:r w:rsidRPr="006769C7">
        <w:rPr>
          <w:rFonts w:ascii="Arial" w:hAnsi="Arial" w:cs="Arial"/>
          <w:sz w:val="24"/>
          <w:szCs w:val="24"/>
        </w:rPr>
        <w:t>4.4. El secretario general de INRAVISIÓN certificó que Producciones Punch hizo uso del 100% de las prerrogativas económicas ofrecidas por el Instituto para mitigar los efectos económicos del racionamiento (f. 171 c-1), y en memorando del subdirector financiero de esa entidad explicó el uso de esas medidas, así:</w:t>
      </w:r>
    </w:p>
    <w:p w14:paraId="3CD2A59F" w14:textId="77777777" w:rsidR="002C6BDF" w:rsidRPr="006769C7" w:rsidRDefault="002C6BDF" w:rsidP="006769C7">
      <w:pPr>
        <w:tabs>
          <w:tab w:val="num" w:pos="480"/>
        </w:tabs>
        <w:spacing w:line="276" w:lineRule="auto"/>
        <w:ind w:right="-7"/>
        <w:jc w:val="both"/>
        <w:rPr>
          <w:rFonts w:ascii="Arial" w:hAnsi="Arial" w:cs="Arial"/>
          <w:sz w:val="24"/>
          <w:szCs w:val="24"/>
        </w:rPr>
      </w:pPr>
    </w:p>
    <w:p w14:paraId="78288A97" w14:textId="77777777" w:rsidR="002C6BDF" w:rsidRPr="006769C7" w:rsidRDefault="002C6BDF" w:rsidP="006769C7">
      <w:pPr>
        <w:tabs>
          <w:tab w:val="num" w:pos="480"/>
        </w:tabs>
        <w:spacing w:line="276" w:lineRule="auto"/>
        <w:ind w:left="567" w:right="618"/>
        <w:jc w:val="both"/>
        <w:rPr>
          <w:rFonts w:ascii="Arial" w:hAnsi="Arial" w:cs="Arial"/>
          <w:i/>
          <w:sz w:val="24"/>
          <w:szCs w:val="24"/>
        </w:rPr>
      </w:pPr>
      <w:r w:rsidRPr="006769C7">
        <w:rPr>
          <w:rFonts w:ascii="Arial" w:hAnsi="Arial" w:cs="Arial"/>
          <w:i/>
          <w:sz w:val="24"/>
          <w:szCs w:val="24"/>
        </w:rPr>
        <w:lastRenderedPageBreak/>
        <w:t>[L]as medidas transitorias tomadas por el Consejo y Junta con el fin de aliviar las cargas económicas a los concesionarios afectados por el racionamiento eléctrico, se resumen así:</w:t>
      </w:r>
    </w:p>
    <w:p w14:paraId="4659CE26" w14:textId="77777777" w:rsidR="002C6BDF" w:rsidRPr="006769C7" w:rsidRDefault="002C6BDF" w:rsidP="006769C7">
      <w:pPr>
        <w:tabs>
          <w:tab w:val="num" w:pos="480"/>
        </w:tabs>
        <w:spacing w:line="276" w:lineRule="auto"/>
        <w:ind w:left="567" w:right="618"/>
        <w:jc w:val="both"/>
        <w:rPr>
          <w:rFonts w:ascii="Arial" w:hAnsi="Arial" w:cs="Arial"/>
          <w:i/>
          <w:sz w:val="24"/>
          <w:szCs w:val="24"/>
        </w:rPr>
      </w:pPr>
    </w:p>
    <w:p w14:paraId="7E46550D" w14:textId="77777777" w:rsidR="002C6BDF" w:rsidRPr="006769C7" w:rsidRDefault="002C6BDF" w:rsidP="006769C7">
      <w:pPr>
        <w:numPr>
          <w:ilvl w:val="0"/>
          <w:numId w:val="20"/>
        </w:numPr>
        <w:spacing w:line="276" w:lineRule="auto"/>
        <w:ind w:right="618"/>
        <w:jc w:val="both"/>
        <w:rPr>
          <w:rFonts w:ascii="Arial" w:hAnsi="Arial" w:cs="Arial"/>
          <w:i/>
          <w:sz w:val="24"/>
          <w:szCs w:val="24"/>
        </w:rPr>
      </w:pPr>
      <w:r w:rsidRPr="006769C7">
        <w:rPr>
          <w:rFonts w:ascii="Arial" w:hAnsi="Arial" w:cs="Arial"/>
          <w:i/>
          <w:sz w:val="24"/>
          <w:szCs w:val="24"/>
        </w:rPr>
        <w:t>Autorización de repeticiones de programas en horarios afectados por el racionamiento sin costo adicional.</w:t>
      </w:r>
    </w:p>
    <w:p w14:paraId="6B39DE56" w14:textId="77777777" w:rsidR="002C6BDF" w:rsidRPr="006769C7" w:rsidRDefault="002C6BDF" w:rsidP="006769C7">
      <w:pPr>
        <w:numPr>
          <w:ilvl w:val="0"/>
          <w:numId w:val="20"/>
        </w:numPr>
        <w:spacing w:line="276" w:lineRule="auto"/>
        <w:ind w:right="618"/>
        <w:jc w:val="both"/>
        <w:rPr>
          <w:rFonts w:ascii="Arial" w:hAnsi="Arial" w:cs="Arial"/>
          <w:i/>
          <w:sz w:val="24"/>
          <w:szCs w:val="24"/>
        </w:rPr>
      </w:pPr>
      <w:r w:rsidRPr="006769C7">
        <w:rPr>
          <w:rFonts w:ascii="Arial" w:hAnsi="Arial" w:cs="Arial"/>
          <w:i/>
          <w:sz w:val="24"/>
          <w:szCs w:val="24"/>
        </w:rPr>
        <w:t>Autorización de reposición de comerciales.</w:t>
      </w:r>
    </w:p>
    <w:p w14:paraId="26138AF2" w14:textId="77777777" w:rsidR="002C6BDF" w:rsidRPr="006769C7" w:rsidRDefault="002C6BDF" w:rsidP="006769C7">
      <w:pPr>
        <w:numPr>
          <w:ilvl w:val="0"/>
          <w:numId w:val="20"/>
        </w:numPr>
        <w:spacing w:line="276" w:lineRule="auto"/>
        <w:ind w:right="618"/>
        <w:jc w:val="both"/>
        <w:rPr>
          <w:rFonts w:ascii="Arial" w:hAnsi="Arial" w:cs="Arial"/>
          <w:i/>
          <w:sz w:val="24"/>
          <w:szCs w:val="24"/>
        </w:rPr>
      </w:pPr>
      <w:r w:rsidRPr="006769C7">
        <w:rPr>
          <w:rFonts w:ascii="Arial" w:hAnsi="Arial" w:cs="Arial"/>
          <w:i/>
          <w:sz w:val="24"/>
          <w:szCs w:val="24"/>
        </w:rPr>
        <w:t xml:space="preserve">Disminución de tarifas de concesión de espacios conforme al porcentaje de racionamiento promedio nacional del sector residencial de acuerdo con los informes de Interconexión Eléctrica S.A. I.S.A. </w:t>
      </w:r>
    </w:p>
    <w:p w14:paraId="56C62993" w14:textId="77777777" w:rsidR="002C6BDF" w:rsidRPr="006769C7" w:rsidRDefault="002C6BDF" w:rsidP="006769C7">
      <w:pPr>
        <w:spacing w:line="276" w:lineRule="auto"/>
        <w:ind w:left="567" w:right="618"/>
        <w:jc w:val="both"/>
        <w:rPr>
          <w:rFonts w:ascii="Arial" w:hAnsi="Arial" w:cs="Arial"/>
          <w:i/>
          <w:sz w:val="24"/>
          <w:szCs w:val="24"/>
        </w:rPr>
      </w:pPr>
    </w:p>
    <w:p w14:paraId="0B35C712"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Respecto de las medidas del primer punto la concesionaria Punch S.A. sí hizo uso de esta medida, pero es imposible establecer en qué porcentaje, puesto que no conocemos la base de posibles repeticiones que pudiera haber hecho esta empresa durante este período.</w:t>
      </w:r>
    </w:p>
    <w:p w14:paraId="2922A8C6" w14:textId="77777777" w:rsidR="002C6BDF" w:rsidRPr="006769C7" w:rsidRDefault="002C6BDF" w:rsidP="006769C7">
      <w:pPr>
        <w:spacing w:line="276" w:lineRule="auto"/>
        <w:ind w:left="567" w:right="618"/>
        <w:jc w:val="both"/>
        <w:rPr>
          <w:rFonts w:ascii="Arial" w:hAnsi="Arial" w:cs="Arial"/>
          <w:i/>
          <w:sz w:val="24"/>
          <w:szCs w:val="24"/>
        </w:rPr>
      </w:pPr>
    </w:p>
    <w:p w14:paraId="31B1865A"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En cuanto a las medidas precisadas en el segundo punto su seguimiento y control lo llevó a cabo la División de Televisión Comercial, razón por la cual esta Subdirección no puede certificar este aspecto.</w:t>
      </w:r>
    </w:p>
    <w:p w14:paraId="027BFD0C" w14:textId="77777777" w:rsidR="002C6BDF" w:rsidRPr="006769C7" w:rsidRDefault="002C6BDF" w:rsidP="006769C7">
      <w:pPr>
        <w:spacing w:line="276" w:lineRule="auto"/>
        <w:ind w:left="567" w:right="618"/>
        <w:jc w:val="both"/>
        <w:rPr>
          <w:rFonts w:ascii="Arial" w:hAnsi="Arial" w:cs="Arial"/>
          <w:i/>
          <w:sz w:val="24"/>
          <w:szCs w:val="24"/>
        </w:rPr>
      </w:pPr>
    </w:p>
    <w:p w14:paraId="69A75A5F"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Por último y en lo que respecta a la disminución de tarifas conforme al porcentaje de racionamiento, la concesionaria Punch S.A. se benefició del 100% de estas puesto que el Instituto facturó con base en las tarifas reducidas todos los espacios afectados por el racionamiento conforme a los informes de Interconexión Eléctrica S.A. ISA, entre los cuales se encontraban los de Punch S.A.</w:t>
      </w:r>
    </w:p>
    <w:p w14:paraId="5442E460" w14:textId="77777777" w:rsidR="002C6BDF" w:rsidRPr="006769C7" w:rsidRDefault="002C6BDF" w:rsidP="006769C7">
      <w:pPr>
        <w:spacing w:line="276" w:lineRule="auto"/>
        <w:ind w:left="567" w:right="618"/>
        <w:jc w:val="both"/>
        <w:rPr>
          <w:rFonts w:ascii="Arial" w:hAnsi="Arial" w:cs="Arial"/>
          <w:i/>
          <w:sz w:val="24"/>
          <w:szCs w:val="24"/>
        </w:rPr>
      </w:pPr>
    </w:p>
    <w:p w14:paraId="25401D01" w14:textId="77777777" w:rsidR="002C6BDF" w:rsidRPr="006769C7" w:rsidRDefault="002C6BDF" w:rsidP="006769C7">
      <w:pPr>
        <w:widowControl w:val="0"/>
        <w:tabs>
          <w:tab w:val="left" w:pos="480"/>
        </w:tabs>
        <w:spacing w:line="276" w:lineRule="auto"/>
        <w:ind w:right="51"/>
        <w:jc w:val="both"/>
        <w:rPr>
          <w:rFonts w:ascii="Arial" w:hAnsi="Arial" w:cs="Arial"/>
          <w:b/>
          <w:sz w:val="24"/>
          <w:szCs w:val="24"/>
        </w:rPr>
      </w:pPr>
    </w:p>
    <w:p w14:paraId="27A578F2" w14:textId="77777777" w:rsidR="002C6BDF" w:rsidRPr="006769C7" w:rsidRDefault="002C6BDF" w:rsidP="006769C7">
      <w:pPr>
        <w:tabs>
          <w:tab w:val="num" w:pos="480"/>
        </w:tabs>
        <w:spacing w:line="276" w:lineRule="auto"/>
        <w:ind w:right="-7"/>
        <w:jc w:val="both"/>
        <w:rPr>
          <w:rFonts w:ascii="Arial" w:hAnsi="Arial" w:cs="Arial"/>
          <w:sz w:val="24"/>
          <w:szCs w:val="24"/>
        </w:rPr>
      </w:pPr>
      <w:r w:rsidRPr="006769C7">
        <w:rPr>
          <w:rFonts w:ascii="Arial" w:hAnsi="Arial" w:cs="Arial"/>
          <w:sz w:val="24"/>
          <w:szCs w:val="24"/>
        </w:rPr>
        <w:t xml:space="preserve">INRAVISIÓN firmó con Producciones Punch el contrato adicional 02 al contrato 2828, para modificar el plazo y la forma de pago prevista, entre el 1º de julio y el 31 de diciembre de 1992, en aplicación del Acuerdo 06 de 7 de julio de 1992, que amplió a 105 días el plazo concedido a los concesionarios para efectuar el pago por los valores que se causaran a su favor (f. 39-41 c-11).  </w:t>
      </w:r>
    </w:p>
    <w:p w14:paraId="121D9DA1"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p>
    <w:p w14:paraId="1534E86E"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r w:rsidRPr="006769C7">
        <w:rPr>
          <w:rFonts w:ascii="Arial" w:hAnsi="Arial" w:cs="Arial"/>
          <w:sz w:val="24"/>
          <w:szCs w:val="24"/>
        </w:rPr>
        <w:t xml:space="preserve">Obra en el expediente copia de las comunicaciones dirigidas por el director ejecutivo de Inravisión a la empresa demandante, mediante las cuales acusaba recibido de las comunicaciones dirigidas por la sociedad con el fin de acogerse a los beneficios previstos en los Acuerdos señalados y la manera en la cual se harían efectivos (193-220 c-2). </w:t>
      </w:r>
    </w:p>
    <w:p w14:paraId="29C58D9E"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En consecuencia, está probado en el expediente que la situación de racionamiento de energía generaba un desestímulo para la adquisición de pauta publicitaria y que como ese hecho era previsible, INRAVISIÓN concedió beneficios a los concesionarios para que no sufrieran perjuicios o, al menos, para reducirlos, y que la demandante hizo uso del 100% de esos beneficios.</w:t>
      </w:r>
    </w:p>
    <w:p w14:paraId="1AD6AF15" w14:textId="77777777" w:rsidR="002C6BDF" w:rsidRPr="006769C7" w:rsidRDefault="002C6BDF" w:rsidP="006769C7">
      <w:pPr>
        <w:spacing w:line="276" w:lineRule="auto"/>
        <w:ind w:right="-15"/>
        <w:jc w:val="both"/>
        <w:rPr>
          <w:rFonts w:ascii="Arial" w:hAnsi="Arial" w:cs="Arial"/>
          <w:sz w:val="24"/>
          <w:szCs w:val="24"/>
        </w:rPr>
      </w:pPr>
    </w:p>
    <w:p w14:paraId="39077373"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4.5. En la demanda, Punch S.A. solicitó que se practicara una inspección judicial, con intervención de peritos, expertos en administración de empresas, a las oficinas de la sociedad demandante, con el fin de establecer el daño sufrido por la </w:t>
      </w:r>
      <w:r w:rsidRPr="006769C7">
        <w:rPr>
          <w:rFonts w:ascii="Arial" w:hAnsi="Arial" w:cs="Arial"/>
          <w:sz w:val="24"/>
          <w:szCs w:val="24"/>
        </w:rPr>
        <w:lastRenderedPageBreak/>
        <w:t>programadora como consecuencia del racionamiento de energía eléctrica a que se vio sometido el país entre el 2 de marzo de 1992 y el 1º de abril de 1993</w:t>
      </w:r>
      <w:r w:rsidRPr="006769C7">
        <w:rPr>
          <w:rStyle w:val="Refdenotaalpie"/>
          <w:rFonts w:ascii="Arial" w:hAnsi="Arial" w:cs="Arial"/>
          <w:sz w:val="24"/>
          <w:szCs w:val="24"/>
        </w:rPr>
        <w:footnoteReference w:id="12"/>
      </w:r>
      <w:r w:rsidRPr="006769C7">
        <w:rPr>
          <w:rFonts w:ascii="Arial" w:hAnsi="Arial" w:cs="Arial"/>
          <w:sz w:val="24"/>
          <w:szCs w:val="24"/>
        </w:rPr>
        <w:t>. Para tal efecto, solicitó que los peritos, con base en los libros de contabilidad de la sociedad, de sus respectivos soportes y de los demás libros y documentos pertinentes, absolvieran el siguiente cuestionario</w:t>
      </w:r>
      <w:r w:rsidRPr="006769C7">
        <w:rPr>
          <w:rStyle w:val="Refdenotaalpie"/>
          <w:rFonts w:ascii="Arial" w:hAnsi="Arial" w:cs="Arial"/>
          <w:sz w:val="24"/>
          <w:szCs w:val="24"/>
        </w:rPr>
        <w:footnoteReference w:id="13"/>
      </w:r>
      <w:r w:rsidRPr="006769C7">
        <w:rPr>
          <w:rFonts w:ascii="Arial" w:hAnsi="Arial" w:cs="Arial"/>
          <w:sz w:val="24"/>
          <w:szCs w:val="24"/>
        </w:rPr>
        <w:t xml:space="preserve">:  </w:t>
      </w:r>
    </w:p>
    <w:p w14:paraId="6DE4CCCE" w14:textId="77777777" w:rsidR="002C6BDF" w:rsidRPr="006769C7" w:rsidRDefault="002C6BDF" w:rsidP="006769C7">
      <w:pPr>
        <w:spacing w:line="276" w:lineRule="auto"/>
        <w:ind w:right="-15"/>
        <w:jc w:val="both"/>
        <w:rPr>
          <w:rFonts w:ascii="Arial" w:hAnsi="Arial" w:cs="Arial"/>
          <w:sz w:val="24"/>
          <w:szCs w:val="24"/>
        </w:rPr>
      </w:pPr>
    </w:p>
    <w:p w14:paraId="7D91E65B"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1. ¿En promedio, qué porcentaje de las ventas anuales de la publicidad vendida por la programadora durante los años de 1987, 1988, 1989, 1990 y 1991 corresponden a cada uno de los seis (6) bimestres (…) de esos años? (…), qué porcentaje de cada uno de esos valores se vendió en cada bimestre del respectivo año y cuál es el promedio de los porcentajes de cada bimestre durante los cinco años anotados?</w:t>
      </w:r>
    </w:p>
    <w:p w14:paraId="613F2412" w14:textId="77777777" w:rsidR="002C6BDF" w:rsidRPr="006769C7" w:rsidRDefault="002C6BDF" w:rsidP="006769C7">
      <w:pPr>
        <w:spacing w:line="276" w:lineRule="auto"/>
        <w:ind w:left="567" w:right="618"/>
        <w:jc w:val="both"/>
        <w:rPr>
          <w:rFonts w:ascii="Arial" w:hAnsi="Arial" w:cs="Arial"/>
          <w:i/>
          <w:sz w:val="24"/>
          <w:szCs w:val="24"/>
        </w:rPr>
      </w:pPr>
    </w:p>
    <w:p w14:paraId="4E57BFD9"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Esta pregunta tiene por objeto conocer el comportamiento normal del mercado de la televisión a lo largo del año, durante los cinco (5) años que precedieron al racionamiento.</w:t>
      </w:r>
    </w:p>
    <w:p w14:paraId="1767C499"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02EDD01E" w14:textId="77777777" w:rsidR="002C6BDF" w:rsidRPr="006769C7" w:rsidRDefault="002C6BDF" w:rsidP="006769C7">
      <w:pPr>
        <w:spacing w:line="276" w:lineRule="auto"/>
        <w:ind w:left="567" w:right="618"/>
        <w:jc w:val="both"/>
        <w:rPr>
          <w:rFonts w:ascii="Arial" w:hAnsi="Arial" w:cs="Arial"/>
          <w:i/>
          <w:sz w:val="24"/>
          <w:szCs w:val="24"/>
        </w:rPr>
      </w:pPr>
    </w:p>
    <w:p w14:paraId="7855BAA7"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2. ¿Cuál fue el valor de las ventas de publicidad de la programadora durante el bimestre enero-febrero de 1992?</w:t>
      </w:r>
    </w:p>
    <w:p w14:paraId="0BE69BE0"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28F68684" w14:textId="77777777" w:rsidR="002C6BDF" w:rsidRPr="006769C7" w:rsidRDefault="002C6BDF" w:rsidP="006769C7">
      <w:pPr>
        <w:spacing w:line="276" w:lineRule="auto"/>
        <w:ind w:left="567" w:right="618"/>
        <w:jc w:val="both"/>
        <w:rPr>
          <w:rFonts w:ascii="Arial" w:hAnsi="Arial" w:cs="Arial"/>
          <w:i/>
          <w:sz w:val="24"/>
          <w:szCs w:val="24"/>
        </w:rPr>
      </w:pPr>
    </w:p>
    <w:p w14:paraId="14933AE4"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3. Con base en las dos preguntas anteriores y aplicando una regla de tres en donde el valor en dinero conocido es el de las ventas de publicidad del bimestre enero-febrero de 1992, y los porcentajes de las ventas promedio de cada bimestre del año conocidos son los que resultaron de absolver la pregunta número [1], sírvase proyectar lo que hubieran sido las ventas normales de publicidad de la programadora en condiciones ideales de no racionamiento durante los restantes bimestres del año de 1992. </w:t>
      </w:r>
    </w:p>
    <w:p w14:paraId="6F46F47F"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101EAAC5" w14:textId="77777777" w:rsidR="002C6BDF" w:rsidRPr="006769C7" w:rsidRDefault="002C6BDF" w:rsidP="006769C7">
      <w:pPr>
        <w:spacing w:line="276" w:lineRule="auto"/>
        <w:ind w:left="567" w:right="618"/>
        <w:jc w:val="both"/>
        <w:rPr>
          <w:rFonts w:ascii="Arial" w:hAnsi="Arial" w:cs="Arial"/>
          <w:i/>
          <w:sz w:val="24"/>
          <w:szCs w:val="24"/>
        </w:rPr>
      </w:pPr>
    </w:p>
    <w:p w14:paraId="0389FA26"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4. ¿Cuáles fueron los ingresos efectivamente obtenidos por Punch durante los seis (6) bimestres del año de 1992, por concepto de ventas de publicidad?</w:t>
      </w:r>
    </w:p>
    <w:p w14:paraId="5F4E2838" w14:textId="77777777" w:rsidR="002C6BDF" w:rsidRPr="006769C7" w:rsidRDefault="002C6BDF" w:rsidP="006769C7">
      <w:pPr>
        <w:spacing w:line="276" w:lineRule="auto"/>
        <w:ind w:left="567" w:right="618"/>
        <w:jc w:val="both"/>
        <w:rPr>
          <w:rFonts w:ascii="Arial" w:hAnsi="Arial" w:cs="Arial"/>
          <w:i/>
          <w:sz w:val="24"/>
          <w:szCs w:val="24"/>
        </w:rPr>
      </w:pPr>
    </w:p>
    <w:p w14:paraId="5469D0D2"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5. A cuánto ascendieron los beneficios económicos recibidos por Punch durante el año 1992 como consecuencia de las medidas tomadas por INRAVISIÓN, con el fin de mitigar en alguna medida los efectos del racionamiento, tales como reposición de comerciales, autorización de repeticiones y menores tarifas de INRAVISIÓN, a que se refieren los </w:t>
      </w:r>
      <w:r w:rsidRPr="006769C7">
        <w:rPr>
          <w:rFonts w:ascii="Arial" w:hAnsi="Arial" w:cs="Arial"/>
          <w:i/>
          <w:sz w:val="24"/>
          <w:szCs w:val="24"/>
        </w:rPr>
        <w:lastRenderedPageBreak/>
        <w:t>Acuerdos 2, 6 y 43 de dicho instituto, incluyendo los minutos de reposición no utilizados durante el año de 1992 que fueron valorados como parte del activo en los estados financieros cerrados a 31 de diciembre de ese año?</w:t>
      </w:r>
    </w:p>
    <w:p w14:paraId="7A7CF861" w14:textId="77777777" w:rsidR="002C6BDF" w:rsidRPr="006769C7" w:rsidRDefault="002C6BDF" w:rsidP="006769C7">
      <w:pPr>
        <w:spacing w:line="276" w:lineRule="auto"/>
        <w:ind w:left="567" w:right="618"/>
        <w:jc w:val="both"/>
        <w:rPr>
          <w:rFonts w:ascii="Arial" w:hAnsi="Arial" w:cs="Arial"/>
          <w:i/>
          <w:sz w:val="24"/>
          <w:szCs w:val="24"/>
        </w:rPr>
      </w:pPr>
    </w:p>
    <w:p w14:paraId="27519741"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6. Con base en las respuestas anteriores, ¿Cuál fue la diferencia entre los ingresos efectivamente recibidos por la programadora a lo largo de 1992 por concepto de venta de publicidad, incluidos los beneficios especiales arriba señalados y el ingreso que por el mismo concepto debió haber recibido en condiciones ideales de no racionamiento?  </w:t>
      </w:r>
    </w:p>
    <w:p w14:paraId="00244F64" w14:textId="77777777" w:rsidR="002C6BDF" w:rsidRPr="006769C7" w:rsidRDefault="002C6BDF" w:rsidP="006769C7">
      <w:pPr>
        <w:spacing w:line="276" w:lineRule="auto"/>
        <w:ind w:right="-15"/>
        <w:jc w:val="both"/>
        <w:rPr>
          <w:rFonts w:ascii="Arial" w:hAnsi="Arial" w:cs="Arial"/>
          <w:sz w:val="24"/>
          <w:szCs w:val="24"/>
        </w:rPr>
      </w:pPr>
    </w:p>
    <w:p w14:paraId="0C065A57" w14:textId="77777777" w:rsidR="002C6BDF" w:rsidRPr="006769C7" w:rsidRDefault="002C6BDF" w:rsidP="006769C7">
      <w:pPr>
        <w:spacing w:line="276" w:lineRule="auto"/>
        <w:ind w:right="-15"/>
        <w:jc w:val="both"/>
        <w:rPr>
          <w:rFonts w:ascii="Arial" w:hAnsi="Arial" w:cs="Arial"/>
          <w:sz w:val="24"/>
          <w:szCs w:val="24"/>
        </w:rPr>
      </w:pPr>
    </w:p>
    <w:p w14:paraId="6AC4791F"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En el escrito de corrección de la demanda (f. 132-134 c-1), Punch señaló el procedimiento que, en su criterio, debía aplicarse para fijar la cuantía de la pretensión solicitada:   </w:t>
      </w:r>
    </w:p>
    <w:p w14:paraId="0E67875A" w14:textId="77777777" w:rsidR="002C6BDF" w:rsidRPr="006769C7" w:rsidRDefault="002C6BDF" w:rsidP="006769C7">
      <w:pPr>
        <w:spacing w:line="276" w:lineRule="auto"/>
        <w:ind w:left="540" w:right="533"/>
        <w:jc w:val="both"/>
        <w:rPr>
          <w:rFonts w:ascii="Arial" w:hAnsi="Arial" w:cs="Arial"/>
          <w:i/>
          <w:sz w:val="24"/>
          <w:szCs w:val="24"/>
        </w:rPr>
      </w:pPr>
    </w:p>
    <w:p w14:paraId="34C03DDF"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2. El procedimiento para la estimación de la cuantía</w:t>
      </w:r>
    </w:p>
    <w:p w14:paraId="4E125400" w14:textId="77777777" w:rsidR="002C6BDF" w:rsidRPr="006769C7" w:rsidRDefault="002C6BDF" w:rsidP="006769C7">
      <w:pPr>
        <w:spacing w:line="276" w:lineRule="auto"/>
        <w:ind w:left="540" w:right="533"/>
        <w:jc w:val="both"/>
        <w:rPr>
          <w:rFonts w:ascii="Arial" w:hAnsi="Arial" w:cs="Arial"/>
          <w:i/>
          <w:sz w:val="24"/>
          <w:szCs w:val="24"/>
        </w:rPr>
      </w:pPr>
    </w:p>
    <w:p w14:paraId="302D627C"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2.1. Se tomaron como ciertos los únicos valores de facturación sin racionamiento conocidos para ese entonces, como lo eran los correspondientes a la pauta publicitaria vendida durante los primeros dos (2) meses del año de 1992.</w:t>
      </w:r>
    </w:p>
    <w:p w14:paraId="58280AC2" w14:textId="77777777" w:rsidR="002C6BDF" w:rsidRPr="006769C7" w:rsidRDefault="002C6BDF" w:rsidP="006769C7">
      <w:pPr>
        <w:spacing w:line="276" w:lineRule="auto"/>
        <w:ind w:left="540" w:right="533"/>
        <w:jc w:val="both"/>
        <w:rPr>
          <w:rFonts w:ascii="Arial" w:hAnsi="Arial" w:cs="Arial"/>
          <w:i/>
          <w:sz w:val="24"/>
          <w:szCs w:val="24"/>
        </w:rPr>
      </w:pPr>
    </w:p>
    <w:p w14:paraId="13319AE8"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2.2. Se promedió el monto de la facturación de la programación por cada uno de los seis bimestres que conforman el año, durante los cinco años anteriores, con el objeto de tener un punto de referencia real.</w:t>
      </w:r>
    </w:p>
    <w:p w14:paraId="7110755E" w14:textId="77777777" w:rsidR="002C6BDF" w:rsidRPr="006769C7" w:rsidRDefault="002C6BDF" w:rsidP="006769C7">
      <w:pPr>
        <w:spacing w:line="276" w:lineRule="auto"/>
        <w:ind w:left="540" w:right="533"/>
        <w:jc w:val="both"/>
        <w:rPr>
          <w:rFonts w:ascii="Arial" w:hAnsi="Arial" w:cs="Arial"/>
          <w:i/>
          <w:sz w:val="24"/>
          <w:szCs w:val="24"/>
        </w:rPr>
      </w:pPr>
    </w:p>
    <w:p w14:paraId="1F73951B"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2.3. En este ejercicio, nos permitimos comprobar que, en promedio, la inversión anual de los anunciantes en la televisión se descompone de la siguiente manera:</w:t>
      </w:r>
    </w:p>
    <w:p w14:paraId="302BED53" w14:textId="77777777" w:rsidR="002C6BDF" w:rsidRPr="006769C7" w:rsidRDefault="002C6BDF" w:rsidP="006769C7">
      <w:pPr>
        <w:spacing w:line="276" w:lineRule="auto"/>
        <w:ind w:left="540" w:right="533"/>
        <w:jc w:val="both"/>
        <w:rPr>
          <w:rFonts w:ascii="Arial" w:hAnsi="Arial" w:cs="Arial"/>
          <w:i/>
          <w:sz w:val="24"/>
          <w:szCs w:val="24"/>
        </w:rPr>
      </w:pPr>
    </w:p>
    <w:p w14:paraId="203C4BB1"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Bimestre enero-febrero:</w:t>
      </w:r>
      <w:r w:rsidRPr="006769C7">
        <w:rPr>
          <w:rFonts w:ascii="Arial" w:hAnsi="Arial" w:cs="Arial"/>
          <w:i/>
          <w:sz w:val="24"/>
          <w:szCs w:val="24"/>
        </w:rPr>
        <w:tab/>
        <w:t xml:space="preserve"> </w:t>
      </w:r>
      <w:r w:rsidRPr="006769C7">
        <w:rPr>
          <w:rFonts w:ascii="Arial" w:hAnsi="Arial" w:cs="Arial"/>
          <w:i/>
          <w:sz w:val="24"/>
          <w:szCs w:val="24"/>
        </w:rPr>
        <w:tab/>
        <w:t xml:space="preserve">  9.54% del total</w:t>
      </w:r>
    </w:p>
    <w:p w14:paraId="4430842A"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Bimestre marzo-abril:</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16.00% del total</w:t>
      </w:r>
      <w:r w:rsidRPr="006769C7">
        <w:rPr>
          <w:rFonts w:ascii="Arial" w:hAnsi="Arial" w:cs="Arial"/>
          <w:i/>
          <w:sz w:val="24"/>
          <w:szCs w:val="24"/>
        </w:rPr>
        <w:tab/>
        <w:t xml:space="preserve"> </w:t>
      </w:r>
    </w:p>
    <w:p w14:paraId="144B284F"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Bimestre mayo-junio:</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17.85% del total</w:t>
      </w:r>
    </w:p>
    <w:p w14:paraId="22562B81"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Bimestre julio-agosto:</w:t>
      </w:r>
      <w:r w:rsidRPr="006769C7">
        <w:rPr>
          <w:rFonts w:ascii="Arial" w:hAnsi="Arial" w:cs="Arial"/>
          <w:i/>
          <w:sz w:val="24"/>
          <w:szCs w:val="24"/>
        </w:rPr>
        <w:tab/>
      </w:r>
      <w:r w:rsidRPr="006769C7">
        <w:rPr>
          <w:rFonts w:ascii="Arial" w:hAnsi="Arial" w:cs="Arial"/>
          <w:i/>
          <w:sz w:val="24"/>
          <w:szCs w:val="24"/>
        </w:rPr>
        <w:tab/>
        <w:t>16.71% del total</w:t>
      </w:r>
    </w:p>
    <w:p w14:paraId="5ECFAE4E"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Bimestre sept.-octubre:</w:t>
      </w:r>
      <w:r w:rsidRPr="006769C7">
        <w:rPr>
          <w:rFonts w:ascii="Arial" w:hAnsi="Arial" w:cs="Arial"/>
          <w:i/>
          <w:sz w:val="24"/>
          <w:szCs w:val="24"/>
        </w:rPr>
        <w:tab/>
      </w:r>
      <w:r w:rsidRPr="006769C7">
        <w:rPr>
          <w:rFonts w:ascii="Arial" w:hAnsi="Arial" w:cs="Arial"/>
          <w:i/>
          <w:sz w:val="24"/>
          <w:szCs w:val="24"/>
        </w:rPr>
        <w:tab/>
        <w:t>20.74% del total</w:t>
      </w:r>
    </w:p>
    <w:p w14:paraId="605EDA40"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Bimestre nov.-diciembre:</w:t>
      </w:r>
      <w:r w:rsidRPr="006769C7">
        <w:rPr>
          <w:rFonts w:ascii="Arial" w:hAnsi="Arial" w:cs="Arial"/>
          <w:i/>
          <w:sz w:val="24"/>
          <w:szCs w:val="24"/>
        </w:rPr>
        <w:tab/>
      </w:r>
      <w:r w:rsidRPr="006769C7">
        <w:rPr>
          <w:rFonts w:ascii="Arial" w:hAnsi="Arial" w:cs="Arial"/>
          <w:i/>
          <w:sz w:val="24"/>
          <w:szCs w:val="24"/>
        </w:rPr>
        <w:tab/>
        <w:t>19.16% del total</w:t>
      </w:r>
    </w:p>
    <w:p w14:paraId="31E7A304" w14:textId="77777777" w:rsidR="002C6BDF" w:rsidRPr="006769C7" w:rsidRDefault="002C6BDF" w:rsidP="006769C7">
      <w:pPr>
        <w:spacing w:line="276" w:lineRule="auto"/>
        <w:ind w:left="540" w:right="533"/>
        <w:jc w:val="both"/>
        <w:rPr>
          <w:rFonts w:ascii="Arial" w:hAnsi="Arial" w:cs="Arial"/>
          <w:i/>
          <w:sz w:val="24"/>
          <w:szCs w:val="24"/>
        </w:rPr>
      </w:pPr>
    </w:p>
    <w:p w14:paraId="1E659B29"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2.4. Finalmente, conociendo (i) la facturación de la programadora durante el bimestre enero-febrero y (ii) los porcentajes anteriores, se proyectó con base en una regla de tres el valor de las ventas que se debieron producir durante los bimestres restantes del año y a ese valor se le restaron los ingresos especiales obtenidos como consecuencia de las políticas adoptadas por el Gobierno Nacional con el objeto de mitigar las pérdidas sufridas por las programadoras de televisión por el racionamiento de energía eléctrica.</w:t>
      </w:r>
    </w:p>
    <w:p w14:paraId="3AFE2B0B" w14:textId="77777777" w:rsidR="002C6BDF" w:rsidRPr="006769C7" w:rsidRDefault="002C6BDF" w:rsidP="006769C7">
      <w:pPr>
        <w:spacing w:line="276" w:lineRule="auto"/>
        <w:ind w:left="540" w:right="533"/>
        <w:jc w:val="both"/>
        <w:rPr>
          <w:rFonts w:ascii="Arial" w:hAnsi="Arial" w:cs="Arial"/>
          <w:i/>
          <w:sz w:val="24"/>
          <w:szCs w:val="24"/>
        </w:rPr>
      </w:pPr>
    </w:p>
    <w:p w14:paraId="43C612D9"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lastRenderedPageBreak/>
        <w:t xml:space="preserve">El resultado de esa operación matemática, cuyo desarrollo y comprobación deberán realizar los señores peritos una vez decretadas las pruebas dentro del proceso, nos demuestra que en pesos de 1992, las pérdidas sufridas por PRODUCCIONES PUNCH, como consecuencia del racionamiento de energía eléctrica ascendieron a una suma superior a los NOVECIENTOS MILLONES DE PESOS ($900.000.000), moneda corriente.  </w:t>
      </w:r>
    </w:p>
    <w:p w14:paraId="20CDDE1C" w14:textId="77777777" w:rsidR="002C6BDF" w:rsidRPr="006769C7" w:rsidRDefault="002C6BDF" w:rsidP="006769C7">
      <w:pPr>
        <w:spacing w:line="276" w:lineRule="auto"/>
        <w:ind w:right="-15"/>
        <w:jc w:val="both"/>
        <w:rPr>
          <w:rFonts w:ascii="Arial" w:hAnsi="Arial" w:cs="Arial"/>
          <w:i/>
          <w:sz w:val="24"/>
          <w:szCs w:val="24"/>
        </w:rPr>
      </w:pPr>
    </w:p>
    <w:p w14:paraId="14CE9265" w14:textId="77777777" w:rsidR="002C6BDF" w:rsidRPr="006769C7" w:rsidRDefault="002C6BDF" w:rsidP="006769C7">
      <w:pPr>
        <w:spacing w:line="276" w:lineRule="auto"/>
        <w:ind w:right="-15"/>
        <w:jc w:val="both"/>
        <w:rPr>
          <w:rFonts w:ascii="Arial" w:hAnsi="Arial" w:cs="Arial"/>
          <w:sz w:val="24"/>
          <w:szCs w:val="24"/>
        </w:rPr>
      </w:pPr>
    </w:p>
    <w:p w14:paraId="53D2E556"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La trascripción anterior se hizo con el fin de poner de manifiesto los términos en los cuales fue solicitada la prueba pericial, y así poder tener una mejor comprensión de las conclusiones a las que llegaron los peritos nombrados sucesivamente por el </w:t>
      </w:r>
      <w:r w:rsidRPr="006769C7">
        <w:rPr>
          <w:rFonts w:ascii="Arial" w:hAnsi="Arial" w:cs="Arial"/>
          <w:i/>
          <w:sz w:val="24"/>
          <w:szCs w:val="24"/>
        </w:rPr>
        <w:t>a quo</w:t>
      </w:r>
      <w:r w:rsidRPr="006769C7">
        <w:rPr>
          <w:rFonts w:ascii="Arial" w:hAnsi="Arial" w:cs="Arial"/>
          <w:sz w:val="24"/>
          <w:szCs w:val="24"/>
        </w:rPr>
        <w:t>, para rendir el dictamen solicitado en la demanda y para resolver las objeciones formuladas por las partes.</w:t>
      </w:r>
    </w:p>
    <w:p w14:paraId="5CB4FA5E" w14:textId="77777777" w:rsidR="002C6BDF" w:rsidRPr="006769C7" w:rsidRDefault="002C6BDF" w:rsidP="006769C7">
      <w:pPr>
        <w:spacing w:line="276" w:lineRule="auto"/>
        <w:ind w:right="-15"/>
        <w:jc w:val="both"/>
        <w:rPr>
          <w:rFonts w:ascii="Arial" w:hAnsi="Arial" w:cs="Arial"/>
          <w:b/>
          <w:sz w:val="24"/>
          <w:szCs w:val="24"/>
        </w:rPr>
      </w:pPr>
    </w:p>
    <w:p w14:paraId="25F5D818"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-En el dictamen rendido el 31 de mayo de 1996, por contador público y administrador de empresas (f. 229-235 c-2 y anexos f. 236-320 c-2), los peritos señalaron que previa revisión de los libros de contabilidad de la sociedad, sus respectivos soportes y documentos pertinentes daban respuesta al cuestionario formulado, en estos términos: (i) elaboraron un cuadro con indicación de los ingresos o ventas de publicidad mes a mes, de enero a diciembre de los años 1987 a 1991, que correspondía al valor neto entre los ingresos y descuentos por ventas (“ingreso de comercialización”), con indicación del porcentaje correspondiente a cada bimestre, en relación con el total de los ingresos anuales; (ii) determinaron que las ventas reales de publicidad en el bimestre enero-febrero de 1992 ascendieron a $428.469.401; (iii) calcularon el valor de las ventas esperadas para los 5 bimestres restantes del año 1992, teniendo en cuenta el valor de las ventas del primer bimestre de 1992 y el porcentaje de variación de las ventas en cada bimestre durante los 5 años anteriores, y obtuvieron los siguientes resultados: marzo-abril: $768.140.684; mayo-junio: $880.129.315; julio-agosto: $872.318.610; septiembre-octubre: $1.118.461.389, y noviembre-diciembre: $1.155.984.441, para un total de: $5.277.503.839; (iv) calcularon el valor de las ventas de la pauta publicitaria efectivamente realizadas por la sociedad en los 6 bimestres de 1992 en $4.256.231.598; (v) determinaron en $123.594.356 los beneficios económicos recibidos por Punch, como consecuencia de las medidas tomadas por Inravisión para mitigar los efectos del racionamiento, discriminados así: $66.568.654, por reducción de las tarifas y $57.025.702, por reposición de espacios, y (vi) concluyeron que la diferencia entre los ingresos que debió haber recibido la programadora en condiciones de no racionamiento ($5.277.503.839), menos los que efectivamente recibió por venta de la publicidad ($4.256.231.598), y los beneficios concedidos por Inravisión ($123.594.356), arrojaba un resultado de $897.677.885.  </w:t>
      </w:r>
    </w:p>
    <w:p w14:paraId="636FD26E" w14:textId="77777777" w:rsidR="002C6BDF" w:rsidRPr="006769C7" w:rsidRDefault="002C6BDF" w:rsidP="006769C7">
      <w:pPr>
        <w:spacing w:line="276" w:lineRule="auto"/>
        <w:ind w:right="-15"/>
        <w:jc w:val="both"/>
        <w:rPr>
          <w:rFonts w:ascii="Arial" w:hAnsi="Arial" w:cs="Arial"/>
          <w:sz w:val="24"/>
          <w:szCs w:val="24"/>
        </w:rPr>
      </w:pPr>
    </w:p>
    <w:p w14:paraId="53E8AB43"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No obstante, los peritos aclararon que no era posible comparar los ingresos de los años anteriores para establecer el valor de los ingresos de 1992, porque el contrato de ese año tenía condiciones muy diferentes:</w:t>
      </w:r>
    </w:p>
    <w:p w14:paraId="1FFF195C" w14:textId="77777777" w:rsidR="002C6BDF" w:rsidRPr="006769C7" w:rsidRDefault="002C6BDF" w:rsidP="006769C7">
      <w:pPr>
        <w:spacing w:line="276" w:lineRule="auto"/>
        <w:ind w:right="-15"/>
        <w:jc w:val="both"/>
        <w:rPr>
          <w:rFonts w:ascii="Arial" w:hAnsi="Arial" w:cs="Arial"/>
          <w:sz w:val="24"/>
          <w:szCs w:val="24"/>
        </w:rPr>
      </w:pPr>
    </w:p>
    <w:p w14:paraId="187CA71B" w14:textId="77777777" w:rsidR="002C6BDF" w:rsidRPr="006769C7" w:rsidRDefault="002C6BDF" w:rsidP="006769C7">
      <w:pPr>
        <w:spacing w:line="276" w:lineRule="auto"/>
        <w:ind w:left="567" w:right="618"/>
        <w:jc w:val="both"/>
        <w:rPr>
          <w:rFonts w:ascii="Arial" w:hAnsi="Arial" w:cs="Arial"/>
          <w:b/>
          <w:sz w:val="24"/>
          <w:szCs w:val="24"/>
        </w:rPr>
      </w:pPr>
      <w:r w:rsidRPr="006769C7">
        <w:rPr>
          <w:rFonts w:ascii="Arial" w:hAnsi="Arial" w:cs="Arial"/>
          <w:i/>
          <w:sz w:val="24"/>
          <w:szCs w:val="24"/>
        </w:rPr>
        <w:lastRenderedPageBreak/>
        <w:t xml:space="preserve">[C]omo en 1992 se inició la trasmisión de una programación de televisión completamente nueva, los perjuicios no se pueden determinar de una manera adecuada comparando el promedio de ventas de cada franja o de cada programa de la nueva licitación con las de las mismas franjas o programas de la licitación anterior; vale la pena recordar que casi todos los programas trasmitidos a partir del primero de enero de 1992 eran nuevos en nuestra televisión y que los que no lo eran se empezaron a transmitir en una franja u horario diferente al que tenía la programación anterior.  </w:t>
      </w:r>
      <w:r w:rsidRPr="006769C7">
        <w:rPr>
          <w:rFonts w:ascii="Arial" w:hAnsi="Arial" w:cs="Arial"/>
          <w:b/>
          <w:sz w:val="24"/>
          <w:szCs w:val="24"/>
        </w:rPr>
        <w:t xml:space="preserve"> </w:t>
      </w:r>
    </w:p>
    <w:p w14:paraId="012371A2" w14:textId="77777777" w:rsidR="002C6BDF" w:rsidRPr="006769C7" w:rsidRDefault="002C6BDF" w:rsidP="006769C7">
      <w:pPr>
        <w:spacing w:line="276" w:lineRule="auto"/>
        <w:ind w:left="567" w:right="618"/>
        <w:jc w:val="both"/>
        <w:rPr>
          <w:rFonts w:ascii="Arial" w:hAnsi="Arial" w:cs="Arial"/>
          <w:b/>
          <w:sz w:val="24"/>
          <w:szCs w:val="24"/>
        </w:rPr>
      </w:pPr>
    </w:p>
    <w:p w14:paraId="47CAF784" w14:textId="77777777" w:rsidR="002C6BDF" w:rsidRPr="006769C7" w:rsidRDefault="002C6BDF" w:rsidP="006769C7">
      <w:pPr>
        <w:spacing w:line="276" w:lineRule="auto"/>
        <w:ind w:right="-15"/>
        <w:jc w:val="both"/>
        <w:rPr>
          <w:rFonts w:ascii="Arial" w:hAnsi="Arial" w:cs="Arial"/>
          <w:b/>
          <w:sz w:val="24"/>
          <w:szCs w:val="24"/>
        </w:rPr>
      </w:pPr>
    </w:p>
    <w:p w14:paraId="50866E7A"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El Ministerio de Minas y Energía solicitó que se aclarara el dictamen y, en consecuencia, se señalara: (i) cuál fue el total de programas repetidos presentados por Producciones Punch S.A. entre el 2 de marzo de 1992 y el 1º de abril de 1993, y en cuáles fechas y horas fueron emitidos, y (ii) cuáles fueron los cálculos realizados para fijar en $57.025.702 los minutos de reposición de comerciales disponibles al cierre del balance de 1992 (f. 288 c-1). </w:t>
      </w:r>
    </w:p>
    <w:p w14:paraId="5049165C" w14:textId="77777777" w:rsidR="002C6BDF" w:rsidRPr="006769C7" w:rsidRDefault="002C6BDF" w:rsidP="006769C7">
      <w:pPr>
        <w:spacing w:line="276" w:lineRule="auto"/>
        <w:ind w:right="-15"/>
        <w:jc w:val="both"/>
        <w:rPr>
          <w:rFonts w:ascii="Arial" w:hAnsi="Arial" w:cs="Arial"/>
          <w:sz w:val="24"/>
          <w:szCs w:val="24"/>
        </w:rPr>
      </w:pPr>
    </w:p>
    <w:p w14:paraId="1EEBB1AC"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Por su parte, ISA solicitó que se complementara y aclarara el dictamen (f. 289-291 c-1), en relación con los siguientes aspectos: (i) si los datos que sirvieron de fundamento al dictamen fueron tomados directamente de los libros oficiales de la sociedad, (ii) si la comparación entre la serie cronológica 1987-1991 y el año 1992 obedece a las mismas bases, es decir, a factores económicos, naturales, institucionales y al comportamiento del usuarios; (iii) si se comparó el contrato celebrado por la sociedad con Inravisión en 1992 con los de los años anteriores, en cuanto a espacios, franjas, horarios y clasificaciones; (iv) si todos los ingresos de Punch se derivan de la utilización de los espacios concedidos mediante el contrato de concesión 2828; (v) si para establecer el monto del perjuicio tuvieron en cuenta el impacto fiscal correspondiente, dado que esto podría hacer la diferencia entre los ingresos y las utilidades; (vi) aclaren cuáles fueron los fundamentos técnicos y científicos para hacer la proyección de ingresos utilizando la media aritmética, dado que utilizando ese mismo método y con las cifras señaladas en el dictamen, la media, calculada conforme al porcentaje de incremento del año inmediatamente anterior, en la serie 1987-1991, sería de 27.65688756, y, por lo tanto, la proyección de ingresos para el año 1992 alcanzaría los $4.565.441.912, esto es, con una diferencia según balance de $185.615.958; pero si esa media se calcula con base en el incremento porcentual de la serie cronológica dada, tomando como base el año 1987, la proyección de ingresos para el año 1992 debió ser de $4.129.187.896, esto es, inferior en $250.638.058, en relación con los ingresos realmente obtenidos.  </w:t>
      </w:r>
    </w:p>
    <w:p w14:paraId="530BDCB0" w14:textId="77777777" w:rsidR="002C6BDF" w:rsidRPr="006769C7" w:rsidRDefault="002C6BDF" w:rsidP="006769C7">
      <w:pPr>
        <w:spacing w:line="276" w:lineRule="auto"/>
        <w:ind w:right="-15"/>
        <w:jc w:val="both"/>
        <w:rPr>
          <w:rFonts w:ascii="Arial" w:hAnsi="Arial" w:cs="Arial"/>
          <w:sz w:val="24"/>
          <w:szCs w:val="24"/>
        </w:rPr>
      </w:pPr>
    </w:p>
    <w:p w14:paraId="091E378A"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El dictamen fue aclarado y complementado por los peritos, según la solicitud, básicamente, en relación con la metodología empleada (f. 363-366 c-2), en los siguientes términos:</w:t>
      </w:r>
    </w:p>
    <w:p w14:paraId="67455650" w14:textId="77777777" w:rsidR="002C6BDF" w:rsidRPr="006769C7" w:rsidRDefault="002C6BDF" w:rsidP="006769C7">
      <w:pPr>
        <w:spacing w:line="276" w:lineRule="auto"/>
        <w:ind w:right="-15"/>
        <w:jc w:val="both"/>
        <w:rPr>
          <w:rFonts w:ascii="Arial" w:hAnsi="Arial" w:cs="Arial"/>
          <w:sz w:val="24"/>
          <w:szCs w:val="24"/>
        </w:rPr>
      </w:pPr>
    </w:p>
    <w:p w14:paraId="6A0D2934"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A. Los presupuestos de inversión publicitaria en general y, específicamente, los de inversión publicitaria en televisión, se determinan por parte de los anunciantes desde finales del año </w:t>
      </w:r>
      <w:r w:rsidRPr="006769C7">
        <w:rPr>
          <w:rFonts w:ascii="Arial" w:hAnsi="Arial" w:cs="Arial"/>
          <w:i/>
          <w:sz w:val="24"/>
          <w:szCs w:val="24"/>
        </w:rPr>
        <w:lastRenderedPageBreak/>
        <w:t>inmediatamente anterior, teniendo en cuenta sus proyectos, sus diferentes estudios de mercado y sus proyecciones de mercadeo.</w:t>
      </w:r>
    </w:p>
    <w:p w14:paraId="15F2B08C" w14:textId="77777777" w:rsidR="002C6BDF" w:rsidRPr="006769C7" w:rsidRDefault="002C6BDF" w:rsidP="006769C7">
      <w:pPr>
        <w:spacing w:line="276" w:lineRule="auto"/>
        <w:ind w:left="567" w:right="618"/>
        <w:jc w:val="both"/>
        <w:rPr>
          <w:rFonts w:ascii="Arial" w:hAnsi="Arial" w:cs="Arial"/>
          <w:i/>
          <w:sz w:val="24"/>
          <w:szCs w:val="24"/>
        </w:rPr>
      </w:pPr>
    </w:p>
    <w:p w14:paraId="1A6B999E"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B. Solo en caso de cambios radicales, la inversión proyectada por el anunciante se modifica a lo largo del período; normalmente, el presupuesto de inversión publicitaria se ejecuta mes a mes, como lo planeado, lo que hace que las curvas mensuales o bimensuales de inversión conserven las mismas tendencias. </w:t>
      </w:r>
    </w:p>
    <w:p w14:paraId="2CF10310" w14:textId="77777777" w:rsidR="002C6BDF" w:rsidRPr="006769C7" w:rsidRDefault="002C6BDF" w:rsidP="006769C7">
      <w:pPr>
        <w:spacing w:line="276" w:lineRule="auto"/>
        <w:ind w:left="567" w:right="618"/>
        <w:jc w:val="both"/>
        <w:rPr>
          <w:rFonts w:ascii="Arial" w:hAnsi="Arial" w:cs="Arial"/>
          <w:i/>
          <w:sz w:val="24"/>
          <w:szCs w:val="24"/>
        </w:rPr>
      </w:pPr>
    </w:p>
    <w:p w14:paraId="350F4D49"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C. Los cronogramas mensuales o bimensuales de inversión en todos los medios, debido fundamentalmente a los ciclos de compra del consumidor, motivado por la entrada a los colegios, por los días de la madre, el padre y la amistad, por las vacaciones de mitad de año y final de año, por la navidad, etc, mantienen siempre, tanto en los años anteriores como en todos los medios de comunicación, las mismas tendencias de concentración de la inversión en determinados períodos. Los ciclos de compra del consumidor, influidos también por sus ciclos de ingreso, son la base sobre la cual se apoya el departamento de medios del anunciante para planear su inversión publicitaria. </w:t>
      </w:r>
    </w:p>
    <w:p w14:paraId="2714C682" w14:textId="77777777" w:rsidR="002C6BDF" w:rsidRPr="006769C7" w:rsidRDefault="002C6BDF" w:rsidP="006769C7">
      <w:pPr>
        <w:spacing w:line="276" w:lineRule="auto"/>
        <w:ind w:left="567" w:right="618"/>
        <w:jc w:val="both"/>
        <w:rPr>
          <w:rFonts w:ascii="Arial" w:hAnsi="Arial" w:cs="Arial"/>
          <w:i/>
          <w:sz w:val="24"/>
          <w:szCs w:val="24"/>
        </w:rPr>
      </w:pPr>
    </w:p>
    <w:p w14:paraId="63102CA9"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D. El primer bimestre de 1992 se desarrolló normalmente, sin apagón, y por eso las cifras de negocios de las programadoras de televisión son válidas, representativas e indicadoras, por lo anunciado hasta ahora, de lo que hubiese sido el año en condiciones normales.</w:t>
      </w:r>
    </w:p>
    <w:p w14:paraId="7E8E3B83"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E. Desde el punto de vista meramente estadístico, utilizar la serie de ingresos o el crecimiento de ingresos es un error protuberante por lo expresado en el literal C en el sentido de que debido al cambio total del entorno, se estaría trabajando con márgenes realmente inseguros. Es el equivalente a proyectar el futuro de Colombia basados en las cifras históricas de Venezuela. </w:t>
      </w:r>
    </w:p>
    <w:p w14:paraId="318E14EA" w14:textId="77777777" w:rsidR="002C6BDF" w:rsidRPr="006769C7" w:rsidRDefault="002C6BDF" w:rsidP="006769C7">
      <w:pPr>
        <w:spacing w:line="276" w:lineRule="auto"/>
        <w:ind w:left="567" w:right="618"/>
        <w:jc w:val="both"/>
        <w:rPr>
          <w:rFonts w:ascii="Arial" w:hAnsi="Arial" w:cs="Arial"/>
          <w:i/>
          <w:sz w:val="24"/>
          <w:szCs w:val="24"/>
        </w:rPr>
      </w:pPr>
    </w:p>
    <w:p w14:paraId="32C52675"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En estadística, como en todas las ciencias, existen generalmente varios caminos para llegar al resultado. El mejor de los caminos siempre será el que dé una mejor aproximación (el de menor error), con la metodología más sencilla. </w:t>
      </w:r>
    </w:p>
    <w:p w14:paraId="50611AFD"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38553680"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Los datos pertinentes fueron tomados de los libros oficiales de contabilidad, los cuales se llevan adecuadamente.</w:t>
      </w:r>
    </w:p>
    <w:p w14:paraId="38189721"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226AA388"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[P]royectar o extrapolar con “rigor científico” es, por encima de cualquiera otra consideración, buscar la mejor aproximación. Es encontrar y definir la serie de datos históricos o el conjunto de variables representativas, cuyas variaciones estén relativamente normalizadas, o al menos sean de posible explicación, en relación con los fenómenos económicos, políticos o demográficos que las influyen, para aproximarse al máximo al rumbo de los acontecimientos futuros. Y eso fue lo que se hizo.</w:t>
      </w:r>
    </w:p>
    <w:p w14:paraId="70106A60"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40CDDA23"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lastRenderedPageBreak/>
        <w:t xml:space="preserve">Sí se tuvo en cuenta la comparación de los contratos al confrontar los cinco años anteriores a 1992 del mercado publicitario de Producciones Punch S.A. con diversidad de programaciones en cantidad de espacios y características de los mismos. El análisis de esta comparación concluye en la existencia de una tendencia constante de comportamiento por bimestres, que es independiente de las variables consideradas. El primer bimestre del año 1992 se desarrolla normalmente, sin apagón, lo cual da como resultado unas cifras válidas, representativas e indicativas de lo que hubiese sido el año en condiciones normales. </w:t>
      </w:r>
    </w:p>
    <w:p w14:paraId="343654E5"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2363A96A"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Todos los ingresos [de Punch] tienen relación con el contrato No. 2828 para el caso que nos ocupa.</w:t>
      </w:r>
    </w:p>
    <w:p w14:paraId="41670147"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27A8DC5B"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Tal como se solicitó en la demanda, “el monto del perjuicio sufrido” corresponde al análisis de los ingresos que Producciones Punch S.A. dejó de recibir durante el período en discusión, descontados los diferentes beneficios recibidos con ocasión del apagón. </w:t>
      </w:r>
    </w:p>
    <w:p w14:paraId="141A678D"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 </w:t>
      </w:r>
    </w:p>
    <w:p w14:paraId="5403538E"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El promedio aritmético no ha sido desvirtuado como metodología de análisis científico, cuando se dan comportamientos cíclicos, como es el caso de la inversión publicitaria y en los consumos.  </w:t>
      </w:r>
    </w:p>
    <w:p w14:paraId="1EA9456E" w14:textId="77777777" w:rsidR="002C6BDF" w:rsidRPr="006769C7" w:rsidRDefault="002C6BDF" w:rsidP="006769C7">
      <w:pPr>
        <w:spacing w:line="276" w:lineRule="auto"/>
        <w:ind w:left="567" w:right="618"/>
        <w:jc w:val="both"/>
        <w:rPr>
          <w:rFonts w:ascii="Arial" w:hAnsi="Arial" w:cs="Arial"/>
          <w:sz w:val="24"/>
          <w:szCs w:val="24"/>
        </w:rPr>
      </w:pPr>
    </w:p>
    <w:p w14:paraId="5ED95471"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ISA objetó por error grave el dictamen pericial (f. 306-313 c-1), con fundamento en las siguientes razones: </w:t>
      </w:r>
    </w:p>
    <w:p w14:paraId="528957D4" w14:textId="77777777" w:rsidR="002C6BDF" w:rsidRPr="006769C7" w:rsidRDefault="002C6BDF" w:rsidP="006769C7">
      <w:pPr>
        <w:spacing w:line="276" w:lineRule="auto"/>
        <w:ind w:right="-15"/>
        <w:jc w:val="both"/>
        <w:rPr>
          <w:rFonts w:ascii="Arial" w:hAnsi="Arial" w:cs="Arial"/>
          <w:sz w:val="24"/>
          <w:szCs w:val="24"/>
        </w:rPr>
      </w:pPr>
    </w:p>
    <w:p w14:paraId="79FB459D"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-Lo que la parte demandante prendía con la prueba (inspección judicial con apoyo en peritos), era que estos calcularan la utilidad neta del ejercicio, es decir, el resultado de extraer de los ingresos operacionales, los costos, gastos, en los que se incluyen los pagos a Inravisión y el valor de los impuestos. Por lo tanto, el cálculo de los perjuicios hecho por los peritos carece de razonabilidad, veracidad y lógica. </w:t>
      </w:r>
    </w:p>
    <w:p w14:paraId="37AAA3ED" w14:textId="77777777" w:rsidR="002C6BDF" w:rsidRPr="006769C7" w:rsidRDefault="002C6BDF" w:rsidP="006769C7">
      <w:pPr>
        <w:spacing w:line="276" w:lineRule="auto"/>
        <w:ind w:right="-15"/>
        <w:jc w:val="both"/>
        <w:rPr>
          <w:rFonts w:ascii="Arial" w:hAnsi="Arial" w:cs="Arial"/>
          <w:sz w:val="24"/>
          <w:szCs w:val="24"/>
        </w:rPr>
      </w:pPr>
    </w:p>
    <w:p w14:paraId="285F99BC"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Con fundamento en esas afirmaciones, ISA solicitó que se designara un perito contador para que se pronunciara sobre el error señalado; además, que se ordenara la exhibición de las declaraciones de renta de Producciones Punch, correspondientes a los años 1987 y 1991, las cuales resultaban indispensables para que el perito pudiera calcular el porcentaje de la utilidad operacional y de la utilidad neta sobre los ingresos de comercialización de la empresa. Una vez obtenidos estos, se debía calcular la media aritmética, la cual se debía aplicar a los ingresos de comercialización dejados de percibir por la sociedad, de acuerdo con el dictamen, para determinar así el perjuicio, siempre que tales valores se hubieran obtenido sobre bases razonables.    </w:t>
      </w:r>
    </w:p>
    <w:p w14:paraId="76998494" w14:textId="77777777" w:rsidR="002C6BDF" w:rsidRPr="006769C7" w:rsidRDefault="002C6BDF" w:rsidP="006769C7">
      <w:pPr>
        <w:spacing w:line="276" w:lineRule="auto"/>
        <w:ind w:right="-15"/>
        <w:jc w:val="both"/>
        <w:rPr>
          <w:rFonts w:ascii="Arial" w:hAnsi="Arial" w:cs="Arial"/>
          <w:b/>
          <w:sz w:val="24"/>
          <w:szCs w:val="24"/>
        </w:rPr>
      </w:pPr>
    </w:p>
    <w:p w14:paraId="7A80264F"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-Los peritos no tuvieron en cuenta de manera adecuada los efectos del racionamiento, dado que de los espacios que habría de utilizar la programadora, según lo estipulado en el contrato 2828, algunos horarios estuvieron sujetos a racionamiento, pero otra parte importante de los mismos no lo estuvo. Por lo tanto, solicitó designar un perito en estadística, para que determinara, sobre los libros de </w:t>
      </w:r>
      <w:r w:rsidRPr="006769C7">
        <w:rPr>
          <w:rFonts w:ascii="Arial" w:hAnsi="Arial" w:cs="Arial"/>
          <w:sz w:val="24"/>
          <w:szCs w:val="24"/>
        </w:rPr>
        <w:lastRenderedPageBreak/>
        <w:t xml:space="preserve">contabilidad, cuáles de los ingresos de comercialización del primer bimestre de 1992, correspondían a los programas que posteriormente resultaron afectados con el racionamiento, por cuanto no puede imputarse al racionamiento los ingresos que se hubieran dejado de percibir en relación con espacios que no fueron afectados con la medida. Al resultado final deben restarse los beneficios obtenidos por la programadora, conforme a los Acuerdos proferidos por Inravisión. </w:t>
      </w:r>
    </w:p>
    <w:p w14:paraId="214AB158" w14:textId="77777777" w:rsidR="002C6BDF" w:rsidRPr="006769C7" w:rsidRDefault="002C6BDF" w:rsidP="006769C7">
      <w:pPr>
        <w:spacing w:line="276" w:lineRule="auto"/>
        <w:ind w:right="-15"/>
        <w:jc w:val="both"/>
        <w:rPr>
          <w:rFonts w:ascii="Arial" w:hAnsi="Arial" w:cs="Arial"/>
          <w:sz w:val="24"/>
          <w:szCs w:val="24"/>
        </w:rPr>
      </w:pPr>
    </w:p>
    <w:p w14:paraId="49822E32"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-En el dictamen no se tuvieron en cuenta los ingresos por asignación de programas que no estaban concedidos en el contrato. Los peritos tuvieron en cuenta dos programas del sábado en horario AA que no figuran en el contrato de concesión, para establecer los ingresos del primer bimestre de 1992. Por lo tanto, con el fin de establecer los ingresos reales recibidos por la empresa deben descontarse los valores correspondientes a los mismos. </w:t>
      </w:r>
    </w:p>
    <w:p w14:paraId="22331AF8" w14:textId="77777777" w:rsidR="002C6BDF" w:rsidRPr="006769C7" w:rsidRDefault="002C6BDF" w:rsidP="006769C7">
      <w:pPr>
        <w:spacing w:line="276" w:lineRule="auto"/>
        <w:ind w:right="-15"/>
        <w:jc w:val="both"/>
        <w:rPr>
          <w:rFonts w:ascii="Arial" w:hAnsi="Arial" w:cs="Arial"/>
          <w:sz w:val="24"/>
          <w:szCs w:val="24"/>
        </w:rPr>
      </w:pPr>
    </w:p>
    <w:p w14:paraId="1D9E57AA"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-Existe error grave por utilizar la media aritmética como medida de proyección de los ingresos, como se señaló al solicitar la aclaración del dictamen, en especial porque el dictamen se hace sobre una sola variable. Para el análisis de las series cronológicas, la estadística tiene en cuenta la tendencia, con utilización del método de los mínimos cuadrados, del movimiento medio, los ajustes rectilíneos, parabólico, exponencial, entre otros, y las variaciones estacionales, cíclicas y aleatorias. Además, la misma empresa afirmó que al momento de presentarse el racionamiento se estaba iniciando una nueva programación; por lo tanto, resulta errado proyectar los ingresos que tuvo la empresa cuando tenía programación, frecuencia, espacios y horarios diferentes. Si se tienen en cuenta los ingresos de comercialización del mes de enero de los años 1987 a 1992, el incremento porcentual sucesivo fue de 8.5%, 48.48%, 24.08%, 1.0% y 98.6%. Por lo tanto, no es cierto que exista una tendencia constante de comportamiento. </w:t>
      </w:r>
    </w:p>
    <w:p w14:paraId="5E95D7BE"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Mediante auto de 21 de agosto de 1997, el </w:t>
      </w:r>
      <w:r w:rsidRPr="006769C7">
        <w:rPr>
          <w:rFonts w:ascii="Arial" w:hAnsi="Arial" w:cs="Arial"/>
          <w:i/>
          <w:sz w:val="24"/>
          <w:szCs w:val="24"/>
        </w:rPr>
        <w:t>a quo</w:t>
      </w:r>
      <w:r w:rsidRPr="006769C7">
        <w:rPr>
          <w:rFonts w:ascii="Arial" w:hAnsi="Arial" w:cs="Arial"/>
          <w:sz w:val="24"/>
          <w:szCs w:val="24"/>
        </w:rPr>
        <w:t xml:space="preserve"> decretó la prueba solicitada por ISA, en el escrito de objeción del dictamen pericial y, para tal efecto, designó dos peritos, administradores de empresas (f. 315)</w:t>
      </w:r>
      <w:r w:rsidRPr="006769C7">
        <w:rPr>
          <w:rStyle w:val="Refdenotaalpie"/>
          <w:rFonts w:ascii="Arial" w:hAnsi="Arial" w:cs="Arial"/>
          <w:sz w:val="24"/>
          <w:szCs w:val="24"/>
        </w:rPr>
        <w:footnoteReference w:id="14"/>
      </w:r>
      <w:r w:rsidRPr="006769C7">
        <w:rPr>
          <w:rFonts w:ascii="Arial" w:hAnsi="Arial" w:cs="Arial"/>
          <w:sz w:val="24"/>
          <w:szCs w:val="24"/>
        </w:rPr>
        <w:t xml:space="preserve">. </w:t>
      </w:r>
    </w:p>
    <w:p w14:paraId="35827CB3" w14:textId="77777777" w:rsidR="002C6BDF" w:rsidRPr="006769C7" w:rsidRDefault="002C6BDF" w:rsidP="006769C7">
      <w:pPr>
        <w:spacing w:line="276" w:lineRule="auto"/>
        <w:ind w:right="-15"/>
        <w:jc w:val="both"/>
        <w:rPr>
          <w:rFonts w:ascii="Arial" w:hAnsi="Arial" w:cs="Arial"/>
          <w:sz w:val="24"/>
          <w:szCs w:val="24"/>
        </w:rPr>
      </w:pPr>
    </w:p>
    <w:p w14:paraId="69F6AF59"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Los peritos designados por el </w:t>
      </w:r>
      <w:r w:rsidRPr="006769C7">
        <w:rPr>
          <w:rFonts w:ascii="Arial" w:hAnsi="Arial" w:cs="Arial"/>
          <w:i/>
          <w:sz w:val="24"/>
          <w:szCs w:val="24"/>
        </w:rPr>
        <w:t>a quo</w:t>
      </w:r>
      <w:r w:rsidRPr="006769C7">
        <w:rPr>
          <w:rFonts w:ascii="Arial" w:hAnsi="Arial" w:cs="Arial"/>
          <w:sz w:val="24"/>
          <w:szCs w:val="24"/>
        </w:rPr>
        <w:t xml:space="preserve"> rindieron su dictamen el 7 de mayo de 1998 (f.1-46 c-5). Y en respuesta a los interrogantes formulados por ISA, manifestaron que: </w:t>
      </w:r>
    </w:p>
    <w:p w14:paraId="37B1DEBF" w14:textId="77777777" w:rsidR="002C6BDF" w:rsidRPr="006769C7" w:rsidRDefault="002C6BDF" w:rsidP="006769C7">
      <w:pPr>
        <w:spacing w:line="276" w:lineRule="auto"/>
        <w:ind w:right="-15"/>
        <w:jc w:val="both"/>
        <w:rPr>
          <w:rFonts w:ascii="Arial" w:hAnsi="Arial" w:cs="Arial"/>
          <w:sz w:val="24"/>
          <w:szCs w:val="24"/>
        </w:rPr>
      </w:pPr>
    </w:p>
    <w:p w14:paraId="3DBB1111"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(i) El ingreso de comercialización no es asimilable al perjuicio. En el dictamen objetado no se asimilaron las utilidades a los ingresos de comercialización. Lo que se hizo fue deducir de los ingresos de comercialización proyectados sin racionamiento, los ingresos realmente recibidos. A esa cifra se le descontaron los beneficios recibidos por Punch, concedidos por INRAVISIÓN, y se concluyó que de no haber existido el racionamiento, la empresa hubiera obtenido un ingreso adicional </w:t>
      </w:r>
      <w:r w:rsidRPr="006769C7">
        <w:rPr>
          <w:rFonts w:ascii="Arial" w:hAnsi="Arial" w:cs="Arial"/>
          <w:sz w:val="24"/>
          <w:szCs w:val="24"/>
        </w:rPr>
        <w:lastRenderedPageBreak/>
        <w:t>de $897.677.885. Señalaron que para una mejor comprensión de lo que representaban los ingresos, debía tenerse presente la definición contenida en el artículo 38 del Decreto 2469 de 1993:</w:t>
      </w:r>
    </w:p>
    <w:p w14:paraId="4C8A7E2F" w14:textId="77777777" w:rsidR="002C6BDF" w:rsidRPr="006769C7" w:rsidRDefault="002C6BDF" w:rsidP="006769C7">
      <w:pPr>
        <w:spacing w:line="276" w:lineRule="auto"/>
        <w:ind w:right="-15"/>
        <w:jc w:val="both"/>
        <w:rPr>
          <w:rFonts w:ascii="Arial" w:hAnsi="Arial" w:cs="Arial"/>
          <w:sz w:val="24"/>
          <w:szCs w:val="24"/>
        </w:rPr>
      </w:pPr>
    </w:p>
    <w:p w14:paraId="7817B613"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“Los ingresos representan flujos de entrada de recursos, en forma de incrementos de activo o disminuciones del pasivo o una combinación de ambos que generan incrementos en el patrimonio, devengados por la venta de bienes, </w:t>
      </w:r>
      <w:r w:rsidRPr="006769C7">
        <w:rPr>
          <w:rFonts w:ascii="Arial" w:hAnsi="Arial" w:cs="Arial"/>
          <w:i/>
          <w:sz w:val="24"/>
          <w:szCs w:val="24"/>
          <w:u w:val="single"/>
        </w:rPr>
        <w:t>por la prestación de servicios o por la ejecución de otras actividades,</w:t>
      </w:r>
      <w:r w:rsidRPr="006769C7">
        <w:rPr>
          <w:rFonts w:ascii="Arial" w:hAnsi="Arial" w:cs="Arial"/>
          <w:i/>
          <w:sz w:val="24"/>
          <w:szCs w:val="24"/>
        </w:rPr>
        <w:t xml:space="preserve"> realizadas durante un período, que no provienen de los aportes de capital” (los subrayados no son del texto).</w:t>
      </w:r>
    </w:p>
    <w:p w14:paraId="40B0F169" w14:textId="77777777" w:rsidR="002C6BDF" w:rsidRPr="006769C7" w:rsidRDefault="002C6BDF" w:rsidP="006769C7">
      <w:pPr>
        <w:spacing w:line="276" w:lineRule="auto"/>
        <w:ind w:left="567" w:right="618"/>
        <w:jc w:val="both"/>
        <w:rPr>
          <w:rFonts w:ascii="Arial" w:hAnsi="Arial" w:cs="Arial"/>
          <w:i/>
          <w:sz w:val="24"/>
          <w:szCs w:val="24"/>
        </w:rPr>
      </w:pPr>
    </w:p>
    <w:p w14:paraId="5F2A2262"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En este orden de ideas, la definición técnica de ingreso incluye lo siguiente:</w:t>
      </w:r>
    </w:p>
    <w:p w14:paraId="6E75F040" w14:textId="77777777" w:rsidR="002C6BDF" w:rsidRPr="006769C7" w:rsidRDefault="002C6BDF" w:rsidP="006769C7">
      <w:pPr>
        <w:spacing w:line="276" w:lineRule="auto"/>
        <w:ind w:left="567" w:right="618"/>
        <w:jc w:val="both"/>
        <w:rPr>
          <w:rFonts w:ascii="Arial" w:hAnsi="Arial" w:cs="Arial"/>
          <w:i/>
          <w:sz w:val="24"/>
          <w:szCs w:val="24"/>
        </w:rPr>
      </w:pPr>
    </w:p>
    <w:p w14:paraId="3D8EC19C"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a) Las denominadas ganancias realizadas, es decir, aquellas que afectan el estado de resultados, razón por la cual no son susceptibles de ser distribuidas y repartidas. </w:t>
      </w:r>
    </w:p>
    <w:p w14:paraId="28A648FA" w14:textId="77777777" w:rsidR="002C6BDF" w:rsidRPr="006769C7" w:rsidRDefault="002C6BDF" w:rsidP="006769C7">
      <w:pPr>
        <w:spacing w:line="276" w:lineRule="auto"/>
        <w:ind w:left="567" w:right="618"/>
        <w:jc w:val="both"/>
        <w:rPr>
          <w:rFonts w:ascii="Arial" w:hAnsi="Arial" w:cs="Arial"/>
          <w:i/>
          <w:sz w:val="24"/>
          <w:szCs w:val="24"/>
        </w:rPr>
      </w:pPr>
    </w:p>
    <w:p w14:paraId="0E4A675B"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b) Las ganancias no realizadas, esto es, aquellas que, aunque incrementan el patrimonio, no afectan el estado de resultados, tales como las valorizaciones, razón por la cual no son susceptibles de ser distribuidas y repartidas. Así, debe ser técnico y aceptado decir que las valorizaciones son un ingreso para el ente que los reconoce. </w:t>
      </w:r>
    </w:p>
    <w:p w14:paraId="576BBAF1" w14:textId="77777777" w:rsidR="002C6BDF" w:rsidRPr="006769C7" w:rsidRDefault="002C6BDF" w:rsidP="006769C7">
      <w:pPr>
        <w:spacing w:line="276" w:lineRule="auto"/>
        <w:ind w:left="567" w:right="618"/>
        <w:jc w:val="both"/>
        <w:rPr>
          <w:rFonts w:ascii="Arial" w:hAnsi="Arial" w:cs="Arial"/>
          <w:i/>
          <w:sz w:val="24"/>
          <w:szCs w:val="24"/>
        </w:rPr>
      </w:pPr>
    </w:p>
    <w:p w14:paraId="5AEF81D2"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Como se ve, la definición de ingresos, consagrada en el decreto de normas contables, no solo se refiere a aquellos que producen modificación en los rubros de ingresos del estado de resultados, con consecuente incremento en las utilidades y, por ende, en el monto de los denominados activos netos (patrimonio). </w:t>
      </w:r>
    </w:p>
    <w:p w14:paraId="31544010" w14:textId="77777777" w:rsidR="002C6BDF" w:rsidRPr="006769C7" w:rsidRDefault="002C6BDF" w:rsidP="006769C7">
      <w:pPr>
        <w:spacing w:line="276" w:lineRule="auto"/>
        <w:ind w:left="567" w:right="618"/>
        <w:jc w:val="both"/>
        <w:rPr>
          <w:rFonts w:ascii="Arial" w:hAnsi="Arial" w:cs="Arial"/>
          <w:i/>
          <w:sz w:val="24"/>
          <w:szCs w:val="24"/>
        </w:rPr>
      </w:pPr>
    </w:p>
    <w:p w14:paraId="082A7970" w14:textId="77777777" w:rsidR="002C6BDF" w:rsidRPr="006769C7" w:rsidRDefault="002C6BDF" w:rsidP="006769C7">
      <w:pPr>
        <w:spacing w:line="276" w:lineRule="auto"/>
        <w:ind w:left="567" w:right="618"/>
        <w:jc w:val="both"/>
        <w:rPr>
          <w:rFonts w:ascii="Arial" w:hAnsi="Arial" w:cs="Arial"/>
          <w:sz w:val="24"/>
          <w:szCs w:val="24"/>
        </w:rPr>
      </w:pPr>
      <w:r w:rsidRPr="006769C7">
        <w:rPr>
          <w:rFonts w:ascii="Arial" w:hAnsi="Arial" w:cs="Arial"/>
          <w:sz w:val="24"/>
          <w:szCs w:val="24"/>
        </w:rPr>
        <w:t xml:space="preserve"> </w:t>
      </w:r>
    </w:p>
    <w:p w14:paraId="60816612"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(ii) Aseguraron que habían acudido a la sociedad demandante donde les entregaron copia de las declaraciones de renta solicitadas en el escrito de objeción, pero aclararon que en las mismas no se discriminaban los ingresos de comercialización, en razón a que estas se hacían sobre formularios preimpresos y en los mismos no se exigía dicha información:</w:t>
      </w:r>
    </w:p>
    <w:p w14:paraId="5F35BD11" w14:textId="77777777" w:rsidR="002C6BDF" w:rsidRPr="006769C7" w:rsidRDefault="002C6BDF" w:rsidP="006769C7">
      <w:pPr>
        <w:spacing w:line="276" w:lineRule="auto"/>
        <w:ind w:right="-15"/>
        <w:jc w:val="both"/>
        <w:rPr>
          <w:rFonts w:ascii="Arial" w:hAnsi="Arial" w:cs="Arial"/>
          <w:sz w:val="24"/>
          <w:szCs w:val="24"/>
        </w:rPr>
      </w:pPr>
    </w:p>
    <w:p w14:paraId="2BA33109"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Al elaborar la declaración de renta se debe incluir un estado de resultados preparados sobre bases diferentes a las normas de contabilidad aceptadas en Colombia. Esta información, lógicamente, se prepara con base en las normas tributarias. </w:t>
      </w:r>
    </w:p>
    <w:p w14:paraId="2E9CE36A" w14:textId="77777777" w:rsidR="002C6BDF" w:rsidRPr="006769C7" w:rsidRDefault="002C6BDF" w:rsidP="006769C7">
      <w:pPr>
        <w:spacing w:line="276" w:lineRule="auto"/>
        <w:ind w:left="567" w:right="618"/>
        <w:jc w:val="both"/>
        <w:rPr>
          <w:rFonts w:ascii="Arial" w:hAnsi="Arial" w:cs="Arial"/>
          <w:i/>
          <w:sz w:val="24"/>
          <w:szCs w:val="24"/>
        </w:rPr>
      </w:pPr>
    </w:p>
    <w:p w14:paraId="53CD1560" w14:textId="77777777" w:rsidR="002C6BDF" w:rsidRPr="006769C7" w:rsidRDefault="002C6BDF" w:rsidP="006769C7">
      <w:pPr>
        <w:spacing w:line="276" w:lineRule="auto"/>
        <w:ind w:left="567" w:right="618"/>
        <w:jc w:val="both"/>
        <w:rPr>
          <w:rFonts w:ascii="Arial" w:hAnsi="Arial" w:cs="Arial"/>
          <w:sz w:val="24"/>
          <w:szCs w:val="24"/>
        </w:rPr>
      </w:pPr>
      <w:r w:rsidRPr="006769C7">
        <w:rPr>
          <w:rFonts w:ascii="Arial" w:hAnsi="Arial" w:cs="Arial"/>
          <w:i/>
          <w:sz w:val="24"/>
          <w:szCs w:val="24"/>
        </w:rPr>
        <w:t xml:space="preserve">Esta base fiscal indica los valores que deben incluirse en la declaración de renta, y en muchos casos no corresponden a cifras contenidas en los libros de contabilidad. Es así como se señala que algunos ingresos no son constitutivos de renta, son exentos o son simplemente ingresos tributarios, más no contables. Los costos y deducciones, por su parte, </w:t>
      </w:r>
      <w:r w:rsidRPr="006769C7">
        <w:rPr>
          <w:rFonts w:ascii="Arial" w:hAnsi="Arial" w:cs="Arial"/>
          <w:i/>
          <w:sz w:val="24"/>
          <w:szCs w:val="24"/>
        </w:rPr>
        <w:lastRenderedPageBreak/>
        <w:t xml:space="preserve">pueden ser no deducibles en todo o en parte y otros son deducibles desde el punto de vista fiscal, más no son costos ni gastos contables.   </w:t>
      </w:r>
    </w:p>
    <w:p w14:paraId="7DB9E2BB"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 xml:space="preserve"> </w:t>
      </w:r>
    </w:p>
    <w:p w14:paraId="5F3C1E7C" w14:textId="77777777" w:rsidR="002C6BDF" w:rsidRPr="006769C7" w:rsidRDefault="002C6BDF" w:rsidP="006769C7">
      <w:pPr>
        <w:spacing w:line="276" w:lineRule="auto"/>
        <w:ind w:right="-15"/>
        <w:jc w:val="both"/>
        <w:rPr>
          <w:rFonts w:ascii="Arial" w:hAnsi="Arial" w:cs="Arial"/>
          <w:sz w:val="24"/>
          <w:szCs w:val="24"/>
        </w:rPr>
      </w:pPr>
      <w:r w:rsidRPr="006769C7">
        <w:rPr>
          <w:rFonts w:ascii="Arial" w:hAnsi="Arial" w:cs="Arial"/>
          <w:sz w:val="24"/>
          <w:szCs w:val="24"/>
        </w:rPr>
        <w:t>(iii) En relación con la medida aritmética utilizada en el dictamen objetado, señalaron:</w:t>
      </w:r>
    </w:p>
    <w:p w14:paraId="206A734F" w14:textId="77777777" w:rsidR="002C6BDF" w:rsidRPr="006769C7" w:rsidRDefault="002C6BDF" w:rsidP="006769C7">
      <w:pPr>
        <w:spacing w:line="276" w:lineRule="auto"/>
        <w:ind w:right="-15"/>
        <w:jc w:val="both"/>
        <w:rPr>
          <w:rFonts w:ascii="Arial" w:hAnsi="Arial" w:cs="Arial"/>
          <w:sz w:val="24"/>
          <w:szCs w:val="24"/>
        </w:rPr>
      </w:pPr>
    </w:p>
    <w:p w14:paraId="2ED665A2"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La media aritmética es una medida de tendencia central o de posición que se toma como orientación para referirnos a un conjunto de datos y que representa el centro físico de esos datos. Sin embargo, la media es una medida sensible a los valores extremos y sería antitécnico presentarla como un simple dato, es necesario contar con otra medida que ayude a evaluar que tan confiable es la media; la media más usada para determinar lo anterior es la desviación estándar. La desviación estándar es una medida de variabilidad que nos indica el grado de dispersión de un conjunto de datos; si ese valor es pequeño (respecto a la unidad de medida), entonces, hay una gran uniformidad entre los datos (cuando es cero, nos indica que los datos son iguales), por el contrario, un valor alejado nos indica que hay poca uniformidad entre los datos y que la medida usada no es confiable. </w:t>
      </w:r>
    </w:p>
    <w:p w14:paraId="7205B9B6"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60B26E5B"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De lo anterior, podemos concluir que la utilización de la media aritmética es completamente válida para analizar una serie de datos, solo que requiere de la cuantificación de su acierto, esto es, calcular su desviación estándar a fin de ver qué tan afectada está por valores extremos que harían que el valor obtenido no fuera representativo. </w:t>
      </w:r>
    </w:p>
    <w:p w14:paraId="384080FC" w14:textId="77777777" w:rsidR="002C6BDF" w:rsidRPr="006769C7" w:rsidRDefault="002C6BDF" w:rsidP="006769C7">
      <w:pPr>
        <w:spacing w:line="276" w:lineRule="auto"/>
        <w:ind w:left="567" w:right="618"/>
        <w:jc w:val="both"/>
        <w:rPr>
          <w:rFonts w:ascii="Arial" w:hAnsi="Arial" w:cs="Arial"/>
          <w:i/>
          <w:sz w:val="24"/>
          <w:szCs w:val="24"/>
        </w:rPr>
      </w:pPr>
    </w:p>
    <w:p w14:paraId="1DA11AEA"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Para el efecto, se vuelven a calcular los porcentajes bimestrales de ingresos del año 1987 al año 1991 (…), se calcula la media aritmética para cada uno de los bimestres y luego se calcula su desviación estándar a fin de establecer si hay uniformidad en los datos. </w:t>
      </w:r>
    </w:p>
    <w:p w14:paraId="489254E7" w14:textId="77777777" w:rsidR="002C6BDF" w:rsidRPr="006769C7" w:rsidRDefault="002C6BDF" w:rsidP="006769C7">
      <w:pPr>
        <w:spacing w:line="276" w:lineRule="auto"/>
        <w:ind w:left="567" w:right="618"/>
        <w:jc w:val="both"/>
        <w:rPr>
          <w:rFonts w:ascii="Arial" w:hAnsi="Arial" w:cs="Arial"/>
          <w:i/>
          <w:sz w:val="24"/>
          <w:szCs w:val="24"/>
        </w:rPr>
      </w:pPr>
    </w:p>
    <w:p w14:paraId="30D01037"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Porcentajes de ingresos bimestrales:</w:t>
      </w:r>
    </w:p>
    <w:p w14:paraId="390ACFD8" w14:textId="77777777" w:rsidR="002C6BDF" w:rsidRPr="006769C7" w:rsidRDefault="002C6BDF" w:rsidP="006769C7">
      <w:pPr>
        <w:spacing w:line="276" w:lineRule="auto"/>
        <w:ind w:left="567" w:right="618"/>
        <w:jc w:val="both"/>
        <w:rPr>
          <w:rFonts w:ascii="Arial" w:hAnsi="Arial" w:cs="Arial"/>
          <w:i/>
          <w:sz w:val="24"/>
          <w:szCs w:val="24"/>
        </w:rPr>
      </w:pPr>
    </w:p>
    <w:p w14:paraId="6ED45E58"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Bimestre enero-febrero</w:t>
      </w:r>
      <w:r w:rsidRPr="006769C7">
        <w:rPr>
          <w:rFonts w:ascii="Arial" w:hAnsi="Arial" w:cs="Arial"/>
          <w:i/>
          <w:sz w:val="24"/>
          <w:szCs w:val="24"/>
        </w:rPr>
        <w:tab/>
      </w:r>
      <w:r w:rsidRPr="006769C7">
        <w:rPr>
          <w:rFonts w:ascii="Arial" w:hAnsi="Arial" w:cs="Arial"/>
          <w:i/>
          <w:sz w:val="24"/>
          <w:szCs w:val="24"/>
        </w:rPr>
        <w:tab/>
        <w:t>9.14%</w:t>
      </w:r>
    </w:p>
    <w:p w14:paraId="64343DBE"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Bimestre marzo-abril</w:t>
      </w:r>
      <w:r w:rsidRPr="006769C7">
        <w:rPr>
          <w:rFonts w:ascii="Arial" w:hAnsi="Arial" w:cs="Arial"/>
          <w:i/>
          <w:sz w:val="24"/>
          <w:szCs w:val="24"/>
        </w:rPr>
        <w:tab/>
      </w:r>
      <w:r w:rsidRPr="006769C7">
        <w:rPr>
          <w:rFonts w:ascii="Arial" w:hAnsi="Arial" w:cs="Arial"/>
          <w:i/>
          <w:sz w:val="24"/>
          <w:szCs w:val="24"/>
        </w:rPr>
        <w:tab/>
        <w:t xml:space="preserve">         14.55%</w:t>
      </w:r>
    </w:p>
    <w:p w14:paraId="433191E4"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Bimestre mayo-junio</w:t>
      </w:r>
      <w:r w:rsidRPr="006769C7">
        <w:rPr>
          <w:rFonts w:ascii="Arial" w:hAnsi="Arial" w:cs="Arial"/>
          <w:i/>
          <w:sz w:val="24"/>
          <w:szCs w:val="24"/>
        </w:rPr>
        <w:tab/>
      </w:r>
      <w:r w:rsidRPr="006769C7">
        <w:rPr>
          <w:rFonts w:ascii="Arial" w:hAnsi="Arial" w:cs="Arial"/>
          <w:i/>
          <w:sz w:val="24"/>
          <w:szCs w:val="24"/>
        </w:rPr>
        <w:tab/>
        <w:t xml:space="preserve">         16.68%</w:t>
      </w:r>
    </w:p>
    <w:p w14:paraId="5FB6B8EF"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Bimestre julio-agosto</w:t>
      </w:r>
      <w:r w:rsidRPr="006769C7">
        <w:rPr>
          <w:rFonts w:ascii="Arial" w:hAnsi="Arial" w:cs="Arial"/>
          <w:i/>
          <w:sz w:val="24"/>
          <w:szCs w:val="24"/>
        </w:rPr>
        <w:tab/>
      </w:r>
      <w:r w:rsidRPr="006769C7">
        <w:rPr>
          <w:rFonts w:ascii="Arial" w:hAnsi="Arial" w:cs="Arial"/>
          <w:i/>
          <w:sz w:val="24"/>
          <w:szCs w:val="24"/>
        </w:rPr>
        <w:tab/>
        <w:t xml:space="preserve">         16.53%</w:t>
      </w:r>
    </w:p>
    <w:p w14:paraId="7FE1923F"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Bimestre septiembre-octubre       21.19%</w:t>
      </w:r>
    </w:p>
    <w:p w14:paraId="0BB46A89"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Bimestre noviembre-diciembre    21.90%</w:t>
      </w:r>
    </w:p>
    <w:p w14:paraId="2367AFC3" w14:textId="77777777" w:rsidR="002C6BDF" w:rsidRPr="006769C7" w:rsidRDefault="002C6BDF" w:rsidP="006769C7">
      <w:pPr>
        <w:spacing w:line="276" w:lineRule="auto"/>
        <w:ind w:left="567" w:right="618"/>
        <w:jc w:val="both"/>
        <w:rPr>
          <w:rFonts w:ascii="Arial" w:hAnsi="Arial" w:cs="Arial"/>
          <w:i/>
          <w:sz w:val="24"/>
          <w:szCs w:val="24"/>
        </w:rPr>
      </w:pPr>
    </w:p>
    <w:p w14:paraId="5BCE82D6"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Se procede a calcular la desviación estándar (…), a los datos con que se obtuvieron los promedios bimestrales y se encuentran los siguientes valores:</w:t>
      </w:r>
    </w:p>
    <w:p w14:paraId="1C7E3206" w14:textId="77777777" w:rsidR="002C6BDF" w:rsidRPr="006769C7" w:rsidRDefault="002C6BDF" w:rsidP="006769C7">
      <w:pPr>
        <w:spacing w:line="276" w:lineRule="auto"/>
        <w:ind w:left="567" w:right="618"/>
        <w:jc w:val="both"/>
        <w:rPr>
          <w:rFonts w:ascii="Arial" w:hAnsi="Arial" w:cs="Arial"/>
          <w:i/>
          <w:sz w:val="24"/>
          <w:szCs w:val="24"/>
        </w:rPr>
      </w:pPr>
    </w:p>
    <w:p w14:paraId="3051C155"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Enero y febrero</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0.45%</w:t>
      </w:r>
    </w:p>
    <w:p w14:paraId="4B72B9B6"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Marzo y abril</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1.19%</w:t>
      </w:r>
    </w:p>
    <w:p w14:paraId="0B4B612C"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Mayo y junio</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1.01%</w:t>
      </w:r>
    </w:p>
    <w:p w14:paraId="65DB9798"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Julio y agosto</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1.28%</w:t>
      </w:r>
    </w:p>
    <w:p w14:paraId="34538E6B"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lastRenderedPageBreak/>
        <w:t>Septiembre y octubre</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0.89%</w:t>
      </w:r>
      <w:r w:rsidRPr="006769C7">
        <w:rPr>
          <w:rFonts w:ascii="Arial" w:hAnsi="Arial" w:cs="Arial"/>
          <w:i/>
          <w:sz w:val="24"/>
          <w:szCs w:val="24"/>
        </w:rPr>
        <w:tab/>
      </w:r>
    </w:p>
    <w:p w14:paraId="048B5D71"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Noviembre y diciembre</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1.05%</w:t>
      </w:r>
    </w:p>
    <w:p w14:paraId="718C5EDC" w14:textId="77777777" w:rsidR="002C6BDF" w:rsidRPr="006769C7" w:rsidRDefault="002C6BDF" w:rsidP="006769C7">
      <w:pPr>
        <w:spacing w:line="276" w:lineRule="auto"/>
        <w:ind w:left="567" w:right="618"/>
        <w:jc w:val="both"/>
        <w:rPr>
          <w:rFonts w:ascii="Arial" w:hAnsi="Arial" w:cs="Arial"/>
          <w:i/>
          <w:sz w:val="24"/>
          <w:szCs w:val="24"/>
        </w:rPr>
      </w:pPr>
    </w:p>
    <w:p w14:paraId="31202192"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Los valores obtenidos son muy cercanos a cero lo cual nos permite inferir que la utilización de la media aritmética es correcta, ya que su confiabilidad es alta. </w:t>
      </w:r>
    </w:p>
    <w:p w14:paraId="38B4BD6C" w14:textId="77777777" w:rsidR="002C6BDF" w:rsidRPr="006769C7" w:rsidRDefault="002C6BDF" w:rsidP="006769C7">
      <w:pPr>
        <w:spacing w:line="276" w:lineRule="auto"/>
        <w:ind w:left="567" w:right="618"/>
        <w:jc w:val="both"/>
        <w:rPr>
          <w:rFonts w:ascii="Arial" w:hAnsi="Arial" w:cs="Arial"/>
          <w:i/>
          <w:sz w:val="24"/>
          <w:szCs w:val="24"/>
        </w:rPr>
      </w:pPr>
    </w:p>
    <w:p w14:paraId="08D3BAD8"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Con respecto al punto b [análisis de media aritmética presentada por ISA en la objeción al dictamen], la forma más clara de comprobar si los análisis hechos son válidos, es decir, si la media utilizada en estos dos análisis está correctamente aplicada, es hallar la desviación estándar.</w:t>
      </w:r>
    </w:p>
    <w:p w14:paraId="3DB3A572" w14:textId="77777777" w:rsidR="002C6BDF" w:rsidRPr="006769C7" w:rsidRDefault="002C6BDF" w:rsidP="006769C7">
      <w:pPr>
        <w:spacing w:line="276" w:lineRule="auto"/>
        <w:ind w:left="567" w:right="618"/>
        <w:jc w:val="both"/>
        <w:rPr>
          <w:rFonts w:ascii="Arial" w:hAnsi="Arial" w:cs="Arial"/>
          <w:i/>
          <w:sz w:val="24"/>
          <w:szCs w:val="24"/>
        </w:rPr>
      </w:pPr>
    </w:p>
    <w:p w14:paraId="2FDECA00"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Una vez realizados los cálculos (…) se encontró que para el primer análisis, la desviación estándar nos arroja un valor de 10.53%, que supera ampliamente el obtenido en los cálculos bimestrales; para el segundo análisis, se encontró un valor de desviación estándar de 17.94%, más alejado aún de cero. </w:t>
      </w:r>
    </w:p>
    <w:p w14:paraId="10F835B3" w14:textId="77777777" w:rsidR="002C6BDF" w:rsidRPr="006769C7" w:rsidRDefault="002C6BDF" w:rsidP="006769C7">
      <w:pPr>
        <w:spacing w:line="276" w:lineRule="auto"/>
        <w:ind w:left="567" w:right="618"/>
        <w:jc w:val="both"/>
        <w:rPr>
          <w:rFonts w:ascii="Arial" w:hAnsi="Arial" w:cs="Arial"/>
          <w:i/>
          <w:sz w:val="24"/>
          <w:szCs w:val="24"/>
        </w:rPr>
      </w:pPr>
    </w:p>
    <w:p w14:paraId="1D30C362"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Es claro que al realizar una comparación entre la utilización de diferentes datos para calcular la media, se encuentra que hay mayor dispersión en los dos últimos análisis, esto es, porque se toman valores extremos y alejados entre sí, lo que hace que la media no sea confiable. </w:t>
      </w:r>
    </w:p>
    <w:p w14:paraId="72C458A5" w14:textId="77777777" w:rsidR="002C6BDF" w:rsidRPr="006769C7" w:rsidRDefault="002C6BDF" w:rsidP="006769C7">
      <w:pPr>
        <w:spacing w:line="276" w:lineRule="auto"/>
        <w:ind w:left="567" w:right="618"/>
        <w:jc w:val="both"/>
        <w:rPr>
          <w:rFonts w:ascii="Arial" w:hAnsi="Arial" w:cs="Arial"/>
          <w:i/>
          <w:sz w:val="24"/>
          <w:szCs w:val="24"/>
        </w:rPr>
      </w:pPr>
    </w:p>
    <w:p w14:paraId="7189AE2B"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Se concluye que los análisis presentados por el mandatario judicial de Interconexión Eléctrica ISA no tiene la misma validez que el presentado por los peritos, ya que conllevan mayor grado de incertidumbre, situación comprobada mediante el uso de la desviación estándar.   </w:t>
      </w:r>
    </w:p>
    <w:p w14:paraId="49EBAE1E" w14:textId="77777777" w:rsidR="002C6BDF" w:rsidRPr="006769C7" w:rsidRDefault="002C6BDF" w:rsidP="006769C7">
      <w:pPr>
        <w:spacing w:line="276" w:lineRule="auto"/>
        <w:ind w:right="533"/>
        <w:jc w:val="both"/>
        <w:rPr>
          <w:rFonts w:ascii="Arial" w:hAnsi="Arial" w:cs="Arial"/>
          <w:i/>
          <w:sz w:val="24"/>
          <w:szCs w:val="24"/>
        </w:rPr>
      </w:pPr>
    </w:p>
    <w:p w14:paraId="71839088" w14:textId="77777777" w:rsidR="002C6BDF" w:rsidRPr="006769C7" w:rsidRDefault="002C6BDF" w:rsidP="006769C7">
      <w:pPr>
        <w:spacing w:line="276" w:lineRule="auto"/>
        <w:ind w:right="533"/>
        <w:jc w:val="both"/>
        <w:rPr>
          <w:rFonts w:ascii="Arial" w:hAnsi="Arial" w:cs="Arial"/>
          <w:i/>
          <w:sz w:val="24"/>
          <w:szCs w:val="24"/>
        </w:rPr>
      </w:pPr>
    </w:p>
    <w:p w14:paraId="5F4CB73A" w14:textId="77777777" w:rsidR="002C6BDF" w:rsidRPr="006769C7" w:rsidRDefault="002C6BDF" w:rsidP="006769C7">
      <w:pPr>
        <w:spacing w:line="276" w:lineRule="auto"/>
        <w:ind w:right="-7"/>
        <w:jc w:val="both"/>
        <w:rPr>
          <w:rFonts w:ascii="Arial" w:hAnsi="Arial" w:cs="Arial"/>
          <w:sz w:val="24"/>
          <w:szCs w:val="24"/>
        </w:rPr>
      </w:pPr>
      <w:r w:rsidRPr="006769C7">
        <w:rPr>
          <w:rFonts w:ascii="Arial" w:hAnsi="Arial" w:cs="Arial"/>
          <w:sz w:val="24"/>
          <w:szCs w:val="24"/>
        </w:rPr>
        <w:t xml:space="preserve">En el dictamen pericial rendido en el proceso, el 27 de marzo de 2000 (f. 16-36 c-9), los peritos dieron respuesta a las preguntas formuladas, así: </w:t>
      </w:r>
    </w:p>
    <w:p w14:paraId="1D1E15CC" w14:textId="77777777" w:rsidR="002C6BDF" w:rsidRPr="006769C7" w:rsidRDefault="002C6BDF" w:rsidP="006769C7">
      <w:pPr>
        <w:spacing w:line="276" w:lineRule="auto"/>
        <w:ind w:right="533"/>
        <w:jc w:val="both"/>
        <w:rPr>
          <w:rFonts w:ascii="Arial" w:hAnsi="Arial" w:cs="Arial"/>
          <w:b/>
          <w:i/>
          <w:sz w:val="24"/>
          <w:szCs w:val="24"/>
        </w:rPr>
      </w:pPr>
    </w:p>
    <w:p w14:paraId="2636F1E7" w14:textId="77777777" w:rsidR="002C6BDF" w:rsidRPr="006769C7" w:rsidRDefault="002C6BDF" w:rsidP="006769C7">
      <w:pPr>
        <w:spacing w:line="276" w:lineRule="auto"/>
        <w:ind w:left="540" w:right="533"/>
        <w:jc w:val="both"/>
        <w:rPr>
          <w:rFonts w:ascii="Arial" w:hAnsi="Arial" w:cs="Arial"/>
          <w:b/>
          <w:i/>
          <w:sz w:val="24"/>
          <w:szCs w:val="24"/>
        </w:rPr>
      </w:pPr>
      <w:r w:rsidRPr="006769C7">
        <w:rPr>
          <w:rFonts w:ascii="Arial" w:hAnsi="Arial" w:cs="Arial"/>
          <w:b/>
          <w:i/>
          <w:sz w:val="24"/>
          <w:szCs w:val="24"/>
        </w:rPr>
        <w:t>Desarrollo del experticio:</w:t>
      </w:r>
    </w:p>
    <w:p w14:paraId="24EAE6A3" w14:textId="77777777" w:rsidR="002C6BDF" w:rsidRPr="006769C7" w:rsidRDefault="002C6BDF" w:rsidP="006769C7">
      <w:pPr>
        <w:spacing w:line="276" w:lineRule="auto"/>
        <w:ind w:left="540" w:right="533"/>
        <w:jc w:val="both"/>
        <w:rPr>
          <w:rFonts w:ascii="Arial" w:hAnsi="Arial" w:cs="Arial"/>
          <w:i/>
          <w:sz w:val="24"/>
          <w:szCs w:val="24"/>
        </w:rPr>
      </w:pPr>
    </w:p>
    <w:p w14:paraId="629ECC23"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Se visitaron las oficinas de la sociedad Producciones Punch S.A. con el fin de obtener información sobre los libros de contabilidad de la sociedad y establecer la utilidad operacional neta por los años pedidos en la prueba y encontramos las siguientes anotaciones:</w:t>
      </w:r>
    </w:p>
    <w:p w14:paraId="010A3B27"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w:t>
      </w:r>
    </w:p>
    <w:p w14:paraId="008BF1E2" w14:textId="77777777" w:rsidR="002C6BDF" w:rsidRPr="006769C7" w:rsidRDefault="002C6BDF" w:rsidP="006769C7">
      <w:pPr>
        <w:spacing w:line="276" w:lineRule="auto"/>
        <w:ind w:left="540" w:right="533"/>
        <w:jc w:val="both"/>
        <w:rPr>
          <w:rFonts w:ascii="Arial" w:hAnsi="Arial" w:cs="Arial"/>
          <w:b/>
          <w:i/>
          <w:sz w:val="24"/>
          <w:szCs w:val="24"/>
        </w:rPr>
      </w:pPr>
      <w:r w:rsidRPr="006769C7">
        <w:rPr>
          <w:rFonts w:ascii="Arial" w:hAnsi="Arial" w:cs="Arial"/>
          <w:b/>
          <w:i/>
          <w:sz w:val="24"/>
          <w:szCs w:val="24"/>
        </w:rPr>
        <w:t>Determinación de la utilidad neta:</w:t>
      </w:r>
    </w:p>
    <w:p w14:paraId="13CB0CC0" w14:textId="77777777" w:rsidR="002C6BDF" w:rsidRPr="006769C7" w:rsidRDefault="002C6BDF" w:rsidP="006769C7">
      <w:pPr>
        <w:spacing w:line="276" w:lineRule="auto"/>
        <w:ind w:left="540" w:right="533"/>
        <w:jc w:val="both"/>
        <w:rPr>
          <w:rFonts w:ascii="Arial" w:hAnsi="Arial" w:cs="Arial"/>
          <w:b/>
          <w:i/>
          <w:sz w:val="24"/>
          <w:szCs w:val="24"/>
        </w:rPr>
      </w:pPr>
    </w:p>
    <w:p w14:paraId="6FB4CFB7"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Teniendo en cuenta las anotaciones en los libros oficiales por los años 1987, 1988, 1989, 1990, 1991 y 1992 (…) determinamos la utilidad neta operacional en estos años, la cual nos arroja los siguientes valores de acuerdo al anexo n.° 1:</w:t>
      </w:r>
    </w:p>
    <w:p w14:paraId="06918640" w14:textId="77777777" w:rsidR="002C6BDF" w:rsidRPr="006769C7" w:rsidRDefault="002C6BDF" w:rsidP="006769C7">
      <w:pPr>
        <w:spacing w:line="276" w:lineRule="auto"/>
        <w:ind w:left="540" w:right="533"/>
        <w:jc w:val="both"/>
        <w:rPr>
          <w:rFonts w:ascii="Arial" w:hAnsi="Arial" w:cs="Arial"/>
          <w:i/>
          <w:sz w:val="24"/>
          <w:szCs w:val="24"/>
        </w:rPr>
      </w:pPr>
    </w:p>
    <w:p w14:paraId="17D7EA31" w14:textId="77777777" w:rsidR="002C6BDF" w:rsidRPr="006769C7" w:rsidRDefault="002C6BDF" w:rsidP="006769C7">
      <w:pPr>
        <w:numPr>
          <w:ilvl w:val="0"/>
          <w:numId w:val="19"/>
        </w:numPr>
        <w:spacing w:line="276" w:lineRule="auto"/>
        <w:ind w:right="533"/>
        <w:jc w:val="both"/>
        <w:rPr>
          <w:rFonts w:ascii="Arial" w:hAnsi="Arial" w:cs="Arial"/>
          <w:i/>
          <w:sz w:val="24"/>
          <w:szCs w:val="24"/>
        </w:rPr>
      </w:pPr>
      <w:r w:rsidRPr="006769C7">
        <w:rPr>
          <w:rFonts w:ascii="Arial" w:hAnsi="Arial" w:cs="Arial"/>
          <w:i/>
          <w:sz w:val="24"/>
          <w:szCs w:val="24"/>
        </w:rPr>
        <w:t>$  34.459.724</w:t>
      </w:r>
    </w:p>
    <w:p w14:paraId="51402255" w14:textId="77777777" w:rsidR="002C6BDF" w:rsidRPr="006769C7" w:rsidRDefault="002C6BDF" w:rsidP="006769C7">
      <w:pPr>
        <w:numPr>
          <w:ilvl w:val="0"/>
          <w:numId w:val="19"/>
        </w:numPr>
        <w:spacing w:line="276" w:lineRule="auto"/>
        <w:ind w:right="533"/>
        <w:jc w:val="both"/>
        <w:rPr>
          <w:rFonts w:ascii="Arial" w:hAnsi="Arial" w:cs="Arial"/>
          <w:i/>
          <w:sz w:val="24"/>
          <w:szCs w:val="24"/>
        </w:rPr>
      </w:pPr>
      <w:r w:rsidRPr="006769C7">
        <w:rPr>
          <w:rFonts w:ascii="Arial" w:hAnsi="Arial" w:cs="Arial"/>
          <w:i/>
          <w:sz w:val="24"/>
          <w:szCs w:val="24"/>
        </w:rPr>
        <w:t>$  84.966.099</w:t>
      </w:r>
    </w:p>
    <w:p w14:paraId="2471EA20" w14:textId="77777777" w:rsidR="002C6BDF" w:rsidRPr="006769C7" w:rsidRDefault="002C6BDF" w:rsidP="006769C7">
      <w:pPr>
        <w:numPr>
          <w:ilvl w:val="0"/>
          <w:numId w:val="19"/>
        </w:numPr>
        <w:spacing w:line="276" w:lineRule="auto"/>
        <w:ind w:right="533"/>
        <w:jc w:val="both"/>
        <w:rPr>
          <w:rFonts w:ascii="Arial" w:hAnsi="Arial" w:cs="Arial"/>
          <w:i/>
          <w:sz w:val="24"/>
          <w:szCs w:val="24"/>
        </w:rPr>
      </w:pPr>
      <w:r w:rsidRPr="006769C7">
        <w:rPr>
          <w:rFonts w:ascii="Arial" w:hAnsi="Arial" w:cs="Arial"/>
          <w:i/>
          <w:sz w:val="24"/>
          <w:szCs w:val="24"/>
        </w:rPr>
        <w:lastRenderedPageBreak/>
        <w:t>$166.500.534</w:t>
      </w:r>
    </w:p>
    <w:p w14:paraId="412F9FE6" w14:textId="77777777" w:rsidR="002C6BDF" w:rsidRPr="006769C7" w:rsidRDefault="002C6BDF" w:rsidP="006769C7">
      <w:pPr>
        <w:numPr>
          <w:ilvl w:val="0"/>
          <w:numId w:val="19"/>
        </w:numPr>
        <w:spacing w:line="276" w:lineRule="auto"/>
        <w:ind w:right="533"/>
        <w:jc w:val="both"/>
        <w:rPr>
          <w:rFonts w:ascii="Arial" w:hAnsi="Arial" w:cs="Arial"/>
          <w:i/>
          <w:sz w:val="24"/>
          <w:szCs w:val="24"/>
        </w:rPr>
      </w:pPr>
      <w:r w:rsidRPr="006769C7">
        <w:rPr>
          <w:rFonts w:ascii="Arial" w:hAnsi="Arial" w:cs="Arial"/>
          <w:i/>
          <w:sz w:val="24"/>
          <w:szCs w:val="24"/>
        </w:rPr>
        <w:t>$170.604.136</w:t>
      </w:r>
    </w:p>
    <w:p w14:paraId="5B15FEF7" w14:textId="77777777" w:rsidR="002C6BDF" w:rsidRPr="006769C7" w:rsidRDefault="002C6BDF" w:rsidP="006769C7">
      <w:pPr>
        <w:numPr>
          <w:ilvl w:val="0"/>
          <w:numId w:val="19"/>
        </w:numPr>
        <w:spacing w:line="276" w:lineRule="auto"/>
        <w:ind w:right="533"/>
        <w:jc w:val="both"/>
        <w:rPr>
          <w:rFonts w:ascii="Arial" w:hAnsi="Arial" w:cs="Arial"/>
          <w:i/>
          <w:sz w:val="24"/>
          <w:szCs w:val="24"/>
        </w:rPr>
      </w:pPr>
      <w:r w:rsidRPr="006769C7">
        <w:rPr>
          <w:rFonts w:ascii="Arial" w:hAnsi="Arial" w:cs="Arial"/>
          <w:i/>
          <w:sz w:val="24"/>
          <w:szCs w:val="24"/>
        </w:rPr>
        <w:t>$337.016.092</w:t>
      </w:r>
    </w:p>
    <w:p w14:paraId="75E31D59" w14:textId="77777777" w:rsidR="002C6BDF" w:rsidRPr="006769C7" w:rsidRDefault="002C6BDF" w:rsidP="006769C7">
      <w:pPr>
        <w:numPr>
          <w:ilvl w:val="0"/>
          <w:numId w:val="19"/>
        </w:numPr>
        <w:spacing w:line="276" w:lineRule="auto"/>
        <w:ind w:right="533"/>
        <w:jc w:val="both"/>
        <w:rPr>
          <w:rFonts w:ascii="Arial" w:hAnsi="Arial" w:cs="Arial"/>
          <w:i/>
          <w:sz w:val="24"/>
          <w:szCs w:val="24"/>
        </w:rPr>
      </w:pPr>
      <w:r w:rsidRPr="006769C7">
        <w:rPr>
          <w:rFonts w:ascii="Arial" w:hAnsi="Arial" w:cs="Arial"/>
          <w:i/>
          <w:sz w:val="24"/>
          <w:szCs w:val="24"/>
        </w:rPr>
        <w:t>$225.791.676</w:t>
      </w:r>
    </w:p>
    <w:p w14:paraId="24E9D472"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w:t>
      </w:r>
    </w:p>
    <w:p w14:paraId="3987EFA8"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La función estimada promedio para el conjunto de los valores de las utilidades entre los años 1987 y 1991 es de $365.934.548,90 para el año 1992.</w:t>
      </w:r>
    </w:p>
    <w:p w14:paraId="2F01DC7E"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w:t>
      </w:r>
    </w:p>
    <w:p w14:paraId="7574AD27" w14:textId="77777777" w:rsidR="002C6BDF" w:rsidRPr="006769C7" w:rsidRDefault="002C6BDF" w:rsidP="006769C7">
      <w:pPr>
        <w:spacing w:line="276" w:lineRule="auto"/>
        <w:ind w:left="540" w:right="533"/>
        <w:jc w:val="both"/>
        <w:rPr>
          <w:rFonts w:ascii="Arial" w:hAnsi="Arial" w:cs="Arial"/>
          <w:b/>
          <w:i/>
          <w:sz w:val="24"/>
          <w:szCs w:val="24"/>
        </w:rPr>
      </w:pPr>
      <w:r w:rsidRPr="006769C7">
        <w:rPr>
          <w:rFonts w:ascii="Arial" w:hAnsi="Arial" w:cs="Arial"/>
          <w:b/>
          <w:i/>
          <w:sz w:val="24"/>
          <w:szCs w:val="24"/>
        </w:rPr>
        <w:t>Diferencia entre la utilidad neta proyectada y la real:</w:t>
      </w:r>
    </w:p>
    <w:p w14:paraId="1823BA24" w14:textId="77777777" w:rsidR="002C6BDF" w:rsidRPr="006769C7" w:rsidRDefault="002C6BDF" w:rsidP="006769C7">
      <w:pPr>
        <w:spacing w:line="276" w:lineRule="auto"/>
        <w:ind w:left="540" w:right="533"/>
        <w:jc w:val="both"/>
        <w:rPr>
          <w:rFonts w:ascii="Arial" w:hAnsi="Arial" w:cs="Arial"/>
          <w:b/>
          <w:i/>
          <w:sz w:val="24"/>
          <w:szCs w:val="24"/>
        </w:rPr>
      </w:pPr>
    </w:p>
    <w:p w14:paraId="2DA8AC0E"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Utilidad operacional neta proyectada año 1992………$365.934.549</w:t>
      </w:r>
    </w:p>
    <w:p w14:paraId="3ADD58AC" w14:textId="77777777" w:rsidR="002C6BDF" w:rsidRPr="006769C7" w:rsidRDefault="002C6BDF" w:rsidP="006769C7">
      <w:pPr>
        <w:spacing w:line="276" w:lineRule="auto"/>
        <w:ind w:left="540" w:right="533"/>
        <w:jc w:val="both"/>
        <w:rPr>
          <w:rFonts w:ascii="Arial" w:hAnsi="Arial" w:cs="Arial"/>
          <w:i/>
          <w:sz w:val="24"/>
          <w:szCs w:val="24"/>
        </w:rPr>
      </w:pPr>
    </w:p>
    <w:p w14:paraId="589F922E"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Utilidad operacional neta real año 1992 (anexo n.° 1)…225.791.676</w:t>
      </w:r>
    </w:p>
    <w:p w14:paraId="7CB7C46D" w14:textId="77777777" w:rsidR="002C6BDF" w:rsidRPr="006769C7" w:rsidRDefault="002C6BDF" w:rsidP="006769C7">
      <w:pPr>
        <w:spacing w:line="276" w:lineRule="auto"/>
        <w:ind w:left="540" w:right="533"/>
        <w:jc w:val="both"/>
        <w:rPr>
          <w:rFonts w:ascii="Arial" w:hAnsi="Arial" w:cs="Arial"/>
          <w:i/>
          <w:sz w:val="24"/>
          <w:szCs w:val="24"/>
        </w:rPr>
      </w:pPr>
    </w:p>
    <w:p w14:paraId="30F78202"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DIFERENCIA</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 xml:space="preserve">  90.142.873</w:t>
      </w:r>
    </w:p>
    <w:p w14:paraId="22435CAC" w14:textId="77777777" w:rsidR="002C6BDF" w:rsidRPr="006769C7" w:rsidRDefault="002C6BDF" w:rsidP="006769C7">
      <w:pPr>
        <w:spacing w:line="276" w:lineRule="auto"/>
        <w:ind w:left="540" w:right="533"/>
        <w:jc w:val="both"/>
        <w:rPr>
          <w:rFonts w:ascii="Arial" w:hAnsi="Arial" w:cs="Arial"/>
          <w:i/>
          <w:sz w:val="24"/>
          <w:szCs w:val="24"/>
        </w:rPr>
      </w:pPr>
    </w:p>
    <w:p w14:paraId="0D46F313"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Como se deduce, la utilidad proyectada por el año 1992 es mayor que la utilidad real en la suma de $90.142.873.</w:t>
      </w:r>
    </w:p>
    <w:p w14:paraId="75E7E967"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 xml:space="preserve"> </w:t>
      </w:r>
    </w:p>
    <w:p w14:paraId="5CF21BE3" w14:textId="77777777" w:rsidR="002C6BDF" w:rsidRPr="006769C7" w:rsidRDefault="002C6BDF" w:rsidP="006769C7">
      <w:pPr>
        <w:spacing w:line="276" w:lineRule="auto"/>
        <w:ind w:right="533"/>
        <w:jc w:val="both"/>
        <w:rPr>
          <w:rFonts w:ascii="Arial" w:hAnsi="Arial" w:cs="Arial"/>
          <w:i/>
          <w:sz w:val="24"/>
          <w:szCs w:val="24"/>
        </w:rPr>
      </w:pPr>
    </w:p>
    <w:p w14:paraId="4F24BCE3" w14:textId="77777777" w:rsidR="002C6BDF" w:rsidRPr="006769C7" w:rsidRDefault="002C6BDF" w:rsidP="006769C7">
      <w:pPr>
        <w:spacing w:line="276" w:lineRule="auto"/>
        <w:ind w:right="51"/>
        <w:jc w:val="both"/>
        <w:rPr>
          <w:rFonts w:ascii="Arial" w:hAnsi="Arial" w:cs="Arial"/>
          <w:sz w:val="24"/>
          <w:szCs w:val="24"/>
        </w:rPr>
      </w:pPr>
      <w:r w:rsidRPr="006769C7">
        <w:rPr>
          <w:rFonts w:ascii="Arial" w:hAnsi="Arial" w:cs="Arial"/>
          <w:sz w:val="24"/>
          <w:szCs w:val="24"/>
        </w:rPr>
        <w:t xml:space="preserve">Los llamados en garantía solicitaron que se aclarara el dictamen pericial, en relación con los siguientes aspectos: (i) aclarar el valor de la utilidad operacional neta para 1992, porque, en el dictamen se señaló que esta era de $225.791.676, a pesar de que en los libros de contabilidad figura por valor de $275.791.676; (ii) los peritos elaboraron los estados de ganancias o pérdidas de la empresa correspondientes a los años 1987-1992; no obstante, esos resultados no coinciden con los que constan en las copias de las renovaciones de matrícula presentadas ante la Cámara de Comercio de Bogotá. Algunas de esas diferencias se explican así: para el año 1987, los peritos disminuyeron de la utilidad operacional el valor de la cuenta “otros egresos”, en tanto que para el año 1989, los peritos no descontaron el valor correspondiente a “gastos operacionales”. Al corregirse esas diferencias y obtener con los mismos la media estadística para el año 1992, el resultado de utilidades esperadas para ese año sería de $310.509.042, esto es, $37.717.366 menos que la ganancia real obtenida. En ese orden de ideas, los peritos deberán explicar por qué no acudieron a los valores presentados por Punch para cumplir con sus deberes legales; y (iii) en los balances elaborados por los peritos se hizo una distinción entre costos y gastos operacionales, la cual no figura en las solicitudes de renovación de la matrícula mercantil; por lo tanto, deberán los peritos aclarar de dónde obtuvieron esa información (f. 389-392 c-1). </w:t>
      </w:r>
    </w:p>
    <w:p w14:paraId="4F6F401B" w14:textId="77777777" w:rsidR="002C6BDF" w:rsidRPr="006769C7" w:rsidRDefault="002C6BDF" w:rsidP="006769C7">
      <w:pPr>
        <w:spacing w:line="276" w:lineRule="auto"/>
        <w:ind w:right="51"/>
        <w:jc w:val="both"/>
        <w:rPr>
          <w:rFonts w:ascii="Arial" w:hAnsi="Arial" w:cs="Arial"/>
          <w:i/>
          <w:sz w:val="24"/>
          <w:szCs w:val="24"/>
        </w:rPr>
      </w:pPr>
    </w:p>
    <w:p w14:paraId="79FB3E5F" w14:textId="77777777" w:rsidR="002C6BDF" w:rsidRPr="006769C7" w:rsidRDefault="002C6BDF" w:rsidP="006769C7">
      <w:pPr>
        <w:spacing w:line="276" w:lineRule="auto"/>
        <w:ind w:right="51"/>
        <w:jc w:val="both"/>
        <w:rPr>
          <w:rFonts w:ascii="Arial" w:hAnsi="Arial" w:cs="Arial"/>
          <w:sz w:val="24"/>
          <w:szCs w:val="24"/>
        </w:rPr>
      </w:pPr>
      <w:r w:rsidRPr="006769C7">
        <w:rPr>
          <w:rFonts w:ascii="Arial" w:hAnsi="Arial" w:cs="Arial"/>
          <w:sz w:val="24"/>
          <w:szCs w:val="24"/>
        </w:rPr>
        <w:t xml:space="preserve">La parte demandante solicitó aclaración y complementación del dictamen y, además, lo objetó por error grave (f. 394-395 c-1). Señaló que </w:t>
      </w:r>
      <w:r w:rsidRPr="006769C7">
        <w:rPr>
          <w:rFonts w:ascii="Arial" w:hAnsi="Arial" w:cs="Arial"/>
          <w:i/>
          <w:sz w:val="24"/>
          <w:szCs w:val="24"/>
        </w:rPr>
        <w:t>“dado el carácter tendencioso del cuestionario, los señores peritos debían acogerse a las muy precisas y detalladas instrucciones que formuló de manera antitécnica el apoderado que pidió la prueba, sin la posibilidad de cuestionar la aplicación del método y de los procedimientos”</w:t>
      </w:r>
      <w:r w:rsidRPr="006769C7">
        <w:rPr>
          <w:rFonts w:ascii="Arial" w:hAnsi="Arial" w:cs="Arial"/>
          <w:sz w:val="24"/>
          <w:szCs w:val="24"/>
        </w:rPr>
        <w:t xml:space="preserve">. En ese orden de ideas, los peritos estaban limitados a establecer la utilidad del año 1992, a través del método de mínimos cuadrados </w:t>
      </w:r>
      <w:r w:rsidRPr="006769C7">
        <w:rPr>
          <w:rFonts w:ascii="Arial" w:hAnsi="Arial" w:cs="Arial"/>
          <w:sz w:val="24"/>
          <w:szCs w:val="24"/>
        </w:rPr>
        <w:lastRenderedPageBreak/>
        <w:t xml:space="preserve">aplicados a la utilidad operacional neta de los años 1987 a 1992; sin embargo, los peritos incurrieron en el error de calcular dicha utilidad a precios corrientes, sin tener en cuenta la variable de la inflación. Esto llevó a que los peritos calcularan la diferencia entre la ganancia esperada y la real en $90.142.873, cuando debió ser de $197.616.297. Por tales razones, solicitó que se nombraran nuevos peritos para que determinaran la existencia de dicho error y su incidencia en el resultado. Además, solicitó a los peritos que rindieron el dictamen aclarar si eran técnicamente comparables, en pesos constantes, los ingresos de los años 1987 a 1991; aplicando la misma fórmula señalarán cuál hubiera sido el resultado si se hubiera tenido en cuenta el IPC de cada año, y si sería técnicamente correcto proyectar los ingresos históricos de 1987 a 1991, para establecer la utilidad del año 1992, a pesar de que en el último año Punch obtuvo más espacios y otras franjas, lo cual se vio reflejado en los ingresos del primer bimestre de ese año.  </w:t>
      </w:r>
    </w:p>
    <w:p w14:paraId="3694B84D" w14:textId="77777777" w:rsidR="002C6BDF" w:rsidRPr="006769C7" w:rsidRDefault="002C6BDF" w:rsidP="006769C7">
      <w:pPr>
        <w:spacing w:line="276" w:lineRule="auto"/>
        <w:ind w:right="51"/>
        <w:jc w:val="both"/>
        <w:rPr>
          <w:rFonts w:ascii="Arial" w:hAnsi="Arial" w:cs="Arial"/>
          <w:sz w:val="24"/>
          <w:szCs w:val="24"/>
        </w:rPr>
      </w:pPr>
    </w:p>
    <w:p w14:paraId="026F2A22" w14:textId="77777777" w:rsidR="002C6BDF" w:rsidRPr="006769C7" w:rsidRDefault="002C6BDF" w:rsidP="006769C7">
      <w:pPr>
        <w:spacing w:line="276" w:lineRule="auto"/>
        <w:ind w:right="51"/>
        <w:jc w:val="both"/>
        <w:rPr>
          <w:rFonts w:ascii="Arial" w:hAnsi="Arial" w:cs="Arial"/>
          <w:sz w:val="24"/>
          <w:szCs w:val="24"/>
        </w:rPr>
      </w:pPr>
      <w:r w:rsidRPr="006769C7">
        <w:rPr>
          <w:rFonts w:ascii="Arial" w:hAnsi="Arial" w:cs="Arial"/>
          <w:sz w:val="24"/>
          <w:szCs w:val="24"/>
        </w:rPr>
        <w:t>El dictamen fue aclarado, mediante escritos presentados el 6 de mayo y el 1º de noviembre de 2000 y el 31 de mayo de 2001 (f. 37-38, 39-43 y 44-46 c-9, respectivamente).</w:t>
      </w:r>
    </w:p>
    <w:p w14:paraId="7DB00AC0" w14:textId="77777777" w:rsidR="002C6BDF" w:rsidRPr="006769C7" w:rsidRDefault="002C6BDF" w:rsidP="006769C7">
      <w:pPr>
        <w:spacing w:line="276" w:lineRule="auto"/>
        <w:ind w:right="51"/>
        <w:jc w:val="both"/>
        <w:rPr>
          <w:rFonts w:ascii="Arial" w:hAnsi="Arial" w:cs="Arial"/>
          <w:sz w:val="24"/>
          <w:szCs w:val="24"/>
        </w:rPr>
      </w:pPr>
    </w:p>
    <w:p w14:paraId="659974FD" w14:textId="77777777" w:rsidR="002C6BDF" w:rsidRPr="006769C7" w:rsidRDefault="002C6BDF" w:rsidP="006769C7">
      <w:pPr>
        <w:spacing w:line="276" w:lineRule="auto"/>
        <w:ind w:right="51"/>
        <w:jc w:val="both"/>
        <w:rPr>
          <w:rFonts w:ascii="Arial" w:hAnsi="Arial" w:cs="Arial"/>
          <w:sz w:val="24"/>
          <w:szCs w:val="24"/>
        </w:rPr>
      </w:pPr>
      <w:r w:rsidRPr="006769C7">
        <w:rPr>
          <w:rFonts w:ascii="Arial" w:hAnsi="Arial" w:cs="Arial"/>
          <w:sz w:val="24"/>
          <w:szCs w:val="24"/>
        </w:rPr>
        <w:t xml:space="preserve">En relación con el valor de la utilidad operacional para el año 1992, aclararon que la cifra era realmente $275.791.676, y no $225.791.67, como se consignó en el dictamen. En cuanto a la diferencia entre las utilidades netas de la empresa obtenidas de acuerdo con los balances de cierre de la empresa y las que figuran en los documentos presentados ante la Cámara de Comercio, los peritos aclararon que las cifras obtenidas por ellos se basaron en los libros oficiales de la sociedad, los cuales son los únicos documentos válidos para el análisis. Las cifras presentadas ante la Cámara de Comercio tienen por objeto determinar el aporte anual que la misma hace a dicha cámara. En relación con la forma en la que los peritos hicieron la reclasificación y desglose de las cuentas presentadas en los balances, para presentarlas en el dictamen, estos señalaron que </w:t>
      </w:r>
      <w:r w:rsidRPr="006769C7">
        <w:rPr>
          <w:rFonts w:ascii="Arial" w:hAnsi="Arial" w:cs="Arial"/>
          <w:i/>
          <w:sz w:val="24"/>
          <w:szCs w:val="24"/>
        </w:rPr>
        <w:t xml:space="preserve">“las clasificaciones de las cuentas están tomadas de los estados financieros debidamente auditados y revisados por personal idóneo para estas labores, como lo son el Revisor Fiscal y el representante legal de Punch. En ningún momento hemos reclasificado y mucho menos transformado la presentación de los diferentes estados financieros”. </w:t>
      </w:r>
      <w:r w:rsidRPr="006769C7">
        <w:rPr>
          <w:rFonts w:ascii="Arial" w:hAnsi="Arial" w:cs="Arial"/>
          <w:sz w:val="24"/>
          <w:szCs w:val="24"/>
        </w:rPr>
        <w:t xml:space="preserve"> </w:t>
      </w:r>
    </w:p>
    <w:p w14:paraId="4B2A0DD0" w14:textId="77777777" w:rsidR="002C6BDF" w:rsidRPr="006769C7" w:rsidRDefault="002C6BDF" w:rsidP="006769C7">
      <w:pPr>
        <w:spacing w:line="276" w:lineRule="auto"/>
        <w:ind w:right="51"/>
        <w:jc w:val="both"/>
        <w:rPr>
          <w:rFonts w:ascii="Arial" w:hAnsi="Arial" w:cs="Arial"/>
          <w:sz w:val="24"/>
          <w:szCs w:val="24"/>
        </w:rPr>
      </w:pPr>
    </w:p>
    <w:p w14:paraId="2760C0BA" w14:textId="77777777" w:rsidR="002C6BDF" w:rsidRPr="006769C7" w:rsidRDefault="002C6BDF" w:rsidP="006769C7">
      <w:pPr>
        <w:spacing w:line="276" w:lineRule="auto"/>
        <w:ind w:right="51"/>
        <w:jc w:val="both"/>
        <w:rPr>
          <w:rFonts w:ascii="Arial" w:hAnsi="Arial" w:cs="Arial"/>
          <w:i/>
          <w:sz w:val="24"/>
          <w:szCs w:val="24"/>
        </w:rPr>
      </w:pPr>
      <w:r w:rsidRPr="006769C7">
        <w:rPr>
          <w:rFonts w:ascii="Arial" w:hAnsi="Arial" w:cs="Arial"/>
          <w:sz w:val="24"/>
          <w:szCs w:val="24"/>
        </w:rPr>
        <w:t xml:space="preserve">Señalaron también que los ingresos de diferentes años eran técnicamente comparables tanto utilizando pesos constantes como pesos no constantes, dependiendo de lo que se quisiera obtener. Aclararon que en la solicitud de la prueba pericial formulada por la parte demandante se estableció el procedimiento a seguir con el fin de obtener la cifra correspondiente a las utilidades dejadas de percibir en el año 1992. A la pregunta sobre el resultado que se obtendría de haber tenido en cuenta el IPC de cada año, respondieron que como esa opción no se ordenó en la prueba, el asunto debía ser objeto de un nuevo dictamen. Y en cuanto a si era técnicamente correcto proyectar los ingresos de 1992, tomando como base los ingresos de los años 1987 a 1991, señalaron: </w:t>
      </w:r>
      <w:r w:rsidRPr="006769C7">
        <w:rPr>
          <w:rFonts w:ascii="Arial" w:hAnsi="Arial" w:cs="Arial"/>
          <w:i/>
          <w:sz w:val="24"/>
          <w:szCs w:val="24"/>
        </w:rPr>
        <w:t xml:space="preserve">“La respuesta a esta hipótesis es muy relativa, por cuanto entran en juego otras variables de difícil estimación como son: ingresos de los meses de enero y febrero de diferentes años, se podrían comparar también los ingresos de otros meses. Determinación del por qué algunos </w:t>
      </w:r>
      <w:r w:rsidRPr="006769C7">
        <w:rPr>
          <w:rFonts w:ascii="Arial" w:hAnsi="Arial" w:cs="Arial"/>
          <w:i/>
          <w:sz w:val="24"/>
          <w:szCs w:val="24"/>
        </w:rPr>
        <w:lastRenderedPageBreak/>
        <w:t xml:space="preserve">espacios y franjas son más favorables o menos favorables, dependiendo de los diferentes años”.  </w:t>
      </w:r>
    </w:p>
    <w:p w14:paraId="45CE6315" w14:textId="77777777" w:rsidR="002C6BDF" w:rsidRPr="006769C7" w:rsidRDefault="002C6BDF" w:rsidP="006769C7">
      <w:pPr>
        <w:spacing w:line="276" w:lineRule="auto"/>
        <w:ind w:right="51"/>
        <w:jc w:val="both"/>
        <w:rPr>
          <w:rFonts w:ascii="Arial" w:hAnsi="Arial" w:cs="Arial"/>
          <w:sz w:val="24"/>
          <w:szCs w:val="24"/>
        </w:rPr>
      </w:pPr>
    </w:p>
    <w:p w14:paraId="19BBE95C" w14:textId="77777777" w:rsidR="002C6BDF" w:rsidRPr="006769C7" w:rsidRDefault="002C6BDF" w:rsidP="006769C7">
      <w:pPr>
        <w:spacing w:line="276" w:lineRule="auto"/>
        <w:ind w:right="51"/>
        <w:jc w:val="both"/>
        <w:rPr>
          <w:rFonts w:ascii="Arial" w:hAnsi="Arial" w:cs="Arial"/>
          <w:sz w:val="24"/>
          <w:szCs w:val="24"/>
        </w:rPr>
      </w:pPr>
      <w:r w:rsidRPr="006769C7">
        <w:rPr>
          <w:rFonts w:ascii="Arial" w:hAnsi="Arial" w:cs="Arial"/>
          <w:sz w:val="24"/>
          <w:szCs w:val="24"/>
        </w:rPr>
        <w:t xml:space="preserve">Para dar satisfacción a la solicitud de adición del dictamen solicitada, indexaron las cifras de los años 1987 a 1991, lo que les arrojó un resultado de $378.604.769,70, como utilidad esperada en el año 1992, y al compararla con la utilidad neta obtenida ese mismo año: $275.791.676, dio como resultado una diferencia de $102.813.093,70. </w:t>
      </w:r>
    </w:p>
    <w:p w14:paraId="58F421E5" w14:textId="77777777" w:rsidR="002C6BDF" w:rsidRPr="006769C7" w:rsidRDefault="002C6BDF" w:rsidP="006769C7">
      <w:pPr>
        <w:spacing w:line="276" w:lineRule="auto"/>
        <w:ind w:right="51"/>
        <w:jc w:val="both"/>
        <w:rPr>
          <w:rFonts w:ascii="Arial" w:hAnsi="Arial" w:cs="Arial"/>
          <w:i/>
          <w:sz w:val="24"/>
          <w:szCs w:val="24"/>
        </w:rPr>
      </w:pPr>
      <w:r w:rsidRPr="006769C7">
        <w:rPr>
          <w:rFonts w:ascii="Arial" w:hAnsi="Arial" w:cs="Arial"/>
          <w:sz w:val="24"/>
          <w:szCs w:val="24"/>
        </w:rPr>
        <w:t xml:space="preserve">Añadieron que </w:t>
      </w:r>
      <w:r w:rsidRPr="006769C7">
        <w:rPr>
          <w:rFonts w:ascii="Arial" w:hAnsi="Arial" w:cs="Arial"/>
          <w:i/>
          <w:sz w:val="24"/>
          <w:szCs w:val="24"/>
        </w:rPr>
        <w:t xml:space="preserve">“teniendo en cuenta que los ingresos que obtuvo Punch estuvieron sujetos a diferentes variables, por el tipo de negocio a que se dedica y además como se trata de una proyección, nuestra opinión estaría más al lado de que sería más ajustado a la realidad trabajar con cifras indexadas, máxime en un país con una economía inflacionaria como la colombiana”. </w:t>
      </w:r>
    </w:p>
    <w:p w14:paraId="28C5463A" w14:textId="77777777" w:rsidR="002C6BDF" w:rsidRPr="006769C7" w:rsidRDefault="002C6BDF" w:rsidP="006769C7">
      <w:pPr>
        <w:spacing w:line="276" w:lineRule="auto"/>
        <w:ind w:right="51"/>
        <w:jc w:val="both"/>
        <w:rPr>
          <w:rFonts w:ascii="Arial" w:hAnsi="Arial" w:cs="Arial"/>
          <w:sz w:val="24"/>
          <w:szCs w:val="24"/>
        </w:rPr>
      </w:pPr>
    </w:p>
    <w:p w14:paraId="3323F876" w14:textId="77777777" w:rsidR="002C6BDF" w:rsidRPr="006769C7" w:rsidRDefault="002C6BDF" w:rsidP="006769C7">
      <w:pPr>
        <w:spacing w:line="276" w:lineRule="auto"/>
        <w:ind w:right="51"/>
        <w:jc w:val="both"/>
        <w:rPr>
          <w:rFonts w:ascii="Arial" w:hAnsi="Arial" w:cs="Arial"/>
          <w:sz w:val="24"/>
          <w:szCs w:val="24"/>
        </w:rPr>
      </w:pPr>
      <w:r w:rsidRPr="006769C7">
        <w:rPr>
          <w:rFonts w:ascii="Arial" w:hAnsi="Arial" w:cs="Arial"/>
          <w:sz w:val="24"/>
          <w:szCs w:val="24"/>
        </w:rPr>
        <w:t xml:space="preserve">En relación con el método utilizado para calcular la utilidad neta proyectada para el año 1992 y utilidad real, y los datos para extraer la utilidad operacional, la respuesta fue la siguiente: </w:t>
      </w:r>
    </w:p>
    <w:p w14:paraId="05FF9519" w14:textId="77777777" w:rsidR="002C6BDF" w:rsidRPr="006769C7" w:rsidRDefault="002C6BDF" w:rsidP="006769C7">
      <w:pPr>
        <w:spacing w:line="276" w:lineRule="auto"/>
        <w:ind w:right="51"/>
        <w:jc w:val="both"/>
        <w:rPr>
          <w:rFonts w:ascii="Arial" w:hAnsi="Arial" w:cs="Arial"/>
          <w:sz w:val="24"/>
          <w:szCs w:val="24"/>
        </w:rPr>
      </w:pPr>
    </w:p>
    <w:p w14:paraId="39078579"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El método utilizado en el peritaje, consistente en deducir el monto del perjuicio establecido, la diferencia entre los ingresos de comercialización proyectados (presuntos), y los ingresos de comercialización reales, es correcto y válido para determinar el monto del perjuicio sufrido por la Sociedad Producciones Punch S.A. </w:t>
      </w:r>
    </w:p>
    <w:p w14:paraId="70983EEF"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1BB337B6"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El método de la media aritmética utilizado en el peritaje materia de objeción es correcto y confiable para reflejar el monto del perjuicio por las razones que exponemos en nuestro experticio.</w:t>
      </w:r>
    </w:p>
    <w:p w14:paraId="456CEF59"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7F2705F1"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Las clasificaciones de las cuentas están tomadas de acuerdo a estados financieros debidamente auditados y revisados por personal idóneo para esas labores, como son el revisor fiscal y el representante legal de Punch. En ningún momento hemos reclasificado y mucho menos transformado la presentación de los diferentes estados financieros. </w:t>
      </w:r>
    </w:p>
    <w:p w14:paraId="171BDBE0"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22CED474"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Teniendo en cuenta que los ingresos que obtuvo Punch estuvieron sujetos a diferentes variables por el tipo de negocio a que se dedica y, además, como se trata de una proyección, nuestra opinión estaría más al lado de que sería más ajustado a la realidad trabajar con cifras indexadas, máxime en un país con una economía inflacionaria como lo colombiana.</w:t>
      </w:r>
    </w:p>
    <w:p w14:paraId="73B922D4" w14:textId="77777777" w:rsidR="002C6BDF" w:rsidRPr="006769C7" w:rsidRDefault="002C6BDF" w:rsidP="006769C7">
      <w:pPr>
        <w:spacing w:line="276" w:lineRule="auto"/>
        <w:ind w:left="567" w:right="618"/>
        <w:jc w:val="both"/>
        <w:rPr>
          <w:rFonts w:ascii="Arial" w:hAnsi="Arial" w:cs="Arial"/>
          <w:i/>
          <w:sz w:val="24"/>
          <w:szCs w:val="24"/>
        </w:rPr>
      </w:pPr>
    </w:p>
    <w:p w14:paraId="207A242A" w14:textId="77777777" w:rsidR="002C6BDF" w:rsidRPr="006769C7" w:rsidRDefault="002C6BDF" w:rsidP="006769C7">
      <w:pPr>
        <w:spacing w:line="276" w:lineRule="auto"/>
        <w:ind w:left="567" w:right="618"/>
        <w:jc w:val="both"/>
        <w:rPr>
          <w:rFonts w:ascii="Arial" w:hAnsi="Arial" w:cs="Arial"/>
          <w:i/>
          <w:sz w:val="24"/>
          <w:szCs w:val="24"/>
        </w:rPr>
      </w:pPr>
    </w:p>
    <w:p w14:paraId="08CA308F" w14:textId="77777777" w:rsidR="002C6BDF" w:rsidRPr="006769C7" w:rsidRDefault="002C6BDF" w:rsidP="006769C7">
      <w:pPr>
        <w:spacing w:line="276" w:lineRule="auto"/>
        <w:ind w:right="51"/>
        <w:jc w:val="both"/>
        <w:rPr>
          <w:rFonts w:ascii="Arial" w:hAnsi="Arial" w:cs="Arial"/>
          <w:sz w:val="24"/>
          <w:szCs w:val="24"/>
        </w:rPr>
      </w:pPr>
      <w:r w:rsidRPr="006769C7">
        <w:rPr>
          <w:rFonts w:ascii="Arial" w:hAnsi="Arial" w:cs="Arial"/>
          <w:sz w:val="24"/>
          <w:szCs w:val="24"/>
        </w:rPr>
        <w:t xml:space="preserve">ISA objetó por error grave el dictamen pericial (f. 426-430 c-1), con los siguientes argumentos: (i) no existe concordancia entre los valores consignados por los peritos en el cuadro que elaboraron y que se refiere a la utilidad neta operacional de la entidad durante los años 1987 a 1991 y los documentos que se anexaron como soporte de los mismos y que según su afirmación correspondían a copias de los libros oficiales de la empresa. </w:t>
      </w:r>
      <w:r w:rsidRPr="006769C7">
        <w:rPr>
          <w:rFonts w:ascii="Arial" w:hAnsi="Arial" w:cs="Arial"/>
          <w:i/>
          <w:sz w:val="24"/>
          <w:szCs w:val="24"/>
        </w:rPr>
        <w:t xml:space="preserve">“Lo anterior lleva a concluir que los peritos, para </w:t>
      </w:r>
      <w:r w:rsidRPr="006769C7">
        <w:rPr>
          <w:rFonts w:ascii="Arial" w:hAnsi="Arial" w:cs="Arial"/>
          <w:i/>
          <w:sz w:val="24"/>
          <w:szCs w:val="24"/>
        </w:rPr>
        <w:lastRenderedPageBreak/>
        <w:t>poder hacer el cuadro comparativo debieron reclasificar, unir, desglosar, etcétera, las diferentes cifras y cuentas que aparecen en los libros de contabilidad de la sociedad Punch S.A.”</w:t>
      </w:r>
      <w:r w:rsidRPr="006769C7">
        <w:rPr>
          <w:rFonts w:ascii="Arial" w:hAnsi="Arial" w:cs="Arial"/>
          <w:sz w:val="24"/>
          <w:szCs w:val="24"/>
        </w:rPr>
        <w:t xml:space="preserve">. Señaló que, justamente, por eso se había pedido aclaración del dictamen, pero que en respuesta a su solicitud, los peritos se limitaron a afirmar que habían tomado los datos de los estados financieros de la empresa, sin que ellos hubieran modificado su presentación. Sin embargo –añadió-, lo afirmado por los peritos no solo no respondió a lo pedido, sino que difería ampliamente de la realidad. Para demostrar su aserto elaboró tres cuadros comparativos de dicha información y concluyó que los datos sobre </w:t>
      </w:r>
      <w:r w:rsidRPr="006769C7">
        <w:rPr>
          <w:rFonts w:ascii="Arial" w:hAnsi="Arial" w:cs="Arial"/>
          <w:i/>
          <w:sz w:val="24"/>
          <w:szCs w:val="24"/>
        </w:rPr>
        <w:t>“costos y gastos”</w:t>
      </w:r>
      <w:r w:rsidRPr="006769C7">
        <w:rPr>
          <w:rFonts w:ascii="Arial" w:hAnsi="Arial" w:cs="Arial"/>
          <w:sz w:val="24"/>
          <w:szCs w:val="24"/>
        </w:rPr>
        <w:t xml:space="preserve"> presentados por los peritos no correspondían a las cifras que figuraban en los documentos presentados como soporte, y que de haberse hecho el peritaje de manera técnica y congruente con la información, se habría llegado a la conclusión de que la utilidad real obtenida por la empresa en 1992 era superior a la utilidad proyectada, con base en la obtenida en los años anteriores. Para recabar lo manifestado, solicitó que se decretara como prueba que la sociedad trajera al expediente la copia de las declaraciones de renta correspondientes a esos años. </w:t>
      </w:r>
    </w:p>
    <w:p w14:paraId="4FB5947F" w14:textId="77777777" w:rsidR="002C6BDF" w:rsidRPr="006769C7" w:rsidRDefault="002C6BDF" w:rsidP="006769C7">
      <w:pPr>
        <w:spacing w:line="276" w:lineRule="auto"/>
        <w:ind w:right="51"/>
        <w:jc w:val="both"/>
        <w:rPr>
          <w:rFonts w:ascii="Arial" w:hAnsi="Arial" w:cs="Arial"/>
          <w:sz w:val="24"/>
          <w:szCs w:val="24"/>
        </w:rPr>
      </w:pPr>
    </w:p>
    <w:p w14:paraId="040EAEF9" w14:textId="77777777" w:rsidR="002C6BDF" w:rsidRPr="006769C7" w:rsidRDefault="002C6BDF" w:rsidP="006769C7">
      <w:pPr>
        <w:spacing w:line="276" w:lineRule="auto"/>
        <w:ind w:right="51"/>
        <w:jc w:val="both"/>
        <w:rPr>
          <w:rFonts w:ascii="Arial" w:hAnsi="Arial" w:cs="Arial"/>
          <w:sz w:val="24"/>
          <w:szCs w:val="24"/>
        </w:rPr>
      </w:pPr>
      <w:r w:rsidRPr="006769C7">
        <w:rPr>
          <w:rFonts w:ascii="Arial" w:hAnsi="Arial" w:cs="Arial"/>
          <w:sz w:val="24"/>
          <w:szCs w:val="24"/>
        </w:rPr>
        <w:t xml:space="preserve">Atendiendo la solicitud de la parte demandada, el </w:t>
      </w:r>
      <w:r w:rsidRPr="006769C7">
        <w:rPr>
          <w:rFonts w:ascii="Arial" w:hAnsi="Arial" w:cs="Arial"/>
          <w:i/>
          <w:sz w:val="24"/>
          <w:szCs w:val="24"/>
        </w:rPr>
        <w:t>a quo</w:t>
      </w:r>
      <w:r w:rsidRPr="006769C7">
        <w:rPr>
          <w:rFonts w:ascii="Arial" w:hAnsi="Arial" w:cs="Arial"/>
          <w:sz w:val="24"/>
          <w:szCs w:val="24"/>
        </w:rPr>
        <w:t xml:space="preserve"> nombró nuevos peritos, con el fin de establecer los hechos señalados en el escrito en el que se objetó el dictamen por error grave. Los nuevos peritos rindieron su dictamen el 21 de mayo de 2002 (f. 1-10 c-7) y, en respuesta a los cuestionamientos, manifestaron: </w:t>
      </w:r>
    </w:p>
    <w:p w14:paraId="425B29F9" w14:textId="77777777" w:rsidR="002C6BDF" w:rsidRPr="006769C7" w:rsidRDefault="002C6BDF" w:rsidP="006769C7">
      <w:pPr>
        <w:spacing w:line="276" w:lineRule="auto"/>
        <w:ind w:right="51"/>
        <w:jc w:val="both"/>
        <w:rPr>
          <w:rFonts w:ascii="Arial" w:hAnsi="Arial" w:cs="Arial"/>
          <w:sz w:val="24"/>
          <w:szCs w:val="24"/>
        </w:rPr>
      </w:pPr>
    </w:p>
    <w:p w14:paraId="3E66130B" w14:textId="77777777" w:rsidR="002C6BDF" w:rsidRPr="006769C7" w:rsidRDefault="002C6BDF" w:rsidP="006769C7">
      <w:pPr>
        <w:spacing w:line="276" w:lineRule="auto"/>
        <w:ind w:left="567" w:right="618"/>
        <w:jc w:val="both"/>
        <w:rPr>
          <w:rFonts w:ascii="Arial" w:hAnsi="Arial" w:cs="Arial"/>
          <w:b/>
          <w:i/>
          <w:sz w:val="24"/>
          <w:szCs w:val="24"/>
        </w:rPr>
      </w:pPr>
      <w:r w:rsidRPr="006769C7">
        <w:rPr>
          <w:rFonts w:ascii="Arial" w:hAnsi="Arial" w:cs="Arial"/>
          <w:b/>
          <w:i/>
          <w:sz w:val="24"/>
          <w:szCs w:val="24"/>
        </w:rPr>
        <w:t>1. Si es correcto comparar entre ingresos de dinero de diferentes períodos anuales sin tener en cuenta el efecto de la inflación.</w:t>
      </w:r>
    </w:p>
    <w:p w14:paraId="6CF561D0" w14:textId="77777777" w:rsidR="002C6BDF" w:rsidRPr="006769C7" w:rsidRDefault="002C6BDF" w:rsidP="006769C7">
      <w:pPr>
        <w:spacing w:line="276" w:lineRule="auto"/>
        <w:ind w:left="567" w:right="618"/>
        <w:jc w:val="both"/>
        <w:rPr>
          <w:rFonts w:ascii="Arial" w:hAnsi="Arial" w:cs="Arial"/>
          <w:i/>
          <w:sz w:val="24"/>
          <w:szCs w:val="24"/>
        </w:rPr>
      </w:pPr>
    </w:p>
    <w:p w14:paraId="1CB65A15"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Desde el punto de vista de evolución de los estados financieros, con sus cifras reales obtenidas en cada año fiscal y que están registrados en los libros oficiales, son perfectamente comparables.</w:t>
      </w:r>
    </w:p>
    <w:p w14:paraId="1AAA924D" w14:textId="77777777" w:rsidR="002C6BDF" w:rsidRPr="006769C7" w:rsidRDefault="002C6BDF" w:rsidP="006769C7">
      <w:pPr>
        <w:spacing w:line="276" w:lineRule="auto"/>
        <w:ind w:left="567" w:right="618"/>
        <w:jc w:val="both"/>
        <w:rPr>
          <w:rFonts w:ascii="Arial" w:hAnsi="Arial" w:cs="Arial"/>
          <w:i/>
          <w:sz w:val="24"/>
          <w:szCs w:val="24"/>
        </w:rPr>
      </w:pPr>
    </w:p>
    <w:p w14:paraId="1CBB5011"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Si se quiere saber cuál es la incidencia de la inflación o de otras variables económicas (endógenas, exógenas o estoicas) sobre estos, se utilizarían una serie de herramientas de análisis sobre las cifras obtenidas y declaradas legalmente.</w:t>
      </w:r>
    </w:p>
    <w:p w14:paraId="58FB6993" w14:textId="77777777" w:rsidR="002C6BDF" w:rsidRPr="006769C7" w:rsidRDefault="002C6BDF" w:rsidP="006769C7">
      <w:pPr>
        <w:spacing w:line="276" w:lineRule="auto"/>
        <w:ind w:left="567" w:right="618"/>
        <w:jc w:val="both"/>
        <w:rPr>
          <w:rFonts w:ascii="Arial" w:hAnsi="Arial" w:cs="Arial"/>
          <w:i/>
          <w:sz w:val="24"/>
          <w:szCs w:val="24"/>
        </w:rPr>
      </w:pPr>
    </w:p>
    <w:p w14:paraId="400E1E98" w14:textId="77777777" w:rsidR="002C6BDF" w:rsidRPr="006769C7" w:rsidRDefault="002C6BDF" w:rsidP="006769C7">
      <w:pPr>
        <w:spacing w:line="276" w:lineRule="auto"/>
        <w:ind w:left="567" w:right="618"/>
        <w:jc w:val="both"/>
        <w:rPr>
          <w:rFonts w:ascii="Arial" w:hAnsi="Arial" w:cs="Arial"/>
          <w:b/>
          <w:i/>
          <w:sz w:val="24"/>
          <w:szCs w:val="24"/>
        </w:rPr>
      </w:pPr>
      <w:r w:rsidRPr="006769C7">
        <w:rPr>
          <w:rFonts w:ascii="Arial" w:hAnsi="Arial" w:cs="Arial"/>
          <w:b/>
          <w:i/>
          <w:sz w:val="24"/>
          <w:szCs w:val="24"/>
        </w:rPr>
        <w:t xml:space="preserve">2. Si la aplicación del método propuesto en el cuestionario debió considerar el efecto de la inflación. </w:t>
      </w:r>
    </w:p>
    <w:p w14:paraId="78B88029" w14:textId="77777777" w:rsidR="002C6BDF" w:rsidRPr="006769C7" w:rsidRDefault="002C6BDF" w:rsidP="006769C7">
      <w:pPr>
        <w:spacing w:line="276" w:lineRule="auto"/>
        <w:ind w:left="567" w:right="618"/>
        <w:jc w:val="both"/>
        <w:rPr>
          <w:rFonts w:ascii="Arial" w:hAnsi="Arial" w:cs="Arial"/>
          <w:b/>
          <w:i/>
          <w:sz w:val="24"/>
          <w:szCs w:val="24"/>
        </w:rPr>
      </w:pPr>
    </w:p>
    <w:p w14:paraId="5919A805"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El método propuesto por el demandante inicialmente no se propuso que se deflactaran las cifras o que se tuviera en cuenta el proceso inflacionario. </w:t>
      </w:r>
    </w:p>
    <w:p w14:paraId="484F9CDC" w14:textId="77777777" w:rsidR="002C6BDF" w:rsidRPr="006769C7" w:rsidRDefault="002C6BDF" w:rsidP="006769C7">
      <w:pPr>
        <w:spacing w:line="276" w:lineRule="auto"/>
        <w:ind w:left="567" w:right="618"/>
        <w:jc w:val="both"/>
        <w:rPr>
          <w:rFonts w:ascii="Arial" w:hAnsi="Arial" w:cs="Arial"/>
          <w:i/>
          <w:sz w:val="24"/>
          <w:szCs w:val="24"/>
        </w:rPr>
      </w:pPr>
    </w:p>
    <w:p w14:paraId="314183FB"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La teoría sobre los mínimos cuadrados que se adjuntan al presente proceso en el anexo No. 1, no especifica que es necesario incluir la devaluación. </w:t>
      </w:r>
    </w:p>
    <w:p w14:paraId="397108C7" w14:textId="77777777" w:rsidR="002C6BDF" w:rsidRPr="006769C7" w:rsidRDefault="002C6BDF" w:rsidP="006769C7">
      <w:pPr>
        <w:spacing w:line="276" w:lineRule="auto"/>
        <w:ind w:left="567" w:right="618"/>
        <w:jc w:val="both"/>
        <w:rPr>
          <w:rFonts w:ascii="Arial" w:hAnsi="Arial" w:cs="Arial"/>
          <w:i/>
          <w:sz w:val="24"/>
          <w:szCs w:val="24"/>
        </w:rPr>
      </w:pPr>
    </w:p>
    <w:p w14:paraId="406A96E8"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Lo importante es que dadas las condiciones variables que afectan las tendencias, es importante tener en cuenta dicha variable.</w:t>
      </w:r>
    </w:p>
    <w:p w14:paraId="542C093D" w14:textId="77777777" w:rsidR="002C6BDF" w:rsidRPr="006769C7" w:rsidRDefault="002C6BDF" w:rsidP="006769C7">
      <w:pPr>
        <w:spacing w:line="276" w:lineRule="auto"/>
        <w:ind w:left="567" w:right="618"/>
        <w:jc w:val="both"/>
        <w:rPr>
          <w:rFonts w:ascii="Arial" w:hAnsi="Arial" w:cs="Arial"/>
          <w:i/>
          <w:sz w:val="24"/>
          <w:szCs w:val="24"/>
        </w:rPr>
      </w:pPr>
    </w:p>
    <w:p w14:paraId="386B4386" w14:textId="77777777" w:rsidR="002C6BDF" w:rsidRPr="006769C7" w:rsidRDefault="002C6BDF" w:rsidP="006769C7">
      <w:pPr>
        <w:spacing w:line="276" w:lineRule="auto"/>
        <w:ind w:left="567" w:right="618"/>
        <w:jc w:val="both"/>
        <w:rPr>
          <w:rFonts w:ascii="Arial" w:hAnsi="Arial" w:cs="Arial"/>
          <w:b/>
          <w:i/>
          <w:sz w:val="24"/>
          <w:szCs w:val="24"/>
        </w:rPr>
      </w:pPr>
      <w:r w:rsidRPr="006769C7">
        <w:rPr>
          <w:rFonts w:ascii="Arial" w:hAnsi="Arial" w:cs="Arial"/>
          <w:b/>
          <w:i/>
          <w:sz w:val="24"/>
          <w:szCs w:val="24"/>
        </w:rPr>
        <w:lastRenderedPageBreak/>
        <w:t>3. Si la ausencia de consideración del efecto de la inflación distorsiona el resultado obtenido.</w:t>
      </w:r>
    </w:p>
    <w:p w14:paraId="060A47C5" w14:textId="77777777" w:rsidR="002C6BDF" w:rsidRPr="006769C7" w:rsidRDefault="002C6BDF" w:rsidP="006769C7">
      <w:pPr>
        <w:spacing w:line="276" w:lineRule="auto"/>
        <w:ind w:left="567" w:right="618"/>
        <w:jc w:val="both"/>
        <w:rPr>
          <w:rFonts w:ascii="Arial" w:hAnsi="Arial" w:cs="Arial"/>
          <w:b/>
          <w:i/>
          <w:sz w:val="24"/>
          <w:szCs w:val="24"/>
        </w:rPr>
      </w:pPr>
    </w:p>
    <w:p w14:paraId="53700D1C"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a. Qué es la inflación. Definición técnica: “Pérdida del poder adquisitivo de la moneda, cuya consecuencia o característica es el aumento general de precios de una economía”.</w:t>
      </w:r>
    </w:p>
    <w:p w14:paraId="0CB3BC06" w14:textId="77777777" w:rsidR="002C6BDF" w:rsidRPr="006769C7" w:rsidRDefault="002C6BDF" w:rsidP="006769C7">
      <w:pPr>
        <w:spacing w:line="276" w:lineRule="auto"/>
        <w:ind w:left="567" w:right="618"/>
        <w:jc w:val="both"/>
        <w:rPr>
          <w:rFonts w:ascii="Arial" w:hAnsi="Arial" w:cs="Arial"/>
          <w:i/>
          <w:sz w:val="24"/>
          <w:szCs w:val="24"/>
        </w:rPr>
      </w:pPr>
    </w:p>
    <w:p w14:paraId="6640E547"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b. Contablemente. Hay que aclarar que el Decreto 2912 de 1991 (Dic. 30) ordena ajustar los estados financieros de acuerdo con el I.P.C., lo cual se hizo en los estados financieros de 1992 de Punch, tal como lo certifica el Revisor Fiscal en su correspondiente Estado Financiero de 1992. </w:t>
      </w:r>
    </w:p>
    <w:p w14:paraId="62A8D059" w14:textId="77777777" w:rsidR="002C6BDF" w:rsidRPr="006769C7" w:rsidRDefault="002C6BDF" w:rsidP="006769C7">
      <w:pPr>
        <w:spacing w:line="276" w:lineRule="auto"/>
        <w:ind w:left="567" w:right="618"/>
        <w:jc w:val="both"/>
        <w:rPr>
          <w:rFonts w:ascii="Arial" w:hAnsi="Arial" w:cs="Arial"/>
          <w:i/>
          <w:sz w:val="24"/>
          <w:szCs w:val="24"/>
        </w:rPr>
      </w:pPr>
    </w:p>
    <w:p w14:paraId="014DD455"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c. Lo anterior quiere decir que solo se aplicaría el ajuste a los estados financieros de los años 1987-1991, ya que en los años anteriores no se efectuó dicha práctica?</w:t>
      </w:r>
    </w:p>
    <w:p w14:paraId="21D766DF" w14:textId="77777777" w:rsidR="002C6BDF" w:rsidRPr="006769C7" w:rsidRDefault="002C6BDF" w:rsidP="006769C7">
      <w:pPr>
        <w:spacing w:line="276" w:lineRule="auto"/>
        <w:ind w:left="567" w:right="618"/>
        <w:jc w:val="both"/>
        <w:rPr>
          <w:rFonts w:ascii="Arial" w:hAnsi="Arial" w:cs="Arial"/>
          <w:i/>
          <w:sz w:val="24"/>
          <w:szCs w:val="24"/>
        </w:rPr>
      </w:pPr>
    </w:p>
    <w:p w14:paraId="5F923002" w14:textId="77777777" w:rsidR="002C6BDF" w:rsidRPr="006769C7" w:rsidRDefault="002C6BDF" w:rsidP="006769C7">
      <w:pPr>
        <w:spacing w:line="276" w:lineRule="auto"/>
        <w:ind w:left="567" w:right="618"/>
        <w:jc w:val="both"/>
        <w:rPr>
          <w:rFonts w:ascii="Arial" w:hAnsi="Arial" w:cs="Arial"/>
          <w:b/>
          <w:i/>
          <w:sz w:val="24"/>
          <w:szCs w:val="24"/>
        </w:rPr>
      </w:pPr>
      <w:r w:rsidRPr="006769C7">
        <w:rPr>
          <w:rFonts w:ascii="Arial" w:hAnsi="Arial" w:cs="Arial"/>
          <w:b/>
          <w:i/>
          <w:sz w:val="24"/>
          <w:szCs w:val="24"/>
        </w:rPr>
        <w:t>4. Cuál sería el resultado en caso de haber considerado, en aplicación del método propuesto, el efecto inflación.</w:t>
      </w:r>
    </w:p>
    <w:p w14:paraId="0648AE82" w14:textId="77777777" w:rsidR="002C6BDF" w:rsidRPr="006769C7" w:rsidRDefault="002C6BDF" w:rsidP="006769C7">
      <w:pPr>
        <w:spacing w:line="276" w:lineRule="auto"/>
        <w:ind w:left="567" w:right="618"/>
        <w:jc w:val="both"/>
        <w:rPr>
          <w:rFonts w:ascii="Arial" w:hAnsi="Arial" w:cs="Arial"/>
          <w:b/>
          <w:i/>
          <w:sz w:val="24"/>
          <w:szCs w:val="24"/>
        </w:rPr>
      </w:pPr>
    </w:p>
    <w:p w14:paraId="2D5B7111"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Con el propósito de responder la solicitud de los cálculos, es decir, tener en cuenta el efecto inflación en la “utilidad operacional” se solicitaron los Estados Financieros de Punch S.A., debidamente certificado por el Revisor Fiscal, tomando de ellos la siguiente Unidad Operacional, sobre la cual se solicita aplicar los índices de inflación.</w:t>
      </w:r>
    </w:p>
    <w:p w14:paraId="280D69BA" w14:textId="77777777" w:rsidR="002C6BDF" w:rsidRPr="006769C7" w:rsidRDefault="002C6BDF" w:rsidP="006769C7">
      <w:pPr>
        <w:spacing w:line="276" w:lineRule="auto"/>
        <w:ind w:right="618"/>
        <w:jc w:val="both"/>
        <w:rPr>
          <w:rFonts w:ascii="Arial" w:hAnsi="Arial" w:cs="Arial"/>
          <w:i/>
          <w:sz w:val="24"/>
          <w:szCs w:val="24"/>
        </w:rPr>
      </w:pPr>
    </w:p>
    <w:p w14:paraId="259DC22A"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Años</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Utilidad Operacional</w:t>
      </w:r>
    </w:p>
    <w:p w14:paraId="302E8493" w14:textId="77777777" w:rsidR="002C6BDF" w:rsidRPr="006769C7" w:rsidRDefault="002C6BDF" w:rsidP="006769C7">
      <w:pPr>
        <w:spacing w:line="276" w:lineRule="auto"/>
        <w:ind w:left="567" w:right="618"/>
        <w:jc w:val="both"/>
        <w:rPr>
          <w:rFonts w:ascii="Arial" w:hAnsi="Arial" w:cs="Arial"/>
          <w:i/>
          <w:sz w:val="24"/>
          <w:szCs w:val="24"/>
        </w:rPr>
      </w:pPr>
    </w:p>
    <w:p w14:paraId="03A0C18A"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1987</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 xml:space="preserve">   62.983.649</w:t>
      </w:r>
    </w:p>
    <w:p w14:paraId="492D7F35"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1988</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 xml:space="preserve">   84.966.099</w:t>
      </w:r>
    </w:p>
    <w:p w14:paraId="7175F74E"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1989</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166.500.534</w:t>
      </w:r>
    </w:p>
    <w:p w14:paraId="559D707C"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1990</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146.212.737</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170.604.136 (1)</w:t>
      </w:r>
    </w:p>
    <w:p w14:paraId="13F11659"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1991</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337.016.092</w:t>
      </w:r>
    </w:p>
    <w:p w14:paraId="22F30AE2"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1992</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275.791.676</w:t>
      </w:r>
    </w:p>
    <w:p w14:paraId="60F53C91" w14:textId="77777777" w:rsidR="002C6BDF" w:rsidRPr="006769C7" w:rsidRDefault="002C6BDF" w:rsidP="006769C7">
      <w:pPr>
        <w:spacing w:line="276" w:lineRule="auto"/>
        <w:ind w:left="567" w:right="618"/>
        <w:jc w:val="both"/>
        <w:rPr>
          <w:rFonts w:ascii="Arial" w:hAnsi="Arial" w:cs="Arial"/>
          <w:i/>
          <w:sz w:val="24"/>
          <w:szCs w:val="24"/>
        </w:rPr>
      </w:pPr>
    </w:p>
    <w:p w14:paraId="3B2176EB"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(1) En los Balances comparativos de 1990, aparecen dos partidas de utilidad o pérdida operacional. Se toma la utilidad del Balance certificado por el Revisor Fiscal del año 1990.</w:t>
      </w:r>
    </w:p>
    <w:p w14:paraId="0DDBF2F6" w14:textId="77777777" w:rsidR="002C6BDF" w:rsidRPr="006769C7" w:rsidRDefault="002C6BDF" w:rsidP="006769C7">
      <w:pPr>
        <w:spacing w:line="276" w:lineRule="auto"/>
        <w:ind w:left="567" w:right="618"/>
        <w:jc w:val="both"/>
        <w:rPr>
          <w:rFonts w:ascii="Arial" w:hAnsi="Arial" w:cs="Arial"/>
          <w:i/>
          <w:sz w:val="24"/>
          <w:szCs w:val="24"/>
        </w:rPr>
      </w:pPr>
    </w:p>
    <w:p w14:paraId="4A0475D3"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La diferencia en las partidas de 1990, se registra en la cuenta de “gastos generales” en los dos estados financieros presentados así:</w:t>
      </w:r>
    </w:p>
    <w:p w14:paraId="2828EACF"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Gastos generales (1990)    298.638.835</w:t>
      </w:r>
      <w:r w:rsidRPr="006769C7">
        <w:rPr>
          <w:rFonts w:ascii="Arial" w:hAnsi="Arial" w:cs="Arial"/>
          <w:i/>
          <w:sz w:val="24"/>
          <w:szCs w:val="24"/>
        </w:rPr>
        <w:tab/>
        <w:t xml:space="preserve"> 274.247.43 (24.391.399)</w:t>
      </w:r>
    </w:p>
    <w:p w14:paraId="44C4C1CB" w14:textId="77777777" w:rsidR="002C6BDF" w:rsidRPr="006769C7" w:rsidRDefault="002C6BDF" w:rsidP="006769C7">
      <w:pPr>
        <w:spacing w:line="276" w:lineRule="auto"/>
        <w:ind w:left="567" w:right="618"/>
        <w:jc w:val="both"/>
        <w:rPr>
          <w:rFonts w:ascii="Arial" w:hAnsi="Arial" w:cs="Arial"/>
          <w:i/>
          <w:sz w:val="24"/>
          <w:szCs w:val="24"/>
        </w:rPr>
      </w:pPr>
    </w:p>
    <w:p w14:paraId="4B4B643C"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Esta diferencia obedece a que en un Estado de Resultados lo presentan como egresos por canje y en otros lo llevan Gastos generales, mostrando por lo tanto una reclasificación sin dar explicación alguna. </w:t>
      </w:r>
    </w:p>
    <w:p w14:paraId="26512352" w14:textId="77777777" w:rsidR="002C6BDF" w:rsidRPr="006769C7" w:rsidRDefault="002C6BDF" w:rsidP="006769C7">
      <w:pPr>
        <w:spacing w:line="276" w:lineRule="auto"/>
        <w:ind w:left="567" w:right="618"/>
        <w:jc w:val="both"/>
        <w:rPr>
          <w:rFonts w:ascii="Arial" w:hAnsi="Arial" w:cs="Arial"/>
          <w:i/>
          <w:sz w:val="24"/>
          <w:szCs w:val="24"/>
        </w:rPr>
      </w:pPr>
    </w:p>
    <w:p w14:paraId="11C4CC3F"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lastRenderedPageBreak/>
        <w:t>Con el fin de evitar errores se toman las cifras certificadas del ejercicio de 1990 a las cuales le aplicamos el I.P.C. de cada uno de los años:</w:t>
      </w:r>
    </w:p>
    <w:p w14:paraId="45DC3CFE"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 xml:space="preserve">    </w:t>
      </w:r>
    </w:p>
    <w:p w14:paraId="2D1CA747"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(1)</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 xml:space="preserve">    (2)</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(1) + (2)</w:t>
      </w:r>
    </w:p>
    <w:p w14:paraId="3F4A21D0"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Años</w:t>
      </w:r>
      <w:r w:rsidRPr="006769C7">
        <w:rPr>
          <w:rFonts w:ascii="Arial" w:hAnsi="Arial" w:cs="Arial"/>
          <w:i/>
          <w:sz w:val="24"/>
          <w:szCs w:val="24"/>
        </w:rPr>
        <w:tab/>
        <w:t xml:space="preserve">Utilidad Operacional </w:t>
      </w:r>
      <w:r w:rsidRPr="006769C7">
        <w:rPr>
          <w:rFonts w:ascii="Arial" w:hAnsi="Arial" w:cs="Arial"/>
          <w:i/>
          <w:sz w:val="24"/>
          <w:szCs w:val="24"/>
        </w:rPr>
        <w:tab/>
        <w:t>I.P.C. Anual         Base cálculo</w:t>
      </w:r>
    </w:p>
    <w:p w14:paraId="1A000C4B"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 </w:t>
      </w:r>
    </w:p>
    <w:p w14:paraId="0EE46A06"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1987</w:t>
      </w:r>
      <w:r w:rsidRPr="006769C7">
        <w:rPr>
          <w:rFonts w:ascii="Arial" w:hAnsi="Arial" w:cs="Arial"/>
          <w:i/>
          <w:sz w:val="24"/>
          <w:szCs w:val="24"/>
        </w:rPr>
        <w:tab/>
      </w:r>
      <w:r w:rsidRPr="006769C7">
        <w:rPr>
          <w:rFonts w:ascii="Arial" w:hAnsi="Arial" w:cs="Arial"/>
          <w:i/>
          <w:sz w:val="24"/>
          <w:szCs w:val="24"/>
        </w:rPr>
        <w:tab/>
        <w:t>62.983.649</w:t>
      </w:r>
      <w:r w:rsidRPr="006769C7">
        <w:rPr>
          <w:rFonts w:ascii="Arial" w:hAnsi="Arial" w:cs="Arial"/>
          <w:i/>
          <w:sz w:val="24"/>
          <w:szCs w:val="24"/>
        </w:rPr>
        <w:tab/>
      </w:r>
      <w:r w:rsidRPr="006769C7">
        <w:rPr>
          <w:rFonts w:ascii="Arial" w:hAnsi="Arial" w:cs="Arial"/>
          <w:i/>
          <w:sz w:val="24"/>
          <w:szCs w:val="24"/>
        </w:rPr>
        <w:tab/>
        <w:t>22,64</w:t>
      </w:r>
      <w:r w:rsidRPr="006769C7">
        <w:rPr>
          <w:rFonts w:ascii="Arial" w:hAnsi="Arial" w:cs="Arial"/>
          <w:i/>
          <w:sz w:val="24"/>
          <w:szCs w:val="24"/>
        </w:rPr>
        <w:tab/>
      </w:r>
      <w:r w:rsidRPr="006769C7">
        <w:rPr>
          <w:rFonts w:ascii="Arial" w:hAnsi="Arial" w:cs="Arial"/>
          <w:i/>
          <w:sz w:val="24"/>
          <w:szCs w:val="24"/>
        </w:rPr>
        <w:tab/>
      </w:r>
      <w:r w:rsidRPr="006769C7">
        <w:rPr>
          <w:rFonts w:ascii="Arial" w:hAnsi="Arial" w:cs="Arial"/>
          <w:i/>
          <w:sz w:val="24"/>
          <w:szCs w:val="24"/>
        </w:rPr>
        <w:tab/>
        <w:t>77.234.147</w:t>
      </w:r>
    </w:p>
    <w:p w14:paraId="6BC4144F"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1988</w:t>
      </w:r>
      <w:r w:rsidRPr="006769C7">
        <w:rPr>
          <w:rFonts w:ascii="Arial" w:hAnsi="Arial" w:cs="Arial"/>
          <w:i/>
          <w:sz w:val="24"/>
          <w:szCs w:val="24"/>
        </w:rPr>
        <w:tab/>
      </w:r>
      <w:r w:rsidRPr="006769C7">
        <w:rPr>
          <w:rFonts w:ascii="Arial" w:hAnsi="Arial" w:cs="Arial"/>
          <w:i/>
          <w:sz w:val="24"/>
          <w:szCs w:val="24"/>
        </w:rPr>
        <w:tab/>
        <w:t>84.966.099</w:t>
      </w:r>
      <w:r w:rsidRPr="006769C7">
        <w:rPr>
          <w:rFonts w:ascii="Arial" w:hAnsi="Arial" w:cs="Arial"/>
          <w:i/>
          <w:sz w:val="24"/>
          <w:szCs w:val="24"/>
        </w:rPr>
        <w:tab/>
      </w:r>
      <w:r w:rsidRPr="006769C7">
        <w:rPr>
          <w:rFonts w:ascii="Arial" w:hAnsi="Arial" w:cs="Arial"/>
          <w:i/>
          <w:sz w:val="24"/>
          <w:szCs w:val="24"/>
        </w:rPr>
        <w:tab/>
        <w:t>27.64</w:t>
      </w:r>
      <w:r w:rsidRPr="006769C7">
        <w:rPr>
          <w:rFonts w:ascii="Arial" w:hAnsi="Arial" w:cs="Arial"/>
          <w:i/>
          <w:sz w:val="24"/>
          <w:szCs w:val="24"/>
        </w:rPr>
        <w:tab/>
      </w:r>
      <w:r w:rsidRPr="006769C7">
        <w:rPr>
          <w:rFonts w:ascii="Arial" w:hAnsi="Arial" w:cs="Arial"/>
          <w:i/>
          <w:sz w:val="24"/>
          <w:szCs w:val="24"/>
        </w:rPr>
        <w:tab/>
        <w:t xml:space="preserve">         108.450.728</w:t>
      </w:r>
    </w:p>
    <w:p w14:paraId="5C4C1A60"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1989</w:t>
      </w:r>
      <w:r w:rsidRPr="006769C7">
        <w:rPr>
          <w:rFonts w:ascii="Arial" w:hAnsi="Arial" w:cs="Arial"/>
          <w:i/>
          <w:sz w:val="24"/>
          <w:szCs w:val="24"/>
        </w:rPr>
        <w:tab/>
        <w:t xml:space="preserve">         166.500.534</w:t>
      </w:r>
      <w:r w:rsidRPr="006769C7">
        <w:rPr>
          <w:rFonts w:ascii="Arial" w:hAnsi="Arial" w:cs="Arial"/>
          <w:i/>
          <w:sz w:val="24"/>
          <w:szCs w:val="24"/>
        </w:rPr>
        <w:tab/>
      </w:r>
      <w:r w:rsidRPr="006769C7">
        <w:rPr>
          <w:rFonts w:ascii="Arial" w:hAnsi="Arial" w:cs="Arial"/>
          <w:i/>
          <w:sz w:val="24"/>
          <w:szCs w:val="24"/>
        </w:rPr>
        <w:tab/>
        <w:t>26.09</w:t>
      </w:r>
      <w:r w:rsidRPr="006769C7">
        <w:rPr>
          <w:rFonts w:ascii="Arial" w:hAnsi="Arial" w:cs="Arial"/>
          <w:i/>
          <w:sz w:val="24"/>
          <w:szCs w:val="24"/>
        </w:rPr>
        <w:tab/>
      </w:r>
      <w:r w:rsidRPr="006769C7">
        <w:rPr>
          <w:rFonts w:ascii="Arial" w:hAnsi="Arial" w:cs="Arial"/>
          <w:i/>
          <w:sz w:val="24"/>
          <w:szCs w:val="24"/>
        </w:rPr>
        <w:tab/>
        <w:t xml:space="preserve">         209.940.523</w:t>
      </w:r>
    </w:p>
    <w:p w14:paraId="6E9CC27E"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1990</w:t>
      </w:r>
      <w:r w:rsidRPr="006769C7">
        <w:rPr>
          <w:rFonts w:ascii="Arial" w:hAnsi="Arial" w:cs="Arial"/>
          <w:i/>
          <w:sz w:val="24"/>
          <w:szCs w:val="24"/>
        </w:rPr>
        <w:tab/>
        <w:t xml:space="preserve">         146.212.737</w:t>
      </w:r>
      <w:r w:rsidRPr="006769C7">
        <w:rPr>
          <w:rFonts w:ascii="Arial" w:hAnsi="Arial" w:cs="Arial"/>
          <w:i/>
          <w:sz w:val="24"/>
          <w:szCs w:val="24"/>
        </w:rPr>
        <w:tab/>
      </w:r>
      <w:r w:rsidRPr="006769C7">
        <w:rPr>
          <w:rFonts w:ascii="Arial" w:hAnsi="Arial" w:cs="Arial"/>
          <w:i/>
          <w:sz w:val="24"/>
          <w:szCs w:val="24"/>
        </w:rPr>
        <w:tab/>
        <w:t>31.89</w:t>
      </w:r>
      <w:r w:rsidRPr="006769C7">
        <w:rPr>
          <w:rFonts w:ascii="Arial" w:hAnsi="Arial" w:cs="Arial"/>
          <w:i/>
          <w:sz w:val="24"/>
          <w:szCs w:val="24"/>
        </w:rPr>
        <w:tab/>
      </w:r>
      <w:r w:rsidRPr="006769C7">
        <w:rPr>
          <w:rFonts w:ascii="Arial" w:hAnsi="Arial" w:cs="Arial"/>
          <w:i/>
          <w:sz w:val="24"/>
          <w:szCs w:val="24"/>
        </w:rPr>
        <w:tab/>
        <w:t xml:space="preserve">         192.839.978</w:t>
      </w:r>
    </w:p>
    <w:p w14:paraId="0EDE5203"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1991</w:t>
      </w:r>
      <w:r w:rsidRPr="006769C7">
        <w:rPr>
          <w:rFonts w:ascii="Arial" w:hAnsi="Arial" w:cs="Arial"/>
          <w:i/>
          <w:sz w:val="24"/>
          <w:szCs w:val="24"/>
        </w:rPr>
        <w:tab/>
        <w:t xml:space="preserve">         337.016.092</w:t>
      </w:r>
      <w:r w:rsidRPr="006769C7">
        <w:rPr>
          <w:rFonts w:ascii="Arial" w:hAnsi="Arial" w:cs="Arial"/>
          <w:i/>
          <w:sz w:val="24"/>
          <w:szCs w:val="24"/>
        </w:rPr>
        <w:tab/>
      </w:r>
      <w:r w:rsidRPr="006769C7">
        <w:rPr>
          <w:rFonts w:ascii="Arial" w:hAnsi="Arial" w:cs="Arial"/>
          <w:i/>
          <w:sz w:val="24"/>
          <w:szCs w:val="24"/>
        </w:rPr>
        <w:tab/>
        <w:t>26.97</w:t>
      </w:r>
      <w:r w:rsidRPr="006769C7">
        <w:rPr>
          <w:rFonts w:ascii="Arial" w:hAnsi="Arial" w:cs="Arial"/>
          <w:i/>
          <w:sz w:val="24"/>
          <w:szCs w:val="24"/>
        </w:rPr>
        <w:tab/>
      </w:r>
      <w:r w:rsidRPr="006769C7">
        <w:rPr>
          <w:rFonts w:ascii="Arial" w:hAnsi="Arial" w:cs="Arial"/>
          <w:i/>
          <w:sz w:val="24"/>
          <w:szCs w:val="24"/>
        </w:rPr>
        <w:tab/>
        <w:t xml:space="preserve">         427.909.332</w:t>
      </w:r>
    </w:p>
    <w:p w14:paraId="01FD08D9"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1992</w:t>
      </w:r>
      <w:r w:rsidRPr="006769C7">
        <w:rPr>
          <w:rFonts w:ascii="Arial" w:hAnsi="Arial" w:cs="Arial"/>
          <w:i/>
          <w:sz w:val="24"/>
          <w:szCs w:val="24"/>
        </w:rPr>
        <w:tab/>
        <w:t xml:space="preserve">         275.791.676</w:t>
      </w:r>
      <w:r w:rsidRPr="006769C7">
        <w:rPr>
          <w:rFonts w:ascii="Arial" w:hAnsi="Arial" w:cs="Arial"/>
          <w:i/>
          <w:sz w:val="24"/>
          <w:szCs w:val="24"/>
        </w:rPr>
        <w:tab/>
        <w:t xml:space="preserve">           -0- *</w:t>
      </w:r>
      <w:r w:rsidRPr="006769C7">
        <w:rPr>
          <w:rFonts w:ascii="Arial" w:hAnsi="Arial" w:cs="Arial"/>
          <w:i/>
          <w:sz w:val="24"/>
          <w:szCs w:val="24"/>
        </w:rPr>
        <w:tab/>
      </w:r>
      <w:r w:rsidRPr="006769C7">
        <w:rPr>
          <w:rFonts w:ascii="Arial" w:hAnsi="Arial" w:cs="Arial"/>
          <w:i/>
          <w:sz w:val="24"/>
          <w:szCs w:val="24"/>
        </w:rPr>
        <w:tab/>
        <w:t xml:space="preserve">         257.791.676</w:t>
      </w:r>
    </w:p>
    <w:p w14:paraId="63491272" w14:textId="77777777" w:rsidR="002C6BDF" w:rsidRPr="006769C7" w:rsidRDefault="002C6BDF" w:rsidP="006769C7">
      <w:pPr>
        <w:spacing w:line="276" w:lineRule="auto"/>
        <w:ind w:left="567" w:right="618"/>
        <w:jc w:val="both"/>
        <w:rPr>
          <w:rFonts w:ascii="Arial" w:hAnsi="Arial" w:cs="Arial"/>
          <w:i/>
          <w:sz w:val="24"/>
          <w:szCs w:val="24"/>
        </w:rPr>
      </w:pPr>
    </w:p>
    <w:p w14:paraId="0555804D"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*No se aplica el I.P.C. ya que los estados financieros recibieron dicho tratamiento, según certificación de los Estados Financieros de tal año. </w:t>
      </w:r>
    </w:p>
    <w:p w14:paraId="3C27CF22" w14:textId="77777777" w:rsidR="002C6BDF" w:rsidRPr="006769C7" w:rsidRDefault="002C6BDF" w:rsidP="006769C7">
      <w:pPr>
        <w:spacing w:line="276" w:lineRule="auto"/>
        <w:ind w:left="567" w:right="618"/>
        <w:jc w:val="both"/>
        <w:rPr>
          <w:rFonts w:ascii="Arial" w:hAnsi="Arial" w:cs="Arial"/>
          <w:i/>
          <w:sz w:val="24"/>
          <w:szCs w:val="24"/>
        </w:rPr>
      </w:pPr>
    </w:p>
    <w:p w14:paraId="5E4217ED"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289CD15D"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CURVA DE AJUSTE Y MÉTODO DE MÍNIMOS CUADRADOS</w:t>
      </w:r>
    </w:p>
    <w:p w14:paraId="2318B6B4" w14:textId="77777777" w:rsidR="002C6BDF" w:rsidRPr="006769C7" w:rsidRDefault="002C6BDF" w:rsidP="006769C7">
      <w:pPr>
        <w:spacing w:line="276" w:lineRule="auto"/>
        <w:ind w:left="567" w:right="618"/>
        <w:jc w:val="both"/>
        <w:rPr>
          <w:rFonts w:ascii="Arial" w:hAnsi="Arial" w:cs="Arial"/>
          <w:i/>
          <w:sz w:val="24"/>
          <w:szCs w:val="24"/>
        </w:rPr>
      </w:pPr>
    </w:p>
    <w:p w14:paraId="0625C9AC"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El método de mínimos cuadrados se basa en la ecuación de regresión o de la LÍNEA RECTA, cuya fórmula es:</w:t>
      </w:r>
    </w:p>
    <w:p w14:paraId="72B67A63" w14:textId="77777777" w:rsidR="002C6BDF" w:rsidRPr="006769C7" w:rsidRDefault="002C6BDF" w:rsidP="006769C7">
      <w:pPr>
        <w:spacing w:line="276" w:lineRule="auto"/>
        <w:ind w:left="567" w:right="618"/>
        <w:jc w:val="both"/>
        <w:rPr>
          <w:rFonts w:ascii="Arial" w:hAnsi="Arial" w:cs="Arial"/>
          <w:i/>
          <w:sz w:val="24"/>
          <w:szCs w:val="24"/>
        </w:rPr>
      </w:pPr>
    </w:p>
    <w:p w14:paraId="5D821CED"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Y = bx + c</w:t>
      </w:r>
    </w:p>
    <w:p w14:paraId="639C9EC4"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 </w:t>
      </w:r>
    </w:p>
    <w:p w14:paraId="0A83A9E9"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Como se observa en el cuadro de la siguiente página, las cantidades muestran una serie cronológica de 1987 a 1994, con sus correspondientes cálculos incluyendo la de 1994, aunque no se pide dicha cifra. </w:t>
      </w:r>
    </w:p>
    <w:p w14:paraId="781A07EA"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19AE85A9" w14:textId="77777777" w:rsidR="002C6BDF" w:rsidRPr="006769C7" w:rsidRDefault="002C6BDF" w:rsidP="006769C7">
      <w:pPr>
        <w:spacing w:line="276" w:lineRule="auto"/>
        <w:ind w:left="567" w:right="618"/>
        <w:jc w:val="both"/>
        <w:rPr>
          <w:rFonts w:ascii="Arial" w:hAnsi="Arial" w:cs="Arial"/>
          <w:i/>
          <w:sz w:val="24"/>
          <w:szCs w:val="24"/>
        </w:rPr>
      </w:pPr>
    </w:p>
    <w:p w14:paraId="574A5C5D"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Como se pudo observar, una vez desarrollada la fórmula matemática y teniendo en cuenta:</w:t>
      </w:r>
    </w:p>
    <w:p w14:paraId="5AC64FEC"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-La utilidad operacional</w:t>
      </w:r>
    </w:p>
    <w:p w14:paraId="04F4FF68"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-El I.P.C aplicado a cada uno de los años objeto de análisis</w:t>
      </w:r>
    </w:p>
    <w:p w14:paraId="45F6F71F"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-[Con] la fórmula matemática de los mínimos cuadrados se obtendría la siguiente situación:</w:t>
      </w:r>
    </w:p>
    <w:p w14:paraId="2E733EE6" w14:textId="77777777" w:rsidR="002C6BDF" w:rsidRPr="006769C7" w:rsidRDefault="002C6BDF" w:rsidP="006769C7">
      <w:pPr>
        <w:spacing w:line="276" w:lineRule="auto"/>
        <w:ind w:left="567" w:right="618"/>
        <w:jc w:val="both"/>
        <w:rPr>
          <w:rFonts w:ascii="Arial" w:hAnsi="Arial" w:cs="Arial"/>
          <w:i/>
          <w:sz w:val="24"/>
          <w:szCs w:val="24"/>
        </w:rPr>
      </w:pPr>
    </w:p>
    <w:p w14:paraId="1640C0D8"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Para el año de 1993, la utilidad operacional calculada con base en las anteriores variables sería de $378.573.814.</w:t>
      </w:r>
    </w:p>
    <w:p w14:paraId="4D32D64A"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3253BB16" w14:textId="77777777" w:rsidR="002C6BDF" w:rsidRPr="006769C7" w:rsidRDefault="002C6BDF" w:rsidP="006769C7">
      <w:pPr>
        <w:spacing w:line="276" w:lineRule="auto"/>
        <w:ind w:left="567" w:right="618"/>
        <w:jc w:val="both"/>
        <w:rPr>
          <w:rFonts w:ascii="Arial" w:hAnsi="Arial" w:cs="Arial"/>
          <w:i/>
          <w:sz w:val="24"/>
          <w:szCs w:val="24"/>
        </w:rPr>
      </w:pPr>
    </w:p>
    <w:p w14:paraId="513D0B8A" w14:textId="77777777" w:rsidR="002C6BDF" w:rsidRPr="006769C7" w:rsidRDefault="002C6BDF" w:rsidP="006769C7">
      <w:pPr>
        <w:spacing w:line="276" w:lineRule="auto"/>
        <w:ind w:left="567" w:right="618"/>
        <w:jc w:val="both"/>
        <w:rPr>
          <w:rFonts w:ascii="Arial" w:hAnsi="Arial" w:cs="Arial"/>
          <w:b/>
          <w:i/>
          <w:sz w:val="24"/>
          <w:szCs w:val="24"/>
        </w:rPr>
      </w:pPr>
      <w:r w:rsidRPr="006769C7">
        <w:rPr>
          <w:rFonts w:ascii="Arial" w:hAnsi="Arial" w:cs="Arial"/>
          <w:b/>
          <w:i/>
          <w:sz w:val="24"/>
          <w:szCs w:val="24"/>
        </w:rPr>
        <w:t xml:space="preserve">1. Es técnicamente correcto deducir unos ingresos hipotéticos de presupuestos que no se repitieron en el período que se quiere proyectar. </w:t>
      </w:r>
    </w:p>
    <w:p w14:paraId="2DF09117" w14:textId="77777777" w:rsidR="002C6BDF" w:rsidRPr="006769C7" w:rsidRDefault="002C6BDF" w:rsidP="006769C7">
      <w:pPr>
        <w:spacing w:line="276" w:lineRule="auto"/>
        <w:ind w:left="567" w:right="618"/>
        <w:jc w:val="both"/>
        <w:rPr>
          <w:rFonts w:ascii="Arial" w:hAnsi="Arial" w:cs="Arial"/>
          <w:i/>
          <w:sz w:val="24"/>
          <w:szCs w:val="24"/>
        </w:rPr>
      </w:pPr>
    </w:p>
    <w:p w14:paraId="00FADEAD"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Para efectuar proyecciones que se ajustan a la realidad, es necesario establecer, como se dijo anteriormente, las VARIABLE</w:t>
      </w:r>
      <w:r w:rsidRPr="006769C7">
        <w:rPr>
          <w:rFonts w:ascii="Arial" w:hAnsi="Arial" w:cs="Arial"/>
          <w:b/>
          <w:i/>
          <w:sz w:val="24"/>
          <w:szCs w:val="24"/>
        </w:rPr>
        <w:t xml:space="preserve">S </w:t>
      </w:r>
      <w:r w:rsidRPr="006769C7">
        <w:rPr>
          <w:rFonts w:ascii="Arial" w:hAnsi="Arial" w:cs="Arial"/>
          <w:i/>
          <w:sz w:val="24"/>
          <w:szCs w:val="24"/>
        </w:rPr>
        <w:t>ECONÓMICAS, que sean comparables y complementarias en el tiempo.</w:t>
      </w:r>
    </w:p>
    <w:p w14:paraId="333D329E" w14:textId="77777777" w:rsidR="002C6BDF" w:rsidRPr="006769C7" w:rsidRDefault="002C6BDF" w:rsidP="006769C7">
      <w:pPr>
        <w:spacing w:line="276" w:lineRule="auto"/>
        <w:ind w:left="567" w:right="618"/>
        <w:jc w:val="both"/>
        <w:rPr>
          <w:rFonts w:ascii="Arial" w:hAnsi="Arial" w:cs="Arial"/>
          <w:i/>
          <w:sz w:val="24"/>
          <w:szCs w:val="24"/>
        </w:rPr>
      </w:pPr>
    </w:p>
    <w:p w14:paraId="4DCBB1D6"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Es importante establecer cuáles variables, tanto internas, externas o impredecibles afectaron los correspondientes ejercicios y volverlas comparativas en el tiempo y espacio.</w:t>
      </w:r>
    </w:p>
    <w:p w14:paraId="1A724D4D" w14:textId="77777777" w:rsidR="002C6BDF" w:rsidRPr="006769C7" w:rsidRDefault="002C6BDF" w:rsidP="006769C7">
      <w:pPr>
        <w:spacing w:line="276" w:lineRule="auto"/>
        <w:ind w:left="567" w:right="618"/>
        <w:jc w:val="both"/>
        <w:rPr>
          <w:rFonts w:ascii="Arial" w:hAnsi="Arial" w:cs="Arial"/>
          <w:i/>
          <w:sz w:val="24"/>
          <w:szCs w:val="24"/>
        </w:rPr>
      </w:pPr>
    </w:p>
    <w:p w14:paraId="2E0C4A02"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b/>
          <w:i/>
          <w:sz w:val="24"/>
          <w:szCs w:val="24"/>
        </w:rPr>
        <w:t>2. Es técnicamente correcto utilizar información contable de PUNCH de los años 1987 a 1991 para calcular los ingresos de 1992</w:t>
      </w:r>
      <w:r w:rsidRPr="006769C7">
        <w:rPr>
          <w:rFonts w:ascii="Arial" w:hAnsi="Arial" w:cs="Arial"/>
          <w:i/>
          <w:sz w:val="24"/>
          <w:szCs w:val="24"/>
        </w:rPr>
        <w:t>.</w:t>
      </w:r>
    </w:p>
    <w:p w14:paraId="287FE9B2" w14:textId="77777777" w:rsidR="002C6BDF" w:rsidRPr="006769C7" w:rsidRDefault="002C6BDF" w:rsidP="006769C7">
      <w:pPr>
        <w:spacing w:line="276" w:lineRule="auto"/>
        <w:ind w:left="567" w:right="618"/>
        <w:jc w:val="both"/>
        <w:rPr>
          <w:rFonts w:ascii="Arial" w:hAnsi="Arial" w:cs="Arial"/>
          <w:i/>
          <w:sz w:val="24"/>
          <w:szCs w:val="24"/>
        </w:rPr>
      </w:pPr>
    </w:p>
    <w:p w14:paraId="4E3529A1"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El análisis financiero es una herramienta de trabajo que permite determinar cuál fue la evolución contable de una empresa dentro de una variación anual. Un análisis estático evolutivo sobre unas cifras que se reflejan en uña (sic) fiscal.</w:t>
      </w:r>
    </w:p>
    <w:p w14:paraId="688AE8C4" w14:textId="77777777" w:rsidR="002C6BDF" w:rsidRPr="006769C7" w:rsidRDefault="002C6BDF" w:rsidP="006769C7">
      <w:pPr>
        <w:spacing w:line="276" w:lineRule="auto"/>
        <w:ind w:left="567" w:right="618"/>
        <w:jc w:val="both"/>
        <w:rPr>
          <w:rFonts w:ascii="Arial" w:hAnsi="Arial" w:cs="Arial"/>
          <w:i/>
          <w:sz w:val="24"/>
          <w:szCs w:val="24"/>
        </w:rPr>
      </w:pPr>
    </w:p>
    <w:p w14:paraId="34109AE5"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Si el año 1992 está afectado por variables como los ajustes por inflación, por nuevos productos en el mercado, nuevos contratos, apagón eléctrico (variables internas, externas e impredecibles), que no afectaron los ejercicios anteriores, no serían comparables.</w:t>
      </w:r>
    </w:p>
    <w:p w14:paraId="7C13080C" w14:textId="77777777" w:rsidR="002C6BDF" w:rsidRPr="006769C7" w:rsidRDefault="002C6BDF" w:rsidP="006769C7">
      <w:pPr>
        <w:spacing w:line="276" w:lineRule="auto"/>
        <w:ind w:left="567" w:right="618"/>
        <w:jc w:val="both"/>
        <w:rPr>
          <w:rFonts w:ascii="Arial" w:hAnsi="Arial" w:cs="Arial"/>
          <w:i/>
          <w:sz w:val="24"/>
          <w:szCs w:val="24"/>
        </w:rPr>
      </w:pPr>
    </w:p>
    <w:p w14:paraId="0128B1CB"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Por eso, a partir de 1992 se deben incluir en los estados financieros los ajustes por inflación. </w:t>
      </w:r>
    </w:p>
    <w:p w14:paraId="11396EEC"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w:t>
      </w:r>
    </w:p>
    <w:p w14:paraId="636113B9" w14:textId="77777777" w:rsidR="002C6BDF" w:rsidRPr="006769C7" w:rsidRDefault="002C6BDF" w:rsidP="006769C7">
      <w:pPr>
        <w:spacing w:line="276" w:lineRule="auto"/>
        <w:ind w:left="567" w:right="618"/>
        <w:jc w:val="both"/>
        <w:rPr>
          <w:rFonts w:ascii="Arial" w:hAnsi="Arial" w:cs="Arial"/>
          <w:b/>
          <w:i/>
          <w:sz w:val="24"/>
          <w:szCs w:val="24"/>
        </w:rPr>
      </w:pPr>
      <w:r w:rsidRPr="006769C7">
        <w:rPr>
          <w:rFonts w:ascii="Arial" w:hAnsi="Arial" w:cs="Arial"/>
          <w:b/>
          <w:i/>
          <w:sz w:val="24"/>
          <w:szCs w:val="24"/>
        </w:rPr>
        <w:t xml:space="preserve">1. En el cuadro donde se relacionan las utilidades operacionales de los años 1987 a 1992 (…) hay una diferencia para el año 1992, entre la utilidad operacional y la base de cálculo (…), aparentemente, se trata de un simple error de trascripción. No obstante, debe precisarse cuál es el valor correcto. </w:t>
      </w:r>
    </w:p>
    <w:p w14:paraId="1E3E8A32" w14:textId="77777777" w:rsidR="002C6BDF" w:rsidRPr="006769C7" w:rsidRDefault="002C6BDF" w:rsidP="006769C7">
      <w:pPr>
        <w:spacing w:line="276" w:lineRule="auto"/>
        <w:ind w:left="567" w:right="618"/>
        <w:jc w:val="both"/>
        <w:rPr>
          <w:rFonts w:ascii="Arial" w:hAnsi="Arial" w:cs="Arial"/>
          <w:b/>
          <w:i/>
          <w:sz w:val="24"/>
          <w:szCs w:val="24"/>
        </w:rPr>
      </w:pPr>
    </w:p>
    <w:p w14:paraId="60486433"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Efectivamente, es un error de trascripción al invertir un número. Debe leerse $275.791.676.</w:t>
      </w:r>
    </w:p>
    <w:p w14:paraId="5438CFAB" w14:textId="77777777" w:rsidR="002C6BDF" w:rsidRPr="006769C7" w:rsidRDefault="002C6BDF" w:rsidP="006769C7">
      <w:pPr>
        <w:spacing w:line="276" w:lineRule="auto"/>
        <w:ind w:left="567" w:right="618"/>
        <w:jc w:val="both"/>
        <w:rPr>
          <w:rFonts w:ascii="Arial" w:hAnsi="Arial" w:cs="Arial"/>
          <w:i/>
          <w:sz w:val="24"/>
          <w:szCs w:val="24"/>
        </w:rPr>
      </w:pPr>
    </w:p>
    <w:p w14:paraId="2283B67A" w14:textId="77777777" w:rsidR="002C6BDF" w:rsidRPr="006769C7" w:rsidRDefault="002C6BDF" w:rsidP="006769C7">
      <w:pPr>
        <w:spacing w:line="276" w:lineRule="auto"/>
        <w:ind w:left="567" w:right="618"/>
        <w:jc w:val="both"/>
        <w:rPr>
          <w:rFonts w:ascii="Arial" w:hAnsi="Arial" w:cs="Arial"/>
          <w:b/>
          <w:i/>
          <w:sz w:val="24"/>
          <w:szCs w:val="24"/>
        </w:rPr>
      </w:pPr>
      <w:r w:rsidRPr="006769C7">
        <w:rPr>
          <w:rFonts w:ascii="Arial" w:hAnsi="Arial" w:cs="Arial"/>
          <w:b/>
          <w:i/>
          <w:sz w:val="24"/>
          <w:szCs w:val="24"/>
        </w:rPr>
        <w:t xml:space="preserve">2. Se debe indicar si la utilidad operacional proyectada para el año 1992, según “la curva de ajuste y método de mínimos cuadrados” es la que aparece en la tercera columna, que se estimó en $773.375.028, si no es así, aclarar cuál es su valor. </w:t>
      </w:r>
    </w:p>
    <w:p w14:paraId="31FC3A9E" w14:textId="77777777" w:rsidR="002C6BDF" w:rsidRPr="006769C7" w:rsidRDefault="002C6BDF" w:rsidP="006769C7">
      <w:pPr>
        <w:spacing w:line="276" w:lineRule="auto"/>
        <w:ind w:left="567" w:right="618"/>
        <w:jc w:val="both"/>
        <w:rPr>
          <w:rFonts w:ascii="Arial" w:hAnsi="Arial" w:cs="Arial"/>
          <w:i/>
          <w:sz w:val="24"/>
          <w:szCs w:val="24"/>
        </w:rPr>
      </w:pPr>
    </w:p>
    <w:p w14:paraId="34618023" w14:textId="77777777" w:rsidR="002C6BDF" w:rsidRPr="006769C7" w:rsidRDefault="002C6BDF" w:rsidP="006769C7">
      <w:pPr>
        <w:spacing w:line="276" w:lineRule="auto"/>
        <w:ind w:left="567" w:right="618"/>
        <w:jc w:val="both"/>
        <w:rPr>
          <w:rFonts w:ascii="Arial" w:hAnsi="Arial" w:cs="Arial"/>
          <w:i/>
          <w:sz w:val="24"/>
          <w:szCs w:val="24"/>
        </w:rPr>
      </w:pPr>
      <w:r w:rsidRPr="006769C7">
        <w:rPr>
          <w:rFonts w:ascii="Arial" w:hAnsi="Arial" w:cs="Arial"/>
          <w:i/>
          <w:sz w:val="24"/>
          <w:szCs w:val="24"/>
        </w:rPr>
        <w:t xml:space="preserve">La utilidad operacional calculada para el año 1992, de acuerdo al método de los “mínimos cuadrados”, tal como se solicitó en la pericia fue de $773.375.028. </w:t>
      </w:r>
    </w:p>
    <w:p w14:paraId="1B7D9629" w14:textId="77777777" w:rsidR="002C6BDF" w:rsidRPr="006769C7" w:rsidRDefault="002C6BDF" w:rsidP="006769C7">
      <w:pPr>
        <w:spacing w:line="276" w:lineRule="auto"/>
        <w:ind w:right="51"/>
        <w:jc w:val="both"/>
        <w:rPr>
          <w:rFonts w:ascii="Arial" w:hAnsi="Arial" w:cs="Arial"/>
          <w:sz w:val="24"/>
          <w:szCs w:val="24"/>
        </w:rPr>
      </w:pPr>
    </w:p>
    <w:p w14:paraId="3BF65566" w14:textId="77777777" w:rsidR="002C6BDF" w:rsidRPr="006769C7" w:rsidRDefault="002C6BDF" w:rsidP="006769C7">
      <w:pPr>
        <w:tabs>
          <w:tab w:val="left" w:pos="1620"/>
        </w:tabs>
        <w:spacing w:line="276" w:lineRule="auto"/>
        <w:ind w:right="-32"/>
        <w:jc w:val="both"/>
        <w:rPr>
          <w:rFonts w:ascii="Arial" w:hAnsi="Arial" w:cs="Arial"/>
          <w:sz w:val="24"/>
          <w:szCs w:val="24"/>
        </w:rPr>
      </w:pPr>
    </w:p>
    <w:p w14:paraId="7436EDDD" w14:textId="77777777" w:rsidR="002C6BDF" w:rsidRPr="006769C7" w:rsidRDefault="002C6BDF" w:rsidP="006769C7">
      <w:pPr>
        <w:tabs>
          <w:tab w:val="left" w:pos="1620"/>
        </w:tabs>
        <w:spacing w:line="276" w:lineRule="auto"/>
        <w:ind w:right="-32"/>
        <w:jc w:val="both"/>
        <w:rPr>
          <w:rFonts w:ascii="Arial" w:hAnsi="Arial" w:cs="Arial"/>
          <w:color w:val="000000"/>
          <w:sz w:val="24"/>
          <w:szCs w:val="24"/>
        </w:rPr>
      </w:pPr>
      <w:r w:rsidRPr="006769C7">
        <w:rPr>
          <w:rFonts w:ascii="Arial" w:hAnsi="Arial" w:cs="Arial"/>
          <w:sz w:val="24"/>
          <w:szCs w:val="24"/>
        </w:rPr>
        <w:t>Para resolver las objeciones por error grave formuladas por las partes  a los dictámenes periciales, c</w:t>
      </w:r>
      <w:r w:rsidRPr="006769C7">
        <w:rPr>
          <w:rFonts w:ascii="Arial" w:hAnsi="Arial" w:cs="Arial"/>
          <w:color w:val="000000"/>
          <w:sz w:val="24"/>
          <w:szCs w:val="24"/>
        </w:rPr>
        <w:t xml:space="preserve">onsidera la Sala procedente reiterar su criterio en relación con los requisitos que debe reunir el dictamen pericial para que pueda tener eficacia probatoria:  </w:t>
      </w:r>
    </w:p>
    <w:p w14:paraId="7A501FE2" w14:textId="77777777" w:rsidR="002C6BDF" w:rsidRPr="006769C7" w:rsidRDefault="002C6BDF" w:rsidP="006769C7">
      <w:pPr>
        <w:tabs>
          <w:tab w:val="left" w:pos="1620"/>
        </w:tabs>
        <w:spacing w:line="276" w:lineRule="auto"/>
        <w:ind w:right="-32"/>
        <w:jc w:val="both"/>
        <w:rPr>
          <w:rFonts w:ascii="Arial" w:hAnsi="Arial" w:cs="Arial"/>
          <w:color w:val="000000"/>
          <w:sz w:val="24"/>
          <w:szCs w:val="24"/>
        </w:rPr>
      </w:pPr>
    </w:p>
    <w:p w14:paraId="6EE410D1"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 xml:space="preserve">[D]e conformidad con el artículo 233 del Código de Procedimiento Civil, la peritación como medio de prueba es procedente para verificar hechos que interesen al proceso y requieran especiales conocimientos científicos, </w:t>
      </w:r>
      <w:r w:rsidRPr="006769C7">
        <w:rPr>
          <w:rFonts w:ascii="Arial" w:hAnsi="Arial" w:cs="Arial"/>
          <w:i/>
          <w:sz w:val="24"/>
          <w:szCs w:val="24"/>
        </w:rPr>
        <w:lastRenderedPageBreak/>
        <w:t>técnicos o artísticos. El perito debe informarle razonadamente al juez lo que de acuerdo con esos conocimientos especializados sepa de los hechos -y no cuestiones de derecho- que se sometan a su experticio, sin importarle a cuál de la partes beneficia o perjudica, de manera que su dictamen debe ser personal</w:t>
      </w:r>
      <w:r w:rsidRPr="006769C7">
        <w:rPr>
          <w:rStyle w:val="Refdenotaalpie"/>
          <w:rFonts w:ascii="Arial" w:hAnsi="Arial" w:cs="Arial"/>
          <w:i/>
          <w:sz w:val="24"/>
          <w:szCs w:val="24"/>
        </w:rPr>
        <w:footnoteReference w:id="15"/>
      </w:r>
      <w:r w:rsidRPr="006769C7">
        <w:rPr>
          <w:rFonts w:ascii="Arial" w:hAnsi="Arial" w:cs="Arial"/>
          <w:i/>
          <w:sz w:val="24"/>
          <w:szCs w:val="24"/>
        </w:rPr>
        <w:t xml:space="preserve"> y contener conceptos propios sobre las materias objeto de examen y no de otras personas por autorizadas que sean, sin perjuicio de que pueda utilizar auxiliares o solicitar por su cuenta el concurso de otros técnicos, bajo su dirección y responsabilidad (numeral 2 del artículo 237 del C. de P. Civil).   </w:t>
      </w:r>
    </w:p>
    <w:p w14:paraId="3E661B89" w14:textId="77777777" w:rsidR="002C6BDF" w:rsidRPr="006769C7" w:rsidRDefault="002C6BDF" w:rsidP="006769C7">
      <w:pPr>
        <w:spacing w:line="276" w:lineRule="auto"/>
        <w:ind w:left="540" w:right="533"/>
        <w:jc w:val="both"/>
        <w:rPr>
          <w:rFonts w:ascii="Arial" w:hAnsi="Arial" w:cs="Arial"/>
          <w:i/>
          <w:sz w:val="24"/>
          <w:szCs w:val="24"/>
        </w:rPr>
      </w:pPr>
    </w:p>
    <w:p w14:paraId="6E3B291D"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Para su eficacia probatoria debe reunir ciertas condiciones de contenido como son la conducencia en relación con el hecho a probar; que el perito sea competente, es decir, un verdadero experto para el desempeño del cargo; que no exista un motivo serio para dudar de su imparcialidad; que no se haya probado una objeción por error grave; que el dictamen esté debidamente fundamentado y sus conclusiones sean claras firmes y consecuencia de las razones expuestas; que haya surtido contradicción; que no exista retracto del mismo por parte de perito y en fin que otras pruebas no lo desvirtúen.</w:t>
      </w:r>
      <w:r w:rsidRPr="006769C7">
        <w:rPr>
          <w:rStyle w:val="Refdenotaalpie"/>
          <w:rFonts w:ascii="Arial" w:hAnsi="Arial" w:cs="Arial"/>
          <w:i/>
          <w:sz w:val="24"/>
          <w:szCs w:val="24"/>
        </w:rPr>
        <w:footnoteReference w:id="16"/>
      </w:r>
      <w:r w:rsidRPr="006769C7">
        <w:rPr>
          <w:rFonts w:ascii="Arial" w:hAnsi="Arial" w:cs="Arial"/>
          <w:i/>
          <w:sz w:val="24"/>
          <w:szCs w:val="24"/>
        </w:rPr>
        <w:t xml:space="preserve"> El dictamen del perito debe ser claro, preciso y detallado, en él se deben explicar los exámenes, experimentos e investigaciones efectuadas, lo mismo que los fundamentos técnicos, científicos o artísticos de las conclusiones (numeral 6 del artículo 237 ejusdem). </w:t>
      </w:r>
    </w:p>
    <w:p w14:paraId="6EA52F46" w14:textId="77777777" w:rsidR="002C6BDF" w:rsidRPr="006769C7" w:rsidRDefault="002C6BDF" w:rsidP="006769C7">
      <w:pPr>
        <w:spacing w:line="276" w:lineRule="auto"/>
        <w:ind w:left="540" w:right="533"/>
        <w:jc w:val="both"/>
        <w:rPr>
          <w:rFonts w:ascii="Arial" w:hAnsi="Arial" w:cs="Arial"/>
          <w:i/>
          <w:sz w:val="24"/>
          <w:szCs w:val="24"/>
        </w:rPr>
      </w:pPr>
    </w:p>
    <w:p w14:paraId="52138671"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A su turno, el artículo 241 ibídem señala que al valorar o apreciar el juez el dictamen de los peritos tendrá en cuenta la firmeza, precisión y calidad de sus fundamentos, la competencia de los peritos y los demás elementos probatorios que obren en el proceso. Con esto se quiere significar que el juez es autónomo para valorar el dictamen y verificar la lógica de sus fundamentos y resultados, toda vez que el perito es un auxiliar de la justicia, pero él no la imparte ni la administra, de manera que el juez no está obligado a “…aceptar ciegamente las conclusiones de los peritos, pues si ello fuese así, estos serían falladores…”</w:t>
      </w:r>
      <w:r w:rsidRPr="006769C7">
        <w:rPr>
          <w:rStyle w:val="Refdenotaalpie"/>
          <w:rFonts w:ascii="Arial" w:hAnsi="Arial" w:cs="Arial"/>
          <w:i/>
          <w:sz w:val="24"/>
          <w:szCs w:val="24"/>
        </w:rPr>
        <w:footnoteReference w:id="17"/>
      </w:r>
      <w:r w:rsidRPr="006769C7">
        <w:rPr>
          <w:rFonts w:ascii="Arial" w:hAnsi="Arial" w:cs="Arial"/>
          <w:i/>
          <w:sz w:val="24"/>
          <w:szCs w:val="24"/>
        </w:rPr>
        <w:t xml:space="preserve">.    </w:t>
      </w:r>
    </w:p>
    <w:p w14:paraId="52197A30" w14:textId="77777777" w:rsidR="002C6BDF" w:rsidRPr="006769C7" w:rsidRDefault="002C6BDF" w:rsidP="006769C7">
      <w:pPr>
        <w:spacing w:line="276" w:lineRule="auto"/>
        <w:ind w:left="540" w:right="533"/>
        <w:jc w:val="both"/>
        <w:rPr>
          <w:rFonts w:ascii="Arial" w:hAnsi="Arial" w:cs="Arial"/>
          <w:i/>
          <w:sz w:val="24"/>
          <w:szCs w:val="24"/>
        </w:rPr>
      </w:pPr>
    </w:p>
    <w:p w14:paraId="367154CF"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 xml:space="preserve">En suma, el juez está en el deber de estudiar bajo la sana crítica el dictamen pericial y en la libertad de valorar sus resultados; si lo encuentra ajustado y lo convence, puede tenerlo en cuenta total o parcialmente al momento de fallar; o desechar sensatamente y con razones los resultados de la peritación por encontrar sus fundamentos sin la firmeza, precisión y claridad que deben estar presentes en el dictamen para ilustrar y  el conocimiento de la técnica, ciencia o arte de lo dicho, de suerte que </w:t>
      </w:r>
      <w:r w:rsidRPr="006769C7">
        <w:rPr>
          <w:rFonts w:ascii="Arial" w:hAnsi="Arial" w:cs="Arial"/>
          <w:i/>
          <w:sz w:val="24"/>
          <w:szCs w:val="24"/>
        </w:rPr>
        <w:lastRenderedPageBreak/>
        <w:t>permita al juez otorgarle mérito a esta prueba por llegar a la convicción en relación con los hechos objeto de la misma”</w:t>
      </w:r>
      <w:r w:rsidRPr="006769C7">
        <w:rPr>
          <w:rStyle w:val="Refdenotaalpie"/>
          <w:rFonts w:ascii="Arial" w:hAnsi="Arial" w:cs="Arial"/>
          <w:i/>
          <w:sz w:val="24"/>
          <w:szCs w:val="24"/>
        </w:rPr>
        <w:footnoteReference w:id="18"/>
      </w:r>
      <w:r w:rsidRPr="006769C7">
        <w:rPr>
          <w:rFonts w:ascii="Arial" w:hAnsi="Arial" w:cs="Arial"/>
          <w:i/>
          <w:sz w:val="24"/>
          <w:szCs w:val="24"/>
        </w:rPr>
        <w:t>.</w:t>
      </w:r>
    </w:p>
    <w:p w14:paraId="34CF6D14" w14:textId="77777777" w:rsidR="002C6BDF" w:rsidRPr="006769C7" w:rsidRDefault="002C6BDF" w:rsidP="006769C7">
      <w:pPr>
        <w:spacing w:line="276" w:lineRule="auto"/>
        <w:ind w:left="540" w:right="533"/>
        <w:jc w:val="both"/>
        <w:rPr>
          <w:rFonts w:ascii="Arial" w:hAnsi="Arial" w:cs="Arial"/>
          <w:sz w:val="24"/>
          <w:szCs w:val="24"/>
        </w:rPr>
      </w:pPr>
    </w:p>
    <w:p w14:paraId="149876FA" w14:textId="77777777" w:rsidR="002C6BDF" w:rsidRPr="006769C7" w:rsidRDefault="002C6BDF" w:rsidP="006769C7">
      <w:pPr>
        <w:spacing w:line="276" w:lineRule="auto"/>
        <w:ind w:left="540" w:right="533"/>
        <w:jc w:val="both"/>
        <w:rPr>
          <w:rFonts w:ascii="Arial" w:hAnsi="Arial" w:cs="Arial"/>
          <w:sz w:val="24"/>
          <w:szCs w:val="24"/>
        </w:rPr>
      </w:pPr>
    </w:p>
    <w:p w14:paraId="38191F13" w14:textId="77777777" w:rsidR="002C6BDF" w:rsidRPr="006769C7" w:rsidRDefault="002C6BDF" w:rsidP="006769C7">
      <w:pPr>
        <w:autoSpaceDE w:val="0"/>
        <w:autoSpaceDN w:val="0"/>
        <w:adjustRightInd w:val="0"/>
        <w:spacing w:line="276" w:lineRule="auto"/>
        <w:jc w:val="both"/>
        <w:rPr>
          <w:rFonts w:ascii="Arial" w:hAnsi="Arial" w:cs="Arial"/>
          <w:sz w:val="24"/>
          <w:szCs w:val="24"/>
        </w:rPr>
      </w:pPr>
      <w:r w:rsidRPr="006769C7">
        <w:rPr>
          <w:rFonts w:ascii="Arial" w:hAnsi="Arial" w:cs="Arial"/>
          <w:sz w:val="24"/>
          <w:szCs w:val="24"/>
        </w:rPr>
        <w:t xml:space="preserve">El artículo 238 del Código de Procedimiento Civil regula la manera como debe surtirse la contradicción al dictamen y en relación con lo que debe entenderse como error grave, no hay discusión en la jurisprudencia de que este es el que se opone a la verdad, por la falta de identidad entre la realidad del objeto sobre el que se rinda el dictamen y la representación mental que de él haga el perito; por lo tanto, no constituirán error grave las conclusiones o inferencias a que lleguen los peritos, que bien pueden adolecer de otros defectos. En otros términos, la objeción por error grave debe referirse al objeto de la peritación, y no a la conclusión de los peritos. </w:t>
      </w:r>
    </w:p>
    <w:p w14:paraId="36C9F5F8" w14:textId="77777777" w:rsidR="002C6BDF" w:rsidRPr="006769C7" w:rsidRDefault="002C6BDF" w:rsidP="006769C7">
      <w:pPr>
        <w:autoSpaceDE w:val="0"/>
        <w:autoSpaceDN w:val="0"/>
        <w:adjustRightInd w:val="0"/>
        <w:spacing w:line="276" w:lineRule="auto"/>
        <w:jc w:val="both"/>
        <w:rPr>
          <w:rFonts w:ascii="Arial" w:hAnsi="Arial" w:cs="Arial"/>
          <w:sz w:val="24"/>
          <w:szCs w:val="24"/>
        </w:rPr>
      </w:pPr>
    </w:p>
    <w:p w14:paraId="7CEDEB4E" w14:textId="77777777" w:rsidR="002C6BDF" w:rsidRPr="006769C7" w:rsidRDefault="002C6BDF" w:rsidP="006769C7">
      <w:pPr>
        <w:spacing w:line="276" w:lineRule="auto"/>
        <w:ind w:right="51"/>
        <w:jc w:val="both"/>
        <w:rPr>
          <w:rFonts w:ascii="Arial" w:hAnsi="Arial" w:cs="Arial"/>
          <w:sz w:val="24"/>
          <w:szCs w:val="24"/>
        </w:rPr>
      </w:pPr>
      <w:r w:rsidRPr="006769C7">
        <w:rPr>
          <w:rFonts w:ascii="Arial" w:hAnsi="Arial" w:cs="Arial"/>
          <w:sz w:val="24"/>
          <w:szCs w:val="24"/>
        </w:rPr>
        <w:t xml:space="preserve">En el caso concreto, considera la Sala que en los dictámenes no se incurrió en error grave, dado que el objeto sobre el cual versaron esas pruebas siempre fue el mismo al que se refirió la parte demandante, en un principio, y la parte demandada en las objeciones, esto es, la proyección de los ingresos y de las utilidades netas operacionales, que debieron ser percibidas en el año 1992, de no haberse producido el  racionamiento, calculadas con base en métodos estadísticos sobre las cifras contenidas en los estados financieros de la empresa de ese mismo año y de los anteriores, desde 1987.   </w:t>
      </w:r>
    </w:p>
    <w:p w14:paraId="4E6902BA" w14:textId="77777777" w:rsidR="002C6BDF" w:rsidRPr="006769C7" w:rsidRDefault="002C6BDF" w:rsidP="006769C7">
      <w:pPr>
        <w:spacing w:line="276" w:lineRule="auto"/>
        <w:ind w:right="51"/>
        <w:jc w:val="both"/>
        <w:rPr>
          <w:rFonts w:ascii="Arial" w:hAnsi="Arial" w:cs="Arial"/>
          <w:sz w:val="24"/>
          <w:szCs w:val="24"/>
        </w:rPr>
      </w:pPr>
    </w:p>
    <w:p w14:paraId="2D9A68EC" w14:textId="77777777" w:rsidR="002C6BDF" w:rsidRPr="006769C7" w:rsidRDefault="002C6BDF" w:rsidP="006769C7">
      <w:pPr>
        <w:spacing w:line="276" w:lineRule="auto"/>
        <w:ind w:right="51"/>
        <w:jc w:val="both"/>
        <w:rPr>
          <w:rFonts w:ascii="Arial" w:hAnsi="Arial" w:cs="Arial"/>
          <w:sz w:val="24"/>
          <w:szCs w:val="24"/>
        </w:rPr>
      </w:pPr>
      <w:r w:rsidRPr="006769C7">
        <w:rPr>
          <w:rFonts w:ascii="Arial" w:hAnsi="Arial" w:cs="Arial"/>
          <w:sz w:val="24"/>
          <w:szCs w:val="24"/>
        </w:rPr>
        <w:t xml:space="preserve">La diferencia de esos dictámenes residió en que los primeros peritos calcularon los ingresos de comercialización del año 1992, esto es, los ingresos recibidos por publicidad, menos los descuentos de esas ventas, teniendo como base el promedio bimestral de los mismos ingresos en los años 1987 a 1991; en tanto que los peritos nombrados para resolver la objeción por error grave formulada por ISA hicieron el cálculo, utilizando el mismo método, pero no de los ingresos de comercialización sino de la utilidad operacional, esto es, de los ingresos, menos los costos y gastos operacionales y, finalmente, los peritos designados para resolver las objeciones por error grave formuladas por la parte demandante, hicieron el mismo cálculo anterior, pero introduciendo la variación porcentual del índice de precios al consumidor, sobre la base histórica. </w:t>
      </w:r>
    </w:p>
    <w:p w14:paraId="17B7E6ED" w14:textId="77777777" w:rsidR="002C6BDF" w:rsidRPr="006769C7" w:rsidRDefault="002C6BDF" w:rsidP="006769C7">
      <w:pPr>
        <w:spacing w:line="276" w:lineRule="auto"/>
        <w:ind w:right="51"/>
        <w:jc w:val="both"/>
        <w:rPr>
          <w:rFonts w:ascii="Arial" w:hAnsi="Arial" w:cs="Arial"/>
          <w:sz w:val="24"/>
          <w:szCs w:val="24"/>
        </w:rPr>
      </w:pPr>
    </w:p>
    <w:p w14:paraId="0522C6A0" w14:textId="77777777" w:rsidR="002C6BDF" w:rsidRPr="006769C7" w:rsidRDefault="002C6BDF" w:rsidP="006769C7">
      <w:pPr>
        <w:spacing w:line="276" w:lineRule="auto"/>
        <w:ind w:right="51"/>
        <w:jc w:val="both"/>
        <w:rPr>
          <w:rFonts w:ascii="Arial" w:hAnsi="Arial" w:cs="Arial"/>
          <w:sz w:val="24"/>
          <w:szCs w:val="24"/>
        </w:rPr>
      </w:pPr>
      <w:r w:rsidRPr="006769C7">
        <w:rPr>
          <w:rFonts w:ascii="Arial" w:hAnsi="Arial" w:cs="Arial"/>
          <w:sz w:val="24"/>
          <w:szCs w:val="24"/>
        </w:rPr>
        <w:t xml:space="preserve">Hubo un gran esfuerzo por discutir las conclusiones a las que llegaron los peritos en los dictámenes, los cuales estaban orientados a resolver, en los términos de la solicitud de la prueba, cuáles eran los ingresos esperados por la programadora, teniendo en cuenta el porcentaje bimestral de los ingresos percibidos por la misma durante los años 1987-1991. Por eso, la discusión versó sobre la validez del método de la media aritmética; la mayor confiabilidad de ese método por bimestres y no anualizado; la diferencia de resultados en caso de aplicar el IPC para los años anteriores a 1992, teniendo en cuenta que en el balance de ese año sí se hizo la actualización con dicho índice.  </w:t>
      </w:r>
    </w:p>
    <w:p w14:paraId="222AA844" w14:textId="77777777" w:rsidR="002C6BDF" w:rsidRPr="006769C7" w:rsidRDefault="002C6BDF" w:rsidP="006769C7">
      <w:pPr>
        <w:spacing w:line="276" w:lineRule="auto"/>
        <w:ind w:right="51"/>
        <w:jc w:val="both"/>
        <w:rPr>
          <w:rFonts w:ascii="Arial" w:hAnsi="Arial" w:cs="Arial"/>
          <w:sz w:val="24"/>
          <w:szCs w:val="24"/>
        </w:rPr>
      </w:pPr>
    </w:p>
    <w:p w14:paraId="5985FEC3" w14:textId="77777777" w:rsidR="002C6BDF" w:rsidRPr="006769C7" w:rsidRDefault="002C6BDF" w:rsidP="006769C7">
      <w:pPr>
        <w:spacing w:line="276" w:lineRule="auto"/>
        <w:ind w:right="51"/>
        <w:jc w:val="both"/>
        <w:rPr>
          <w:rFonts w:ascii="Arial" w:hAnsi="Arial" w:cs="Arial"/>
          <w:sz w:val="24"/>
          <w:szCs w:val="24"/>
        </w:rPr>
      </w:pPr>
      <w:r w:rsidRPr="006769C7">
        <w:rPr>
          <w:rFonts w:ascii="Arial" w:hAnsi="Arial" w:cs="Arial"/>
          <w:sz w:val="24"/>
          <w:szCs w:val="24"/>
        </w:rPr>
        <w:lastRenderedPageBreak/>
        <w:t>No advierte la Sala errores en los dictámenes anteriores; no obstante, esas pruebas no demuestran la existencia del daño que adujo haber sufrido la sociedad demandante, dado que, en primer término, para realizar esas proyecciones no se tuvieron en cuenta las diferencias del contrato celebrado por la programadora en 1992, en relación con los contratos que rigieron los años anteriores, diferencias que fueron advertidas desde la misma demanda:</w:t>
      </w:r>
    </w:p>
    <w:p w14:paraId="048B5250" w14:textId="77777777" w:rsidR="002C6BDF" w:rsidRPr="006769C7" w:rsidRDefault="002C6BDF" w:rsidP="006769C7">
      <w:pPr>
        <w:spacing w:line="276" w:lineRule="auto"/>
        <w:ind w:right="51"/>
        <w:jc w:val="both"/>
        <w:rPr>
          <w:rFonts w:ascii="Arial" w:hAnsi="Arial" w:cs="Arial"/>
          <w:sz w:val="24"/>
          <w:szCs w:val="24"/>
        </w:rPr>
      </w:pPr>
    </w:p>
    <w:p w14:paraId="6FE187DF" w14:textId="77777777" w:rsidR="002C6BDF" w:rsidRPr="006769C7" w:rsidRDefault="002C6BDF" w:rsidP="006769C7">
      <w:pPr>
        <w:spacing w:line="276" w:lineRule="auto"/>
        <w:ind w:left="567" w:right="533"/>
        <w:jc w:val="both"/>
        <w:rPr>
          <w:rFonts w:ascii="Arial" w:hAnsi="Arial" w:cs="Arial"/>
          <w:i/>
          <w:sz w:val="24"/>
          <w:szCs w:val="24"/>
        </w:rPr>
      </w:pPr>
      <w:r w:rsidRPr="006769C7">
        <w:rPr>
          <w:rFonts w:ascii="Arial" w:hAnsi="Arial" w:cs="Arial"/>
          <w:i/>
          <w:sz w:val="24"/>
          <w:szCs w:val="24"/>
        </w:rPr>
        <w:t xml:space="preserve">De hecho, como en 1992 se inició la trasmisión de una programación de televisión completamente nueva, los perjuicios no se pueden determinar de una manera adecuada, comparando el promedio de ventas de cada franja o de cada programa de la nueva licitación con las de la misma franja o programa de la licitación anterior; vale la pena recordar que casi todos los programas trasmitidos a partir del primero de enero de 1992 eran nuevos en nuestra televisión y que los que no lo eran, se empezaron a transmitir en una franja u horario diferente al que tenían en la programación anterior. </w:t>
      </w:r>
    </w:p>
    <w:p w14:paraId="3A267AC9" w14:textId="77777777" w:rsidR="002C6BDF" w:rsidRPr="006769C7" w:rsidRDefault="002C6BDF" w:rsidP="006769C7">
      <w:pPr>
        <w:spacing w:line="276" w:lineRule="auto"/>
        <w:ind w:left="567" w:right="533"/>
        <w:jc w:val="both"/>
        <w:rPr>
          <w:rFonts w:ascii="Arial" w:hAnsi="Arial" w:cs="Arial"/>
          <w:i/>
          <w:sz w:val="24"/>
          <w:szCs w:val="24"/>
        </w:rPr>
      </w:pPr>
    </w:p>
    <w:p w14:paraId="714145C3" w14:textId="77777777" w:rsidR="002C6BDF" w:rsidRPr="006769C7" w:rsidRDefault="002C6BDF" w:rsidP="006769C7">
      <w:pPr>
        <w:spacing w:line="276" w:lineRule="auto"/>
        <w:ind w:right="51"/>
        <w:jc w:val="both"/>
        <w:rPr>
          <w:rFonts w:ascii="Arial" w:hAnsi="Arial" w:cs="Arial"/>
          <w:sz w:val="24"/>
          <w:szCs w:val="24"/>
        </w:rPr>
      </w:pPr>
    </w:p>
    <w:p w14:paraId="701E3463" w14:textId="77777777" w:rsidR="002C6BDF" w:rsidRPr="006769C7" w:rsidRDefault="002C6BDF" w:rsidP="006769C7">
      <w:pPr>
        <w:spacing w:line="276" w:lineRule="auto"/>
        <w:ind w:right="51"/>
        <w:jc w:val="both"/>
        <w:rPr>
          <w:rFonts w:ascii="Arial" w:hAnsi="Arial" w:cs="Arial"/>
          <w:sz w:val="24"/>
          <w:szCs w:val="24"/>
        </w:rPr>
      </w:pPr>
      <w:r w:rsidRPr="006769C7">
        <w:rPr>
          <w:rFonts w:ascii="Arial" w:hAnsi="Arial" w:cs="Arial"/>
          <w:sz w:val="24"/>
          <w:szCs w:val="24"/>
        </w:rPr>
        <w:t>Y en el escrito de corrección de la demanda (f. 132-134 c-1), reiteró:</w:t>
      </w:r>
    </w:p>
    <w:p w14:paraId="51CC9F31" w14:textId="77777777" w:rsidR="002C6BDF" w:rsidRPr="006769C7" w:rsidRDefault="002C6BDF" w:rsidP="006769C7">
      <w:pPr>
        <w:spacing w:line="276" w:lineRule="auto"/>
        <w:ind w:right="533"/>
        <w:jc w:val="both"/>
        <w:rPr>
          <w:rFonts w:ascii="Arial" w:hAnsi="Arial" w:cs="Arial"/>
          <w:i/>
          <w:sz w:val="24"/>
          <w:szCs w:val="24"/>
        </w:rPr>
      </w:pPr>
    </w:p>
    <w:p w14:paraId="320403ED"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1.1. Como consecuencia del vencimiento del término de la licitación anterior y de la entrada en vigencia de una nueva licitación, el primero de enero de 1992 se produjo un cambio completo en la estructura y en la programación de nuestra televisión. En virtud de este nuevo esquema, las diferentes programadoras fueron agrupadas en cada una de las dos cadenas nacionales, se fijaron nuevos horarios y se modificó la casi totalidad de la programación hasta entonces existente.</w:t>
      </w:r>
    </w:p>
    <w:p w14:paraId="5F176EDE" w14:textId="77777777" w:rsidR="002C6BDF" w:rsidRPr="006769C7" w:rsidRDefault="002C6BDF" w:rsidP="006769C7">
      <w:pPr>
        <w:spacing w:line="276" w:lineRule="auto"/>
        <w:ind w:left="540" w:right="533"/>
        <w:jc w:val="both"/>
        <w:rPr>
          <w:rFonts w:ascii="Arial" w:hAnsi="Arial" w:cs="Arial"/>
          <w:i/>
          <w:sz w:val="24"/>
          <w:szCs w:val="24"/>
        </w:rPr>
      </w:pPr>
    </w:p>
    <w:p w14:paraId="21051756"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 xml:space="preserve">1.2. Dos meses después de iniciada la trasmisión de la nueva programación de televisión, el gobierno nacional decretó un racionamiento de energía eléctrica que prácticamente acabó con el interés de los anunciantes en pautar en televisión. </w:t>
      </w:r>
    </w:p>
    <w:p w14:paraId="5B5D0C2B" w14:textId="77777777" w:rsidR="002C6BDF" w:rsidRPr="006769C7" w:rsidRDefault="002C6BDF" w:rsidP="006769C7">
      <w:pPr>
        <w:spacing w:line="276" w:lineRule="auto"/>
        <w:ind w:left="540" w:right="533"/>
        <w:jc w:val="both"/>
        <w:rPr>
          <w:rFonts w:ascii="Arial" w:hAnsi="Arial" w:cs="Arial"/>
          <w:i/>
          <w:sz w:val="24"/>
          <w:szCs w:val="24"/>
        </w:rPr>
      </w:pPr>
    </w:p>
    <w:p w14:paraId="1BA8A3DE" w14:textId="77777777" w:rsidR="002C6BDF" w:rsidRPr="006769C7" w:rsidRDefault="002C6BDF" w:rsidP="006769C7">
      <w:pPr>
        <w:spacing w:line="276" w:lineRule="auto"/>
        <w:ind w:left="540" w:right="533"/>
        <w:jc w:val="both"/>
        <w:rPr>
          <w:rFonts w:ascii="Arial" w:hAnsi="Arial" w:cs="Arial"/>
          <w:i/>
          <w:sz w:val="24"/>
          <w:szCs w:val="24"/>
        </w:rPr>
      </w:pPr>
      <w:r w:rsidRPr="006769C7">
        <w:rPr>
          <w:rFonts w:ascii="Arial" w:hAnsi="Arial" w:cs="Arial"/>
          <w:i/>
          <w:sz w:val="24"/>
          <w:szCs w:val="24"/>
        </w:rPr>
        <w:t xml:space="preserve">1.3. Como quiera que la programación de la sociedad demandante era nueva o estaba siendo trasmitida en franjas diferentes a las utilizadas en los años anteriores, no resultaba técnicamente posible estimar el perjuicio comparando la facturación de cada franja o programa del año o de los años inmediatamente anteriores. </w:t>
      </w:r>
    </w:p>
    <w:p w14:paraId="2FA331BF" w14:textId="77777777" w:rsidR="002C6BDF" w:rsidRPr="006769C7" w:rsidRDefault="002C6BDF" w:rsidP="006769C7">
      <w:pPr>
        <w:spacing w:line="276" w:lineRule="auto"/>
        <w:ind w:right="51"/>
        <w:jc w:val="both"/>
        <w:rPr>
          <w:rFonts w:ascii="Arial" w:hAnsi="Arial" w:cs="Arial"/>
          <w:sz w:val="24"/>
          <w:szCs w:val="24"/>
        </w:rPr>
      </w:pPr>
    </w:p>
    <w:p w14:paraId="22B84BC6" w14:textId="77777777" w:rsidR="002C6BDF" w:rsidRPr="006769C7" w:rsidRDefault="002C6BDF" w:rsidP="006769C7">
      <w:pPr>
        <w:spacing w:line="276" w:lineRule="auto"/>
        <w:ind w:right="51"/>
        <w:jc w:val="both"/>
        <w:rPr>
          <w:rFonts w:ascii="Arial" w:hAnsi="Arial" w:cs="Arial"/>
          <w:sz w:val="24"/>
          <w:szCs w:val="24"/>
        </w:rPr>
      </w:pPr>
    </w:p>
    <w:p w14:paraId="133FA72D" w14:textId="77777777" w:rsidR="002C6BDF" w:rsidRPr="006769C7" w:rsidRDefault="002C6BDF" w:rsidP="006769C7">
      <w:pPr>
        <w:spacing w:line="276" w:lineRule="auto"/>
        <w:jc w:val="both"/>
        <w:rPr>
          <w:rFonts w:ascii="Arial" w:hAnsi="Arial" w:cs="Arial"/>
          <w:sz w:val="24"/>
          <w:szCs w:val="24"/>
        </w:rPr>
      </w:pPr>
      <w:r w:rsidRPr="006769C7">
        <w:rPr>
          <w:rFonts w:ascii="Arial" w:hAnsi="Arial" w:cs="Arial"/>
          <w:sz w:val="24"/>
          <w:szCs w:val="24"/>
        </w:rPr>
        <w:t xml:space="preserve">En consecuencia, si la programación, los espacios y horarios incluidos en el contrato que celebró Punch con Inravisión en 1991, con efectos a partir de enero de 1992, eran diferentes a aquellos que constituyeron el objeto de los contratos vigentes entre 1987 y 1991, hay lugar a concluir que tanto los ingresos como la utilidad operacional calculados por los peritos no podían tener como base los datos obtenidos de los estados financieros anteriores. El perjuicio sufrido por la demandante en el año 1992, en el cual cambiaron, según su propia afirmación, los programas, horarios y franjas, no podía calcularse a partir del comportamiento financiero de la empresa </w:t>
      </w:r>
      <w:r w:rsidRPr="006769C7">
        <w:rPr>
          <w:rFonts w:ascii="Arial" w:hAnsi="Arial" w:cs="Arial"/>
          <w:sz w:val="24"/>
          <w:szCs w:val="24"/>
        </w:rPr>
        <w:lastRenderedPageBreak/>
        <w:t xml:space="preserve">cuando su actividad era desarrollada en condiciones diferentes. Esas proyecciones estadísticas podían ser una herramienta útil para la empresa para encauzar su actividad comercial futura, con la introducción de las variables correspondientes, pero no puede ser un dato válido que determine la existencia del daño señalado en la demanda. </w:t>
      </w:r>
    </w:p>
    <w:p w14:paraId="0BFD1E53" w14:textId="77777777" w:rsidR="002C6BDF" w:rsidRPr="006769C7" w:rsidRDefault="002C6BDF" w:rsidP="006769C7">
      <w:pPr>
        <w:spacing w:line="276" w:lineRule="auto"/>
        <w:jc w:val="both"/>
        <w:rPr>
          <w:rFonts w:ascii="Arial" w:hAnsi="Arial" w:cs="Arial"/>
          <w:sz w:val="24"/>
          <w:szCs w:val="24"/>
        </w:rPr>
      </w:pPr>
    </w:p>
    <w:p w14:paraId="088119BE" w14:textId="77777777" w:rsidR="002C6BDF" w:rsidRPr="00C108BA" w:rsidRDefault="002C6BDF" w:rsidP="006769C7">
      <w:pPr>
        <w:spacing w:line="276" w:lineRule="auto"/>
        <w:jc w:val="both"/>
        <w:rPr>
          <w:rFonts w:ascii="Arial" w:hAnsi="Arial" w:cs="Arial"/>
          <w:sz w:val="24"/>
          <w:szCs w:val="24"/>
          <w:highlight w:val="yellow"/>
        </w:rPr>
      </w:pPr>
      <w:r w:rsidRPr="00C108BA">
        <w:rPr>
          <w:rFonts w:ascii="Arial" w:hAnsi="Arial" w:cs="Arial"/>
          <w:sz w:val="24"/>
          <w:szCs w:val="24"/>
          <w:highlight w:val="yellow"/>
        </w:rPr>
        <w:t>La carencia de información en el expediente sobre la programación, espacios y horarios que fueron objeto de los contratos de concesión anteriores al celebrado por Punch para las vigencias anteriores a 1992 impide a la Sala obtener certeza sobre los hechos aducidos por la parte demandante en cuanto a la mayor favorabilidad de esa última contratación y, por ende, no pueden resultar confiables las cifras en tanto incrementen la expectativa de una ganancia calculada sobre variaciones porcentuales de años anteriores, teniendo en cuenta, además, que dicha proyección obedeció a una media aritmética y no a una tendencia constante de comportamiento de las empresas que pautaban en los espacios concesionados a Punch S.A.</w:t>
      </w:r>
    </w:p>
    <w:p w14:paraId="5BC53B5B" w14:textId="77777777" w:rsidR="002C6BDF" w:rsidRPr="00C108BA" w:rsidRDefault="002C6BDF" w:rsidP="006769C7">
      <w:pPr>
        <w:spacing w:line="276" w:lineRule="auto"/>
        <w:ind w:right="51"/>
        <w:jc w:val="both"/>
        <w:rPr>
          <w:rFonts w:ascii="Arial" w:hAnsi="Arial" w:cs="Arial"/>
          <w:sz w:val="24"/>
          <w:szCs w:val="24"/>
          <w:highlight w:val="yellow"/>
        </w:rPr>
      </w:pPr>
    </w:p>
    <w:p w14:paraId="3882E7C7" w14:textId="77777777" w:rsidR="002C6BDF" w:rsidRPr="006769C7" w:rsidRDefault="002C6BDF" w:rsidP="006769C7">
      <w:pPr>
        <w:spacing w:line="276" w:lineRule="auto"/>
        <w:ind w:right="51"/>
        <w:jc w:val="both"/>
        <w:rPr>
          <w:rFonts w:ascii="Arial" w:hAnsi="Arial" w:cs="Arial"/>
          <w:sz w:val="24"/>
          <w:szCs w:val="24"/>
        </w:rPr>
      </w:pPr>
      <w:r w:rsidRPr="00C108BA">
        <w:rPr>
          <w:rFonts w:ascii="Arial" w:hAnsi="Arial" w:cs="Arial"/>
          <w:sz w:val="24"/>
          <w:szCs w:val="24"/>
          <w:highlight w:val="yellow"/>
        </w:rPr>
        <w:t>Lo que sí se advierte a partir de la información que obra en el expediente y que consta en los estados financieros traídos con la prueba pericial es que los ingresos operacionales de Punch no decrecieron en 1992, en comparación con los años anteriores; por el contrario, hubo un incremento de los mismos, como se aprecia en el cuadro que se inserta a esta sentencia entre los folios 78 y 79, elaborado con el propósito de mostrar esas cifras.</w:t>
      </w:r>
      <w:r w:rsidRPr="006769C7">
        <w:rPr>
          <w:rFonts w:ascii="Arial" w:hAnsi="Arial" w:cs="Arial"/>
          <w:sz w:val="24"/>
          <w:szCs w:val="24"/>
        </w:rPr>
        <w:t xml:space="preserve"> </w:t>
      </w:r>
    </w:p>
    <w:p w14:paraId="11028F58" w14:textId="77777777" w:rsidR="002C6BDF" w:rsidRPr="006769C7" w:rsidRDefault="002C6BDF" w:rsidP="006769C7">
      <w:pPr>
        <w:spacing w:line="276" w:lineRule="auto"/>
        <w:ind w:right="51"/>
        <w:jc w:val="both"/>
        <w:rPr>
          <w:rFonts w:ascii="Arial" w:hAnsi="Arial" w:cs="Arial"/>
          <w:sz w:val="24"/>
          <w:szCs w:val="24"/>
        </w:rPr>
      </w:pPr>
    </w:p>
    <w:p w14:paraId="2A41D27A" w14:textId="77777777" w:rsidR="002C6BDF" w:rsidRPr="006769C7" w:rsidRDefault="002C6BDF" w:rsidP="006769C7">
      <w:pPr>
        <w:spacing w:line="276" w:lineRule="auto"/>
        <w:ind w:right="51"/>
        <w:jc w:val="both"/>
        <w:rPr>
          <w:rFonts w:ascii="Arial" w:hAnsi="Arial" w:cs="Arial"/>
          <w:sz w:val="24"/>
          <w:szCs w:val="24"/>
        </w:rPr>
      </w:pPr>
      <w:r w:rsidRPr="006769C7">
        <w:rPr>
          <w:rFonts w:ascii="Arial" w:hAnsi="Arial" w:cs="Arial"/>
          <w:sz w:val="24"/>
          <w:szCs w:val="24"/>
        </w:rPr>
        <w:t>También se advierte que en el año de 1992, la empresa incrementó los costos y gastos operacionales, en relación con los años anteriores, pero no se acreditó en el expediente que ese incremento estuviera relacionado con el racionamiento de energía y no con factores diferentes, por ejemplo, con las nuevas estrategias e inversiones que debió realizar la empresa para adecuar su programación a los cambios que suponía la ejecución del contrato bajo el nuevo modelo de televisión</w:t>
      </w:r>
      <w:r w:rsidRPr="006769C7">
        <w:rPr>
          <w:rStyle w:val="Refdenotaalpie"/>
          <w:rFonts w:ascii="Arial" w:hAnsi="Arial" w:cs="Arial"/>
          <w:sz w:val="24"/>
          <w:szCs w:val="24"/>
        </w:rPr>
        <w:footnoteReference w:id="19"/>
      </w:r>
      <w:r w:rsidRPr="006769C7">
        <w:rPr>
          <w:rFonts w:ascii="Arial" w:hAnsi="Arial" w:cs="Arial"/>
          <w:sz w:val="24"/>
          <w:szCs w:val="24"/>
        </w:rPr>
        <w:t xml:space="preserve">. </w:t>
      </w:r>
    </w:p>
    <w:p w14:paraId="3A344BF1" w14:textId="77777777" w:rsidR="002C6BDF" w:rsidRPr="006769C7" w:rsidRDefault="002C6BDF" w:rsidP="006769C7">
      <w:pPr>
        <w:spacing w:line="276" w:lineRule="auto"/>
        <w:jc w:val="both"/>
        <w:rPr>
          <w:rFonts w:ascii="Arial" w:hAnsi="Arial" w:cs="Arial"/>
          <w:sz w:val="24"/>
          <w:szCs w:val="24"/>
        </w:rPr>
      </w:pPr>
    </w:p>
    <w:p w14:paraId="03522A2E" w14:textId="77777777" w:rsidR="002C6BDF" w:rsidRPr="006769C7" w:rsidRDefault="002C6BDF" w:rsidP="006769C7">
      <w:pPr>
        <w:spacing w:line="276" w:lineRule="auto"/>
        <w:jc w:val="both"/>
        <w:rPr>
          <w:rFonts w:ascii="Arial" w:hAnsi="Arial" w:cs="Arial"/>
          <w:sz w:val="24"/>
          <w:szCs w:val="24"/>
        </w:rPr>
      </w:pPr>
      <w:r w:rsidRPr="00C108BA">
        <w:rPr>
          <w:rFonts w:ascii="Arial" w:hAnsi="Arial" w:cs="Arial"/>
          <w:sz w:val="24"/>
          <w:szCs w:val="24"/>
          <w:highlight w:val="yellow"/>
        </w:rPr>
        <w:t>En ese orden de ideas, las conclusiones de los peritos no ofrecen a la Sala certeza sobre los daños patrimoniales sufridos por la demandante como consecuencia del racionamiento.</w:t>
      </w:r>
      <w:r w:rsidRPr="006769C7">
        <w:rPr>
          <w:rFonts w:ascii="Arial" w:hAnsi="Arial" w:cs="Arial"/>
          <w:sz w:val="24"/>
          <w:szCs w:val="24"/>
        </w:rPr>
        <w:t xml:space="preserve"> En los mismos, los expertos se limitan a hacer proyecciones, con base en fórmulas matemáticas, en abstracto, los cuales no se descalifican, desde el punto de vista de su validez estadística, pero no prueban el hecho que pretendía acreditar la sociedad demandante, que no era otro distinto al de la verificación de la incidencia del racionamiento de energía en su patrimonio. </w:t>
      </w:r>
    </w:p>
    <w:p w14:paraId="0228E116" w14:textId="77777777" w:rsidR="002C6BDF" w:rsidRPr="006769C7" w:rsidRDefault="002C6BDF" w:rsidP="006769C7">
      <w:pPr>
        <w:spacing w:line="276" w:lineRule="auto"/>
        <w:jc w:val="both"/>
        <w:rPr>
          <w:rFonts w:ascii="Arial" w:hAnsi="Arial" w:cs="Arial"/>
          <w:sz w:val="24"/>
          <w:szCs w:val="24"/>
        </w:rPr>
      </w:pPr>
    </w:p>
    <w:p w14:paraId="754FA936" w14:textId="77777777" w:rsidR="002C6BDF" w:rsidRPr="006769C7" w:rsidRDefault="002C6BDF" w:rsidP="006769C7">
      <w:pPr>
        <w:spacing w:line="276" w:lineRule="auto"/>
        <w:jc w:val="both"/>
        <w:rPr>
          <w:rFonts w:ascii="Arial" w:hAnsi="Arial" w:cs="Arial"/>
          <w:sz w:val="24"/>
          <w:szCs w:val="24"/>
        </w:rPr>
      </w:pPr>
      <w:r w:rsidRPr="006769C7">
        <w:rPr>
          <w:rFonts w:ascii="Arial" w:hAnsi="Arial" w:cs="Arial"/>
          <w:sz w:val="24"/>
          <w:szCs w:val="24"/>
        </w:rPr>
        <w:t xml:space="preserve">La sociedad debió demostrar cuáles de los espacios que le habían sido concedidos resultaron afectados con el racionamiento de energía; y en relación con los mismos cuáles fueron las ventas de publicidad que no se llevaron a cabo durante el año 1992, por el desinterés de las empresas que antes adquirían su pauta comercial en esos horarios. No le bastaba con afirmar simplemente que las empresas se abstuvieron de contratar la pauta, sin traer al expediente un mínimo de prueba sobre la celebración de contratos anteriores con dichas empresas u otros elementos de juicio que permitieran razonablemente inferir que tales contratos sí habrían de </w:t>
      </w:r>
      <w:r w:rsidRPr="006769C7">
        <w:rPr>
          <w:rFonts w:ascii="Arial" w:hAnsi="Arial" w:cs="Arial"/>
          <w:sz w:val="24"/>
          <w:szCs w:val="24"/>
        </w:rPr>
        <w:lastRenderedPageBreak/>
        <w:t xml:space="preserve">celebrarse, pero que en el año del racionamiento no se llevaron a cabo, porque los programas que transmitiría la demandante no iban a llegar a todos los consumidores a la misma hora. </w:t>
      </w:r>
    </w:p>
    <w:p w14:paraId="0C1B7181" w14:textId="77777777" w:rsidR="002C6BDF" w:rsidRPr="006769C7" w:rsidRDefault="002C6BDF" w:rsidP="006769C7">
      <w:pPr>
        <w:spacing w:line="276" w:lineRule="auto"/>
        <w:jc w:val="both"/>
        <w:rPr>
          <w:rFonts w:ascii="Arial" w:hAnsi="Arial" w:cs="Arial"/>
          <w:sz w:val="24"/>
          <w:szCs w:val="24"/>
        </w:rPr>
      </w:pPr>
    </w:p>
    <w:p w14:paraId="13DE1BA3" w14:textId="77777777" w:rsidR="002C6BDF" w:rsidRPr="006769C7" w:rsidRDefault="002C6BDF" w:rsidP="006769C7">
      <w:pPr>
        <w:spacing w:line="276" w:lineRule="auto"/>
        <w:jc w:val="both"/>
        <w:rPr>
          <w:rFonts w:ascii="Arial" w:hAnsi="Arial" w:cs="Arial"/>
          <w:sz w:val="24"/>
          <w:szCs w:val="24"/>
        </w:rPr>
      </w:pPr>
      <w:r w:rsidRPr="006769C7">
        <w:rPr>
          <w:rFonts w:ascii="Arial" w:hAnsi="Arial" w:cs="Arial"/>
          <w:sz w:val="24"/>
          <w:szCs w:val="24"/>
        </w:rPr>
        <w:t xml:space="preserve">No puede perderse de vista que el racionamiento no se hacía a la misma hora en todos los sitios del país y que, además, Inravisión ofreció a las programadoras la posibilidad de retransmitir dichos programas en horarios diferentes a los del racionamiento. En efecto, de acuerdo con las pruebas que obran la intensidad horaria promedio mensual de racionamiento era diferente por empresa y tipo de usuario y era revisada y modificada semanal o quincenalmente por el Comité. Cada empresa distribuidora era autónoma en hacer esa distribución, mientras cumpliera con la cuota diaria o semanal asignada por el Comité.  </w:t>
      </w:r>
    </w:p>
    <w:p w14:paraId="4AD6F16A" w14:textId="77777777" w:rsidR="002C6BDF" w:rsidRPr="006769C7" w:rsidRDefault="002C6BDF" w:rsidP="006769C7">
      <w:pPr>
        <w:spacing w:line="276" w:lineRule="auto"/>
        <w:jc w:val="both"/>
        <w:rPr>
          <w:rFonts w:ascii="Arial" w:hAnsi="Arial" w:cs="Arial"/>
          <w:sz w:val="24"/>
          <w:szCs w:val="24"/>
        </w:rPr>
      </w:pPr>
    </w:p>
    <w:p w14:paraId="32F84800" w14:textId="77777777" w:rsidR="002C6BDF" w:rsidRPr="006769C7" w:rsidRDefault="002C6BDF" w:rsidP="006769C7">
      <w:pPr>
        <w:spacing w:line="276" w:lineRule="auto"/>
        <w:jc w:val="both"/>
        <w:rPr>
          <w:rFonts w:ascii="Arial" w:hAnsi="Arial" w:cs="Arial"/>
          <w:sz w:val="24"/>
          <w:szCs w:val="24"/>
        </w:rPr>
      </w:pPr>
      <w:r w:rsidRPr="006769C7">
        <w:rPr>
          <w:rFonts w:ascii="Arial" w:hAnsi="Arial" w:cs="Arial"/>
          <w:bCs/>
          <w:color w:val="000000"/>
          <w:sz w:val="24"/>
          <w:szCs w:val="24"/>
        </w:rPr>
        <w:t>En consecuencia, la sociedad debió probar no sólo cuáles eran los ingresos operacionales adicionales que esperaba obtener y que no logró por causa del racionamiento y cuál era la utilidad neta –y no la simple utilidad operacional- que tales ingresos habrían de representarle, porque ese y no otro era el daño indemnizable</w:t>
      </w:r>
      <w:r w:rsidRPr="006769C7">
        <w:rPr>
          <w:rFonts w:ascii="Arial" w:hAnsi="Arial" w:cs="Arial"/>
          <w:sz w:val="24"/>
          <w:szCs w:val="24"/>
        </w:rPr>
        <w:t xml:space="preserve">. </w:t>
      </w:r>
    </w:p>
    <w:p w14:paraId="79EEEF54" w14:textId="77777777" w:rsidR="002C6BDF" w:rsidRPr="006769C7" w:rsidRDefault="002C6BDF" w:rsidP="006769C7">
      <w:pPr>
        <w:spacing w:line="276" w:lineRule="auto"/>
        <w:jc w:val="both"/>
        <w:rPr>
          <w:rFonts w:ascii="Arial" w:hAnsi="Arial" w:cs="Arial"/>
          <w:sz w:val="24"/>
          <w:szCs w:val="24"/>
        </w:rPr>
      </w:pPr>
    </w:p>
    <w:p w14:paraId="5E6066B8" w14:textId="77777777" w:rsidR="002C6BDF" w:rsidRPr="006769C7" w:rsidRDefault="002C6BDF" w:rsidP="006769C7">
      <w:pPr>
        <w:spacing w:line="276" w:lineRule="auto"/>
        <w:jc w:val="both"/>
        <w:rPr>
          <w:rFonts w:ascii="Arial" w:hAnsi="Arial" w:cs="Arial"/>
          <w:i/>
          <w:sz w:val="24"/>
          <w:szCs w:val="24"/>
        </w:rPr>
      </w:pPr>
      <w:r w:rsidRPr="006769C7">
        <w:rPr>
          <w:rFonts w:ascii="Arial" w:hAnsi="Arial" w:cs="Arial"/>
          <w:sz w:val="24"/>
          <w:szCs w:val="24"/>
        </w:rPr>
        <w:t xml:space="preserve">Cabe señalar, que en relación con la prueba de las utilidades perdidas que constituyan el objeto de las acciones reparatorias contra el Estado, el artículo 10 de la Ley 58 de 1982, establece que </w:t>
      </w:r>
      <w:r w:rsidRPr="006769C7">
        <w:rPr>
          <w:rFonts w:ascii="Arial" w:hAnsi="Arial" w:cs="Arial"/>
          <w:i/>
          <w:sz w:val="24"/>
          <w:szCs w:val="24"/>
        </w:rPr>
        <w:t xml:space="preserve">“Para la tasación de perjuicios en acciones indemnizatorias contra el Estado deberá examinarse la concordancia entre los daños alegados y la declaración de renta de las personas vinculadas a la controversia”, </w:t>
      </w:r>
      <w:r w:rsidRPr="006769C7">
        <w:rPr>
          <w:rFonts w:ascii="Arial" w:hAnsi="Arial" w:cs="Arial"/>
          <w:sz w:val="24"/>
          <w:szCs w:val="24"/>
        </w:rPr>
        <w:t xml:space="preserve">norma que fue declarada exequible por la Corte Suprema de Justicia, sentencia de 1º  de diciembre de 1983, en la cual se afirmó que </w:t>
      </w:r>
      <w:r w:rsidRPr="006769C7">
        <w:rPr>
          <w:rFonts w:ascii="Arial" w:hAnsi="Arial" w:cs="Arial"/>
          <w:i/>
          <w:sz w:val="24"/>
          <w:szCs w:val="24"/>
        </w:rPr>
        <w:t xml:space="preserve">“Lo que la referida disposición exige es que la confrontación a la que en ella se alude, haya de realizarse y se tenga como un factor en la determinación del monto de la indemnización”. </w:t>
      </w:r>
    </w:p>
    <w:p w14:paraId="33518EC4" w14:textId="77777777" w:rsidR="002C6BDF" w:rsidRPr="006769C7" w:rsidRDefault="002C6BDF" w:rsidP="006769C7">
      <w:pPr>
        <w:spacing w:line="276" w:lineRule="auto"/>
        <w:jc w:val="both"/>
        <w:rPr>
          <w:rFonts w:ascii="Arial" w:hAnsi="Arial" w:cs="Arial"/>
          <w:bCs/>
          <w:color w:val="000000"/>
          <w:sz w:val="24"/>
          <w:szCs w:val="24"/>
        </w:rPr>
      </w:pPr>
    </w:p>
    <w:p w14:paraId="5ADEBA96" w14:textId="77777777" w:rsidR="002C6BDF" w:rsidRPr="006769C7" w:rsidRDefault="002C6BDF" w:rsidP="006769C7">
      <w:pPr>
        <w:spacing w:line="276" w:lineRule="auto"/>
        <w:jc w:val="both"/>
        <w:rPr>
          <w:rFonts w:ascii="Arial" w:hAnsi="Arial" w:cs="Arial"/>
          <w:bCs/>
          <w:color w:val="000000"/>
          <w:sz w:val="24"/>
          <w:szCs w:val="24"/>
        </w:rPr>
      </w:pPr>
      <w:r w:rsidRPr="006769C7">
        <w:rPr>
          <w:rFonts w:ascii="Arial" w:hAnsi="Arial" w:cs="Arial"/>
          <w:sz w:val="24"/>
          <w:szCs w:val="24"/>
        </w:rPr>
        <w:t xml:space="preserve">Advierte, además, la Sala que en el expediente no se cuenta con información sobre las operaciones comerciales y balances de la empresa a partir del restablecimiento pleno del servicio en el país, de tal manera que fuera posible concluir, a partir de datos como los ingresos operacionales, utilidades operacionales y utilidades netas obtenidas por la empresa en los años 1993 y siguientes, cuál fue el efecto financiero que tuvo el racionamiento en el año 1992 sobre la empresa. </w:t>
      </w:r>
    </w:p>
    <w:p w14:paraId="2DA8EDFA" w14:textId="77777777" w:rsidR="002C6BDF" w:rsidRPr="006769C7" w:rsidRDefault="002C6BDF" w:rsidP="006769C7">
      <w:pPr>
        <w:spacing w:line="276" w:lineRule="auto"/>
        <w:jc w:val="both"/>
        <w:rPr>
          <w:rFonts w:ascii="Arial" w:hAnsi="Arial" w:cs="Arial"/>
          <w:bCs/>
          <w:color w:val="000000"/>
          <w:sz w:val="24"/>
          <w:szCs w:val="24"/>
        </w:rPr>
      </w:pPr>
    </w:p>
    <w:p w14:paraId="44BE4F5C" w14:textId="77777777" w:rsidR="002C6BDF" w:rsidRPr="006769C7" w:rsidRDefault="002C6BDF" w:rsidP="006769C7">
      <w:pPr>
        <w:spacing w:line="276" w:lineRule="auto"/>
        <w:jc w:val="both"/>
        <w:rPr>
          <w:rFonts w:ascii="Arial" w:hAnsi="Arial" w:cs="Arial"/>
          <w:bCs/>
          <w:color w:val="000000"/>
          <w:sz w:val="24"/>
          <w:szCs w:val="24"/>
        </w:rPr>
      </w:pPr>
      <w:r w:rsidRPr="006769C7">
        <w:rPr>
          <w:rFonts w:ascii="Arial" w:hAnsi="Arial" w:cs="Arial"/>
          <w:bCs/>
          <w:color w:val="000000"/>
          <w:sz w:val="24"/>
          <w:szCs w:val="24"/>
        </w:rPr>
        <w:t xml:space="preserve">En síntesis, es cierto que el racionamiento de energía durante el período comprendido entre el 2 de marzo de 1992 y el 1º de abril de 1993 afectó a todos los residentes del país y pudo generar pérdidas económicas a algunas personas y empresas; sin embargo, la pretensión de la reparación de esos daños dirigida en contra del Estado, debía empezar por demostrar la existencia de tales pérdidas y su relación con el racionamiento, porque estas podían estar asociadas a factores coyunturales diferentes; en especial, esa prueba resultaba plenamente relevante cuando, en casos como el que aquí se analizó, el mismo Estado implementó diversos mecanismos tendientes a evitar la consolidación de tales daños. </w:t>
      </w:r>
    </w:p>
    <w:p w14:paraId="53F75775" w14:textId="77777777" w:rsidR="002C6BDF" w:rsidRPr="006769C7" w:rsidRDefault="002C6BDF" w:rsidP="006769C7">
      <w:pPr>
        <w:spacing w:line="276" w:lineRule="auto"/>
        <w:jc w:val="both"/>
        <w:rPr>
          <w:rFonts w:ascii="Arial" w:hAnsi="Arial" w:cs="Arial"/>
          <w:bCs/>
          <w:color w:val="000000"/>
          <w:sz w:val="24"/>
          <w:szCs w:val="24"/>
        </w:rPr>
      </w:pPr>
    </w:p>
    <w:p w14:paraId="52E317F1" w14:textId="77777777" w:rsidR="002C6BDF" w:rsidRPr="006769C7" w:rsidRDefault="002C6BDF" w:rsidP="006769C7">
      <w:pPr>
        <w:spacing w:line="276" w:lineRule="auto"/>
        <w:jc w:val="both"/>
        <w:rPr>
          <w:rFonts w:ascii="Arial" w:hAnsi="Arial" w:cs="Arial"/>
          <w:sz w:val="24"/>
          <w:szCs w:val="24"/>
        </w:rPr>
      </w:pPr>
      <w:r w:rsidRPr="006769C7">
        <w:rPr>
          <w:rFonts w:ascii="Arial" w:hAnsi="Arial" w:cs="Arial"/>
          <w:bCs/>
          <w:color w:val="000000"/>
          <w:sz w:val="24"/>
          <w:szCs w:val="24"/>
        </w:rPr>
        <w:lastRenderedPageBreak/>
        <w:t xml:space="preserve">No hay duda de que la trasmisión de los programas a través de la televisión demandaba la prestación del servicio de energía y tampoco se discute el hecho de que los comerciantes contratan la trasmisión de la pauta publicitaria, de manera preferente, en aquellas franjas de mayor sintonía, las cuales pueden estar asociadas con el regreso a los hogares de los trabajadores y estudiantes o las horas y días de descanso. Sin embargo, es claro que los hábitos de las personas se vieron modificados con el racionamiento de energía, lo que hace presumir que las horas de mayor sintonía de la televisión debieron trasladarse a aquellas en las que se contaba con la disponibilidad del servicio, hecho este que también tuvo que generar efectos económicos relacionados con la oferta y demanda de los espacios para la pauta publicitaria; pero, ninguno de esos hechos fue demostrado en el expediente. La empresa demandante se limitó a pedirles a los peritos que hicieran proyecciones estadísticas sobre sus balances, sin traer al expediente prueba alguna relacionada con los contratos que habrían de generarle los ingresos que echó de menos, y de las utilidades que estos habrían de reportarle, y sin estas pruebas –se insiste-, no se puede concluir la existencia del daño aducido en la demanda. </w:t>
      </w:r>
    </w:p>
    <w:p w14:paraId="6D1A5CBA"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p>
    <w:p w14:paraId="27644628"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r w:rsidRPr="006769C7">
        <w:rPr>
          <w:rFonts w:ascii="Arial" w:hAnsi="Arial" w:cs="Arial"/>
          <w:sz w:val="24"/>
          <w:szCs w:val="24"/>
        </w:rPr>
        <w:t xml:space="preserve">Por no estar acreditada la existencia del daño, la Sala queda relevada del estudio de su imputabilidad a las entidades demandadas. Por lo tanto, no se entrarán a analizar las pruebas relacionadas con las presuntas causas del racionamiento de energía. </w:t>
      </w:r>
    </w:p>
    <w:p w14:paraId="4CE4264D"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p>
    <w:p w14:paraId="679E3388" w14:textId="77777777" w:rsidR="002C6BDF" w:rsidRPr="006769C7" w:rsidRDefault="002C6BDF" w:rsidP="006769C7">
      <w:pPr>
        <w:widowControl w:val="0"/>
        <w:autoSpaceDE w:val="0"/>
        <w:autoSpaceDN w:val="0"/>
        <w:adjustRightInd w:val="0"/>
        <w:spacing w:line="276" w:lineRule="auto"/>
        <w:jc w:val="both"/>
        <w:rPr>
          <w:rFonts w:ascii="Arial" w:hAnsi="Arial" w:cs="Arial"/>
          <w:b/>
          <w:bCs/>
          <w:sz w:val="24"/>
          <w:szCs w:val="24"/>
        </w:rPr>
      </w:pPr>
      <w:r w:rsidRPr="006769C7">
        <w:rPr>
          <w:rFonts w:ascii="Arial" w:hAnsi="Arial" w:cs="Arial"/>
          <w:b/>
          <w:bCs/>
          <w:sz w:val="24"/>
          <w:szCs w:val="24"/>
        </w:rPr>
        <w:t xml:space="preserve">Costas </w:t>
      </w:r>
    </w:p>
    <w:p w14:paraId="3B2BE743" w14:textId="77777777" w:rsidR="002C6BDF" w:rsidRPr="006769C7" w:rsidRDefault="002C6BDF" w:rsidP="006769C7">
      <w:pPr>
        <w:widowControl w:val="0"/>
        <w:autoSpaceDE w:val="0"/>
        <w:autoSpaceDN w:val="0"/>
        <w:adjustRightInd w:val="0"/>
        <w:spacing w:line="276" w:lineRule="auto"/>
        <w:jc w:val="both"/>
        <w:rPr>
          <w:rFonts w:ascii="Arial" w:hAnsi="Arial" w:cs="Arial"/>
          <w:b/>
          <w:bCs/>
          <w:sz w:val="24"/>
          <w:szCs w:val="24"/>
        </w:rPr>
      </w:pPr>
    </w:p>
    <w:p w14:paraId="1E53BCAD" w14:textId="77777777" w:rsidR="002C6BDF" w:rsidRPr="006769C7" w:rsidRDefault="002C6BDF" w:rsidP="006769C7">
      <w:pPr>
        <w:spacing w:line="276" w:lineRule="auto"/>
        <w:ind w:right="-1"/>
        <w:jc w:val="both"/>
        <w:rPr>
          <w:rFonts w:ascii="Arial" w:hAnsi="Arial" w:cs="Arial"/>
          <w:b/>
          <w:color w:val="000000"/>
          <w:sz w:val="24"/>
          <w:szCs w:val="24"/>
        </w:rPr>
      </w:pPr>
      <w:r w:rsidRPr="006769C7">
        <w:rPr>
          <w:rFonts w:ascii="Arial" w:hAnsi="Arial" w:cs="Arial"/>
          <w:sz w:val="24"/>
          <w:szCs w:val="24"/>
        </w:rPr>
        <w:t>De</w:t>
      </w:r>
      <w:r w:rsidRPr="006769C7">
        <w:rPr>
          <w:rFonts w:ascii="Arial" w:hAnsi="Arial" w:cs="Arial"/>
          <w:color w:val="000000"/>
          <w:sz w:val="24"/>
          <w:szCs w:val="24"/>
        </w:rPr>
        <w:t xml:space="preserve"> conformidad con lo establecido en el artículo 55 de la ley 446 de 1998 hay lugar a condenar en costas a la parte vencida, sólo en la medida en que su conducta sea temeraria porque no le asiste al demandar u oponerse </w:t>
      </w:r>
      <w:r w:rsidRPr="006769C7">
        <w:rPr>
          <w:rFonts w:ascii="Arial" w:hAnsi="Arial" w:cs="Arial"/>
          <w:i/>
          <w:color w:val="000000"/>
          <w:sz w:val="24"/>
          <w:szCs w:val="24"/>
        </w:rPr>
        <w:t>“un fundamento razonable, o hay de su parte una injustificada falta de colaboración en el aporte o práctica de pruebas, o acude a la interposición de recursos con un interés meramente dilatorio”</w:t>
      </w:r>
      <w:r w:rsidRPr="006769C7">
        <w:rPr>
          <w:rStyle w:val="Refdenotaalpie"/>
          <w:rFonts w:ascii="Arial" w:hAnsi="Arial" w:cs="Arial"/>
          <w:color w:val="000000"/>
          <w:sz w:val="24"/>
          <w:szCs w:val="24"/>
        </w:rPr>
        <w:footnoteReference w:id="20"/>
      </w:r>
      <w:r w:rsidRPr="006769C7">
        <w:rPr>
          <w:rFonts w:ascii="Arial" w:hAnsi="Arial" w:cs="Arial"/>
          <w:color w:val="000000"/>
          <w:sz w:val="24"/>
          <w:szCs w:val="24"/>
        </w:rPr>
        <w:t xml:space="preserve">. En el caso concreto, las partes no incurrieron en conductas temerarias. Por lo tanto, no habrá condena en costas. </w:t>
      </w:r>
    </w:p>
    <w:p w14:paraId="0D79E954"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p>
    <w:p w14:paraId="18F90300" w14:textId="77777777" w:rsidR="002C6BDF" w:rsidRPr="006769C7" w:rsidRDefault="002C6BDF" w:rsidP="006769C7">
      <w:pPr>
        <w:widowControl w:val="0"/>
        <w:tabs>
          <w:tab w:val="left" w:pos="480"/>
        </w:tabs>
        <w:spacing w:line="276" w:lineRule="auto"/>
        <w:ind w:right="51"/>
        <w:jc w:val="both"/>
        <w:rPr>
          <w:rFonts w:ascii="Arial" w:hAnsi="Arial" w:cs="Arial"/>
          <w:sz w:val="24"/>
          <w:szCs w:val="24"/>
        </w:rPr>
      </w:pPr>
      <w:r w:rsidRPr="006769C7">
        <w:rPr>
          <w:rFonts w:ascii="Arial" w:hAnsi="Arial" w:cs="Arial"/>
          <w:sz w:val="24"/>
          <w:szCs w:val="24"/>
        </w:rPr>
        <w:t xml:space="preserve">En mérito de lo expuesto, el Consejo de Estado, en Sala de lo Contencioso Administrativo, Sección Tercera, Subsección B, administrando justicia en nombre de </w:t>
      </w:r>
      <w:smartTag w:uri="urn:schemas-microsoft-com:office:smarttags" w:element="PersonName">
        <w:smartTagPr>
          <w:attr w:name="ProductID" w:val="la Secretaria"/>
        </w:smartTagPr>
        <w:r w:rsidRPr="006769C7">
          <w:rPr>
            <w:rFonts w:ascii="Arial" w:hAnsi="Arial" w:cs="Arial"/>
            <w:sz w:val="24"/>
            <w:szCs w:val="24"/>
          </w:rPr>
          <w:t>la República</w:t>
        </w:r>
      </w:smartTag>
      <w:r w:rsidRPr="006769C7">
        <w:rPr>
          <w:rFonts w:ascii="Arial" w:hAnsi="Arial" w:cs="Arial"/>
          <w:sz w:val="24"/>
          <w:szCs w:val="24"/>
        </w:rPr>
        <w:t xml:space="preserve"> de Colombia y por autoridad de la ley, </w:t>
      </w:r>
    </w:p>
    <w:p w14:paraId="23F4D56B" w14:textId="77777777" w:rsidR="002C6BDF" w:rsidRPr="006769C7" w:rsidRDefault="002C6BDF" w:rsidP="006769C7">
      <w:pPr>
        <w:widowControl w:val="0"/>
        <w:spacing w:line="276" w:lineRule="auto"/>
        <w:rPr>
          <w:rFonts w:ascii="Arial" w:hAnsi="Arial" w:cs="Arial"/>
          <w:b/>
          <w:bCs/>
          <w:sz w:val="24"/>
          <w:szCs w:val="24"/>
        </w:rPr>
      </w:pPr>
    </w:p>
    <w:p w14:paraId="02AC291D" w14:textId="77777777" w:rsidR="002C6BDF" w:rsidRPr="006769C7" w:rsidRDefault="002C6BDF" w:rsidP="006769C7">
      <w:pPr>
        <w:widowControl w:val="0"/>
        <w:spacing w:line="276" w:lineRule="auto"/>
        <w:jc w:val="center"/>
        <w:rPr>
          <w:rFonts w:ascii="Arial" w:hAnsi="Arial" w:cs="Arial"/>
          <w:b/>
          <w:bCs/>
          <w:sz w:val="24"/>
          <w:szCs w:val="24"/>
        </w:rPr>
      </w:pPr>
      <w:r w:rsidRPr="006769C7">
        <w:rPr>
          <w:rFonts w:ascii="Arial" w:hAnsi="Arial" w:cs="Arial"/>
          <w:b/>
          <w:bCs/>
          <w:sz w:val="24"/>
          <w:szCs w:val="24"/>
        </w:rPr>
        <w:t>FALLA</w:t>
      </w:r>
    </w:p>
    <w:p w14:paraId="21B1FCB4" w14:textId="77777777" w:rsidR="002C6BDF" w:rsidRPr="006769C7" w:rsidRDefault="002C6BDF" w:rsidP="006769C7">
      <w:pPr>
        <w:widowControl w:val="0"/>
        <w:spacing w:line="276" w:lineRule="auto"/>
        <w:rPr>
          <w:rFonts w:ascii="Arial" w:hAnsi="Arial" w:cs="Arial"/>
          <w:b/>
          <w:bCs/>
          <w:sz w:val="24"/>
          <w:szCs w:val="24"/>
        </w:rPr>
      </w:pPr>
    </w:p>
    <w:p w14:paraId="44383D97" w14:textId="77777777" w:rsidR="002C6BDF" w:rsidRPr="006769C7" w:rsidRDefault="002C6BDF" w:rsidP="006769C7">
      <w:pPr>
        <w:widowControl w:val="0"/>
        <w:spacing w:line="276" w:lineRule="auto"/>
        <w:rPr>
          <w:rFonts w:ascii="Arial" w:hAnsi="Arial" w:cs="Arial"/>
          <w:b/>
          <w:bCs/>
          <w:sz w:val="24"/>
          <w:szCs w:val="24"/>
        </w:rPr>
      </w:pPr>
    </w:p>
    <w:p w14:paraId="3C9F9D2D" w14:textId="77777777" w:rsidR="002C6BDF" w:rsidRPr="006769C7" w:rsidRDefault="002C6BDF" w:rsidP="006769C7">
      <w:pPr>
        <w:widowControl w:val="0"/>
        <w:spacing w:line="276" w:lineRule="auto"/>
        <w:jc w:val="both"/>
        <w:rPr>
          <w:rFonts w:ascii="Arial" w:hAnsi="Arial" w:cs="Arial"/>
          <w:sz w:val="24"/>
          <w:szCs w:val="24"/>
        </w:rPr>
      </w:pPr>
      <w:r w:rsidRPr="006769C7">
        <w:rPr>
          <w:rFonts w:ascii="Arial" w:hAnsi="Arial" w:cs="Arial"/>
          <w:b/>
          <w:bCs/>
          <w:sz w:val="24"/>
          <w:szCs w:val="24"/>
        </w:rPr>
        <w:t xml:space="preserve">MODIFÍCASE </w:t>
      </w:r>
      <w:r w:rsidRPr="006769C7">
        <w:rPr>
          <w:rFonts w:ascii="Arial" w:hAnsi="Arial" w:cs="Arial"/>
          <w:sz w:val="24"/>
          <w:szCs w:val="24"/>
        </w:rPr>
        <w:t>la sentencia proferida por el Tribunal Administrativo de</w:t>
      </w:r>
      <w:r w:rsidRPr="006769C7">
        <w:rPr>
          <w:rFonts w:ascii="Arial" w:hAnsi="Arial" w:cs="Arial"/>
          <w:b/>
          <w:sz w:val="24"/>
          <w:szCs w:val="24"/>
        </w:rPr>
        <w:t xml:space="preserve"> </w:t>
      </w:r>
      <w:r w:rsidRPr="006769C7">
        <w:rPr>
          <w:rFonts w:ascii="Arial" w:hAnsi="Arial" w:cs="Arial"/>
          <w:sz w:val="24"/>
          <w:szCs w:val="24"/>
        </w:rPr>
        <w:t xml:space="preserve">Cundinamarca-Sección Tercera-Sala de Descongestión, el 13 de noviembre de 2003, la cual quedará así: </w:t>
      </w:r>
    </w:p>
    <w:p w14:paraId="525DA096" w14:textId="77777777" w:rsidR="002C6BDF" w:rsidRPr="006769C7" w:rsidRDefault="002C6BDF" w:rsidP="006769C7">
      <w:pPr>
        <w:widowControl w:val="0"/>
        <w:spacing w:line="276" w:lineRule="auto"/>
        <w:jc w:val="both"/>
        <w:rPr>
          <w:rFonts w:ascii="Arial" w:hAnsi="Arial" w:cs="Arial"/>
          <w:b/>
          <w:sz w:val="24"/>
          <w:szCs w:val="24"/>
        </w:rPr>
      </w:pPr>
    </w:p>
    <w:p w14:paraId="6CE68124" w14:textId="77777777" w:rsidR="002C6BDF" w:rsidRPr="006769C7" w:rsidRDefault="002C6BDF" w:rsidP="006769C7">
      <w:pPr>
        <w:widowControl w:val="0"/>
        <w:spacing w:line="276" w:lineRule="auto"/>
        <w:jc w:val="both"/>
        <w:rPr>
          <w:rFonts w:ascii="Arial" w:hAnsi="Arial" w:cs="Arial"/>
          <w:sz w:val="24"/>
          <w:szCs w:val="24"/>
        </w:rPr>
      </w:pPr>
      <w:r w:rsidRPr="006769C7">
        <w:rPr>
          <w:rFonts w:ascii="Arial" w:hAnsi="Arial" w:cs="Arial"/>
          <w:b/>
          <w:sz w:val="24"/>
          <w:szCs w:val="24"/>
        </w:rPr>
        <w:t>Primero: NO PROSPERA LA OBJECIÓN</w:t>
      </w:r>
      <w:r w:rsidRPr="006769C7">
        <w:rPr>
          <w:rFonts w:ascii="Arial" w:hAnsi="Arial" w:cs="Arial"/>
          <w:sz w:val="24"/>
          <w:szCs w:val="24"/>
        </w:rPr>
        <w:t xml:space="preserve"> por error grave del dictamen, formulado por la entidad demandada. </w:t>
      </w:r>
    </w:p>
    <w:p w14:paraId="61F53C6F" w14:textId="77777777" w:rsidR="002C6BDF" w:rsidRPr="006769C7" w:rsidRDefault="002C6BDF" w:rsidP="006769C7">
      <w:pPr>
        <w:widowControl w:val="0"/>
        <w:spacing w:line="276" w:lineRule="auto"/>
        <w:jc w:val="both"/>
        <w:rPr>
          <w:rFonts w:ascii="Arial" w:hAnsi="Arial" w:cs="Arial"/>
          <w:b/>
          <w:sz w:val="24"/>
          <w:szCs w:val="24"/>
        </w:rPr>
      </w:pPr>
    </w:p>
    <w:p w14:paraId="181C5FFE" w14:textId="77777777" w:rsidR="002C6BDF" w:rsidRPr="006769C7" w:rsidRDefault="002C6BDF" w:rsidP="006769C7">
      <w:pPr>
        <w:widowControl w:val="0"/>
        <w:spacing w:line="276" w:lineRule="auto"/>
        <w:jc w:val="both"/>
        <w:rPr>
          <w:rFonts w:ascii="Arial" w:hAnsi="Arial" w:cs="Arial"/>
          <w:sz w:val="24"/>
          <w:szCs w:val="24"/>
        </w:rPr>
      </w:pPr>
      <w:r w:rsidRPr="006769C7">
        <w:rPr>
          <w:rFonts w:ascii="Arial" w:hAnsi="Arial" w:cs="Arial"/>
          <w:b/>
          <w:sz w:val="24"/>
          <w:szCs w:val="24"/>
        </w:rPr>
        <w:t>Segundo: NIÉGANSE</w:t>
      </w:r>
      <w:r w:rsidRPr="006769C7">
        <w:rPr>
          <w:rFonts w:ascii="Arial" w:hAnsi="Arial" w:cs="Arial"/>
          <w:sz w:val="24"/>
          <w:szCs w:val="24"/>
        </w:rPr>
        <w:t xml:space="preserve"> las pretensiones de la demanda. </w:t>
      </w:r>
    </w:p>
    <w:p w14:paraId="139B5BCF" w14:textId="77777777" w:rsidR="002C6BDF" w:rsidRPr="006769C7" w:rsidRDefault="002C6BDF" w:rsidP="006769C7">
      <w:pPr>
        <w:widowControl w:val="0"/>
        <w:spacing w:line="276" w:lineRule="auto"/>
        <w:jc w:val="both"/>
        <w:rPr>
          <w:rFonts w:ascii="Arial" w:hAnsi="Arial" w:cs="Arial"/>
          <w:sz w:val="24"/>
          <w:szCs w:val="24"/>
        </w:rPr>
      </w:pPr>
    </w:p>
    <w:p w14:paraId="4A1DC115" w14:textId="77777777" w:rsidR="002C6BDF" w:rsidRPr="006769C7" w:rsidRDefault="002C6BDF" w:rsidP="006769C7">
      <w:pPr>
        <w:widowControl w:val="0"/>
        <w:spacing w:line="276" w:lineRule="auto"/>
        <w:jc w:val="both"/>
        <w:rPr>
          <w:rFonts w:ascii="Arial" w:hAnsi="Arial" w:cs="Arial"/>
          <w:b/>
          <w:sz w:val="24"/>
          <w:szCs w:val="24"/>
        </w:rPr>
      </w:pPr>
      <w:r w:rsidRPr="006769C7">
        <w:rPr>
          <w:rFonts w:ascii="Arial" w:hAnsi="Arial" w:cs="Arial"/>
          <w:b/>
          <w:sz w:val="24"/>
          <w:szCs w:val="24"/>
        </w:rPr>
        <w:t>Tercero: SIN CONDENA EN COSTAS.</w:t>
      </w:r>
    </w:p>
    <w:p w14:paraId="728514E6" w14:textId="77777777" w:rsidR="002C6BDF" w:rsidRPr="006769C7" w:rsidRDefault="002C6BDF" w:rsidP="006769C7">
      <w:pPr>
        <w:widowControl w:val="0"/>
        <w:spacing w:line="276" w:lineRule="auto"/>
        <w:jc w:val="both"/>
        <w:rPr>
          <w:rFonts w:ascii="Arial" w:hAnsi="Arial" w:cs="Arial"/>
          <w:b/>
          <w:sz w:val="24"/>
          <w:szCs w:val="24"/>
        </w:rPr>
      </w:pPr>
    </w:p>
    <w:p w14:paraId="767FA653" w14:textId="77777777" w:rsidR="002C6BDF" w:rsidRPr="006769C7" w:rsidRDefault="002C6BDF" w:rsidP="006769C7">
      <w:pPr>
        <w:widowControl w:val="0"/>
        <w:spacing w:line="276" w:lineRule="auto"/>
        <w:jc w:val="both"/>
        <w:rPr>
          <w:rFonts w:ascii="Arial" w:hAnsi="Arial" w:cs="Arial"/>
          <w:iCs/>
          <w:spacing w:val="-4"/>
          <w:sz w:val="24"/>
          <w:szCs w:val="24"/>
        </w:rPr>
      </w:pPr>
      <w:r w:rsidRPr="006769C7">
        <w:rPr>
          <w:rFonts w:ascii="Arial" w:hAnsi="Arial" w:cs="Arial"/>
          <w:b/>
          <w:sz w:val="24"/>
          <w:szCs w:val="24"/>
        </w:rPr>
        <w:t xml:space="preserve">Cuarto: DEVUÉLVASE </w:t>
      </w:r>
      <w:r w:rsidRPr="006769C7">
        <w:rPr>
          <w:rFonts w:ascii="Arial" w:hAnsi="Arial" w:cs="Arial"/>
          <w:sz w:val="24"/>
          <w:szCs w:val="24"/>
        </w:rPr>
        <w:t>el expediente al Tribunal de origen.</w:t>
      </w:r>
    </w:p>
    <w:p w14:paraId="1A1CB837" w14:textId="77777777" w:rsidR="002C6BDF" w:rsidRPr="006769C7" w:rsidRDefault="002C6BDF" w:rsidP="006769C7">
      <w:pPr>
        <w:tabs>
          <w:tab w:val="num" w:pos="0"/>
        </w:tabs>
        <w:suppressAutoHyphens/>
        <w:spacing w:line="276" w:lineRule="auto"/>
        <w:ind w:right="50"/>
        <w:jc w:val="both"/>
        <w:rPr>
          <w:rFonts w:ascii="Arial" w:hAnsi="Arial" w:cs="Arial"/>
          <w:iCs/>
          <w:spacing w:val="-4"/>
          <w:sz w:val="24"/>
          <w:szCs w:val="24"/>
        </w:rPr>
      </w:pPr>
    </w:p>
    <w:p w14:paraId="5AD3C569" w14:textId="77777777" w:rsidR="002C6BDF" w:rsidRPr="006769C7" w:rsidRDefault="002C6BDF" w:rsidP="006769C7">
      <w:pPr>
        <w:pStyle w:val="Textoindependiente21"/>
        <w:tabs>
          <w:tab w:val="num" w:pos="0"/>
        </w:tabs>
        <w:spacing w:line="276" w:lineRule="auto"/>
        <w:ind w:right="50" w:hanging="11"/>
        <w:jc w:val="center"/>
        <w:rPr>
          <w:rFonts w:cs="Arial"/>
          <w:b/>
          <w:szCs w:val="24"/>
        </w:rPr>
      </w:pPr>
      <w:r w:rsidRPr="006769C7">
        <w:rPr>
          <w:rFonts w:cs="Arial"/>
          <w:b/>
          <w:szCs w:val="24"/>
        </w:rPr>
        <w:t>CÓPIESE, NOTIFÍQUESE Y CÚMPLASE</w:t>
      </w:r>
    </w:p>
    <w:p w14:paraId="0949262A" w14:textId="77777777" w:rsidR="002C6BDF" w:rsidRPr="006769C7" w:rsidRDefault="002C6BDF" w:rsidP="006769C7">
      <w:pPr>
        <w:pStyle w:val="BodyText21"/>
        <w:spacing w:line="276" w:lineRule="auto"/>
        <w:ind w:right="28"/>
        <w:rPr>
          <w:b/>
        </w:rPr>
      </w:pPr>
    </w:p>
    <w:p w14:paraId="5649C4A4" w14:textId="77777777" w:rsidR="002C6BDF" w:rsidRPr="006769C7" w:rsidRDefault="002C6BDF" w:rsidP="006769C7">
      <w:pPr>
        <w:pStyle w:val="BodyText21"/>
        <w:spacing w:line="276" w:lineRule="auto"/>
        <w:ind w:right="28"/>
        <w:rPr>
          <w:b/>
        </w:rPr>
      </w:pPr>
    </w:p>
    <w:p w14:paraId="6709A7EF" w14:textId="77777777" w:rsidR="002C6BDF" w:rsidRPr="006769C7" w:rsidRDefault="002C6BDF" w:rsidP="006769C7">
      <w:pPr>
        <w:spacing w:line="276" w:lineRule="auto"/>
        <w:ind w:right="28"/>
        <w:jc w:val="center"/>
        <w:rPr>
          <w:rFonts w:ascii="Arial" w:hAnsi="Arial" w:cs="Arial"/>
          <w:b/>
          <w:sz w:val="24"/>
          <w:szCs w:val="24"/>
        </w:rPr>
      </w:pPr>
    </w:p>
    <w:p w14:paraId="787C6C4A" w14:textId="77777777" w:rsidR="002C6BDF" w:rsidRPr="006769C7" w:rsidRDefault="002C6BDF" w:rsidP="006769C7">
      <w:pPr>
        <w:spacing w:line="276" w:lineRule="auto"/>
        <w:ind w:right="28"/>
        <w:jc w:val="center"/>
        <w:rPr>
          <w:rFonts w:ascii="Arial" w:hAnsi="Arial" w:cs="Arial"/>
          <w:b/>
          <w:sz w:val="24"/>
          <w:szCs w:val="24"/>
        </w:rPr>
      </w:pPr>
    </w:p>
    <w:p w14:paraId="5853455F" w14:textId="77777777" w:rsidR="002C6BDF" w:rsidRPr="006769C7" w:rsidRDefault="002C6BDF" w:rsidP="006769C7">
      <w:pPr>
        <w:pStyle w:val="BodyText21"/>
        <w:spacing w:line="276" w:lineRule="auto"/>
        <w:ind w:right="28"/>
        <w:jc w:val="center"/>
        <w:rPr>
          <w:b/>
          <w:bCs/>
          <w:lang w:val="es-CO"/>
        </w:rPr>
      </w:pPr>
      <w:r w:rsidRPr="006769C7">
        <w:rPr>
          <w:b/>
          <w:bCs/>
          <w:lang w:val="es-CO"/>
        </w:rPr>
        <w:t>STELLA CONTO DÍAZ DEL CASTILLO</w:t>
      </w:r>
    </w:p>
    <w:p w14:paraId="0D993C56" w14:textId="77777777" w:rsidR="002C6BDF" w:rsidRPr="006769C7" w:rsidRDefault="002C6BDF" w:rsidP="006769C7">
      <w:pPr>
        <w:spacing w:line="276" w:lineRule="auto"/>
        <w:ind w:right="28"/>
        <w:jc w:val="center"/>
        <w:rPr>
          <w:rFonts w:ascii="Arial" w:hAnsi="Arial" w:cs="Arial"/>
          <w:b/>
          <w:sz w:val="24"/>
          <w:szCs w:val="24"/>
        </w:rPr>
      </w:pPr>
      <w:r w:rsidRPr="006769C7">
        <w:rPr>
          <w:rFonts w:ascii="Arial" w:hAnsi="Arial" w:cs="Arial"/>
          <w:b/>
          <w:sz w:val="24"/>
          <w:szCs w:val="24"/>
        </w:rPr>
        <w:t>Presidenta</w:t>
      </w:r>
    </w:p>
    <w:p w14:paraId="4AAC5528" w14:textId="77777777" w:rsidR="002C6BDF" w:rsidRPr="006769C7" w:rsidRDefault="002C6BDF" w:rsidP="006769C7">
      <w:pPr>
        <w:pStyle w:val="BodyText21"/>
        <w:spacing w:line="276" w:lineRule="auto"/>
        <w:ind w:right="28"/>
        <w:rPr>
          <w:b/>
        </w:rPr>
      </w:pPr>
    </w:p>
    <w:p w14:paraId="504BB5EC" w14:textId="77777777" w:rsidR="002C6BDF" w:rsidRPr="006769C7" w:rsidRDefault="002C6BDF" w:rsidP="006769C7">
      <w:pPr>
        <w:pStyle w:val="BodyText21"/>
        <w:spacing w:line="276" w:lineRule="auto"/>
        <w:ind w:right="28"/>
        <w:rPr>
          <w:b/>
        </w:rPr>
      </w:pPr>
    </w:p>
    <w:p w14:paraId="038F0923" w14:textId="77777777" w:rsidR="002C6BDF" w:rsidRPr="006769C7" w:rsidRDefault="002C6BDF" w:rsidP="006769C7">
      <w:pPr>
        <w:pStyle w:val="BodyText21"/>
        <w:spacing w:line="276" w:lineRule="auto"/>
        <w:ind w:right="28"/>
        <w:rPr>
          <w:b/>
        </w:rPr>
      </w:pPr>
    </w:p>
    <w:p w14:paraId="215E347F" w14:textId="77777777" w:rsidR="002C6BDF" w:rsidRPr="006769C7" w:rsidRDefault="002C6BDF" w:rsidP="006769C7">
      <w:pPr>
        <w:pStyle w:val="BodyText21"/>
        <w:spacing w:line="276" w:lineRule="auto"/>
        <w:ind w:right="28"/>
        <w:rPr>
          <w:b/>
        </w:rPr>
      </w:pPr>
    </w:p>
    <w:p w14:paraId="3610A921" w14:textId="77777777" w:rsidR="002C6BDF" w:rsidRPr="006769C7" w:rsidRDefault="002C6BDF" w:rsidP="006769C7">
      <w:pPr>
        <w:pStyle w:val="BodyText21"/>
        <w:spacing w:line="276" w:lineRule="auto"/>
        <w:ind w:right="28"/>
        <w:rPr>
          <w:b/>
        </w:rPr>
      </w:pPr>
    </w:p>
    <w:p w14:paraId="38352B49" w14:textId="77777777" w:rsidR="002C6BDF" w:rsidRPr="006769C7" w:rsidRDefault="002C6BDF" w:rsidP="006769C7">
      <w:pPr>
        <w:pStyle w:val="BodyText21"/>
        <w:spacing w:line="276" w:lineRule="auto"/>
        <w:ind w:right="28"/>
        <w:jc w:val="center"/>
        <w:rPr>
          <w:b/>
        </w:rPr>
      </w:pPr>
      <w:r w:rsidRPr="006769C7">
        <w:rPr>
          <w:b/>
        </w:rPr>
        <w:t>RAMIRO PAZOS GUERRERO</w:t>
      </w:r>
    </w:p>
    <w:p w14:paraId="6ACA5041" w14:textId="77777777" w:rsidR="002C6BDF" w:rsidRPr="006769C7" w:rsidRDefault="002C6BDF" w:rsidP="006769C7">
      <w:pPr>
        <w:pStyle w:val="BodyText21"/>
        <w:spacing w:line="276" w:lineRule="auto"/>
        <w:ind w:right="28"/>
        <w:jc w:val="center"/>
        <w:rPr>
          <w:b/>
        </w:rPr>
      </w:pPr>
      <w:r w:rsidRPr="006769C7">
        <w:rPr>
          <w:b/>
        </w:rPr>
        <w:t>Magistrado</w:t>
      </w:r>
    </w:p>
    <w:p w14:paraId="6E75CB6A" w14:textId="77777777" w:rsidR="002C6BDF" w:rsidRPr="006769C7" w:rsidRDefault="002C6BDF" w:rsidP="006769C7">
      <w:pPr>
        <w:pStyle w:val="BodyText21"/>
        <w:spacing w:line="276" w:lineRule="auto"/>
        <w:ind w:right="28"/>
        <w:rPr>
          <w:b/>
          <w:bCs/>
          <w:lang w:val="es-CO"/>
        </w:rPr>
      </w:pPr>
    </w:p>
    <w:p w14:paraId="3809A0D0" w14:textId="77777777" w:rsidR="002C6BDF" w:rsidRPr="006769C7" w:rsidRDefault="002C6BDF" w:rsidP="006769C7">
      <w:pPr>
        <w:pStyle w:val="BodyText21"/>
        <w:spacing w:line="276" w:lineRule="auto"/>
        <w:ind w:right="28"/>
        <w:rPr>
          <w:b/>
          <w:bCs/>
          <w:lang w:val="es-CO"/>
        </w:rPr>
      </w:pPr>
    </w:p>
    <w:p w14:paraId="646B166A" w14:textId="77777777" w:rsidR="002C6BDF" w:rsidRPr="006769C7" w:rsidRDefault="002C6BDF" w:rsidP="006769C7">
      <w:pPr>
        <w:pStyle w:val="BodyText21"/>
        <w:spacing w:line="276" w:lineRule="auto"/>
        <w:ind w:right="28"/>
        <w:rPr>
          <w:b/>
        </w:rPr>
      </w:pPr>
    </w:p>
    <w:p w14:paraId="7B47CBF4" w14:textId="77777777" w:rsidR="002C6BDF" w:rsidRPr="006769C7" w:rsidRDefault="002C6BDF" w:rsidP="006769C7">
      <w:pPr>
        <w:pStyle w:val="BodyText21"/>
        <w:spacing w:line="276" w:lineRule="auto"/>
        <w:ind w:right="28"/>
        <w:jc w:val="center"/>
        <w:rPr>
          <w:b/>
        </w:rPr>
      </w:pPr>
    </w:p>
    <w:p w14:paraId="0C683B9E" w14:textId="77777777" w:rsidR="002C6BDF" w:rsidRPr="006769C7" w:rsidRDefault="002C6BDF" w:rsidP="006769C7">
      <w:pPr>
        <w:pStyle w:val="BodyText21"/>
        <w:spacing w:line="276" w:lineRule="auto"/>
        <w:ind w:right="28"/>
        <w:jc w:val="center"/>
        <w:rPr>
          <w:b/>
        </w:rPr>
      </w:pPr>
    </w:p>
    <w:p w14:paraId="15C3C623" w14:textId="77777777" w:rsidR="002C6BDF" w:rsidRPr="006769C7" w:rsidRDefault="002C6BDF" w:rsidP="006769C7">
      <w:pPr>
        <w:pStyle w:val="BodyText21"/>
        <w:spacing w:line="276" w:lineRule="auto"/>
        <w:ind w:right="28"/>
        <w:jc w:val="center"/>
        <w:rPr>
          <w:b/>
        </w:rPr>
      </w:pPr>
      <w:r w:rsidRPr="006769C7">
        <w:rPr>
          <w:b/>
        </w:rPr>
        <w:t>DANILO ROJAS BETANCOURTH</w:t>
      </w:r>
    </w:p>
    <w:p w14:paraId="1294E6DD" w14:textId="77777777" w:rsidR="002C6BDF" w:rsidRPr="006769C7" w:rsidRDefault="002C6BDF" w:rsidP="006769C7">
      <w:pPr>
        <w:pStyle w:val="BodyText21"/>
        <w:spacing w:line="276" w:lineRule="auto"/>
        <w:ind w:right="28"/>
        <w:jc w:val="center"/>
        <w:rPr>
          <w:b/>
          <w:lang w:val="es-CO"/>
        </w:rPr>
      </w:pPr>
      <w:r w:rsidRPr="006769C7">
        <w:rPr>
          <w:b/>
        </w:rPr>
        <w:t>Magistrado</w:t>
      </w:r>
    </w:p>
    <w:p w14:paraId="75695DF6" w14:textId="77777777" w:rsidR="0087669F" w:rsidRPr="006769C7" w:rsidRDefault="0087669F" w:rsidP="006769C7">
      <w:pPr>
        <w:spacing w:line="276" w:lineRule="auto"/>
        <w:rPr>
          <w:rFonts w:ascii="Arial" w:hAnsi="Arial" w:cs="Arial"/>
          <w:sz w:val="24"/>
          <w:szCs w:val="24"/>
        </w:rPr>
      </w:pPr>
    </w:p>
    <w:p w14:paraId="6646909D" w14:textId="77777777" w:rsidR="005011FB" w:rsidRPr="006769C7" w:rsidRDefault="005011FB" w:rsidP="006769C7">
      <w:pPr>
        <w:spacing w:line="276" w:lineRule="auto"/>
        <w:rPr>
          <w:rFonts w:ascii="Arial" w:hAnsi="Arial" w:cs="Arial"/>
          <w:sz w:val="24"/>
          <w:szCs w:val="24"/>
        </w:rPr>
      </w:pPr>
    </w:p>
    <w:sectPr w:rsidR="005011FB" w:rsidRPr="006769C7" w:rsidSect="00E80529">
      <w:pgSz w:w="12242" w:h="18722" w:code="5"/>
      <w:pgMar w:top="1701" w:right="1701" w:bottom="1701" w:left="1701"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28F85B" w14:textId="77777777" w:rsidR="00C7700A" w:rsidRDefault="00C7700A" w:rsidP="002C6BDF">
      <w:r>
        <w:separator/>
      </w:r>
    </w:p>
  </w:endnote>
  <w:endnote w:type="continuationSeparator" w:id="0">
    <w:p w14:paraId="7586EA0C" w14:textId="77777777" w:rsidR="00C7700A" w:rsidRDefault="00C7700A" w:rsidP="002C6B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C21721" w14:textId="77777777" w:rsidR="00C7700A" w:rsidRDefault="00C7700A" w:rsidP="002C6BDF">
      <w:r>
        <w:separator/>
      </w:r>
    </w:p>
  </w:footnote>
  <w:footnote w:type="continuationSeparator" w:id="0">
    <w:p w14:paraId="63872559" w14:textId="77777777" w:rsidR="00C7700A" w:rsidRDefault="00C7700A" w:rsidP="002C6BDF">
      <w:r>
        <w:continuationSeparator/>
      </w:r>
    </w:p>
  </w:footnote>
  <w:footnote w:id="1">
    <w:p w14:paraId="57F3EB46" w14:textId="77777777" w:rsidR="002C6BDF" w:rsidRPr="00252A35" w:rsidRDefault="002C6BDF" w:rsidP="002C6BDF">
      <w:pPr>
        <w:pStyle w:val="Textonotapie"/>
        <w:jc w:val="both"/>
        <w:rPr>
          <w:sz w:val="22"/>
          <w:szCs w:val="22"/>
        </w:rPr>
      </w:pPr>
      <w:r>
        <w:rPr>
          <w:rStyle w:val="Refdenotaalpie"/>
        </w:rPr>
        <w:footnoteRef/>
      </w:r>
      <w:r>
        <w:t xml:space="preserve"> </w:t>
      </w:r>
      <w:r w:rsidRPr="00252A35">
        <w:rPr>
          <w:sz w:val="22"/>
          <w:szCs w:val="22"/>
        </w:rPr>
        <w:t xml:space="preserve">Mediante auto de 30 de septiembre de 1993, el Tribunal </w:t>
      </w:r>
      <w:r w:rsidRPr="00252A35">
        <w:rPr>
          <w:i/>
          <w:sz w:val="22"/>
          <w:szCs w:val="22"/>
        </w:rPr>
        <w:t>a quo</w:t>
      </w:r>
      <w:r w:rsidRPr="00252A35">
        <w:rPr>
          <w:sz w:val="22"/>
          <w:szCs w:val="22"/>
        </w:rPr>
        <w:t xml:space="preserve"> concedió 5 días a la parte demandante, para que la subsanara en relación con la justificación razonada de la cuantía (f. 131 c-1), lo cual hizo el demandante de manera oportuna (f. 132-134 c-1). </w:t>
      </w:r>
    </w:p>
  </w:footnote>
  <w:footnote w:id="2">
    <w:p w14:paraId="4395AE40" w14:textId="77777777" w:rsidR="002C6BDF" w:rsidRPr="00252A35" w:rsidRDefault="002C6BDF" w:rsidP="002C6BDF">
      <w:pPr>
        <w:pStyle w:val="Textonotapie"/>
        <w:jc w:val="both"/>
        <w:rPr>
          <w:sz w:val="22"/>
          <w:szCs w:val="22"/>
          <w:lang w:val="es-MX"/>
        </w:rPr>
      </w:pPr>
      <w:r w:rsidRPr="00252A35">
        <w:rPr>
          <w:rStyle w:val="Refdenotaalpie"/>
          <w:sz w:val="22"/>
          <w:szCs w:val="22"/>
        </w:rPr>
        <w:footnoteRef/>
      </w:r>
      <w:r w:rsidRPr="00252A35">
        <w:rPr>
          <w:sz w:val="22"/>
          <w:szCs w:val="22"/>
        </w:rPr>
        <w:t xml:space="preserve"> </w:t>
      </w:r>
      <w:r w:rsidRPr="00252A35">
        <w:rPr>
          <w:sz w:val="22"/>
          <w:szCs w:val="22"/>
          <w:lang w:val="es-MX"/>
        </w:rPr>
        <w:t xml:space="preserve">Producciones Punch S.A. es una sociedad constituida mediante escritura pública 4476, otorgada el 30 de diciembre de 1978, ante la Notaría 13 del Círculo de Bogotá, representada al momento de presentación de la demanda por el señor Alejandro Pérez Van Branteghem, según consta en el certificado de existencia y representación legal, que fue allegado al expediente con la demanda (f. 124-128). </w:t>
      </w:r>
    </w:p>
  </w:footnote>
  <w:footnote w:id="3">
    <w:p w14:paraId="604AB493" w14:textId="77777777" w:rsidR="002C6BDF" w:rsidRPr="009E24BB" w:rsidRDefault="002C6BDF" w:rsidP="002C6BDF">
      <w:pPr>
        <w:pStyle w:val="Textonotapie"/>
        <w:jc w:val="both"/>
        <w:rPr>
          <w:sz w:val="22"/>
          <w:szCs w:val="22"/>
        </w:rPr>
      </w:pPr>
      <w:r w:rsidRPr="00252A35">
        <w:rPr>
          <w:rStyle w:val="Refdenotaalpie"/>
          <w:sz w:val="22"/>
          <w:szCs w:val="22"/>
        </w:rPr>
        <w:footnoteRef/>
      </w:r>
      <w:r w:rsidRPr="00252A35">
        <w:rPr>
          <w:sz w:val="22"/>
          <w:szCs w:val="22"/>
        </w:rPr>
        <w:t xml:space="preserve"> Por escrito presentado ante el </w:t>
      </w:r>
      <w:r w:rsidRPr="00252A35">
        <w:rPr>
          <w:i/>
          <w:sz w:val="22"/>
          <w:szCs w:val="22"/>
        </w:rPr>
        <w:t>a quo</w:t>
      </w:r>
      <w:r w:rsidRPr="00252A35">
        <w:rPr>
          <w:sz w:val="22"/>
          <w:szCs w:val="22"/>
        </w:rPr>
        <w:t xml:space="preserve"> el 23 de junio de 1997, ISA formuló incidente en el cual solicitó que se declarara la nulidad de todo lo actuado en el proceso, conforme a la causal prevista en el numeral 7 del artículo 140 del C.P.C. (f. 1-4 c-</w:t>
      </w:r>
      <w:r>
        <w:rPr>
          <w:sz w:val="22"/>
          <w:szCs w:val="22"/>
        </w:rPr>
        <w:t>8</w:t>
      </w:r>
      <w:r w:rsidRPr="00252A35">
        <w:rPr>
          <w:sz w:val="22"/>
          <w:szCs w:val="22"/>
        </w:rPr>
        <w:t xml:space="preserve">), con fundamento en que: </w:t>
      </w:r>
      <w:r w:rsidRPr="00252A35">
        <w:rPr>
          <w:i/>
          <w:sz w:val="22"/>
          <w:szCs w:val="22"/>
        </w:rPr>
        <w:t xml:space="preserve">“si el Presiente de la sociedad [demandante] no tenía la capacidad jurídica para obrar en nombre y representación de la empresa en la celebración de cualquier acto cuya cuantía fuera superior a los 700 salarios mínimos, el poder exhibido por el doctor Gonzalo Gutiérrez Fernández carece de sustento jurídico, luego, existe carencia total de poder para iniciar cualquier acción judicial en nombre y representación de la sociedad Producciones Punch S.A.”. </w:t>
      </w:r>
      <w:r w:rsidRPr="00252A35">
        <w:rPr>
          <w:sz w:val="22"/>
          <w:szCs w:val="22"/>
        </w:rPr>
        <w:t xml:space="preserve">Mediante providencia de 28 de enero de 1999, el </w:t>
      </w:r>
      <w:r w:rsidRPr="00252A35">
        <w:rPr>
          <w:i/>
          <w:sz w:val="22"/>
          <w:szCs w:val="22"/>
        </w:rPr>
        <w:t>a quo</w:t>
      </w:r>
      <w:r w:rsidRPr="00252A35">
        <w:rPr>
          <w:sz w:val="22"/>
          <w:szCs w:val="22"/>
        </w:rPr>
        <w:t xml:space="preserve"> negó la solicitud de nulidad impetrada (f. 42-45 c-</w:t>
      </w:r>
      <w:r>
        <w:rPr>
          <w:sz w:val="22"/>
          <w:szCs w:val="22"/>
        </w:rPr>
        <w:t>8</w:t>
      </w:r>
      <w:r w:rsidRPr="00252A35">
        <w:rPr>
          <w:sz w:val="22"/>
          <w:szCs w:val="22"/>
        </w:rPr>
        <w:t xml:space="preserve">), por considerar que la entidad demandada carecía de interés para proponer dicha nulidad, por no ser la parte afectada y porque la causal invocada se configura por carencia total de poder para el respectivo proceso, lo que no ocurría en el caso concreto. Además, señaló que </w:t>
      </w:r>
      <w:r w:rsidRPr="00252A35">
        <w:rPr>
          <w:i/>
          <w:sz w:val="22"/>
          <w:szCs w:val="22"/>
        </w:rPr>
        <w:t>“la limitación del señor Representante Legal de la sociedad Producciones Punch S.A. hace referencia a la celebración de contratos en cuantía superior a 700 salarios mínimos mensuales en donde se pueda ver involucrado el patrimonio social y que conciernan, como ya se anotó, al desarrollo del objeto social y no al otorgamiento de poder a profesionales del derecho para que representen la sociedad en determinado proceso sea cual sea la cuantía del mismo, toda vez que existe disposición expresa facultándolo”.</w:t>
      </w:r>
      <w:r>
        <w:rPr>
          <w:i/>
        </w:rPr>
        <w:t xml:space="preserve"> </w:t>
      </w:r>
      <w:r w:rsidRPr="00A127EA">
        <w:rPr>
          <w:sz w:val="22"/>
          <w:szCs w:val="22"/>
        </w:rPr>
        <w:t xml:space="preserve">De nuevo, </w:t>
      </w:r>
      <w:r>
        <w:rPr>
          <w:sz w:val="22"/>
          <w:szCs w:val="22"/>
        </w:rPr>
        <w:t xml:space="preserve">mediante </w:t>
      </w:r>
      <w:r w:rsidRPr="009C75A6">
        <w:rPr>
          <w:sz w:val="22"/>
          <w:szCs w:val="22"/>
        </w:rPr>
        <w:t>memorial presentado el</w:t>
      </w:r>
      <w:r>
        <w:rPr>
          <w:sz w:val="22"/>
          <w:szCs w:val="22"/>
        </w:rPr>
        <w:t xml:space="preserve"> 11 de octubre de 2000 (404-405 C-1), ISA propuso incidente de nulidad de lo actuado en el proceso, de conformidad con lo previsto en los artículos 165 a 167 del C.C.A., en armonía con lo dispuesto en el numeral 7 del artículo 140 del C.P.C., dado que en representación de la demandante habían intervenido dos apoderados, lo cual se infería del hecho de que los memoriales estaban suscritos por los portadores de las tarjetas profesionales 37.761 y 47.704. El poder fue otorgado al abogado Gonzalo Gutiérrez González, portador de la primera tarjeta, de tal manera que todas las actuaciones adelantadas por el abogado identificado con la segunda tarjeta son completamente nulas. El </w:t>
      </w:r>
      <w:r w:rsidRPr="00935F34">
        <w:rPr>
          <w:i/>
          <w:sz w:val="22"/>
          <w:szCs w:val="22"/>
        </w:rPr>
        <w:t>a quo</w:t>
      </w:r>
      <w:r>
        <w:rPr>
          <w:sz w:val="22"/>
          <w:szCs w:val="22"/>
        </w:rPr>
        <w:t xml:space="preserve">, mediante providencia de 10 de mayo de 2001 (f. 434-436 c-1), negó la solicitud de nulidad impetrada, por considerar que la causal señalada únicamente la podía invocar la parte afectada, que era la demandante, y de no hacerlo oportunamente, se entendía saneada. En consecuencia, la parte demandada carecía de interés para proponer la nulidad.   </w:t>
      </w:r>
    </w:p>
  </w:footnote>
  <w:footnote w:id="4">
    <w:p w14:paraId="2CFE57C0" w14:textId="77777777" w:rsidR="002C6BDF" w:rsidRDefault="002C6BDF" w:rsidP="002C6BDF">
      <w:pPr>
        <w:pStyle w:val="Textonotapie"/>
        <w:jc w:val="both"/>
        <w:rPr>
          <w:i/>
          <w:sz w:val="22"/>
          <w:szCs w:val="22"/>
        </w:rPr>
      </w:pPr>
      <w:r w:rsidRPr="009E24BB">
        <w:rPr>
          <w:rStyle w:val="Refdenotaalpie"/>
          <w:sz w:val="22"/>
          <w:szCs w:val="22"/>
        </w:rPr>
        <w:footnoteRef/>
      </w:r>
      <w:r w:rsidRPr="009E24BB">
        <w:rPr>
          <w:rStyle w:val="apple-converted-space"/>
          <w:rFonts w:cs="Arial"/>
          <w:color w:val="000000"/>
          <w:sz w:val="22"/>
          <w:szCs w:val="22"/>
        </w:rPr>
        <w:t> </w:t>
      </w:r>
      <w:r w:rsidRPr="009E24BB">
        <w:rPr>
          <w:rStyle w:val="apple-converted-space"/>
          <w:rFonts w:cs="Arial"/>
          <w:i/>
          <w:color w:val="000000"/>
          <w:sz w:val="22"/>
          <w:szCs w:val="22"/>
        </w:rPr>
        <w:t>“</w:t>
      </w:r>
      <w:r w:rsidRPr="009E24BB">
        <w:rPr>
          <w:i/>
          <w:sz w:val="22"/>
          <w:szCs w:val="22"/>
        </w:rPr>
        <w:t>Interconexión Eléctrica S.A. E.S.P. –ISA–, compañía matriz, tiene como domicilio principal la ciudad de Medellín, se constituyó como sociedad anónima por escritura pública No 3057 otorgada en la Notaría Octava del Círculo Notarial de Bogotá el 14 de septiembre de 1967. La Sociedad se escindió el 4 de abril de 1995, por escritura pública No 230 otorgada por la Notaría Única de Sabaneta. El 1° de diciembre de 1995, mediante escritura pública No 808 otorgada en la Notaría Única de Sabaneta y acorde con las prescripciones de la Ley de Servicios Públicos Domiciliarios –Ley 142 de 1994–, la Sociedad transformó su naturaleza jurídica en una Empresa de Servicios Públicos Oficial, constituida por entidades públicas bajo la forma de sociedad anónima, del orden nacional, vinculada al Ministerio de Minas y Energía, sometida al régimen jurídico establecido por la Ley 142, y adoptó la denominación social de Interconexión Eléctrica S.A. E.S.P., empresa que también podrá utilizar la sigla ISA E.S.P. El 22 de noviembre de 1996, mediante escritura pública No 746 otorgada por la Notaría Única de Sabaneta, ISA cambió su naturaleza jurídica a Empresa de Servicios Públicos Mixta, constituida como sociedad anónima, de carácter comercial, del orden nacional, vinculada al Ministerio de Minas y Energía y sometida al régimen jurídico establecido en la Ley 142, situación que se materializó el 15 de enero de 1997 con el ingreso del aporte privado. De acuerdo con lo expuesto por la Corte Constitucional, en sentencia C-736 del 19 de septiembre de 2007, ISA tiene una naturaleza jurídica especial al ser definida como una Empresa de Servicios Públicos Mixta, entidad descentralizada por servicios que hace parte de la rama ejecutiva del poder público y con régimen jurídico especial de derecho privado</w:t>
      </w:r>
      <w:r>
        <w:rPr>
          <w:i/>
          <w:sz w:val="22"/>
          <w:szCs w:val="22"/>
        </w:rPr>
        <w:t>”</w:t>
      </w:r>
      <w:r w:rsidRPr="009E24BB">
        <w:rPr>
          <w:i/>
          <w:sz w:val="22"/>
          <w:szCs w:val="22"/>
        </w:rPr>
        <w:t>.</w:t>
      </w:r>
      <w:r>
        <w:rPr>
          <w:i/>
          <w:sz w:val="22"/>
          <w:szCs w:val="22"/>
        </w:rPr>
        <w:t xml:space="preserve"> </w:t>
      </w:r>
    </w:p>
    <w:p w14:paraId="34792D41" w14:textId="77777777" w:rsidR="002C6BDF" w:rsidRPr="009C474C" w:rsidRDefault="002C6BDF" w:rsidP="002C6BDF">
      <w:pPr>
        <w:pStyle w:val="Textonotapie"/>
        <w:jc w:val="both"/>
        <w:rPr>
          <w:sz w:val="22"/>
          <w:szCs w:val="22"/>
        </w:rPr>
      </w:pPr>
      <w:r>
        <w:rPr>
          <w:sz w:val="22"/>
          <w:szCs w:val="22"/>
        </w:rPr>
        <w:t xml:space="preserve">En: </w:t>
      </w:r>
      <w:hyperlink r:id="rId1" w:history="1">
        <w:r w:rsidRPr="003C2B63">
          <w:rPr>
            <w:rStyle w:val="Hipervnculo"/>
            <w:sz w:val="22"/>
            <w:szCs w:val="22"/>
          </w:rPr>
          <w:t>http://www.isa.co/es/sala-de-prensa/Documents/nuestra-compania/informes-empresariales/Consolidado_ISA_revision_CA_marzo7_2016_V4.pdf</w:t>
        </w:r>
      </w:hyperlink>
      <w:r>
        <w:t xml:space="preserve">. </w:t>
      </w:r>
      <w:r w:rsidRPr="009C474C">
        <w:rPr>
          <w:sz w:val="22"/>
          <w:szCs w:val="22"/>
        </w:rPr>
        <w:t xml:space="preserve">Consultado el 2 de mayo de 2016.  </w:t>
      </w:r>
    </w:p>
    <w:p w14:paraId="27C9DB8D" w14:textId="77777777" w:rsidR="002C6BDF" w:rsidRPr="00E2790E" w:rsidRDefault="002C6BDF" w:rsidP="002C6BDF">
      <w:pPr>
        <w:pStyle w:val="Textonotapie"/>
        <w:jc w:val="both"/>
        <w:rPr>
          <w:sz w:val="26"/>
          <w:szCs w:val="26"/>
          <w:lang w:val="es-CO"/>
        </w:rPr>
      </w:pPr>
    </w:p>
  </w:footnote>
  <w:footnote w:id="5">
    <w:p w14:paraId="05F867E6" w14:textId="77777777" w:rsidR="002C6BDF" w:rsidRPr="00445A5A" w:rsidRDefault="002C6BDF" w:rsidP="002C6BDF">
      <w:pPr>
        <w:pStyle w:val="Textonotapie"/>
        <w:jc w:val="both"/>
        <w:rPr>
          <w:sz w:val="22"/>
          <w:szCs w:val="22"/>
        </w:rPr>
      </w:pPr>
      <w:r>
        <w:rPr>
          <w:rStyle w:val="Refdenotaalpie"/>
        </w:rPr>
        <w:footnoteRef/>
      </w:r>
      <w:r>
        <w:t xml:space="preserve"> </w:t>
      </w:r>
      <w:r w:rsidRPr="00445A5A">
        <w:rPr>
          <w:sz w:val="22"/>
          <w:szCs w:val="22"/>
        </w:rPr>
        <w:t xml:space="preserve">ISA promovió incidente de nulidad de lo actuado en el proceso, </w:t>
      </w:r>
      <w:r>
        <w:rPr>
          <w:sz w:val="22"/>
          <w:szCs w:val="22"/>
        </w:rPr>
        <w:t xml:space="preserve">con fundamento en que el llamamiento en garantía no se había notificado a todos los llamados </w:t>
      </w:r>
      <w:r w:rsidRPr="00445A5A">
        <w:rPr>
          <w:sz w:val="22"/>
          <w:szCs w:val="22"/>
        </w:rPr>
        <w:t>dentro de los 90 días siguientes a</w:t>
      </w:r>
      <w:r>
        <w:rPr>
          <w:sz w:val="22"/>
          <w:szCs w:val="22"/>
        </w:rPr>
        <w:t xml:space="preserve"> </w:t>
      </w:r>
      <w:r w:rsidRPr="00445A5A">
        <w:rPr>
          <w:sz w:val="22"/>
          <w:szCs w:val="22"/>
        </w:rPr>
        <w:t>l</w:t>
      </w:r>
      <w:r>
        <w:rPr>
          <w:sz w:val="22"/>
          <w:szCs w:val="22"/>
        </w:rPr>
        <w:t>a expedición del</w:t>
      </w:r>
      <w:r w:rsidRPr="00445A5A">
        <w:rPr>
          <w:sz w:val="22"/>
          <w:szCs w:val="22"/>
        </w:rPr>
        <w:t xml:space="preserve"> au</w:t>
      </w:r>
      <w:r>
        <w:rPr>
          <w:sz w:val="22"/>
          <w:szCs w:val="22"/>
        </w:rPr>
        <w:t>to mediante el cual este fue aceptado</w:t>
      </w:r>
      <w:r w:rsidRPr="00445A5A">
        <w:rPr>
          <w:sz w:val="22"/>
          <w:szCs w:val="22"/>
        </w:rPr>
        <w:t xml:space="preserve">. </w:t>
      </w:r>
      <w:r>
        <w:rPr>
          <w:sz w:val="22"/>
          <w:szCs w:val="22"/>
        </w:rPr>
        <w:t>Esa causal de nulidad fue desestimada</w:t>
      </w:r>
      <w:r w:rsidRPr="00445A5A">
        <w:rPr>
          <w:sz w:val="22"/>
          <w:szCs w:val="22"/>
        </w:rPr>
        <w:t xml:space="preserve"> por el </w:t>
      </w:r>
      <w:r w:rsidRPr="00445A5A">
        <w:rPr>
          <w:i/>
          <w:sz w:val="22"/>
          <w:szCs w:val="22"/>
        </w:rPr>
        <w:t>a quo</w:t>
      </w:r>
      <w:r w:rsidRPr="00445A5A">
        <w:rPr>
          <w:sz w:val="22"/>
          <w:szCs w:val="22"/>
        </w:rPr>
        <w:t>, mediante providencia de 28 de enero de 1999 (f. 42-46 c-3), aclarad</w:t>
      </w:r>
      <w:r>
        <w:rPr>
          <w:sz w:val="22"/>
          <w:szCs w:val="22"/>
        </w:rPr>
        <w:t>a</w:t>
      </w:r>
      <w:r w:rsidRPr="00445A5A">
        <w:rPr>
          <w:sz w:val="22"/>
          <w:szCs w:val="22"/>
        </w:rPr>
        <w:t xml:space="preserve"> mediante auto de </w:t>
      </w:r>
      <w:r>
        <w:rPr>
          <w:sz w:val="22"/>
          <w:szCs w:val="22"/>
        </w:rPr>
        <w:t xml:space="preserve">25 de marzo de ese mismo año </w:t>
      </w:r>
      <w:r w:rsidRPr="00445A5A">
        <w:rPr>
          <w:sz w:val="22"/>
          <w:szCs w:val="22"/>
        </w:rPr>
        <w:t>(f. 48-49 c-3)</w:t>
      </w:r>
      <w:r>
        <w:rPr>
          <w:sz w:val="22"/>
          <w:szCs w:val="22"/>
        </w:rPr>
        <w:t>,</w:t>
      </w:r>
      <w:r w:rsidRPr="00445A5A">
        <w:rPr>
          <w:sz w:val="22"/>
          <w:szCs w:val="22"/>
        </w:rPr>
        <w:t xml:space="preserve"> por considerar que la providencia de 28 de enero de 1999, en la que se ordenó fijar el negocio en lista, a fin de que pudieran contestar la demanda, proponer las excepciones y solicitar pruebas,</w:t>
      </w:r>
      <w:r>
        <w:rPr>
          <w:sz w:val="22"/>
          <w:szCs w:val="22"/>
        </w:rPr>
        <w:t xml:space="preserve"> cobra efectos en relación con los llamados que fueron notificados durante el término señalado,</w:t>
      </w:r>
      <w:r w:rsidRPr="00445A5A">
        <w:rPr>
          <w:sz w:val="22"/>
          <w:szCs w:val="22"/>
        </w:rPr>
        <w:t xml:space="preserve"> y no respecto de aquellos a quienes no se les notificó </w:t>
      </w:r>
      <w:r>
        <w:rPr>
          <w:sz w:val="22"/>
          <w:szCs w:val="22"/>
        </w:rPr>
        <w:t xml:space="preserve">dicha </w:t>
      </w:r>
      <w:r w:rsidRPr="00445A5A">
        <w:rPr>
          <w:sz w:val="22"/>
          <w:szCs w:val="22"/>
        </w:rPr>
        <w:t>providencia</w:t>
      </w:r>
      <w:r>
        <w:rPr>
          <w:sz w:val="22"/>
          <w:szCs w:val="22"/>
        </w:rPr>
        <w:t xml:space="preserve">, </w:t>
      </w:r>
      <w:r w:rsidRPr="00445A5A">
        <w:rPr>
          <w:sz w:val="22"/>
          <w:szCs w:val="22"/>
        </w:rPr>
        <w:t>quienes</w:t>
      </w:r>
      <w:r>
        <w:rPr>
          <w:sz w:val="22"/>
          <w:szCs w:val="22"/>
        </w:rPr>
        <w:t>, por lo tanto,</w:t>
      </w:r>
      <w:r w:rsidRPr="00445A5A">
        <w:rPr>
          <w:sz w:val="22"/>
          <w:szCs w:val="22"/>
        </w:rPr>
        <w:t xml:space="preserve"> no estaban vinculados al proceso y, </w:t>
      </w:r>
      <w:r>
        <w:rPr>
          <w:sz w:val="22"/>
          <w:szCs w:val="22"/>
        </w:rPr>
        <w:t>en consecuencia</w:t>
      </w:r>
      <w:r w:rsidRPr="00445A5A">
        <w:rPr>
          <w:sz w:val="22"/>
          <w:szCs w:val="22"/>
        </w:rPr>
        <w:t>, la orden de fijar en lista</w:t>
      </w:r>
      <w:r>
        <w:rPr>
          <w:sz w:val="22"/>
          <w:szCs w:val="22"/>
        </w:rPr>
        <w:t xml:space="preserve"> el proceso no los involucraba</w:t>
      </w:r>
      <w:r w:rsidRPr="00445A5A">
        <w:rPr>
          <w:sz w:val="22"/>
          <w:szCs w:val="22"/>
        </w:rPr>
        <w:t xml:space="preserve">, por lo </w:t>
      </w:r>
      <w:r>
        <w:rPr>
          <w:sz w:val="22"/>
          <w:szCs w:val="22"/>
        </w:rPr>
        <w:t xml:space="preserve">cual, en manera alguna, </w:t>
      </w:r>
      <w:r w:rsidRPr="00445A5A">
        <w:rPr>
          <w:sz w:val="22"/>
          <w:szCs w:val="22"/>
        </w:rPr>
        <w:t xml:space="preserve">se afectaba su derecho de defensa. </w:t>
      </w:r>
    </w:p>
    <w:p w14:paraId="25B69475" w14:textId="77777777" w:rsidR="002C6BDF" w:rsidRDefault="002C6BDF" w:rsidP="002C6BDF">
      <w:pPr>
        <w:pStyle w:val="Textonotapie"/>
        <w:jc w:val="both"/>
      </w:pPr>
    </w:p>
    <w:p w14:paraId="686A254B" w14:textId="77777777" w:rsidR="002C6BDF" w:rsidRPr="00C0326C" w:rsidRDefault="002C6BDF" w:rsidP="002C6BDF">
      <w:pPr>
        <w:pStyle w:val="Textonotapie"/>
        <w:jc w:val="both"/>
        <w:rPr>
          <w:lang w:val="es-MX"/>
        </w:rPr>
      </w:pPr>
    </w:p>
  </w:footnote>
  <w:footnote w:id="6">
    <w:p w14:paraId="4B259173" w14:textId="77777777" w:rsidR="002C6BDF" w:rsidRPr="002558A9" w:rsidRDefault="002C6BDF" w:rsidP="002C6BDF">
      <w:pPr>
        <w:pStyle w:val="Textonotapie"/>
        <w:ind w:right="-232"/>
        <w:jc w:val="both"/>
        <w:rPr>
          <w:sz w:val="22"/>
          <w:szCs w:val="22"/>
          <w:lang w:val="es-CO"/>
        </w:rPr>
      </w:pPr>
      <w:r>
        <w:rPr>
          <w:rStyle w:val="Refdenotaalpie"/>
        </w:rPr>
        <w:footnoteRef/>
      </w:r>
      <w:r>
        <w:t xml:space="preserve"> </w:t>
      </w:r>
      <w:r w:rsidRPr="002558A9">
        <w:rPr>
          <w:sz w:val="22"/>
          <w:szCs w:val="22"/>
        </w:rPr>
        <w:t xml:space="preserve">Mediante memorial presentado el 13 de junio de 1996, ISA solicitó que se declarara la nulidad de lo actuado en el proceso, por falta de jurisdicción, en razón a que el Ministerio de Minas no tuvo intervención alguna en la decisión de decretar el racionamiento de energía, dado que esta fue tomada por el Comité Directivo de Operación, del cual </w:t>
      </w:r>
      <w:r>
        <w:rPr>
          <w:sz w:val="22"/>
          <w:szCs w:val="22"/>
        </w:rPr>
        <w:t xml:space="preserve">no hacía parte dicho ministerio, y </w:t>
      </w:r>
      <w:r w:rsidRPr="002558A9">
        <w:rPr>
          <w:sz w:val="22"/>
          <w:szCs w:val="22"/>
        </w:rPr>
        <w:t>si la demanda se dirige contra ISA, por haber participado en la decisión señalada, debe tenerse en cuenta que la jurisdicción competente para conocer de las demandas dirigidas contra esa empresa es la ordinaria, por tratarse de una</w:t>
      </w:r>
      <w:r>
        <w:rPr>
          <w:sz w:val="22"/>
          <w:szCs w:val="22"/>
        </w:rPr>
        <w:t xml:space="preserve"> sociedad, que no fue creada ni autorizada por ley, a la cual no se le asignaron funciones administrativas y que no se encuentra sometida a control de tutela por parte de la administración</w:t>
      </w:r>
      <w:r w:rsidRPr="002558A9">
        <w:rPr>
          <w:sz w:val="22"/>
          <w:szCs w:val="22"/>
        </w:rPr>
        <w:t xml:space="preserve"> </w:t>
      </w:r>
      <w:r>
        <w:rPr>
          <w:sz w:val="22"/>
          <w:szCs w:val="22"/>
        </w:rPr>
        <w:t xml:space="preserve">central </w:t>
      </w:r>
      <w:r w:rsidRPr="002558A9">
        <w:rPr>
          <w:sz w:val="22"/>
          <w:szCs w:val="22"/>
        </w:rPr>
        <w:t>(f. 1-24 c-7)</w:t>
      </w:r>
      <w:r>
        <w:rPr>
          <w:sz w:val="22"/>
          <w:szCs w:val="22"/>
        </w:rPr>
        <w:t>.</w:t>
      </w:r>
      <w:r w:rsidRPr="002558A9">
        <w:rPr>
          <w:sz w:val="22"/>
          <w:szCs w:val="22"/>
        </w:rPr>
        <w:t xml:space="preserve"> Mediante providencia de 29 de agosto de 1996, el Tribunal Administrativo de Cundinamarca negó la nulidad solicitada, con fundamento en lo siguiente: </w:t>
      </w:r>
      <w:r w:rsidRPr="002558A9">
        <w:rPr>
          <w:i/>
          <w:sz w:val="22"/>
          <w:szCs w:val="22"/>
        </w:rPr>
        <w:t xml:space="preserve">“Para la Sala no existe duda de que es esta la jurisdicción competente para conocer del asunto, toda vez que el hecho fundamento de la demanda es en principio atribuible a la Nación-Ministerio de Minas y Energía- en razón al manejo de la política energética a nivel nacional, a cargo del mismo, además, dentro de las funciones de ISA S.A., como Empresa Industrial y Comercial del Estado del orden nacional, de origen indirecto, constituida en forma de sociedad anónima, con capital público y vinculada al Ministerio de Minas y </w:t>
      </w:r>
      <w:r w:rsidRPr="002558A9">
        <w:rPr>
          <w:i/>
          <w:sz w:val="22"/>
          <w:szCs w:val="22"/>
          <w:lang w:val="es-CO"/>
        </w:rPr>
        <w:t>Energía, según la preceptiva del Decreto No. 1318 de 1990, la interconexión de los sistemas eléctricos de los accionistas para atender deficiencias donde la capacidad de generación no puede servir adecuadamente la demanda, guarda relación con el perjuicio reclamado y, en tales condiciones, es esta la jurisdicción competente para conocer de la misma”</w:t>
      </w:r>
      <w:r w:rsidRPr="002558A9">
        <w:rPr>
          <w:sz w:val="22"/>
          <w:szCs w:val="22"/>
          <w:lang w:val="es-CO"/>
        </w:rPr>
        <w:t xml:space="preserve"> (f. 87-89 c-3). Esa decisión fue confirmada mediante providencia dictada por la Sección</w:t>
      </w:r>
      <w:r>
        <w:rPr>
          <w:sz w:val="22"/>
          <w:szCs w:val="22"/>
          <w:lang w:val="es-CO"/>
        </w:rPr>
        <w:t xml:space="preserve"> Tercera de la Corporación</w:t>
      </w:r>
      <w:r w:rsidRPr="002558A9">
        <w:rPr>
          <w:sz w:val="22"/>
          <w:szCs w:val="22"/>
          <w:lang w:val="es-CO"/>
        </w:rPr>
        <w:t xml:space="preserve">, el 15 de mayo de 1997, en la cual se consideró: </w:t>
      </w:r>
      <w:r w:rsidRPr="002558A9">
        <w:rPr>
          <w:i/>
          <w:sz w:val="22"/>
          <w:szCs w:val="22"/>
          <w:lang w:val="es-CO"/>
        </w:rPr>
        <w:t>“ISA manifiesta reiteradamente que al Ministerio de Minas y Energía no se le debió vincular al presente proceso, debido a que no hacía parte del Comité Directivo Operación, entidad que tomó la decisión de iniciar el racionamiento, de manera que ISA quedaría como única demandada, y siendo una entidad cuyos hechos y omisiones deben ser juzgados por la justicia ordinaria, esta jurisdicción no sería la competente para conocer del presente proceso.// Sin embargo, a tal conclusión solo podría llegar después de valorar la responsabilidad que la demandante le endilgaría al Ministerio de Minas y Energía, examen que obviamente solo se puede realizar en el momento de proferir la sentencia que desate el presente litigio.//En consecuencia, como el Ministerio de Minas y Energía continúa vinculado a este proceso, en razón del fuero de atracción, la competencia se extiende al análisis de la presunta responsabilidad en que pudo incurrir “INTERCONEXIÓN ELÉCTRICA S.A. ISA”.</w:t>
      </w:r>
      <w:r w:rsidRPr="002558A9">
        <w:rPr>
          <w:sz w:val="22"/>
          <w:szCs w:val="22"/>
          <w:lang w:val="es-CO"/>
        </w:rPr>
        <w:t xml:space="preserve"> (f. 110-114 c-3). </w:t>
      </w:r>
    </w:p>
  </w:footnote>
  <w:footnote w:id="7">
    <w:p w14:paraId="7B49D57F" w14:textId="77777777" w:rsidR="002C6BDF" w:rsidRPr="004207E3" w:rsidRDefault="002C6BDF" w:rsidP="002C6BDF">
      <w:pPr>
        <w:pStyle w:val="Textonotapie"/>
        <w:ind w:right="-232"/>
        <w:jc w:val="both"/>
        <w:rPr>
          <w:rFonts w:cs="Arial"/>
          <w:sz w:val="22"/>
          <w:szCs w:val="22"/>
          <w:lang w:val="es-CO"/>
        </w:rPr>
      </w:pPr>
      <w:r w:rsidRPr="00706FF2">
        <w:rPr>
          <w:rStyle w:val="Refdenotaalpie"/>
          <w:rFonts w:cs="Arial"/>
          <w:sz w:val="22"/>
          <w:szCs w:val="22"/>
        </w:rPr>
        <w:footnoteRef/>
      </w:r>
      <w:r>
        <w:rPr>
          <w:rFonts w:cs="Arial"/>
          <w:sz w:val="22"/>
          <w:szCs w:val="22"/>
        </w:rPr>
        <w:t xml:space="preserve"> </w:t>
      </w:r>
      <w:r w:rsidRPr="00B45F22">
        <w:rPr>
          <w:rFonts w:cs="Arial"/>
          <w:sz w:val="22"/>
          <w:szCs w:val="22"/>
        </w:rPr>
        <w:t>En vigencia de Decreto 597 de 1988, la cuantía para que un proceso iniciado en ejercicio de la acción de directa en el año de 199</w:t>
      </w:r>
      <w:r>
        <w:rPr>
          <w:rFonts w:cs="Arial"/>
          <w:sz w:val="22"/>
          <w:szCs w:val="22"/>
          <w:lang w:val="es-CO"/>
        </w:rPr>
        <w:t>3</w:t>
      </w:r>
      <w:r w:rsidRPr="00B45F22">
        <w:rPr>
          <w:rFonts w:cs="Arial"/>
          <w:sz w:val="22"/>
          <w:szCs w:val="22"/>
        </w:rPr>
        <w:t xml:space="preserve"> tuviera vocación de segunda instancia ante esta Corporación era de $</w:t>
      </w:r>
      <w:r>
        <w:rPr>
          <w:rFonts w:cs="Arial"/>
          <w:sz w:val="22"/>
          <w:szCs w:val="22"/>
          <w:lang w:val="es-CO"/>
        </w:rPr>
        <w:t xml:space="preserve">6.860.000, </w:t>
      </w:r>
      <w:r w:rsidRPr="00B45F22">
        <w:rPr>
          <w:rFonts w:cs="Arial"/>
          <w:sz w:val="22"/>
          <w:szCs w:val="22"/>
        </w:rPr>
        <w:t xml:space="preserve">y la </w:t>
      </w:r>
      <w:r>
        <w:rPr>
          <w:rFonts w:cs="Arial"/>
          <w:sz w:val="22"/>
          <w:szCs w:val="22"/>
          <w:lang w:val="es-CO"/>
        </w:rPr>
        <w:t xml:space="preserve">cuantía para efectos de determinar la competencia fue determinada por la parte demandante en </w:t>
      </w:r>
      <w:r w:rsidRPr="00B45F22">
        <w:rPr>
          <w:rFonts w:cs="Arial"/>
          <w:sz w:val="22"/>
          <w:szCs w:val="22"/>
        </w:rPr>
        <w:t>$</w:t>
      </w:r>
      <w:r>
        <w:rPr>
          <w:rFonts w:cs="Arial"/>
          <w:sz w:val="22"/>
          <w:szCs w:val="22"/>
          <w:lang w:val="es-CO"/>
        </w:rPr>
        <w:t xml:space="preserve">900.000.000. </w:t>
      </w:r>
      <w:r w:rsidRPr="00706FF2">
        <w:rPr>
          <w:rFonts w:cs="Arial"/>
          <w:sz w:val="22"/>
          <w:szCs w:val="22"/>
        </w:rPr>
        <w:t xml:space="preserve"> </w:t>
      </w:r>
    </w:p>
  </w:footnote>
  <w:footnote w:id="8">
    <w:p w14:paraId="5A90587B" w14:textId="77777777" w:rsidR="002C6BDF" w:rsidRPr="005852E9" w:rsidRDefault="002C6BDF" w:rsidP="002C6BDF">
      <w:pPr>
        <w:pStyle w:val="Textonotapie"/>
        <w:jc w:val="both"/>
        <w:rPr>
          <w:sz w:val="22"/>
          <w:szCs w:val="22"/>
        </w:rPr>
      </w:pPr>
      <w:r>
        <w:rPr>
          <w:rStyle w:val="Refdenotaalpie"/>
        </w:rPr>
        <w:footnoteRef/>
      </w:r>
      <w:r>
        <w:t xml:space="preserve"> </w:t>
      </w:r>
      <w:r>
        <w:rPr>
          <w:rFonts w:cs="Arial"/>
          <w:sz w:val="22"/>
          <w:szCs w:val="22"/>
        </w:rPr>
        <w:t xml:space="preserve">Consejo de Estado, Sección Tercera, sentencias de 7 de abril de 2011, exp. 20.750, C.P. Mauricio Fajardo Gómez. </w:t>
      </w:r>
    </w:p>
  </w:footnote>
  <w:footnote w:id="9">
    <w:p w14:paraId="6E9F3D86" w14:textId="77777777" w:rsidR="002C6BDF" w:rsidRPr="00660ED4" w:rsidRDefault="002C6BDF" w:rsidP="002C6BDF">
      <w:pPr>
        <w:pStyle w:val="Textonotapie"/>
        <w:jc w:val="both"/>
        <w:rPr>
          <w:sz w:val="22"/>
          <w:szCs w:val="22"/>
          <w:lang w:val="es-CO"/>
        </w:rPr>
      </w:pPr>
      <w:r w:rsidRPr="00660ED4">
        <w:rPr>
          <w:rStyle w:val="Refdenotaalpie"/>
          <w:sz w:val="22"/>
          <w:szCs w:val="22"/>
        </w:rPr>
        <w:footnoteRef/>
      </w:r>
      <w:r w:rsidRPr="00660ED4">
        <w:rPr>
          <w:sz w:val="22"/>
          <w:szCs w:val="22"/>
        </w:rPr>
        <w:t xml:space="preserve"> </w:t>
      </w:r>
      <w:r w:rsidRPr="00660ED4">
        <w:rPr>
          <w:i/>
          <w:sz w:val="22"/>
          <w:szCs w:val="22"/>
        </w:rPr>
        <w:t>“</w:t>
      </w:r>
      <w:r w:rsidRPr="00660ED4">
        <w:rPr>
          <w:i/>
          <w:sz w:val="22"/>
          <w:szCs w:val="22"/>
          <w:lang w:val="es-CO"/>
        </w:rPr>
        <w:t>El racionamiento de energía se estima como la diferencia entre la demanda pronosticada y la demanda realmente atendida. Esta aproximación incluye dentro del racionamiento el ahorro voluntario de los usuarios y el consumo sustituido por otros energéticos”</w:t>
      </w:r>
      <w:r w:rsidRPr="00660ED4">
        <w:rPr>
          <w:sz w:val="22"/>
          <w:szCs w:val="22"/>
          <w:lang w:val="es-CO"/>
        </w:rPr>
        <w:t xml:space="preserve">, según la respuesta dada al oficio del </w:t>
      </w:r>
      <w:r w:rsidRPr="00B72687">
        <w:rPr>
          <w:i/>
          <w:sz w:val="22"/>
          <w:szCs w:val="22"/>
          <w:lang w:val="es-CO"/>
        </w:rPr>
        <w:t>a quo</w:t>
      </w:r>
      <w:r w:rsidRPr="00660ED4">
        <w:rPr>
          <w:sz w:val="22"/>
          <w:szCs w:val="22"/>
          <w:lang w:val="es-CO"/>
        </w:rPr>
        <w:t xml:space="preserve"> por el secretario general de Interconexión Eléctrica S.A. E.S.P. (f. 166-169 c-1). </w:t>
      </w:r>
    </w:p>
  </w:footnote>
  <w:footnote w:id="10">
    <w:p w14:paraId="6E082B86" w14:textId="77777777" w:rsidR="002C6BDF" w:rsidRPr="005C2527" w:rsidRDefault="002C6BDF" w:rsidP="002C6BDF">
      <w:pPr>
        <w:pStyle w:val="Textonotapie"/>
        <w:jc w:val="both"/>
        <w:rPr>
          <w:sz w:val="22"/>
          <w:szCs w:val="22"/>
        </w:rPr>
      </w:pPr>
      <w:r>
        <w:rPr>
          <w:rStyle w:val="Refdenotaalpie"/>
        </w:rPr>
        <w:footnoteRef/>
      </w:r>
      <w:r>
        <w:t xml:space="preserve"> </w:t>
      </w:r>
      <w:r w:rsidRPr="005C2527">
        <w:rPr>
          <w:sz w:val="22"/>
          <w:szCs w:val="22"/>
        </w:rPr>
        <w:t>De ese expediente hacían parte, además, los documentos que a continuación se relacionan, los cuales</w:t>
      </w:r>
      <w:r>
        <w:rPr>
          <w:sz w:val="22"/>
          <w:szCs w:val="22"/>
        </w:rPr>
        <w:t xml:space="preserve"> fueron analizados por el perito designado por la Procuraduría Primera Delegada para la Vigilancia Administrativa, y que fueron traídos a este </w:t>
      </w:r>
      <w:r w:rsidRPr="009A5033">
        <w:rPr>
          <w:sz w:val="22"/>
          <w:szCs w:val="22"/>
        </w:rPr>
        <w:t xml:space="preserve">expediente en dos cuadernos (c-4-5), todos expedidos por ISA: </w:t>
      </w:r>
      <w:r>
        <w:rPr>
          <w:sz w:val="22"/>
          <w:szCs w:val="22"/>
        </w:rPr>
        <w:t xml:space="preserve">(i) Acuerdo Reglamentario para el Planeamiento de la Operación del Sistema Interconectado Colombiano, edición enero de 1992; Reglamentación del Comité de Operación, de 22 de agosto de 1984; Análisis Empírico Preliminar de los Efectos del Fenómeno de “El Niño”, de 4 de septiembre de 1992; Informe de Operación 1992 de ISA; Informe Anual 1993; El Esquema Institucional y de la Operación del Sector Eléctrico y la Crisis del Suministro de Electricidad, de 18 de junio de 1992; Acuerdo Reglamentario para el Planeamiento de la Operación del Sistema Interconectado Colombiano, edición noviembre de 1989; Decreto 1318 de 21 de junio de 1990, por el cual se dictan los Estatutos Básicos de Interconexión Eléctrica S.A.; Modelos para al Simulación de la Operación del Sistema Nacional; Cronología del Costo de Racionamiento para el Planeamiento de la Operación; Proyecciones de Demanda de Energía Utilizada para la Operación del Sistema Interconectado Colombiano; Evaluación de la Situación Energética, de los períodos septiembre/88-julio/93; junio/89-mayo/94; marzo/90-enero/95; Central Turbogas Chinú; Anotaciones al Informe de la Comisión Quinta del Senado de la República, de julio 6 de 1992; Anotaciones al Informe de la Contraloría General de la República, causas del racionamiento de energía eléctrica y sus presuntos responsables directos; Anotaciones al Informe de la Comisión Evaluadora del Sector Privado, causas del actual racionamiento eléctrico. </w:t>
      </w:r>
    </w:p>
  </w:footnote>
  <w:footnote w:id="11">
    <w:p w14:paraId="4A7A989C" w14:textId="77777777" w:rsidR="002C6BDF" w:rsidRPr="001E4E4D" w:rsidRDefault="002C6BDF" w:rsidP="002C6BDF">
      <w:pPr>
        <w:pStyle w:val="Textonotapie"/>
        <w:jc w:val="both"/>
        <w:rPr>
          <w:sz w:val="22"/>
          <w:szCs w:val="22"/>
        </w:rPr>
      </w:pPr>
      <w:r>
        <w:rPr>
          <w:rStyle w:val="Refdenotaalpie"/>
        </w:rPr>
        <w:footnoteRef/>
      </w:r>
      <w:r>
        <w:t xml:space="preserve"> </w:t>
      </w:r>
      <w:r w:rsidRPr="001E4E4D">
        <w:rPr>
          <w:sz w:val="22"/>
          <w:szCs w:val="22"/>
        </w:rPr>
        <w:t xml:space="preserve">Mediante Resolución de 18 de septiembre de 1997, el </w:t>
      </w:r>
      <w:r>
        <w:rPr>
          <w:sz w:val="22"/>
          <w:szCs w:val="22"/>
        </w:rPr>
        <w:t xml:space="preserve">Viceprocurador General de la Nación declaró en firme la Resolución 216 de 1994, de conformidad con lo establecido en el artículo 109, inciso segundo del Código Disciplinario Único, por haber trascurrido más de 6 meses desde el día en el que fue recibido el expediente por el Superior, sin que se hubiera proferido la respectiva providencia (f. 149-154 c-11). </w:t>
      </w:r>
    </w:p>
  </w:footnote>
  <w:footnote w:id="12">
    <w:p w14:paraId="5C3D65EC" w14:textId="77777777" w:rsidR="002C6BDF" w:rsidRPr="00623D31" w:rsidRDefault="002C6BDF" w:rsidP="002C6BDF">
      <w:pPr>
        <w:pStyle w:val="Textonotapie"/>
        <w:jc w:val="both"/>
        <w:rPr>
          <w:sz w:val="22"/>
          <w:szCs w:val="22"/>
          <w:lang w:val="es-CO"/>
        </w:rPr>
      </w:pPr>
      <w:r>
        <w:rPr>
          <w:rStyle w:val="Refdenotaalpie"/>
        </w:rPr>
        <w:footnoteRef/>
      </w:r>
      <w:r>
        <w:t xml:space="preserve"> </w:t>
      </w:r>
      <w:r w:rsidRPr="00623D31">
        <w:rPr>
          <w:sz w:val="22"/>
          <w:szCs w:val="22"/>
          <w:lang w:val="es-CO"/>
        </w:rPr>
        <w:t xml:space="preserve">La Sala expondrá </w:t>
      </w:r>
      <w:r>
        <w:rPr>
          <w:sz w:val="22"/>
          <w:szCs w:val="22"/>
          <w:lang w:val="es-CO"/>
        </w:rPr>
        <w:t xml:space="preserve">en detalle la prueba pericial, en consideración a que sobre la misma giró el mayor esfuerzo probatorio de las partes, para acreditar y desvirtuar, en su caso, la existencia del daño aducido por la parte demandante y su relación causal con el racionamiento de energía. </w:t>
      </w:r>
    </w:p>
  </w:footnote>
  <w:footnote w:id="13">
    <w:p w14:paraId="3A7BF2FD" w14:textId="77777777" w:rsidR="002C6BDF" w:rsidRPr="00BF2C97" w:rsidRDefault="002C6BDF" w:rsidP="002C6BDF">
      <w:pPr>
        <w:pStyle w:val="Textonotapie"/>
        <w:jc w:val="both"/>
      </w:pPr>
      <w:r>
        <w:rPr>
          <w:rStyle w:val="Refdenotaalpie"/>
        </w:rPr>
        <w:footnoteRef/>
      </w:r>
      <w:r>
        <w:t xml:space="preserve"> </w:t>
      </w:r>
      <w:r w:rsidRPr="0021079E">
        <w:rPr>
          <w:sz w:val="22"/>
          <w:szCs w:val="22"/>
        </w:rPr>
        <w:t xml:space="preserve">Mediante auto de 14 de septiembre de 1995, el a quo se abstuvo de decretar la inspección judicial </w:t>
      </w:r>
      <w:r>
        <w:rPr>
          <w:sz w:val="22"/>
          <w:szCs w:val="22"/>
        </w:rPr>
        <w:t xml:space="preserve">solicitada por la parte demandante, por considerarla innecesaria y, en su lugar, decretó un dictamen pericial, a fin de que se estableciera lo pedido en la demanda (f. 224-225 c-1).  </w:t>
      </w:r>
    </w:p>
  </w:footnote>
  <w:footnote w:id="14">
    <w:p w14:paraId="4025AF19" w14:textId="77777777" w:rsidR="002C6BDF" w:rsidRPr="00B5135F" w:rsidRDefault="002C6BDF" w:rsidP="002C6BDF">
      <w:pPr>
        <w:pStyle w:val="Textonotapie"/>
        <w:jc w:val="both"/>
        <w:rPr>
          <w:lang w:val="es-CO"/>
        </w:rPr>
      </w:pPr>
      <w:r>
        <w:rPr>
          <w:rStyle w:val="Refdenotaalpie"/>
        </w:rPr>
        <w:footnoteRef/>
      </w:r>
      <w:r>
        <w:t xml:space="preserve"> </w:t>
      </w:r>
      <w:r w:rsidRPr="00B5135F">
        <w:rPr>
          <w:sz w:val="22"/>
          <w:szCs w:val="22"/>
          <w:lang w:val="es-CO"/>
        </w:rPr>
        <w:t>Contra esa decisión, la entidad demandante interpuso recurso de reposici</w:t>
      </w:r>
      <w:r>
        <w:rPr>
          <w:sz w:val="22"/>
          <w:szCs w:val="22"/>
          <w:lang w:val="es-CO"/>
        </w:rPr>
        <w:t xml:space="preserve">ón, con fundamento en que la objeción era extemporánea y porque carecía de pertinencia el pretender que el dictamen se fundamentara en las declaraciones de renta, dado que son los libros y papeles del comerciante los que daban fe de la historia contable de la empresa. Las declaraciones de renta solo reflejan una realidad fiscal (f. 316-317 c-1). Mediante auto de 27 de noviembre de 1997, el Tribunal confirmó la providencia de 21 de agosto de ese mismo año, en la cual se decretó la prueba pericial solicitada en el escrito de objeción del dictamen por error grave.  </w:t>
      </w:r>
    </w:p>
  </w:footnote>
  <w:footnote w:id="15">
    <w:p w14:paraId="00BB2E19" w14:textId="77777777" w:rsidR="002C6BDF" w:rsidRPr="0008012B" w:rsidRDefault="002C6BDF" w:rsidP="002C6BDF">
      <w:pPr>
        <w:pStyle w:val="Textonotapie"/>
        <w:jc w:val="both"/>
        <w:rPr>
          <w:rFonts w:cs="Arial"/>
          <w:sz w:val="22"/>
          <w:szCs w:val="22"/>
        </w:rPr>
      </w:pPr>
      <w:r w:rsidRPr="005E2F50">
        <w:rPr>
          <w:rStyle w:val="Refdenotaalpie"/>
          <w:rFonts w:ascii="Arial Narrow" w:hAnsi="Arial Narrow"/>
        </w:rPr>
        <w:footnoteRef/>
      </w:r>
      <w:r w:rsidRPr="005E2F50">
        <w:rPr>
          <w:rFonts w:ascii="Arial Narrow" w:hAnsi="Arial Narrow"/>
        </w:rPr>
        <w:t xml:space="preserve"> </w:t>
      </w:r>
      <w:r w:rsidRPr="0008012B">
        <w:rPr>
          <w:rFonts w:cs="Arial"/>
          <w:sz w:val="22"/>
          <w:szCs w:val="22"/>
        </w:rPr>
        <w:t>DEVIS ECHANDÍA, Hernando, Compendio de Derecho Procesal, Tomo II, Pruebas Judiciales, Editorial ABC, 1984, págs. 339 y ss.</w:t>
      </w:r>
    </w:p>
  </w:footnote>
  <w:footnote w:id="16">
    <w:p w14:paraId="27E42AA8" w14:textId="77777777" w:rsidR="002C6BDF" w:rsidRPr="0008012B" w:rsidRDefault="002C6BDF" w:rsidP="002C6BDF">
      <w:pPr>
        <w:pStyle w:val="Textonotapie"/>
        <w:jc w:val="both"/>
        <w:rPr>
          <w:rFonts w:cs="Arial"/>
          <w:sz w:val="22"/>
          <w:szCs w:val="22"/>
        </w:rPr>
      </w:pPr>
      <w:r w:rsidRPr="0008012B">
        <w:rPr>
          <w:rStyle w:val="Refdenotaalpie"/>
          <w:rFonts w:cs="Arial"/>
          <w:sz w:val="22"/>
          <w:szCs w:val="22"/>
        </w:rPr>
        <w:footnoteRef/>
      </w:r>
      <w:r w:rsidRPr="0008012B">
        <w:rPr>
          <w:rFonts w:cs="Arial"/>
          <w:sz w:val="22"/>
          <w:szCs w:val="22"/>
        </w:rPr>
        <w:t xml:space="preserve"> DEVIS ECHANDÍA, Hernando, Ob. Cit. Págs. </w:t>
      </w:r>
      <w:smartTag w:uri="urn:schemas-microsoft-com:office:smarttags" w:element="metricconverter">
        <w:smartTagPr>
          <w:attr w:name="ProductID" w:val="346 a"/>
        </w:smartTagPr>
        <w:r w:rsidRPr="0008012B">
          <w:rPr>
            <w:rFonts w:cs="Arial"/>
            <w:sz w:val="22"/>
            <w:szCs w:val="22"/>
          </w:rPr>
          <w:t>346 a</w:t>
        </w:r>
      </w:smartTag>
      <w:r w:rsidRPr="0008012B">
        <w:rPr>
          <w:rFonts w:cs="Arial"/>
          <w:sz w:val="22"/>
          <w:szCs w:val="22"/>
        </w:rPr>
        <w:t xml:space="preserve"> 350 y ss.</w:t>
      </w:r>
    </w:p>
  </w:footnote>
  <w:footnote w:id="17">
    <w:p w14:paraId="77454400" w14:textId="77777777" w:rsidR="002C6BDF" w:rsidRPr="004E30FB" w:rsidRDefault="002C6BDF" w:rsidP="002C6BDF">
      <w:pPr>
        <w:pStyle w:val="Textonotapie"/>
        <w:jc w:val="both"/>
        <w:rPr>
          <w:rFonts w:cs="Arial"/>
          <w:sz w:val="22"/>
          <w:szCs w:val="22"/>
        </w:rPr>
      </w:pPr>
      <w:r w:rsidRPr="0008012B">
        <w:rPr>
          <w:rStyle w:val="Refdenotaalpie"/>
          <w:rFonts w:cs="Arial"/>
          <w:sz w:val="22"/>
          <w:szCs w:val="22"/>
        </w:rPr>
        <w:footnoteRef/>
      </w:r>
      <w:r w:rsidRPr="0008012B">
        <w:rPr>
          <w:rFonts w:cs="Arial"/>
          <w:sz w:val="22"/>
          <w:szCs w:val="22"/>
        </w:rPr>
        <w:t xml:space="preserve"> PARRA QUIJANO, Jairo, Manual de Derecho Probatorio, Librería Ediciones del Profesional Ltda., 2004, Pág. 649.  </w:t>
      </w:r>
    </w:p>
  </w:footnote>
  <w:footnote w:id="18">
    <w:p w14:paraId="374E9898" w14:textId="77777777" w:rsidR="002C6BDF" w:rsidRPr="00B1605D" w:rsidRDefault="002C6BDF" w:rsidP="002C6BDF">
      <w:pPr>
        <w:pStyle w:val="Textoindependiente21"/>
        <w:overflowPunct/>
        <w:autoSpaceDE/>
        <w:autoSpaceDN/>
        <w:adjustRightInd/>
        <w:spacing w:line="240" w:lineRule="auto"/>
        <w:textAlignment w:val="auto"/>
        <w:rPr>
          <w:rFonts w:cs="Arial"/>
          <w:sz w:val="22"/>
          <w:szCs w:val="22"/>
        </w:rPr>
      </w:pPr>
      <w:r w:rsidRPr="00B1605D">
        <w:rPr>
          <w:rStyle w:val="Refdenotaalpie"/>
          <w:rFonts w:cs="Arial"/>
          <w:sz w:val="22"/>
          <w:szCs w:val="22"/>
        </w:rPr>
        <w:footnoteRef/>
      </w:r>
      <w:r>
        <w:rPr>
          <w:rFonts w:cs="Arial"/>
          <w:sz w:val="22"/>
          <w:szCs w:val="22"/>
        </w:rPr>
        <w:t xml:space="preserve"> Consejo de Estado, Sección Tercera, s</w:t>
      </w:r>
      <w:r w:rsidRPr="00B1605D">
        <w:rPr>
          <w:rFonts w:cs="Arial"/>
          <w:sz w:val="22"/>
          <w:szCs w:val="22"/>
        </w:rPr>
        <w:t>entencia de 16 de abril de 2007, exp. AG-250002325000200200025-</w:t>
      </w:r>
      <w:smartTag w:uri="urn:schemas-microsoft-com:office:smarttags" w:element="metricconverter">
        <w:smartTagPr>
          <w:attr w:name="ProductID" w:val="02, C"/>
        </w:smartTagPr>
        <w:r w:rsidRPr="00B1605D">
          <w:rPr>
            <w:rFonts w:cs="Arial"/>
            <w:sz w:val="22"/>
            <w:szCs w:val="22"/>
          </w:rPr>
          <w:t>02, C</w:t>
        </w:r>
      </w:smartTag>
      <w:r w:rsidRPr="00B1605D">
        <w:rPr>
          <w:rFonts w:cs="Arial"/>
          <w:sz w:val="22"/>
          <w:szCs w:val="22"/>
        </w:rPr>
        <w:t>.P. Ruth Stella Correa Palacio.</w:t>
      </w:r>
    </w:p>
    <w:p w14:paraId="5D40C054" w14:textId="77777777" w:rsidR="002C6BDF" w:rsidRPr="005E2F50" w:rsidRDefault="002C6BDF" w:rsidP="002C6BDF">
      <w:pPr>
        <w:pStyle w:val="Textonotapie"/>
        <w:jc w:val="both"/>
        <w:rPr>
          <w:rFonts w:ascii="Arial Narrow" w:hAnsi="Arial Narrow"/>
          <w:lang w:val="es-ES"/>
        </w:rPr>
      </w:pPr>
    </w:p>
  </w:footnote>
  <w:footnote w:id="19">
    <w:p w14:paraId="181F50CD" w14:textId="77777777" w:rsidR="002C6BDF" w:rsidRPr="004E30FB" w:rsidRDefault="002C6BDF" w:rsidP="002C6BDF">
      <w:pPr>
        <w:pStyle w:val="Textonotapie"/>
        <w:rPr>
          <w:sz w:val="22"/>
          <w:szCs w:val="22"/>
          <w:lang w:val="es-CO"/>
        </w:rPr>
      </w:pPr>
      <w:r>
        <w:rPr>
          <w:rStyle w:val="Refdenotaalpie"/>
        </w:rPr>
        <w:footnoteRef/>
      </w:r>
      <w:r>
        <w:t xml:space="preserve"> </w:t>
      </w:r>
      <w:r w:rsidRPr="004E30FB">
        <w:rPr>
          <w:sz w:val="22"/>
          <w:szCs w:val="22"/>
        </w:rPr>
        <w:t>El nuevo modelo de televisión fue regulado en ese momento por l</w:t>
      </w:r>
      <w:r w:rsidRPr="004E30FB">
        <w:rPr>
          <w:sz w:val="22"/>
          <w:szCs w:val="22"/>
          <w:lang w:val="es-CO"/>
        </w:rPr>
        <w:t xml:space="preserve">a Ley 14 de 1991. </w:t>
      </w:r>
    </w:p>
  </w:footnote>
  <w:footnote w:id="20">
    <w:p w14:paraId="046B8CBC" w14:textId="77777777" w:rsidR="002C6BDF" w:rsidRPr="007628FB" w:rsidRDefault="002C6BDF" w:rsidP="002C6BDF">
      <w:pPr>
        <w:pStyle w:val="Textonotapie"/>
        <w:jc w:val="both"/>
        <w:rPr>
          <w:sz w:val="22"/>
          <w:szCs w:val="22"/>
        </w:rPr>
      </w:pPr>
      <w:r w:rsidRPr="00E169BD">
        <w:rPr>
          <w:rStyle w:val="Refdenotaalpie"/>
          <w:sz w:val="22"/>
          <w:szCs w:val="22"/>
        </w:rPr>
        <w:footnoteRef/>
      </w:r>
      <w:r w:rsidRPr="00E169BD">
        <w:rPr>
          <w:sz w:val="22"/>
          <w:szCs w:val="22"/>
        </w:rPr>
        <w:t xml:space="preserve"> Consejo de Estado, Sección Tercera, sentencia de 18 de febrero de 1999, exp: 10.775, C.P. Ricardo Hoyos D</w:t>
      </w:r>
      <w:r>
        <w:rPr>
          <w:sz w:val="22"/>
          <w:szCs w:val="22"/>
        </w:rPr>
        <w:t xml:space="preserve">uque. </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EE0C04DA"/>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51E7F81"/>
    <w:multiLevelType w:val="hybridMultilevel"/>
    <w:tmpl w:val="4FBA22FC"/>
    <w:lvl w:ilvl="0" w:tplc="2F9CDB36">
      <w:start w:val="1"/>
      <w:numFmt w:val="lowerLetter"/>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2" w15:restartNumberingAfterBreak="0">
    <w:nsid w:val="05FB0D9D"/>
    <w:multiLevelType w:val="hybridMultilevel"/>
    <w:tmpl w:val="D076E894"/>
    <w:lvl w:ilvl="0" w:tplc="2D6AAB22">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6644B67"/>
    <w:multiLevelType w:val="hybridMultilevel"/>
    <w:tmpl w:val="2DB62A88"/>
    <w:lvl w:ilvl="0" w:tplc="C4C8C118">
      <w:start w:val="5"/>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B1B4267"/>
    <w:multiLevelType w:val="hybridMultilevel"/>
    <w:tmpl w:val="47561B4C"/>
    <w:lvl w:ilvl="0" w:tplc="2FD6AC72">
      <w:start w:val="2"/>
      <w:numFmt w:val="lowerLetter"/>
      <w:lvlText w:val="%1."/>
      <w:lvlJc w:val="left"/>
      <w:pPr>
        <w:tabs>
          <w:tab w:val="num" w:pos="960"/>
        </w:tabs>
        <w:ind w:left="960" w:hanging="360"/>
      </w:pPr>
      <w:rPr>
        <w:rFonts w:hint="default"/>
      </w:rPr>
    </w:lvl>
    <w:lvl w:ilvl="1" w:tplc="0C0A0019" w:tentative="1">
      <w:start w:val="1"/>
      <w:numFmt w:val="lowerLetter"/>
      <w:lvlText w:val="%2."/>
      <w:lvlJc w:val="left"/>
      <w:pPr>
        <w:tabs>
          <w:tab w:val="num" w:pos="1680"/>
        </w:tabs>
        <w:ind w:left="1680" w:hanging="360"/>
      </w:pPr>
    </w:lvl>
    <w:lvl w:ilvl="2" w:tplc="0C0A001B" w:tentative="1">
      <w:start w:val="1"/>
      <w:numFmt w:val="lowerRoman"/>
      <w:lvlText w:val="%3."/>
      <w:lvlJc w:val="right"/>
      <w:pPr>
        <w:tabs>
          <w:tab w:val="num" w:pos="2400"/>
        </w:tabs>
        <w:ind w:left="2400" w:hanging="180"/>
      </w:pPr>
    </w:lvl>
    <w:lvl w:ilvl="3" w:tplc="0C0A000F" w:tentative="1">
      <w:start w:val="1"/>
      <w:numFmt w:val="decimal"/>
      <w:lvlText w:val="%4."/>
      <w:lvlJc w:val="left"/>
      <w:pPr>
        <w:tabs>
          <w:tab w:val="num" w:pos="3120"/>
        </w:tabs>
        <w:ind w:left="3120" w:hanging="360"/>
      </w:pPr>
    </w:lvl>
    <w:lvl w:ilvl="4" w:tplc="0C0A0019" w:tentative="1">
      <w:start w:val="1"/>
      <w:numFmt w:val="lowerLetter"/>
      <w:lvlText w:val="%5."/>
      <w:lvlJc w:val="left"/>
      <w:pPr>
        <w:tabs>
          <w:tab w:val="num" w:pos="3840"/>
        </w:tabs>
        <w:ind w:left="3840" w:hanging="360"/>
      </w:pPr>
    </w:lvl>
    <w:lvl w:ilvl="5" w:tplc="0C0A001B" w:tentative="1">
      <w:start w:val="1"/>
      <w:numFmt w:val="lowerRoman"/>
      <w:lvlText w:val="%6."/>
      <w:lvlJc w:val="right"/>
      <w:pPr>
        <w:tabs>
          <w:tab w:val="num" w:pos="4560"/>
        </w:tabs>
        <w:ind w:left="4560" w:hanging="180"/>
      </w:pPr>
    </w:lvl>
    <w:lvl w:ilvl="6" w:tplc="0C0A000F" w:tentative="1">
      <w:start w:val="1"/>
      <w:numFmt w:val="decimal"/>
      <w:lvlText w:val="%7."/>
      <w:lvlJc w:val="left"/>
      <w:pPr>
        <w:tabs>
          <w:tab w:val="num" w:pos="5280"/>
        </w:tabs>
        <w:ind w:left="5280" w:hanging="360"/>
      </w:pPr>
    </w:lvl>
    <w:lvl w:ilvl="7" w:tplc="0C0A0019" w:tentative="1">
      <w:start w:val="1"/>
      <w:numFmt w:val="lowerLetter"/>
      <w:lvlText w:val="%8."/>
      <w:lvlJc w:val="left"/>
      <w:pPr>
        <w:tabs>
          <w:tab w:val="num" w:pos="6000"/>
        </w:tabs>
        <w:ind w:left="6000" w:hanging="360"/>
      </w:pPr>
    </w:lvl>
    <w:lvl w:ilvl="8" w:tplc="0C0A001B" w:tentative="1">
      <w:start w:val="1"/>
      <w:numFmt w:val="lowerRoman"/>
      <w:lvlText w:val="%9."/>
      <w:lvlJc w:val="right"/>
      <w:pPr>
        <w:tabs>
          <w:tab w:val="num" w:pos="6720"/>
        </w:tabs>
        <w:ind w:left="6720" w:hanging="180"/>
      </w:pPr>
    </w:lvl>
  </w:abstractNum>
  <w:abstractNum w:abstractNumId="5" w15:restartNumberingAfterBreak="0">
    <w:nsid w:val="0DB51533"/>
    <w:multiLevelType w:val="hybridMultilevel"/>
    <w:tmpl w:val="FE22EEBC"/>
    <w:lvl w:ilvl="0" w:tplc="CA5CB742">
      <w:start w:val="3"/>
      <w:numFmt w:val="lowerRoman"/>
      <w:lvlText w:val="(%1)"/>
      <w:lvlJc w:val="left"/>
      <w:pPr>
        <w:ind w:left="774" w:hanging="720"/>
      </w:pPr>
      <w:rPr>
        <w:rFonts w:hint="default"/>
      </w:rPr>
    </w:lvl>
    <w:lvl w:ilvl="1" w:tplc="0C0A0019" w:tentative="1">
      <w:start w:val="1"/>
      <w:numFmt w:val="lowerLetter"/>
      <w:lvlText w:val="%2."/>
      <w:lvlJc w:val="left"/>
      <w:pPr>
        <w:ind w:left="1134" w:hanging="360"/>
      </w:pPr>
    </w:lvl>
    <w:lvl w:ilvl="2" w:tplc="0C0A001B" w:tentative="1">
      <w:start w:val="1"/>
      <w:numFmt w:val="lowerRoman"/>
      <w:lvlText w:val="%3."/>
      <w:lvlJc w:val="right"/>
      <w:pPr>
        <w:ind w:left="1854" w:hanging="180"/>
      </w:pPr>
    </w:lvl>
    <w:lvl w:ilvl="3" w:tplc="0C0A000F" w:tentative="1">
      <w:start w:val="1"/>
      <w:numFmt w:val="decimal"/>
      <w:lvlText w:val="%4."/>
      <w:lvlJc w:val="left"/>
      <w:pPr>
        <w:ind w:left="2574" w:hanging="360"/>
      </w:pPr>
    </w:lvl>
    <w:lvl w:ilvl="4" w:tplc="0C0A0019" w:tentative="1">
      <w:start w:val="1"/>
      <w:numFmt w:val="lowerLetter"/>
      <w:lvlText w:val="%5."/>
      <w:lvlJc w:val="left"/>
      <w:pPr>
        <w:ind w:left="3294" w:hanging="360"/>
      </w:pPr>
    </w:lvl>
    <w:lvl w:ilvl="5" w:tplc="0C0A001B" w:tentative="1">
      <w:start w:val="1"/>
      <w:numFmt w:val="lowerRoman"/>
      <w:lvlText w:val="%6."/>
      <w:lvlJc w:val="right"/>
      <w:pPr>
        <w:ind w:left="4014" w:hanging="180"/>
      </w:pPr>
    </w:lvl>
    <w:lvl w:ilvl="6" w:tplc="0C0A000F" w:tentative="1">
      <w:start w:val="1"/>
      <w:numFmt w:val="decimal"/>
      <w:lvlText w:val="%7."/>
      <w:lvlJc w:val="left"/>
      <w:pPr>
        <w:ind w:left="4734" w:hanging="360"/>
      </w:pPr>
    </w:lvl>
    <w:lvl w:ilvl="7" w:tplc="0C0A0019" w:tentative="1">
      <w:start w:val="1"/>
      <w:numFmt w:val="lowerLetter"/>
      <w:lvlText w:val="%8."/>
      <w:lvlJc w:val="left"/>
      <w:pPr>
        <w:ind w:left="5454" w:hanging="360"/>
      </w:pPr>
    </w:lvl>
    <w:lvl w:ilvl="8" w:tplc="0C0A001B" w:tentative="1">
      <w:start w:val="1"/>
      <w:numFmt w:val="lowerRoman"/>
      <w:lvlText w:val="%9."/>
      <w:lvlJc w:val="right"/>
      <w:pPr>
        <w:ind w:left="6174" w:hanging="180"/>
      </w:pPr>
    </w:lvl>
  </w:abstractNum>
  <w:abstractNum w:abstractNumId="6" w15:restartNumberingAfterBreak="0">
    <w:nsid w:val="120D3188"/>
    <w:multiLevelType w:val="hybridMultilevel"/>
    <w:tmpl w:val="890C2654"/>
    <w:lvl w:ilvl="0" w:tplc="0C0A0019">
      <w:start w:val="1"/>
      <w:numFmt w:val="lowerLetter"/>
      <w:lvlText w:val="%1."/>
      <w:lvlJc w:val="left"/>
      <w:pPr>
        <w:tabs>
          <w:tab w:val="num" w:pos="120"/>
        </w:tabs>
        <w:ind w:left="120" w:hanging="360"/>
      </w:pPr>
    </w:lvl>
    <w:lvl w:ilvl="1" w:tplc="0C0A0019">
      <w:start w:val="1"/>
      <w:numFmt w:val="lowerLetter"/>
      <w:lvlText w:val="%2."/>
      <w:lvlJc w:val="left"/>
      <w:pPr>
        <w:tabs>
          <w:tab w:val="num" w:pos="840"/>
        </w:tabs>
        <w:ind w:left="840" w:hanging="360"/>
      </w:pPr>
    </w:lvl>
    <w:lvl w:ilvl="2" w:tplc="0C0A001B" w:tentative="1">
      <w:start w:val="1"/>
      <w:numFmt w:val="lowerRoman"/>
      <w:lvlText w:val="%3."/>
      <w:lvlJc w:val="right"/>
      <w:pPr>
        <w:tabs>
          <w:tab w:val="num" w:pos="1560"/>
        </w:tabs>
        <w:ind w:left="1560" w:hanging="180"/>
      </w:pPr>
    </w:lvl>
    <w:lvl w:ilvl="3" w:tplc="0C0A000F" w:tentative="1">
      <w:start w:val="1"/>
      <w:numFmt w:val="decimal"/>
      <w:lvlText w:val="%4."/>
      <w:lvlJc w:val="left"/>
      <w:pPr>
        <w:tabs>
          <w:tab w:val="num" w:pos="2280"/>
        </w:tabs>
        <w:ind w:left="2280" w:hanging="360"/>
      </w:pPr>
    </w:lvl>
    <w:lvl w:ilvl="4" w:tplc="0C0A0019" w:tentative="1">
      <w:start w:val="1"/>
      <w:numFmt w:val="lowerLetter"/>
      <w:lvlText w:val="%5."/>
      <w:lvlJc w:val="left"/>
      <w:pPr>
        <w:tabs>
          <w:tab w:val="num" w:pos="3000"/>
        </w:tabs>
        <w:ind w:left="3000" w:hanging="360"/>
      </w:pPr>
    </w:lvl>
    <w:lvl w:ilvl="5" w:tplc="0C0A001B" w:tentative="1">
      <w:start w:val="1"/>
      <w:numFmt w:val="lowerRoman"/>
      <w:lvlText w:val="%6."/>
      <w:lvlJc w:val="right"/>
      <w:pPr>
        <w:tabs>
          <w:tab w:val="num" w:pos="3720"/>
        </w:tabs>
        <w:ind w:left="3720" w:hanging="180"/>
      </w:pPr>
    </w:lvl>
    <w:lvl w:ilvl="6" w:tplc="0C0A000F" w:tentative="1">
      <w:start w:val="1"/>
      <w:numFmt w:val="decimal"/>
      <w:lvlText w:val="%7."/>
      <w:lvlJc w:val="left"/>
      <w:pPr>
        <w:tabs>
          <w:tab w:val="num" w:pos="4440"/>
        </w:tabs>
        <w:ind w:left="4440" w:hanging="360"/>
      </w:pPr>
    </w:lvl>
    <w:lvl w:ilvl="7" w:tplc="0C0A0019" w:tentative="1">
      <w:start w:val="1"/>
      <w:numFmt w:val="lowerLetter"/>
      <w:lvlText w:val="%8."/>
      <w:lvlJc w:val="left"/>
      <w:pPr>
        <w:tabs>
          <w:tab w:val="num" w:pos="5160"/>
        </w:tabs>
        <w:ind w:left="5160" w:hanging="360"/>
      </w:pPr>
    </w:lvl>
    <w:lvl w:ilvl="8" w:tplc="0C0A001B" w:tentative="1">
      <w:start w:val="1"/>
      <w:numFmt w:val="lowerRoman"/>
      <w:lvlText w:val="%9."/>
      <w:lvlJc w:val="right"/>
      <w:pPr>
        <w:tabs>
          <w:tab w:val="num" w:pos="5880"/>
        </w:tabs>
        <w:ind w:left="5880" w:hanging="180"/>
      </w:pPr>
    </w:lvl>
  </w:abstractNum>
  <w:abstractNum w:abstractNumId="7" w15:restartNumberingAfterBreak="0">
    <w:nsid w:val="13B11F4A"/>
    <w:multiLevelType w:val="hybridMultilevel"/>
    <w:tmpl w:val="3446DF52"/>
    <w:lvl w:ilvl="0" w:tplc="AED81808">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8" w15:restartNumberingAfterBreak="0">
    <w:nsid w:val="18D56068"/>
    <w:multiLevelType w:val="hybridMultilevel"/>
    <w:tmpl w:val="AD181750"/>
    <w:lvl w:ilvl="0" w:tplc="3CEECDB8">
      <w:start w:val="5"/>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1CB1A37"/>
    <w:multiLevelType w:val="hybridMultilevel"/>
    <w:tmpl w:val="CD608612"/>
    <w:lvl w:ilvl="0" w:tplc="5F860060">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00D180D"/>
    <w:multiLevelType w:val="hybridMultilevel"/>
    <w:tmpl w:val="DBBC4AA6"/>
    <w:lvl w:ilvl="0" w:tplc="0CF2E892">
      <w:start w:val="5"/>
      <w:numFmt w:val="bullet"/>
      <w:lvlText w:val="-"/>
      <w:lvlJc w:val="left"/>
      <w:pPr>
        <w:ind w:left="795" w:hanging="360"/>
      </w:pPr>
      <w:rPr>
        <w:rFonts w:ascii="Arial" w:eastAsia="Calibri" w:hAnsi="Arial" w:cs="Arial" w:hint="default"/>
      </w:rPr>
    </w:lvl>
    <w:lvl w:ilvl="1" w:tplc="240A0003" w:tentative="1">
      <w:start w:val="1"/>
      <w:numFmt w:val="bullet"/>
      <w:lvlText w:val="o"/>
      <w:lvlJc w:val="left"/>
      <w:pPr>
        <w:ind w:left="1515" w:hanging="360"/>
      </w:pPr>
      <w:rPr>
        <w:rFonts w:ascii="Courier New" w:hAnsi="Courier New" w:cs="Courier New" w:hint="default"/>
      </w:rPr>
    </w:lvl>
    <w:lvl w:ilvl="2" w:tplc="240A0005" w:tentative="1">
      <w:start w:val="1"/>
      <w:numFmt w:val="bullet"/>
      <w:lvlText w:val=""/>
      <w:lvlJc w:val="left"/>
      <w:pPr>
        <w:ind w:left="2235" w:hanging="360"/>
      </w:pPr>
      <w:rPr>
        <w:rFonts w:ascii="Wingdings" w:hAnsi="Wingdings" w:hint="default"/>
      </w:rPr>
    </w:lvl>
    <w:lvl w:ilvl="3" w:tplc="240A0001" w:tentative="1">
      <w:start w:val="1"/>
      <w:numFmt w:val="bullet"/>
      <w:lvlText w:val=""/>
      <w:lvlJc w:val="left"/>
      <w:pPr>
        <w:ind w:left="2955" w:hanging="360"/>
      </w:pPr>
      <w:rPr>
        <w:rFonts w:ascii="Symbol" w:hAnsi="Symbol" w:hint="default"/>
      </w:rPr>
    </w:lvl>
    <w:lvl w:ilvl="4" w:tplc="240A0003" w:tentative="1">
      <w:start w:val="1"/>
      <w:numFmt w:val="bullet"/>
      <w:lvlText w:val="o"/>
      <w:lvlJc w:val="left"/>
      <w:pPr>
        <w:ind w:left="3675" w:hanging="360"/>
      </w:pPr>
      <w:rPr>
        <w:rFonts w:ascii="Courier New" w:hAnsi="Courier New" w:cs="Courier New" w:hint="default"/>
      </w:rPr>
    </w:lvl>
    <w:lvl w:ilvl="5" w:tplc="240A0005" w:tentative="1">
      <w:start w:val="1"/>
      <w:numFmt w:val="bullet"/>
      <w:lvlText w:val=""/>
      <w:lvlJc w:val="left"/>
      <w:pPr>
        <w:ind w:left="4395" w:hanging="360"/>
      </w:pPr>
      <w:rPr>
        <w:rFonts w:ascii="Wingdings" w:hAnsi="Wingdings" w:hint="default"/>
      </w:rPr>
    </w:lvl>
    <w:lvl w:ilvl="6" w:tplc="240A0001" w:tentative="1">
      <w:start w:val="1"/>
      <w:numFmt w:val="bullet"/>
      <w:lvlText w:val=""/>
      <w:lvlJc w:val="left"/>
      <w:pPr>
        <w:ind w:left="5115" w:hanging="360"/>
      </w:pPr>
      <w:rPr>
        <w:rFonts w:ascii="Symbol" w:hAnsi="Symbol" w:hint="default"/>
      </w:rPr>
    </w:lvl>
    <w:lvl w:ilvl="7" w:tplc="240A0003" w:tentative="1">
      <w:start w:val="1"/>
      <w:numFmt w:val="bullet"/>
      <w:lvlText w:val="o"/>
      <w:lvlJc w:val="left"/>
      <w:pPr>
        <w:ind w:left="5835" w:hanging="360"/>
      </w:pPr>
      <w:rPr>
        <w:rFonts w:ascii="Courier New" w:hAnsi="Courier New" w:cs="Courier New" w:hint="default"/>
      </w:rPr>
    </w:lvl>
    <w:lvl w:ilvl="8" w:tplc="240A0005" w:tentative="1">
      <w:start w:val="1"/>
      <w:numFmt w:val="bullet"/>
      <w:lvlText w:val=""/>
      <w:lvlJc w:val="left"/>
      <w:pPr>
        <w:ind w:left="6555" w:hanging="360"/>
      </w:pPr>
      <w:rPr>
        <w:rFonts w:ascii="Wingdings" w:hAnsi="Wingdings" w:hint="default"/>
      </w:rPr>
    </w:lvl>
  </w:abstractNum>
  <w:abstractNum w:abstractNumId="11" w15:restartNumberingAfterBreak="0">
    <w:nsid w:val="371C7CA4"/>
    <w:multiLevelType w:val="hybridMultilevel"/>
    <w:tmpl w:val="228468E6"/>
    <w:lvl w:ilvl="0" w:tplc="C6D68F44">
      <w:start w:val="1"/>
      <w:numFmt w:val="lowerLetter"/>
      <w:lvlText w:val="%1)"/>
      <w:lvlJc w:val="left"/>
      <w:pPr>
        <w:ind w:left="927" w:hanging="360"/>
      </w:pPr>
      <w:rPr>
        <w:rFonts w:hint="default"/>
        <w:lang w:val="es-ES_tradnl"/>
      </w:rPr>
    </w:lvl>
    <w:lvl w:ilvl="1" w:tplc="0C0A0019">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12" w15:restartNumberingAfterBreak="0">
    <w:nsid w:val="3D191692"/>
    <w:multiLevelType w:val="hybridMultilevel"/>
    <w:tmpl w:val="C1D6CCC6"/>
    <w:lvl w:ilvl="0" w:tplc="0C0A0019">
      <w:start w:val="17"/>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15:restartNumberingAfterBreak="0">
    <w:nsid w:val="42F14EEE"/>
    <w:multiLevelType w:val="hybridMultilevel"/>
    <w:tmpl w:val="2C64422A"/>
    <w:lvl w:ilvl="0" w:tplc="1B2A838C">
      <w:start w:val="1992"/>
      <w:numFmt w:val="bullet"/>
      <w:lvlText w:val=""/>
      <w:lvlJc w:val="left"/>
      <w:pPr>
        <w:ind w:left="927" w:hanging="360"/>
      </w:pPr>
      <w:rPr>
        <w:rFonts w:ascii="Symbol" w:eastAsia="Times New Roman" w:hAnsi="Symbol" w:cs="Arial" w:hint="default"/>
      </w:rPr>
    </w:lvl>
    <w:lvl w:ilvl="1" w:tplc="240A0003" w:tentative="1">
      <w:start w:val="1"/>
      <w:numFmt w:val="bullet"/>
      <w:lvlText w:val="o"/>
      <w:lvlJc w:val="left"/>
      <w:pPr>
        <w:ind w:left="1647" w:hanging="360"/>
      </w:pPr>
      <w:rPr>
        <w:rFonts w:ascii="Courier New" w:hAnsi="Courier New" w:cs="Courier New" w:hint="default"/>
      </w:rPr>
    </w:lvl>
    <w:lvl w:ilvl="2" w:tplc="240A0005" w:tentative="1">
      <w:start w:val="1"/>
      <w:numFmt w:val="bullet"/>
      <w:lvlText w:val=""/>
      <w:lvlJc w:val="left"/>
      <w:pPr>
        <w:ind w:left="2367" w:hanging="360"/>
      </w:pPr>
      <w:rPr>
        <w:rFonts w:ascii="Wingdings" w:hAnsi="Wingdings" w:hint="default"/>
      </w:rPr>
    </w:lvl>
    <w:lvl w:ilvl="3" w:tplc="240A0001" w:tentative="1">
      <w:start w:val="1"/>
      <w:numFmt w:val="bullet"/>
      <w:lvlText w:val=""/>
      <w:lvlJc w:val="left"/>
      <w:pPr>
        <w:ind w:left="3087" w:hanging="360"/>
      </w:pPr>
      <w:rPr>
        <w:rFonts w:ascii="Symbol" w:hAnsi="Symbol" w:hint="default"/>
      </w:rPr>
    </w:lvl>
    <w:lvl w:ilvl="4" w:tplc="240A0003" w:tentative="1">
      <w:start w:val="1"/>
      <w:numFmt w:val="bullet"/>
      <w:lvlText w:val="o"/>
      <w:lvlJc w:val="left"/>
      <w:pPr>
        <w:ind w:left="3807" w:hanging="360"/>
      </w:pPr>
      <w:rPr>
        <w:rFonts w:ascii="Courier New" w:hAnsi="Courier New" w:cs="Courier New" w:hint="default"/>
      </w:rPr>
    </w:lvl>
    <w:lvl w:ilvl="5" w:tplc="240A0005" w:tentative="1">
      <w:start w:val="1"/>
      <w:numFmt w:val="bullet"/>
      <w:lvlText w:val=""/>
      <w:lvlJc w:val="left"/>
      <w:pPr>
        <w:ind w:left="4527" w:hanging="360"/>
      </w:pPr>
      <w:rPr>
        <w:rFonts w:ascii="Wingdings" w:hAnsi="Wingdings" w:hint="default"/>
      </w:rPr>
    </w:lvl>
    <w:lvl w:ilvl="6" w:tplc="240A0001" w:tentative="1">
      <w:start w:val="1"/>
      <w:numFmt w:val="bullet"/>
      <w:lvlText w:val=""/>
      <w:lvlJc w:val="left"/>
      <w:pPr>
        <w:ind w:left="5247" w:hanging="360"/>
      </w:pPr>
      <w:rPr>
        <w:rFonts w:ascii="Symbol" w:hAnsi="Symbol" w:hint="default"/>
      </w:rPr>
    </w:lvl>
    <w:lvl w:ilvl="7" w:tplc="240A0003" w:tentative="1">
      <w:start w:val="1"/>
      <w:numFmt w:val="bullet"/>
      <w:lvlText w:val="o"/>
      <w:lvlJc w:val="left"/>
      <w:pPr>
        <w:ind w:left="5967" w:hanging="360"/>
      </w:pPr>
      <w:rPr>
        <w:rFonts w:ascii="Courier New" w:hAnsi="Courier New" w:cs="Courier New" w:hint="default"/>
      </w:rPr>
    </w:lvl>
    <w:lvl w:ilvl="8" w:tplc="240A0005" w:tentative="1">
      <w:start w:val="1"/>
      <w:numFmt w:val="bullet"/>
      <w:lvlText w:val=""/>
      <w:lvlJc w:val="left"/>
      <w:pPr>
        <w:ind w:left="6687" w:hanging="360"/>
      </w:pPr>
      <w:rPr>
        <w:rFonts w:ascii="Wingdings" w:hAnsi="Wingdings" w:hint="default"/>
      </w:rPr>
    </w:lvl>
  </w:abstractNum>
  <w:abstractNum w:abstractNumId="14" w15:restartNumberingAfterBreak="0">
    <w:nsid w:val="49CD7534"/>
    <w:multiLevelType w:val="hybridMultilevel"/>
    <w:tmpl w:val="02A4A0EC"/>
    <w:lvl w:ilvl="0" w:tplc="A7BA125E">
      <w:start w:val="1"/>
      <w:numFmt w:val="lowerLetter"/>
      <w:lvlText w:val="%1."/>
      <w:lvlJc w:val="left"/>
      <w:pPr>
        <w:tabs>
          <w:tab w:val="num" w:pos="960"/>
        </w:tabs>
        <w:ind w:left="960" w:hanging="360"/>
      </w:pPr>
      <w:rPr>
        <w:rFonts w:hint="default"/>
      </w:rPr>
    </w:lvl>
    <w:lvl w:ilvl="1" w:tplc="0C0A0019" w:tentative="1">
      <w:start w:val="1"/>
      <w:numFmt w:val="lowerLetter"/>
      <w:lvlText w:val="%2."/>
      <w:lvlJc w:val="left"/>
      <w:pPr>
        <w:tabs>
          <w:tab w:val="num" w:pos="1680"/>
        </w:tabs>
        <w:ind w:left="1680" w:hanging="360"/>
      </w:pPr>
    </w:lvl>
    <w:lvl w:ilvl="2" w:tplc="0C0A001B" w:tentative="1">
      <w:start w:val="1"/>
      <w:numFmt w:val="lowerRoman"/>
      <w:lvlText w:val="%3."/>
      <w:lvlJc w:val="right"/>
      <w:pPr>
        <w:tabs>
          <w:tab w:val="num" w:pos="2400"/>
        </w:tabs>
        <w:ind w:left="2400" w:hanging="180"/>
      </w:pPr>
    </w:lvl>
    <w:lvl w:ilvl="3" w:tplc="0C0A000F" w:tentative="1">
      <w:start w:val="1"/>
      <w:numFmt w:val="decimal"/>
      <w:lvlText w:val="%4."/>
      <w:lvlJc w:val="left"/>
      <w:pPr>
        <w:tabs>
          <w:tab w:val="num" w:pos="3120"/>
        </w:tabs>
        <w:ind w:left="3120" w:hanging="360"/>
      </w:pPr>
    </w:lvl>
    <w:lvl w:ilvl="4" w:tplc="0C0A0019" w:tentative="1">
      <w:start w:val="1"/>
      <w:numFmt w:val="lowerLetter"/>
      <w:lvlText w:val="%5."/>
      <w:lvlJc w:val="left"/>
      <w:pPr>
        <w:tabs>
          <w:tab w:val="num" w:pos="3840"/>
        </w:tabs>
        <w:ind w:left="3840" w:hanging="360"/>
      </w:pPr>
    </w:lvl>
    <w:lvl w:ilvl="5" w:tplc="0C0A001B" w:tentative="1">
      <w:start w:val="1"/>
      <w:numFmt w:val="lowerRoman"/>
      <w:lvlText w:val="%6."/>
      <w:lvlJc w:val="right"/>
      <w:pPr>
        <w:tabs>
          <w:tab w:val="num" w:pos="4560"/>
        </w:tabs>
        <w:ind w:left="4560" w:hanging="180"/>
      </w:pPr>
    </w:lvl>
    <w:lvl w:ilvl="6" w:tplc="0C0A000F" w:tentative="1">
      <w:start w:val="1"/>
      <w:numFmt w:val="decimal"/>
      <w:lvlText w:val="%7."/>
      <w:lvlJc w:val="left"/>
      <w:pPr>
        <w:tabs>
          <w:tab w:val="num" w:pos="5280"/>
        </w:tabs>
        <w:ind w:left="5280" w:hanging="360"/>
      </w:pPr>
    </w:lvl>
    <w:lvl w:ilvl="7" w:tplc="0C0A0019" w:tentative="1">
      <w:start w:val="1"/>
      <w:numFmt w:val="lowerLetter"/>
      <w:lvlText w:val="%8."/>
      <w:lvlJc w:val="left"/>
      <w:pPr>
        <w:tabs>
          <w:tab w:val="num" w:pos="6000"/>
        </w:tabs>
        <w:ind w:left="6000" w:hanging="360"/>
      </w:pPr>
    </w:lvl>
    <w:lvl w:ilvl="8" w:tplc="0C0A001B" w:tentative="1">
      <w:start w:val="1"/>
      <w:numFmt w:val="lowerRoman"/>
      <w:lvlText w:val="%9."/>
      <w:lvlJc w:val="right"/>
      <w:pPr>
        <w:tabs>
          <w:tab w:val="num" w:pos="6720"/>
        </w:tabs>
        <w:ind w:left="6720" w:hanging="180"/>
      </w:pPr>
    </w:lvl>
  </w:abstractNum>
  <w:abstractNum w:abstractNumId="15" w15:restartNumberingAfterBreak="0">
    <w:nsid w:val="5BE53CA9"/>
    <w:multiLevelType w:val="hybridMultilevel"/>
    <w:tmpl w:val="DDC219CC"/>
    <w:lvl w:ilvl="0" w:tplc="0CF2E892">
      <w:start w:val="5"/>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5C8E0BB5"/>
    <w:multiLevelType w:val="hybridMultilevel"/>
    <w:tmpl w:val="427851C2"/>
    <w:lvl w:ilvl="0" w:tplc="533CA9F8">
      <w:start w:val="5"/>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5D4A2393"/>
    <w:multiLevelType w:val="hybridMultilevel"/>
    <w:tmpl w:val="A9FCA476"/>
    <w:lvl w:ilvl="0" w:tplc="7E46E3BE">
      <w:start w:val="5"/>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5F85414C"/>
    <w:multiLevelType w:val="hybridMultilevel"/>
    <w:tmpl w:val="2A3ED7E6"/>
    <w:lvl w:ilvl="0" w:tplc="4ECEB492">
      <w:start w:val="1"/>
      <w:numFmt w:val="decimal"/>
      <w:lvlText w:val="%1-"/>
      <w:lvlJc w:val="left"/>
      <w:pPr>
        <w:ind w:left="927" w:hanging="360"/>
      </w:pPr>
      <w:rPr>
        <w:rFonts w:hint="default"/>
        <w:lang w:val="es-ES"/>
      </w:rPr>
    </w:lvl>
    <w:lvl w:ilvl="1" w:tplc="240A0019" w:tentative="1">
      <w:start w:val="1"/>
      <w:numFmt w:val="lowerLetter"/>
      <w:lvlText w:val="%2."/>
      <w:lvlJc w:val="left"/>
      <w:pPr>
        <w:ind w:left="1647" w:hanging="360"/>
      </w:pPr>
    </w:lvl>
    <w:lvl w:ilvl="2" w:tplc="240A001B" w:tentative="1">
      <w:start w:val="1"/>
      <w:numFmt w:val="lowerRoman"/>
      <w:lvlText w:val="%3."/>
      <w:lvlJc w:val="right"/>
      <w:pPr>
        <w:ind w:left="2367" w:hanging="180"/>
      </w:p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19" w15:restartNumberingAfterBreak="0">
    <w:nsid w:val="66755B7E"/>
    <w:multiLevelType w:val="hybridMultilevel"/>
    <w:tmpl w:val="1BC84E80"/>
    <w:lvl w:ilvl="0" w:tplc="A2089F8A">
      <w:start w:val="1"/>
      <w:numFmt w:val="lowerLetter"/>
      <w:lvlText w:val="%1)"/>
      <w:lvlJc w:val="left"/>
      <w:pPr>
        <w:ind w:left="855" w:hanging="49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699F3776"/>
    <w:multiLevelType w:val="hybridMultilevel"/>
    <w:tmpl w:val="27288740"/>
    <w:lvl w:ilvl="0" w:tplc="CE0ACA36">
      <w:start w:val="1987"/>
      <w:numFmt w:val="decimal"/>
      <w:lvlText w:val="%1"/>
      <w:lvlJc w:val="left"/>
      <w:pPr>
        <w:tabs>
          <w:tab w:val="num" w:pos="2130"/>
        </w:tabs>
        <w:ind w:left="2130" w:hanging="1590"/>
      </w:pPr>
      <w:rPr>
        <w:rFonts w:hint="default"/>
      </w:rPr>
    </w:lvl>
    <w:lvl w:ilvl="1" w:tplc="0C0A0019" w:tentative="1">
      <w:start w:val="1"/>
      <w:numFmt w:val="lowerLetter"/>
      <w:lvlText w:val="%2."/>
      <w:lvlJc w:val="left"/>
      <w:pPr>
        <w:tabs>
          <w:tab w:val="num" w:pos="1620"/>
        </w:tabs>
        <w:ind w:left="1620" w:hanging="360"/>
      </w:pPr>
    </w:lvl>
    <w:lvl w:ilvl="2" w:tplc="0C0A001B" w:tentative="1">
      <w:start w:val="1"/>
      <w:numFmt w:val="lowerRoman"/>
      <w:lvlText w:val="%3."/>
      <w:lvlJc w:val="right"/>
      <w:pPr>
        <w:tabs>
          <w:tab w:val="num" w:pos="2340"/>
        </w:tabs>
        <w:ind w:left="2340" w:hanging="180"/>
      </w:pPr>
    </w:lvl>
    <w:lvl w:ilvl="3" w:tplc="0C0A000F" w:tentative="1">
      <w:start w:val="1"/>
      <w:numFmt w:val="decimal"/>
      <w:lvlText w:val="%4."/>
      <w:lvlJc w:val="left"/>
      <w:pPr>
        <w:tabs>
          <w:tab w:val="num" w:pos="3060"/>
        </w:tabs>
        <w:ind w:left="3060" w:hanging="360"/>
      </w:pPr>
    </w:lvl>
    <w:lvl w:ilvl="4" w:tplc="0C0A0019" w:tentative="1">
      <w:start w:val="1"/>
      <w:numFmt w:val="lowerLetter"/>
      <w:lvlText w:val="%5."/>
      <w:lvlJc w:val="left"/>
      <w:pPr>
        <w:tabs>
          <w:tab w:val="num" w:pos="3780"/>
        </w:tabs>
        <w:ind w:left="3780" w:hanging="360"/>
      </w:pPr>
    </w:lvl>
    <w:lvl w:ilvl="5" w:tplc="0C0A001B" w:tentative="1">
      <w:start w:val="1"/>
      <w:numFmt w:val="lowerRoman"/>
      <w:lvlText w:val="%6."/>
      <w:lvlJc w:val="right"/>
      <w:pPr>
        <w:tabs>
          <w:tab w:val="num" w:pos="4500"/>
        </w:tabs>
        <w:ind w:left="4500" w:hanging="180"/>
      </w:pPr>
    </w:lvl>
    <w:lvl w:ilvl="6" w:tplc="0C0A000F" w:tentative="1">
      <w:start w:val="1"/>
      <w:numFmt w:val="decimal"/>
      <w:lvlText w:val="%7."/>
      <w:lvlJc w:val="left"/>
      <w:pPr>
        <w:tabs>
          <w:tab w:val="num" w:pos="5220"/>
        </w:tabs>
        <w:ind w:left="5220" w:hanging="360"/>
      </w:pPr>
    </w:lvl>
    <w:lvl w:ilvl="7" w:tplc="0C0A0019" w:tentative="1">
      <w:start w:val="1"/>
      <w:numFmt w:val="lowerLetter"/>
      <w:lvlText w:val="%8."/>
      <w:lvlJc w:val="left"/>
      <w:pPr>
        <w:tabs>
          <w:tab w:val="num" w:pos="5940"/>
        </w:tabs>
        <w:ind w:left="5940" w:hanging="360"/>
      </w:pPr>
    </w:lvl>
    <w:lvl w:ilvl="8" w:tplc="0C0A001B" w:tentative="1">
      <w:start w:val="1"/>
      <w:numFmt w:val="lowerRoman"/>
      <w:lvlText w:val="%9."/>
      <w:lvlJc w:val="right"/>
      <w:pPr>
        <w:tabs>
          <w:tab w:val="num" w:pos="6660"/>
        </w:tabs>
        <w:ind w:left="6660" w:hanging="180"/>
      </w:pPr>
    </w:lvl>
  </w:abstractNum>
  <w:abstractNum w:abstractNumId="21" w15:restartNumberingAfterBreak="0">
    <w:nsid w:val="6FC121E8"/>
    <w:multiLevelType w:val="hybridMultilevel"/>
    <w:tmpl w:val="CE18F978"/>
    <w:lvl w:ilvl="0" w:tplc="F364EE20">
      <w:start w:val="5"/>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743B5A1A"/>
    <w:multiLevelType w:val="hybridMultilevel"/>
    <w:tmpl w:val="32601422"/>
    <w:lvl w:ilvl="0" w:tplc="4C802500">
      <w:start w:val="1"/>
      <w:numFmt w:val="upperRoman"/>
      <w:lvlText w:val="%1."/>
      <w:lvlJc w:val="left"/>
      <w:pPr>
        <w:ind w:left="709" w:hanging="720"/>
      </w:pPr>
      <w:rPr>
        <w:rFonts w:hint="default"/>
        <w:b/>
      </w:rPr>
    </w:lvl>
    <w:lvl w:ilvl="1" w:tplc="3DF67C06">
      <w:start w:val="11"/>
      <w:numFmt w:val="decimal"/>
      <w:lvlText w:val="%2."/>
      <w:lvlJc w:val="left"/>
      <w:pPr>
        <w:tabs>
          <w:tab w:val="num" w:pos="360"/>
        </w:tabs>
        <w:ind w:left="360" w:hanging="360"/>
      </w:pPr>
      <w:rPr>
        <w:rFonts w:hint="default"/>
        <w:b w:val="0"/>
      </w:rPr>
    </w:lvl>
    <w:lvl w:ilvl="2" w:tplc="E1C4C0B6">
      <w:start w:val="1"/>
      <w:numFmt w:val="lowerLetter"/>
      <w:lvlText w:val="%3)"/>
      <w:lvlJc w:val="left"/>
      <w:pPr>
        <w:tabs>
          <w:tab w:val="num" w:pos="1969"/>
        </w:tabs>
        <w:ind w:left="1969" w:hanging="360"/>
      </w:pPr>
      <w:rPr>
        <w:rFonts w:hint="default"/>
      </w:rPr>
    </w:lvl>
    <w:lvl w:ilvl="3" w:tplc="240A000F" w:tentative="1">
      <w:start w:val="1"/>
      <w:numFmt w:val="decimal"/>
      <w:lvlText w:val="%4."/>
      <w:lvlJc w:val="left"/>
      <w:pPr>
        <w:ind w:left="2509" w:hanging="360"/>
      </w:pPr>
    </w:lvl>
    <w:lvl w:ilvl="4" w:tplc="240A0019" w:tentative="1">
      <w:start w:val="1"/>
      <w:numFmt w:val="lowerLetter"/>
      <w:lvlText w:val="%5."/>
      <w:lvlJc w:val="left"/>
      <w:pPr>
        <w:ind w:left="3229" w:hanging="360"/>
      </w:pPr>
    </w:lvl>
    <w:lvl w:ilvl="5" w:tplc="240A001B" w:tentative="1">
      <w:start w:val="1"/>
      <w:numFmt w:val="lowerRoman"/>
      <w:lvlText w:val="%6."/>
      <w:lvlJc w:val="right"/>
      <w:pPr>
        <w:ind w:left="3949" w:hanging="180"/>
      </w:pPr>
    </w:lvl>
    <w:lvl w:ilvl="6" w:tplc="240A000F" w:tentative="1">
      <w:start w:val="1"/>
      <w:numFmt w:val="decimal"/>
      <w:lvlText w:val="%7."/>
      <w:lvlJc w:val="left"/>
      <w:pPr>
        <w:ind w:left="4669" w:hanging="360"/>
      </w:pPr>
    </w:lvl>
    <w:lvl w:ilvl="7" w:tplc="240A0019" w:tentative="1">
      <w:start w:val="1"/>
      <w:numFmt w:val="lowerLetter"/>
      <w:lvlText w:val="%8."/>
      <w:lvlJc w:val="left"/>
      <w:pPr>
        <w:ind w:left="5389" w:hanging="360"/>
      </w:pPr>
    </w:lvl>
    <w:lvl w:ilvl="8" w:tplc="240A001B" w:tentative="1">
      <w:start w:val="1"/>
      <w:numFmt w:val="lowerRoman"/>
      <w:lvlText w:val="%9."/>
      <w:lvlJc w:val="right"/>
      <w:pPr>
        <w:ind w:left="6109" w:hanging="180"/>
      </w:pPr>
    </w:lvl>
  </w:abstractNum>
  <w:num w:numId="1">
    <w:abstractNumId w:val="0"/>
  </w:num>
  <w:num w:numId="2">
    <w:abstractNumId w:val="22"/>
  </w:num>
  <w:num w:numId="3">
    <w:abstractNumId w:val="1"/>
  </w:num>
  <w:num w:numId="4">
    <w:abstractNumId w:val="11"/>
  </w:num>
  <w:num w:numId="5">
    <w:abstractNumId w:val="19"/>
  </w:num>
  <w:num w:numId="6">
    <w:abstractNumId w:val="9"/>
  </w:num>
  <w:num w:numId="7">
    <w:abstractNumId w:val="12"/>
  </w:num>
  <w:num w:numId="8">
    <w:abstractNumId w:val="6"/>
  </w:num>
  <w:num w:numId="9">
    <w:abstractNumId w:val="14"/>
  </w:num>
  <w:num w:numId="10">
    <w:abstractNumId w:val="4"/>
  </w:num>
  <w:num w:numId="11">
    <w:abstractNumId w:val="16"/>
  </w:num>
  <w:num w:numId="12">
    <w:abstractNumId w:val="21"/>
  </w:num>
  <w:num w:numId="13">
    <w:abstractNumId w:val="3"/>
  </w:num>
  <w:num w:numId="14">
    <w:abstractNumId w:val="8"/>
  </w:num>
  <w:num w:numId="15">
    <w:abstractNumId w:val="17"/>
  </w:num>
  <w:num w:numId="16">
    <w:abstractNumId w:val="15"/>
  </w:num>
  <w:num w:numId="17">
    <w:abstractNumId w:val="10"/>
  </w:num>
  <w:num w:numId="18">
    <w:abstractNumId w:val="18"/>
  </w:num>
  <w:num w:numId="19">
    <w:abstractNumId w:val="20"/>
  </w:num>
  <w:num w:numId="20">
    <w:abstractNumId w:val="7"/>
  </w:num>
  <w:num w:numId="21">
    <w:abstractNumId w:val="2"/>
  </w:num>
  <w:num w:numId="22">
    <w:abstractNumId w:val="5"/>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669F"/>
    <w:rsid w:val="00007B5B"/>
    <w:rsid w:val="000577B1"/>
    <w:rsid w:val="00066331"/>
    <w:rsid w:val="000843D0"/>
    <w:rsid w:val="000D75ED"/>
    <w:rsid w:val="00125E54"/>
    <w:rsid w:val="001447A4"/>
    <w:rsid w:val="00153BEE"/>
    <w:rsid w:val="001B313A"/>
    <w:rsid w:val="001C69A6"/>
    <w:rsid w:val="0020050C"/>
    <w:rsid w:val="00216B67"/>
    <w:rsid w:val="002C6BDF"/>
    <w:rsid w:val="002E1217"/>
    <w:rsid w:val="00335E88"/>
    <w:rsid w:val="003B2A42"/>
    <w:rsid w:val="003C0C08"/>
    <w:rsid w:val="004D697E"/>
    <w:rsid w:val="005011FB"/>
    <w:rsid w:val="00545F60"/>
    <w:rsid w:val="00566260"/>
    <w:rsid w:val="005E7EFF"/>
    <w:rsid w:val="005F52FD"/>
    <w:rsid w:val="00672C7E"/>
    <w:rsid w:val="006769C7"/>
    <w:rsid w:val="006B47C6"/>
    <w:rsid w:val="00753E9B"/>
    <w:rsid w:val="007771E0"/>
    <w:rsid w:val="007B3E92"/>
    <w:rsid w:val="007C2F1A"/>
    <w:rsid w:val="0087669F"/>
    <w:rsid w:val="008D2FA3"/>
    <w:rsid w:val="0090622A"/>
    <w:rsid w:val="00993496"/>
    <w:rsid w:val="009C558F"/>
    <w:rsid w:val="009E0239"/>
    <w:rsid w:val="00A44575"/>
    <w:rsid w:val="00A558F5"/>
    <w:rsid w:val="00A90122"/>
    <w:rsid w:val="00AA515A"/>
    <w:rsid w:val="00B3014D"/>
    <w:rsid w:val="00B53874"/>
    <w:rsid w:val="00B55A8A"/>
    <w:rsid w:val="00BA1DD2"/>
    <w:rsid w:val="00BD18E8"/>
    <w:rsid w:val="00C108BA"/>
    <w:rsid w:val="00C14A54"/>
    <w:rsid w:val="00C45005"/>
    <w:rsid w:val="00C7700A"/>
    <w:rsid w:val="00CF2619"/>
    <w:rsid w:val="00D05F81"/>
    <w:rsid w:val="00D43C0B"/>
    <w:rsid w:val="00D4729F"/>
    <w:rsid w:val="00DC2C7B"/>
    <w:rsid w:val="00DD2C0F"/>
    <w:rsid w:val="00DF7255"/>
    <w:rsid w:val="00E26CE0"/>
    <w:rsid w:val="00E64055"/>
    <w:rsid w:val="00E6764C"/>
    <w:rsid w:val="00E80529"/>
    <w:rsid w:val="00E85A7C"/>
    <w:rsid w:val="00EF7FA0"/>
    <w:rsid w:val="00F50348"/>
    <w:rsid w:val="00FA6F70"/>
    <w:rsid w:val="00FC305E"/>
    <w:rsid w:val="00FD6D0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14:docId w14:val="552BACC4"/>
  <w15:chartTrackingRefBased/>
  <w15:docId w15:val="{ADCD5D87-1B06-4E1C-9706-F9070C8A5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eastAsia="en-US"/>
    </w:rPr>
  </w:style>
  <w:style w:type="paragraph" w:styleId="Ttulo1">
    <w:name w:val="heading 1"/>
    <w:basedOn w:val="Normal"/>
    <w:next w:val="Normal"/>
    <w:link w:val="Ttulo1Car"/>
    <w:qFormat/>
    <w:rsid w:val="002C6BDF"/>
    <w:pPr>
      <w:keepNext/>
      <w:spacing w:line="360" w:lineRule="auto"/>
      <w:jc w:val="center"/>
      <w:outlineLvl w:val="0"/>
    </w:pPr>
    <w:rPr>
      <w:rFonts w:ascii="Garamond" w:eastAsia="Times New Roman" w:hAnsi="Garamond"/>
      <w:bCs/>
      <w:sz w:val="28"/>
      <w:szCs w:val="24"/>
      <w:lang w:val="es-ES" w:eastAsia="es-ES"/>
    </w:rPr>
  </w:style>
  <w:style w:type="paragraph" w:styleId="Ttulo3">
    <w:name w:val="heading 3"/>
    <w:basedOn w:val="Normal"/>
    <w:next w:val="Normal"/>
    <w:link w:val="Ttulo3Car"/>
    <w:qFormat/>
    <w:rsid w:val="002C6BDF"/>
    <w:pPr>
      <w:keepNext/>
      <w:spacing w:line="360" w:lineRule="auto"/>
      <w:ind w:right="-1"/>
      <w:jc w:val="both"/>
      <w:outlineLvl w:val="2"/>
    </w:pPr>
    <w:rPr>
      <w:rFonts w:ascii="Garamond" w:eastAsia="Times New Roman" w:hAnsi="Garamond"/>
      <w:bCs/>
      <w:sz w:val="28"/>
      <w:szCs w:val="24"/>
      <w:lang w:val="es-ES" w:eastAsia="es-ES"/>
    </w:rPr>
  </w:style>
  <w:style w:type="paragraph" w:styleId="Ttulo9">
    <w:name w:val="heading 9"/>
    <w:basedOn w:val="Normal"/>
    <w:next w:val="Normal"/>
    <w:link w:val="Ttulo9Car"/>
    <w:qFormat/>
    <w:rsid w:val="002C6BDF"/>
    <w:pPr>
      <w:spacing w:before="240" w:after="60"/>
      <w:outlineLvl w:val="8"/>
    </w:pPr>
    <w:rPr>
      <w:rFonts w:ascii="Arial" w:eastAsia="Times New Roman" w:hAnsi="Arial" w:cs="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2C6BDF"/>
    <w:rPr>
      <w:rFonts w:ascii="Garamond" w:eastAsia="Times New Roman" w:hAnsi="Garamond"/>
      <w:bCs/>
      <w:sz w:val="28"/>
      <w:szCs w:val="24"/>
      <w:lang w:val="es-ES" w:eastAsia="es-ES"/>
    </w:rPr>
  </w:style>
  <w:style w:type="character" w:customStyle="1" w:styleId="Ttulo3Car">
    <w:name w:val="Título 3 Car"/>
    <w:link w:val="Ttulo3"/>
    <w:rsid w:val="002C6BDF"/>
    <w:rPr>
      <w:rFonts w:ascii="Garamond" w:eastAsia="Times New Roman" w:hAnsi="Garamond"/>
      <w:bCs/>
      <w:sz w:val="28"/>
      <w:szCs w:val="24"/>
      <w:lang w:val="es-ES" w:eastAsia="es-ES"/>
    </w:rPr>
  </w:style>
  <w:style w:type="character" w:customStyle="1" w:styleId="Ttulo9Car">
    <w:name w:val="Título 9 Car"/>
    <w:link w:val="Ttulo9"/>
    <w:rsid w:val="002C6BDF"/>
    <w:rPr>
      <w:rFonts w:ascii="Arial" w:eastAsia="Times New Roman" w:hAnsi="Arial" w:cs="Arial"/>
      <w:sz w:val="22"/>
      <w:szCs w:val="22"/>
      <w:lang w:val="es-ES" w:eastAsia="es-ES"/>
    </w:rPr>
  </w:style>
  <w:style w:type="paragraph" w:styleId="Textoindependiente">
    <w:name w:val="Body Text"/>
    <w:basedOn w:val="Normal"/>
    <w:link w:val="TextoindependienteCar"/>
    <w:rsid w:val="002C6BDF"/>
    <w:pPr>
      <w:spacing w:line="360" w:lineRule="auto"/>
      <w:ind w:right="-1"/>
      <w:jc w:val="both"/>
    </w:pPr>
    <w:rPr>
      <w:rFonts w:ascii="Garamond" w:eastAsia="Times New Roman" w:hAnsi="Garamond"/>
      <w:bCs/>
      <w:sz w:val="24"/>
      <w:szCs w:val="24"/>
      <w:lang w:val="es-ES" w:eastAsia="es-ES"/>
    </w:rPr>
  </w:style>
  <w:style w:type="character" w:customStyle="1" w:styleId="TextoindependienteCar">
    <w:name w:val="Texto independiente Car"/>
    <w:link w:val="Textoindependiente"/>
    <w:rsid w:val="002C6BDF"/>
    <w:rPr>
      <w:rFonts w:ascii="Garamond" w:eastAsia="Times New Roman" w:hAnsi="Garamond"/>
      <w:bCs/>
      <w:sz w:val="24"/>
      <w:szCs w:val="24"/>
      <w:lang w:val="es-ES" w:eastAsia="es-ES"/>
    </w:rPr>
  </w:style>
  <w:style w:type="paragraph" w:styleId="Textoindependiente3">
    <w:name w:val="Body Text 3"/>
    <w:basedOn w:val="Normal"/>
    <w:link w:val="Textoindependiente3Car"/>
    <w:rsid w:val="002C6BDF"/>
    <w:pPr>
      <w:tabs>
        <w:tab w:val="left" w:pos="426"/>
      </w:tabs>
      <w:spacing w:line="360" w:lineRule="auto"/>
      <w:jc w:val="both"/>
    </w:pPr>
    <w:rPr>
      <w:rFonts w:ascii="Garamond" w:eastAsia="Times New Roman" w:hAnsi="Garamond"/>
      <w:bCs/>
      <w:sz w:val="28"/>
      <w:szCs w:val="24"/>
      <w:lang w:val="es-ES" w:eastAsia="es-ES"/>
    </w:rPr>
  </w:style>
  <w:style w:type="character" w:customStyle="1" w:styleId="Textoindependiente3Car">
    <w:name w:val="Texto independiente 3 Car"/>
    <w:link w:val="Textoindependiente3"/>
    <w:rsid w:val="002C6BDF"/>
    <w:rPr>
      <w:rFonts w:ascii="Garamond" w:eastAsia="Times New Roman" w:hAnsi="Garamond"/>
      <w:bCs/>
      <w:sz w:val="28"/>
      <w:szCs w:val="24"/>
      <w:lang w:val="es-ES" w:eastAsia="es-ES"/>
    </w:rPr>
  </w:style>
  <w:style w:type="paragraph" w:styleId="Textoindependiente2">
    <w:name w:val="Body Text 2"/>
    <w:basedOn w:val="Normal"/>
    <w:link w:val="Textoindependiente2Car"/>
    <w:rsid w:val="002C6BDF"/>
    <w:pPr>
      <w:tabs>
        <w:tab w:val="left" w:pos="426"/>
      </w:tabs>
      <w:spacing w:line="360" w:lineRule="auto"/>
      <w:ind w:right="-1"/>
      <w:jc w:val="both"/>
    </w:pPr>
    <w:rPr>
      <w:rFonts w:ascii="Garamond" w:eastAsia="Times New Roman" w:hAnsi="Garamond"/>
      <w:sz w:val="28"/>
      <w:szCs w:val="24"/>
      <w:lang w:val="es-ES" w:eastAsia="es-ES"/>
    </w:rPr>
  </w:style>
  <w:style w:type="character" w:customStyle="1" w:styleId="Textoindependiente2Car">
    <w:name w:val="Texto independiente 2 Car"/>
    <w:link w:val="Textoindependiente2"/>
    <w:rsid w:val="002C6BDF"/>
    <w:rPr>
      <w:rFonts w:ascii="Garamond" w:eastAsia="Times New Roman" w:hAnsi="Garamond"/>
      <w:sz w:val="28"/>
      <w:szCs w:val="24"/>
      <w:lang w:val="es-ES" w:eastAsia="es-ES"/>
    </w:rPr>
  </w:style>
  <w:style w:type="paragraph" w:customStyle="1" w:styleId="BodyText21">
    <w:name w:val="Body Text 21"/>
    <w:basedOn w:val="Normal"/>
    <w:link w:val="BodyText21Car"/>
    <w:rsid w:val="002C6BDF"/>
    <w:pPr>
      <w:widowControl w:val="0"/>
      <w:autoSpaceDE w:val="0"/>
      <w:autoSpaceDN w:val="0"/>
      <w:spacing w:line="480" w:lineRule="auto"/>
      <w:jc w:val="both"/>
    </w:pPr>
    <w:rPr>
      <w:rFonts w:ascii="Arial" w:eastAsia="Times New Roman" w:hAnsi="Arial" w:cs="Arial"/>
      <w:sz w:val="24"/>
      <w:szCs w:val="24"/>
      <w:lang w:val="es-ES_tradnl" w:eastAsia="es-ES"/>
    </w:rPr>
  </w:style>
  <w:style w:type="character" w:customStyle="1" w:styleId="BodyText21Car">
    <w:name w:val="Body Text 21 Car"/>
    <w:link w:val="BodyText21"/>
    <w:rsid w:val="002C6BDF"/>
    <w:rPr>
      <w:rFonts w:ascii="Arial" w:eastAsia="Times New Roman" w:hAnsi="Arial" w:cs="Arial"/>
      <w:sz w:val="24"/>
      <w:szCs w:val="24"/>
      <w:lang w:val="es-ES_tradnl" w:eastAsia="es-ES"/>
    </w:rPr>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texto de nota al p,C"/>
    <w:basedOn w:val="Normal"/>
    <w:link w:val="TextonotapieCar1"/>
    <w:qFormat/>
    <w:rsid w:val="002C6BDF"/>
    <w:pPr>
      <w:overflowPunct w:val="0"/>
      <w:autoSpaceDE w:val="0"/>
      <w:autoSpaceDN w:val="0"/>
      <w:adjustRightInd w:val="0"/>
      <w:textAlignment w:val="baseline"/>
    </w:pPr>
    <w:rPr>
      <w:rFonts w:ascii="Arial" w:eastAsia="Times New Roman" w:hAnsi="Arial"/>
      <w:sz w:val="20"/>
      <w:szCs w:val="20"/>
      <w:lang w:val="es-ES_tradnl" w:eastAsia="es-ES"/>
    </w:rPr>
  </w:style>
  <w:style w:type="character" w:customStyle="1" w:styleId="TextonotapieCar1">
    <w:name w:val="Texto nota pie Car1"/>
    <w:aliases w:val="Footnote Text Char Char Char Char Char Car,Footnote Text Char Char Char Char Car,Footnote reference Car,FA Fu Car,Footnote Text Cha Car,Footnote Text Char Char Char Car,FA Fußnotentext Car,FA Fuﬂnotentext Car,texto de nota al p Car"/>
    <w:link w:val="Textonotapie"/>
    <w:rsid w:val="002C6BDF"/>
    <w:rPr>
      <w:rFonts w:ascii="Arial" w:eastAsia="Times New Roman" w:hAnsi="Arial"/>
      <w:lang w:val="es-ES_tradnl" w:eastAsia="es-ES"/>
    </w:rPr>
  </w:style>
  <w:style w:type="character" w:customStyle="1" w:styleId="TextonotapieCar">
    <w:name w:val="Texto nota pie Car"/>
    <w:uiPriority w:val="99"/>
    <w:semiHidden/>
    <w:rsid w:val="002C6BDF"/>
    <w:rPr>
      <w:lang w:eastAsia="en-US"/>
    </w:rPr>
  </w:style>
  <w:style w:type="paragraph" w:styleId="Ttulo">
    <w:name w:val="Title"/>
    <w:aliases w:val="Title"/>
    <w:basedOn w:val="Normal"/>
    <w:link w:val="TtuloCar"/>
    <w:qFormat/>
    <w:rsid w:val="002C6BDF"/>
    <w:pPr>
      <w:overflowPunct w:val="0"/>
      <w:autoSpaceDE w:val="0"/>
      <w:autoSpaceDN w:val="0"/>
      <w:adjustRightInd w:val="0"/>
      <w:spacing w:line="360" w:lineRule="auto"/>
      <w:ind w:right="-1"/>
      <w:jc w:val="center"/>
      <w:textAlignment w:val="baseline"/>
    </w:pPr>
    <w:rPr>
      <w:rFonts w:ascii="Arial" w:eastAsia="Times New Roman" w:hAnsi="Arial"/>
      <w:b/>
      <w:color w:val="000000"/>
      <w:sz w:val="28"/>
      <w:szCs w:val="20"/>
      <w:lang w:val="es-ES_tradnl" w:eastAsia="es-ES"/>
    </w:rPr>
  </w:style>
  <w:style w:type="character" w:customStyle="1" w:styleId="TtuloCar">
    <w:name w:val="Título Car"/>
    <w:aliases w:val="Title Car"/>
    <w:link w:val="Ttulo"/>
    <w:rsid w:val="002C6BDF"/>
    <w:rPr>
      <w:rFonts w:ascii="Arial" w:eastAsia="Times New Roman" w:hAnsi="Arial"/>
      <w:b/>
      <w:color w:val="000000"/>
      <w:sz w:val="28"/>
      <w:lang w:val="es-ES_tradnl" w:eastAsia="es-ES"/>
    </w:rPr>
  </w:style>
  <w:style w:type="character" w:styleId="Refdenotaalpie">
    <w:name w:val="footnote reference"/>
    <w:aliases w:val="Ref. de nota al pie 2,Texto de nota al pie,Pie de Página,FC,Appel note de bas de page,Footnotes refss,Footnote number,referencia nota al pie,BVI fnr,f,4_G,16 Point,Superscript 6 Point,Texto nota al pie,Texto de nota al pi,Pie de P_gi"/>
    <w:qFormat/>
    <w:rsid w:val="002C6BDF"/>
    <w:rPr>
      <w:vertAlign w:val="superscript"/>
    </w:rPr>
  </w:style>
  <w:style w:type="paragraph" w:customStyle="1" w:styleId="Textoindependiente21">
    <w:name w:val="Texto independiente 21"/>
    <w:basedOn w:val="Normal"/>
    <w:rsid w:val="002C6BDF"/>
    <w:pPr>
      <w:overflowPunct w:val="0"/>
      <w:autoSpaceDE w:val="0"/>
      <w:autoSpaceDN w:val="0"/>
      <w:adjustRightInd w:val="0"/>
      <w:spacing w:line="480" w:lineRule="auto"/>
      <w:jc w:val="both"/>
      <w:textAlignment w:val="baseline"/>
    </w:pPr>
    <w:rPr>
      <w:rFonts w:ascii="Arial" w:eastAsia="Times New Roman" w:hAnsi="Arial"/>
      <w:sz w:val="24"/>
      <w:szCs w:val="20"/>
      <w:lang w:val="es-ES" w:eastAsia="es-ES"/>
    </w:rPr>
  </w:style>
  <w:style w:type="paragraph" w:styleId="Encabezado">
    <w:name w:val="header"/>
    <w:basedOn w:val="Normal"/>
    <w:link w:val="EncabezadoCar"/>
    <w:rsid w:val="002C6BDF"/>
    <w:pPr>
      <w:tabs>
        <w:tab w:val="center" w:pos="4252"/>
        <w:tab w:val="right" w:pos="8504"/>
      </w:tabs>
      <w:overflowPunct w:val="0"/>
      <w:autoSpaceDE w:val="0"/>
      <w:autoSpaceDN w:val="0"/>
      <w:adjustRightInd w:val="0"/>
      <w:textAlignment w:val="baseline"/>
    </w:pPr>
    <w:rPr>
      <w:rFonts w:ascii="Arial" w:eastAsia="Times New Roman" w:hAnsi="Arial"/>
      <w:sz w:val="24"/>
      <w:szCs w:val="20"/>
      <w:lang w:val="es-ES_tradnl" w:eastAsia="es-ES"/>
    </w:rPr>
  </w:style>
  <w:style w:type="character" w:customStyle="1" w:styleId="EncabezadoCar">
    <w:name w:val="Encabezado Car"/>
    <w:link w:val="Encabezado"/>
    <w:rsid w:val="002C6BDF"/>
    <w:rPr>
      <w:rFonts w:ascii="Arial" w:eastAsia="Times New Roman" w:hAnsi="Arial"/>
      <w:sz w:val="24"/>
      <w:lang w:val="es-ES_tradnl" w:eastAsia="es-ES"/>
    </w:rPr>
  </w:style>
  <w:style w:type="paragraph" w:styleId="Listaconvietas">
    <w:name w:val="List Bullet"/>
    <w:basedOn w:val="Normal"/>
    <w:rsid w:val="002C6BDF"/>
    <w:pPr>
      <w:numPr>
        <w:numId w:val="1"/>
      </w:numPr>
    </w:pPr>
    <w:rPr>
      <w:rFonts w:ascii="Times New Roman" w:eastAsia="Times New Roman" w:hAnsi="Times New Roman"/>
      <w:sz w:val="24"/>
      <w:szCs w:val="24"/>
      <w:lang w:val="es-ES" w:eastAsia="es-ES"/>
    </w:rPr>
  </w:style>
  <w:style w:type="paragraph" w:styleId="Subttulo">
    <w:name w:val="Subtitle"/>
    <w:basedOn w:val="Normal"/>
    <w:next w:val="Normal"/>
    <w:link w:val="SubttuloCar"/>
    <w:qFormat/>
    <w:rsid w:val="002C6BDF"/>
    <w:pPr>
      <w:overflowPunct w:val="0"/>
      <w:autoSpaceDE w:val="0"/>
      <w:autoSpaceDN w:val="0"/>
      <w:adjustRightInd w:val="0"/>
      <w:jc w:val="both"/>
      <w:textAlignment w:val="baseline"/>
      <w:outlineLvl w:val="1"/>
    </w:pPr>
    <w:rPr>
      <w:rFonts w:ascii="Arial" w:eastAsia="Times New Roman" w:hAnsi="Arial"/>
      <w:sz w:val="20"/>
      <w:szCs w:val="24"/>
      <w:lang w:val="es-ES_tradnl" w:eastAsia="es-ES"/>
    </w:rPr>
  </w:style>
  <w:style w:type="character" w:customStyle="1" w:styleId="SubttuloCar">
    <w:name w:val="Subtítulo Car"/>
    <w:link w:val="Subttulo"/>
    <w:rsid w:val="002C6BDF"/>
    <w:rPr>
      <w:rFonts w:ascii="Arial" w:eastAsia="Times New Roman" w:hAnsi="Arial"/>
      <w:szCs w:val="24"/>
      <w:lang w:val="es-ES_tradnl" w:eastAsia="es-ES"/>
    </w:rPr>
  </w:style>
  <w:style w:type="paragraph" w:styleId="Prrafodelista">
    <w:name w:val="List Paragraph"/>
    <w:basedOn w:val="Normal"/>
    <w:uiPriority w:val="34"/>
    <w:qFormat/>
    <w:rsid w:val="002C6BDF"/>
    <w:pPr>
      <w:spacing w:line="360" w:lineRule="auto"/>
      <w:ind w:firstLine="706"/>
      <w:contextualSpacing/>
      <w:jc w:val="both"/>
    </w:pPr>
    <w:rPr>
      <w:rFonts w:ascii="Arial" w:hAnsi="Arial"/>
      <w:sz w:val="24"/>
      <w:lang w:val="es-ES_tradnl"/>
    </w:rPr>
  </w:style>
  <w:style w:type="character" w:customStyle="1" w:styleId="apple-converted-space">
    <w:name w:val="apple-converted-space"/>
    <w:rsid w:val="002C6BDF"/>
  </w:style>
  <w:style w:type="character" w:styleId="Hipervnculo">
    <w:name w:val="Hyperlink"/>
    <w:rsid w:val="002C6BDF"/>
    <w:rPr>
      <w:color w:val="0000FF"/>
      <w:u w:val="single"/>
    </w:rPr>
  </w:style>
  <w:style w:type="paragraph" w:styleId="Piedepgina">
    <w:name w:val="footer"/>
    <w:basedOn w:val="Normal"/>
    <w:link w:val="PiedepginaCar"/>
    <w:rsid w:val="002C6BDF"/>
    <w:pPr>
      <w:tabs>
        <w:tab w:val="center" w:pos="4252"/>
        <w:tab w:val="right" w:pos="8504"/>
      </w:tabs>
    </w:pPr>
    <w:rPr>
      <w:rFonts w:ascii="Times New Roman" w:eastAsia="Times New Roman" w:hAnsi="Times New Roman"/>
      <w:sz w:val="24"/>
      <w:szCs w:val="24"/>
      <w:lang w:val="es-ES" w:eastAsia="es-ES"/>
    </w:rPr>
  </w:style>
  <w:style w:type="character" w:customStyle="1" w:styleId="PiedepginaCar">
    <w:name w:val="Pie de página Car"/>
    <w:link w:val="Piedepgina"/>
    <w:rsid w:val="002C6BDF"/>
    <w:rPr>
      <w:rFonts w:ascii="Times New Roman" w:eastAsia="Times New Roman" w:hAnsi="Times New Roman"/>
      <w:sz w:val="24"/>
      <w:szCs w:val="24"/>
      <w:lang w:val="es-ES" w:eastAsia="es-ES"/>
    </w:rPr>
  </w:style>
  <w:style w:type="table" w:styleId="Tablaconcuadrcula">
    <w:name w:val="Table Grid"/>
    <w:basedOn w:val="Tablanormal"/>
    <w:rsid w:val="002C6BD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
    <w:name w:val="Emphasis"/>
    <w:qFormat/>
    <w:rsid w:val="002C6BDF"/>
    <w:rPr>
      <w:i/>
      <w:iCs/>
    </w:rPr>
  </w:style>
  <w:style w:type="character" w:styleId="Textoennegrita">
    <w:name w:val="Strong"/>
    <w:uiPriority w:val="22"/>
    <w:qFormat/>
    <w:rsid w:val="002C6BD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www.isa.co/es/sala-de-prensa/Documents/nuestra-compania/informes-empresariales/Consolidado_ISA_revision_CA_marzo7_2016_V4.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E5F5F9-C830-49BE-B9E4-8F1A38628AD2}">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3CA72048-1014-4F2E-AD4B-31FD3D7771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652307B-446F-41C1-83F9-6C4EF332462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59</Pages>
  <Words>23665</Words>
  <Characters>134896</Characters>
  <Application>Microsoft Office Word</Application>
  <DocSecurity>0</DocSecurity>
  <Lines>1124</Lines>
  <Paragraphs>316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158245</CharactersWithSpaces>
  <SharedDoc>false</SharedDoc>
  <HLinks>
    <vt:vector size="6" baseType="variant">
      <vt:variant>
        <vt:i4>589850</vt:i4>
      </vt:variant>
      <vt:variant>
        <vt:i4>0</vt:i4>
      </vt:variant>
      <vt:variant>
        <vt:i4>0</vt:i4>
      </vt:variant>
      <vt:variant>
        <vt:i4>5</vt:i4>
      </vt:variant>
      <vt:variant>
        <vt:lpwstr>http://www.isa.co/es/sala-de-prensa/Documents/nuestra-compania/informes-empresariales/Consolidado_ISA_revision_CA_marzo7_2016_V4.pdf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 MARCELA CASTRO LOPEZ</dc:creator>
  <cp:keywords/>
  <dc:description/>
  <cp:lastModifiedBy>Nina María Padrón</cp:lastModifiedBy>
  <cp:revision>2</cp:revision>
  <dcterms:created xsi:type="dcterms:W3CDTF">2020-06-14T17:39:00Z</dcterms:created>
  <dcterms:modified xsi:type="dcterms:W3CDTF">2020-06-14T17:39:00Z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