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6324" w:rsidRPr="00983BBB" w:rsidRDefault="007F6324" w:rsidP="00983BBB">
      <w:pPr>
        <w:pStyle w:val="Sinespaciado"/>
        <w:jc w:val="both"/>
        <w:rPr>
          <w:rFonts w:ascii="Arial" w:hAnsi="Arial" w:cs="Arial"/>
          <w:b/>
          <w:sz w:val="22"/>
          <w:szCs w:val="22"/>
        </w:rPr>
      </w:pPr>
    </w:p>
    <w:p w:rsidR="00FA127A" w:rsidRPr="00983BBB" w:rsidRDefault="00FA127A" w:rsidP="00983BBB">
      <w:pPr>
        <w:pStyle w:val="Sinespaciado"/>
        <w:jc w:val="both"/>
        <w:rPr>
          <w:rFonts w:ascii="Arial" w:hAnsi="Arial" w:cs="Arial"/>
          <w:b/>
          <w:sz w:val="22"/>
          <w:szCs w:val="22"/>
          <w:lang w:val="es-CO"/>
        </w:rPr>
      </w:pPr>
      <w:r w:rsidRPr="00983BBB">
        <w:rPr>
          <w:rFonts w:ascii="Arial" w:hAnsi="Arial" w:cs="Arial"/>
          <w:b/>
          <w:sz w:val="22"/>
          <w:szCs w:val="22"/>
          <w:lang w:val="es-CO"/>
        </w:rPr>
        <w:t xml:space="preserve">SUSPENSIÓN PROVISIONAL </w:t>
      </w:r>
      <w:r w:rsidR="005117D4">
        <w:rPr>
          <w:rFonts w:ascii="Arial" w:hAnsi="Arial" w:cs="Arial"/>
          <w:b/>
          <w:sz w:val="22"/>
          <w:szCs w:val="22"/>
          <w:lang w:val="es-CO"/>
        </w:rPr>
        <w:t xml:space="preserve">– </w:t>
      </w:r>
      <w:r w:rsidR="00C80D69" w:rsidRPr="009D3212">
        <w:rPr>
          <w:rFonts w:ascii="Arial" w:hAnsi="Arial" w:cs="Arial"/>
          <w:b/>
          <w:sz w:val="22"/>
          <w:szCs w:val="22"/>
          <w:lang w:val="es-CO"/>
        </w:rPr>
        <w:t>Acto de invitación pública</w:t>
      </w:r>
      <w:r w:rsidR="00C80D69" w:rsidRPr="00983BBB">
        <w:rPr>
          <w:rFonts w:ascii="Arial" w:hAnsi="Arial" w:cs="Arial"/>
          <w:b/>
          <w:sz w:val="22"/>
          <w:szCs w:val="22"/>
          <w:lang w:val="es-CO"/>
        </w:rPr>
        <w:t xml:space="preserve"> </w:t>
      </w:r>
    </w:p>
    <w:p w:rsidR="00D86437" w:rsidRPr="00983BBB" w:rsidRDefault="00D86437" w:rsidP="00983BBB">
      <w:pPr>
        <w:pStyle w:val="Sinespaciado"/>
        <w:jc w:val="both"/>
        <w:rPr>
          <w:rFonts w:ascii="Arial" w:hAnsi="Arial" w:cs="Arial"/>
          <w:b/>
          <w:sz w:val="22"/>
          <w:szCs w:val="22"/>
          <w:lang w:val="es-CO"/>
        </w:rPr>
      </w:pPr>
    </w:p>
    <w:p w:rsidR="00DE21A6" w:rsidRPr="00983BBB" w:rsidRDefault="00C80D69" w:rsidP="00983BBB">
      <w:pPr>
        <w:pStyle w:val="Sinespaciado"/>
        <w:jc w:val="both"/>
        <w:rPr>
          <w:rFonts w:ascii="Arial" w:hAnsi="Arial" w:cs="Arial"/>
          <w:sz w:val="22"/>
          <w:szCs w:val="22"/>
          <w:lang w:val="es-CO"/>
        </w:rPr>
      </w:pPr>
      <w:r w:rsidRPr="00983BBB">
        <w:rPr>
          <w:rFonts w:ascii="Arial" w:hAnsi="Arial" w:cs="Arial"/>
          <w:sz w:val="22"/>
          <w:szCs w:val="22"/>
          <w:lang w:val="es-CO"/>
        </w:rPr>
        <w:t xml:space="preserve">El actor solicitó la suspensión provisional del mismo acto, por considerar que vulneraba el artículo 29 constitucional, dado que la entidad demandada adelantó una invitación pública, desconociendo el contrato de arrendamiento para conservación y explotación agrícola en el predio denominado hacienda Potosí, del cual él era arrendatario. </w:t>
      </w:r>
    </w:p>
    <w:p w:rsidR="00DE21A6" w:rsidRPr="00983BBB" w:rsidRDefault="00DE21A6" w:rsidP="00983BBB">
      <w:pPr>
        <w:pStyle w:val="Sinespaciado"/>
        <w:jc w:val="both"/>
        <w:rPr>
          <w:rFonts w:ascii="Arial" w:hAnsi="Arial" w:cs="Arial"/>
          <w:sz w:val="22"/>
          <w:szCs w:val="22"/>
          <w:lang w:val="es-CO"/>
        </w:rPr>
      </w:pPr>
    </w:p>
    <w:p w:rsidR="00DE21A6" w:rsidRPr="009D3212" w:rsidRDefault="00CA7405" w:rsidP="00983BBB">
      <w:pPr>
        <w:pStyle w:val="Sinespaciado"/>
        <w:jc w:val="both"/>
        <w:rPr>
          <w:rFonts w:ascii="Arial" w:hAnsi="Arial" w:cs="Arial"/>
          <w:b/>
          <w:sz w:val="22"/>
          <w:szCs w:val="22"/>
          <w:lang w:val="es-CO"/>
        </w:rPr>
      </w:pPr>
      <w:r>
        <w:rPr>
          <w:rFonts w:ascii="Arial" w:hAnsi="Arial" w:cs="Arial"/>
          <w:b/>
          <w:sz w:val="22"/>
          <w:szCs w:val="22"/>
          <w:lang w:val="es-CO"/>
        </w:rPr>
        <w:t>SUSPENSIÓN PROVISIONAL –</w:t>
      </w:r>
      <w:r w:rsidR="00DE21A6" w:rsidRPr="00983BBB">
        <w:rPr>
          <w:rFonts w:ascii="Arial" w:hAnsi="Arial" w:cs="Arial"/>
          <w:b/>
          <w:sz w:val="22"/>
          <w:szCs w:val="22"/>
          <w:lang w:val="es-CO"/>
        </w:rPr>
        <w:t xml:space="preserve"> </w:t>
      </w:r>
      <w:r w:rsidR="00DE21A6" w:rsidRPr="009D3212">
        <w:rPr>
          <w:rFonts w:ascii="Arial" w:hAnsi="Arial" w:cs="Arial"/>
          <w:b/>
          <w:sz w:val="22"/>
          <w:szCs w:val="22"/>
          <w:lang w:val="es-CO"/>
        </w:rPr>
        <w:t>Improcedente</w:t>
      </w:r>
    </w:p>
    <w:p w:rsidR="00DE21A6" w:rsidRPr="00983BBB" w:rsidRDefault="00DE21A6" w:rsidP="00983BBB">
      <w:pPr>
        <w:pStyle w:val="Sinespaciado"/>
        <w:jc w:val="both"/>
        <w:rPr>
          <w:rFonts w:ascii="Arial" w:hAnsi="Arial" w:cs="Arial"/>
          <w:sz w:val="22"/>
          <w:szCs w:val="22"/>
          <w:lang w:val="es-CO"/>
        </w:rPr>
      </w:pPr>
    </w:p>
    <w:p w:rsidR="00C80D69" w:rsidRPr="00983BBB" w:rsidRDefault="00FC0093" w:rsidP="00983BBB">
      <w:pPr>
        <w:pStyle w:val="Sinespaciado"/>
        <w:jc w:val="both"/>
        <w:rPr>
          <w:rFonts w:ascii="Arial" w:hAnsi="Arial" w:cs="Arial"/>
          <w:sz w:val="22"/>
          <w:szCs w:val="22"/>
          <w:lang w:val="es-CO"/>
        </w:rPr>
      </w:pPr>
      <w:r w:rsidRPr="00983BBB">
        <w:rPr>
          <w:rFonts w:ascii="Arial" w:hAnsi="Arial" w:cs="Arial"/>
          <w:sz w:val="22"/>
          <w:szCs w:val="22"/>
          <w:lang w:val="es-CO"/>
        </w:rPr>
        <w:t>Dicha solicitud fue negada, con fundamento en que la invitación pública No. 3 de 2013 no tenía como propósito desconocer ni anular arrendamientos previos, sino disponer la administración de los inmuebles a cargo de la entidad demandada, de forma que se adecuara a las necesidades del servicio y que se ciñera a las normas de selección objetiva que debían observarse en la contratación estatal.</w:t>
      </w:r>
      <w:r w:rsidR="00F6007D" w:rsidRPr="00983BBB">
        <w:rPr>
          <w:rFonts w:ascii="Arial" w:hAnsi="Arial" w:cs="Arial"/>
          <w:sz w:val="22"/>
          <w:szCs w:val="22"/>
          <w:lang w:val="es-CO"/>
        </w:rPr>
        <w:t xml:space="preserve"> Consideró que la entidad demandada no se encontraba obligada a demandar el contrato de arrendamiento celebrado con el depositario provisional, pues de las pruebas allegadas al plenario no se colegía que en el acto administrativo demandado la entidad se hubiera referido a la ilegalidad del contrato o pretendido adelantar trámites para eliminarlo de la vida jurídica.</w:t>
      </w:r>
    </w:p>
    <w:p w:rsidR="00D86437" w:rsidRPr="00983BBB" w:rsidRDefault="00D86437" w:rsidP="00983BBB">
      <w:pPr>
        <w:pStyle w:val="Sinespaciado"/>
        <w:jc w:val="both"/>
        <w:rPr>
          <w:rFonts w:ascii="Arial" w:hAnsi="Arial" w:cs="Arial"/>
          <w:b/>
          <w:sz w:val="22"/>
          <w:szCs w:val="22"/>
        </w:rPr>
      </w:pPr>
    </w:p>
    <w:p w:rsidR="00475650" w:rsidRPr="00983BBB" w:rsidRDefault="00CA7405" w:rsidP="00983BBB">
      <w:pPr>
        <w:pStyle w:val="Sinespaciado"/>
        <w:jc w:val="both"/>
        <w:rPr>
          <w:rFonts w:ascii="Arial" w:hAnsi="Arial" w:cs="Arial"/>
          <w:b/>
          <w:sz w:val="22"/>
          <w:szCs w:val="22"/>
        </w:rPr>
      </w:pPr>
      <w:r>
        <w:rPr>
          <w:rFonts w:ascii="Arial" w:hAnsi="Arial" w:cs="Arial"/>
          <w:b/>
          <w:sz w:val="22"/>
          <w:szCs w:val="22"/>
        </w:rPr>
        <w:t xml:space="preserve">RECURSO DE SÚPLICA – </w:t>
      </w:r>
      <w:r w:rsidR="00475650" w:rsidRPr="009D3212">
        <w:rPr>
          <w:rFonts w:ascii="Arial" w:hAnsi="Arial" w:cs="Arial"/>
          <w:b/>
          <w:sz w:val="22"/>
          <w:szCs w:val="22"/>
        </w:rPr>
        <w:t xml:space="preserve">Procedencia </w:t>
      </w:r>
    </w:p>
    <w:p w:rsidR="00475650" w:rsidRPr="00983BBB" w:rsidRDefault="00475650" w:rsidP="00983BBB">
      <w:pPr>
        <w:pStyle w:val="Sinespaciado"/>
        <w:jc w:val="both"/>
        <w:rPr>
          <w:rFonts w:ascii="Arial" w:hAnsi="Arial" w:cs="Arial"/>
          <w:b/>
          <w:sz w:val="22"/>
          <w:szCs w:val="22"/>
        </w:rPr>
      </w:pPr>
    </w:p>
    <w:p w:rsidR="00475650" w:rsidRPr="00983BBB" w:rsidRDefault="00475650" w:rsidP="00983BBB">
      <w:pPr>
        <w:pStyle w:val="Sinespaciado"/>
        <w:jc w:val="both"/>
        <w:rPr>
          <w:rFonts w:ascii="Arial" w:hAnsi="Arial" w:cs="Arial"/>
          <w:sz w:val="22"/>
          <w:szCs w:val="22"/>
        </w:rPr>
      </w:pPr>
      <w:r w:rsidRPr="00983BBB">
        <w:rPr>
          <w:rFonts w:ascii="Arial" w:hAnsi="Arial" w:cs="Arial"/>
          <w:sz w:val="22"/>
          <w:szCs w:val="22"/>
        </w:rPr>
        <w:t>Respecto de la procedencia del recurso de súplica, el inciso primero del artículo 246 de la Ley 1437 de 2011 dispone que éste procede “… contra los autos que por su naturaleza serían apelables, dictados por el magistrado ponente en el curso de la segunda o única instancia o durante el trámite de la apelación de un auto. También procede contra el auto que rechaza o declara desierta la apelación”. De la lectura de dicha disposición se c</w:t>
      </w:r>
      <w:bookmarkStart w:id="0" w:name="_GoBack"/>
      <w:r w:rsidRPr="00983BBB">
        <w:rPr>
          <w:rFonts w:ascii="Arial" w:hAnsi="Arial" w:cs="Arial"/>
          <w:sz w:val="22"/>
          <w:szCs w:val="22"/>
        </w:rPr>
        <w:t xml:space="preserve">olige que el mencionado recurso es procedente cuando: i) el auto que se recurre haya </w:t>
      </w:r>
      <w:bookmarkEnd w:id="0"/>
      <w:r w:rsidRPr="00983BBB">
        <w:rPr>
          <w:rFonts w:ascii="Arial" w:hAnsi="Arial" w:cs="Arial"/>
          <w:sz w:val="22"/>
          <w:szCs w:val="22"/>
        </w:rPr>
        <w:t>sido proferido por el magistrado ponente en el curso de un proceso de única o segunda instancia; y ii) la providencia sea pasible, por su naturaleza, del recurso de apelación, en los términos del artículo 243 ibídem.</w:t>
      </w:r>
    </w:p>
    <w:p w:rsidR="00475650" w:rsidRPr="00983BBB" w:rsidRDefault="00475650" w:rsidP="00983BBB">
      <w:pPr>
        <w:pStyle w:val="Sinespaciado"/>
        <w:jc w:val="both"/>
        <w:rPr>
          <w:rFonts w:ascii="Arial" w:hAnsi="Arial" w:cs="Arial"/>
          <w:sz w:val="22"/>
          <w:szCs w:val="22"/>
        </w:rPr>
      </w:pPr>
    </w:p>
    <w:p w:rsidR="004743B9" w:rsidRPr="009D3212" w:rsidRDefault="00CA7405" w:rsidP="00983BBB">
      <w:pPr>
        <w:pStyle w:val="Sinespaciado"/>
        <w:jc w:val="both"/>
        <w:rPr>
          <w:rFonts w:ascii="Arial" w:hAnsi="Arial" w:cs="Arial"/>
          <w:b/>
          <w:sz w:val="22"/>
          <w:szCs w:val="22"/>
          <w:lang w:val="es-CO"/>
        </w:rPr>
      </w:pPr>
      <w:r>
        <w:rPr>
          <w:rFonts w:ascii="Arial" w:hAnsi="Arial" w:cs="Arial"/>
          <w:b/>
          <w:sz w:val="22"/>
          <w:szCs w:val="22"/>
        </w:rPr>
        <w:t>RECURSO DE REPOSICIÓN – Auto</w:t>
      </w:r>
      <w:r w:rsidR="00960757">
        <w:rPr>
          <w:rFonts w:ascii="Arial" w:hAnsi="Arial" w:cs="Arial"/>
          <w:b/>
          <w:sz w:val="22"/>
          <w:szCs w:val="22"/>
        </w:rPr>
        <w:t xml:space="preserve"> que niega suspensión provisional </w:t>
      </w:r>
      <w:r>
        <w:rPr>
          <w:rFonts w:ascii="Arial" w:hAnsi="Arial" w:cs="Arial"/>
          <w:b/>
          <w:sz w:val="22"/>
          <w:szCs w:val="22"/>
        </w:rPr>
        <w:t>– Procedencia</w:t>
      </w:r>
    </w:p>
    <w:p w:rsidR="00D92104" w:rsidRPr="00983BBB" w:rsidRDefault="00D92104" w:rsidP="00983BBB">
      <w:pPr>
        <w:pStyle w:val="Sinespaciado"/>
        <w:jc w:val="both"/>
        <w:rPr>
          <w:rFonts w:ascii="Arial" w:hAnsi="Arial" w:cs="Arial"/>
          <w:sz w:val="22"/>
          <w:szCs w:val="22"/>
          <w:lang w:val="es-CO"/>
        </w:rPr>
      </w:pPr>
    </w:p>
    <w:p w:rsidR="00D92104" w:rsidRPr="00CA7405" w:rsidRDefault="00D92104" w:rsidP="00983BBB">
      <w:pPr>
        <w:pStyle w:val="Sinespaciado"/>
        <w:jc w:val="both"/>
        <w:rPr>
          <w:rFonts w:ascii="Arial" w:hAnsi="Arial" w:cs="Arial"/>
          <w:sz w:val="22"/>
          <w:szCs w:val="22"/>
        </w:rPr>
      </w:pPr>
      <w:r w:rsidRPr="00983BBB">
        <w:rPr>
          <w:rFonts w:ascii="Arial" w:hAnsi="Arial" w:cs="Arial"/>
          <w:sz w:val="22"/>
          <w:szCs w:val="22"/>
        </w:rPr>
        <w:t xml:space="preserve">La Ley 1437 de 2011 regula el trámite pertinente para la adopción de medidas cautelares y sobre los recursos procedentes contra dicha decisión. Así, el artículo 233 establece que “cuando la medida haya sido negada, podrá solicitarse nuevamente si se han presentado hechos sobrevinientes y en virtud de ellos se cumplen las condiciones requeridas para su decreto. Contra el auto que resuelva esta solicitud no procederá ningún recurso”. Por su parte, el artículo 236 ibídem prevé que “el auto que decrete una medida cautelar será susceptible del recurso de apelación o del de súplica, según el caso. Los recursos se concederán en el efecto devolutivo y deberán ser resueltos en un término máximo de veinte (20) días. Las decisiones relacionadas con el levantamiento, la modificación o revocatoria de las medidas cautelares no serán susceptibles de recurso alguno”. De lo dispuesto en tales normas se observa que la Ley 1437 de 2011 guarda silencio respecto de los recursos procedentes contra la decisión que niega una medida cautelar; no obstante, el artículo 242 de la misma ley, regula lo pertinente al recurso de reposición y establece que “salvo norma legal en contrario, el recurso de reposición procede contra los autos que no sean susceptibles de apelación o de súplica”. Así las cosas, advierte la Sala </w:t>
      </w:r>
      <w:r w:rsidR="000E624C" w:rsidRPr="00983BBB">
        <w:rPr>
          <w:rFonts w:ascii="Arial" w:hAnsi="Arial" w:cs="Arial"/>
          <w:sz w:val="22"/>
          <w:szCs w:val="22"/>
        </w:rPr>
        <w:t>que,</w:t>
      </w:r>
      <w:r w:rsidRPr="00983BBB">
        <w:rPr>
          <w:rFonts w:ascii="Arial" w:hAnsi="Arial" w:cs="Arial"/>
          <w:sz w:val="22"/>
          <w:szCs w:val="22"/>
        </w:rPr>
        <w:t xml:space="preserve"> contra el auto del 12 de octubre de 2016, que negó la solicitud de medida cautelar consistente en la suspensión provisional de los efectos jurídicos de la invitación pública No. 3 de 2013 procede el recurso ordinario de reposición, según lo establecido por el artículo 242 de la Ley 1437 de 2011, toda vez que sobre la procedencia del mismo no existe norma legal en contrario, y que la decisión no es de aquellas que son susceptibles de los recursos de apelación o de súplica.</w:t>
      </w:r>
    </w:p>
    <w:p w:rsidR="00D92104" w:rsidRPr="00983BBB" w:rsidRDefault="00D92104" w:rsidP="00983BBB">
      <w:pPr>
        <w:pStyle w:val="Sinespaciado"/>
        <w:jc w:val="both"/>
        <w:rPr>
          <w:rFonts w:ascii="Arial" w:hAnsi="Arial" w:cs="Arial"/>
          <w:b/>
          <w:sz w:val="22"/>
          <w:szCs w:val="22"/>
        </w:rPr>
      </w:pPr>
    </w:p>
    <w:p w:rsidR="00062571" w:rsidRPr="00745205" w:rsidRDefault="00062571" w:rsidP="001B258B">
      <w:pPr>
        <w:pStyle w:val="Sinespaciado"/>
        <w:jc w:val="center"/>
        <w:rPr>
          <w:rFonts w:ascii="Arial" w:hAnsi="Arial" w:cs="Arial"/>
          <w:b/>
        </w:rPr>
      </w:pPr>
      <w:r w:rsidRPr="00745205">
        <w:rPr>
          <w:rFonts w:ascii="Arial" w:hAnsi="Arial" w:cs="Arial"/>
          <w:b/>
        </w:rPr>
        <w:t>CONSEJO DE ESTADO</w:t>
      </w:r>
    </w:p>
    <w:p w:rsidR="004C6A00" w:rsidRPr="00745205" w:rsidRDefault="004C6A00" w:rsidP="001B258B">
      <w:pPr>
        <w:pStyle w:val="Sinespaciado"/>
        <w:jc w:val="center"/>
        <w:rPr>
          <w:rFonts w:ascii="Arial" w:hAnsi="Arial" w:cs="Arial"/>
          <w:b/>
        </w:rPr>
      </w:pPr>
    </w:p>
    <w:p w:rsidR="00062571" w:rsidRPr="00745205" w:rsidRDefault="00062571" w:rsidP="001B258B">
      <w:pPr>
        <w:pStyle w:val="Sinespaciado"/>
        <w:jc w:val="center"/>
        <w:rPr>
          <w:rFonts w:ascii="Arial" w:hAnsi="Arial" w:cs="Arial"/>
          <w:b/>
        </w:rPr>
      </w:pPr>
      <w:r w:rsidRPr="00745205">
        <w:rPr>
          <w:rFonts w:ascii="Arial" w:hAnsi="Arial" w:cs="Arial"/>
          <w:b/>
        </w:rPr>
        <w:t>SALA DE LO CONTENCIOSO ADMINISTRATIVO</w:t>
      </w:r>
    </w:p>
    <w:p w:rsidR="004C6A00" w:rsidRPr="00745205" w:rsidRDefault="004C6A00" w:rsidP="001B258B">
      <w:pPr>
        <w:pStyle w:val="Sinespaciado"/>
        <w:jc w:val="center"/>
        <w:rPr>
          <w:rFonts w:ascii="Arial" w:hAnsi="Arial" w:cs="Arial"/>
          <w:b/>
        </w:rPr>
      </w:pPr>
    </w:p>
    <w:p w:rsidR="004C6A00" w:rsidRPr="00745205" w:rsidRDefault="004C6A00" w:rsidP="001B258B">
      <w:pPr>
        <w:pStyle w:val="Sinespaciado"/>
        <w:jc w:val="center"/>
        <w:rPr>
          <w:rFonts w:ascii="Arial" w:hAnsi="Arial" w:cs="Arial"/>
          <w:b/>
        </w:rPr>
      </w:pPr>
      <w:r w:rsidRPr="00745205">
        <w:rPr>
          <w:rFonts w:ascii="Arial" w:hAnsi="Arial" w:cs="Arial"/>
          <w:b/>
        </w:rPr>
        <w:lastRenderedPageBreak/>
        <w:t>SECCIÓN TERCERA</w:t>
      </w:r>
    </w:p>
    <w:p w:rsidR="004C6A00" w:rsidRPr="00745205" w:rsidRDefault="004C6A00" w:rsidP="001B258B">
      <w:pPr>
        <w:pStyle w:val="Sinespaciado"/>
        <w:jc w:val="center"/>
        <w:rPr>
          <w:rFonts w:ascii="Arial" w:hAnsi="Arial" w:cs="Arial"/>
          <w:b/>
        </w:rPr>
      </w:pPr>
    </w:p>
    <w:p w:rsidR="00062571" w:rsidRPr="00745205" w:rsidRDefault="00062571" w:rsidP="001B258B">
      <w:pPr>
        <w:pStyle w:val="Sinespaciado"/>
        <w:jc w:val="center"/>
        <w:rPr>
          <w:rFonts w:ascii="Arial" w:hAnsi="Arial" w:cs="Arial"/>
          <w:b/>
        </w:rPr>
      </w:pPr>
      <w:r w:rsidRPr="00745205">
        <w:rPr>
          <w:rFonts w:ascii="Arial" w:hAnsi="Arial" w:cs="Arial"/>
          <w:b/>
        </w:rPr>
        <w:t>SUBSECCIÓN A</w:t>
      </w:r>
    </w:p>
    <w:p w:rsidR="00062571" w:rsidRPr="00745205" w:rsidRDefault="00062571" w:rsidP="001B258B">
      <w:pPr>
        <w:pStyle w:val="Sinespaciado"/>
        <w:jc w:val="center"/>
        <w:rPr>
          <w:rFonts w:ascii="Arial" w:hAnsi="Arial" w:cs="Arial"/>
          <w:b/>
        </w:rPr>
      </w:pPr>
    </w:p>
    <w:p w:rsidR="00062571" w:rsidRPr="00745205" w:rsidRDefault="004C6A00" w:rsidP="001B258B">
      <w:pPr>
        <w:pStyle w:val="Sinespaciado"/>
        <w:jc w:val="center"/>
        <w:rPr>
          <w:rFonts w:ascii="Arial" w:hAnsi="Arial" w:cs="Arial"/>
          <w:b/>
          <w:lang w:val="es-ES_tradnl"/>
        </w:rPr>
      </w:pPr>
      <w:r w:rsidRPr="00745205">
        <w:rPr>
          <w:rFonts w:ascii="Arial" w:hAnsi="Arial" w:cs="Arial"/>
          <w:b/>
        </w:rPr>
        <w:t>Consejera p</w:t>
      </w:r>
      <w:r w:rsidR="00062571" w:rsidRPr="00745205">
        <w:rPr>
          <w:rFonts w:ascii="Arial" w:hAnsi="Arial" w:cs="Arial"/>
          <w:b/>
        </w:rPr>
        <w:t xml:space="preserve">onente: </w:t>
      </w:r>
      <w:r w:rsidRPr="00745205">
        <w:rPr>
          <w:rFonts w:ascii="Arial" w:hAnsi="Arial" w:cs="Arial"/>
          <w:b/>
        </w:rPr>
        <w:t>MARTA NUBIA VELÁSQUEZ RICO</w:t>
      </w:r>
    </w:p>
    <w:p w:rsidR="00062571" w:rsidRPr="00745205" w:rsidRDefault="00062571" w:rsidP="001B258B">
      <w:pPr>
        <w:pStyle w:val="Sinespaciado"/>
        <w:jc w:val="center"/>
        <w:rPr>
          <w:rFonts w:ascii="Arial" w:hAnsi="Arial" w:cs="Arial"/>
        </w:rPr>
      </w:pPr>
    </w:p>
    <w:p w:rsidR="00062571" w:rsidRPr="00745205" w:rsidRDefault="001B258B" w:rsidP="001B258B">
      <w:pPr>
        <w:pStyle w:val="Sinespaciado"/>
        <w:jc w:val="both"/>
        <w:rPr>
          <w:rFonts w:ascii="Arial" w:hAnsi="Arial" w:cs="Arial"/>
        </w:rPr>
      </w:pPr>
      <w:r w:rsidRPr="00745205">
        <w:rPr>
          <w:rFonts w:ascii="Arial" w:hAnsi="Arial" w:cs="Arial"/>
        </w:rPr>
        <w:t>Bogotá, D.C., c</w:t>
      </w:r>
      <w:r w:rsidR="0031143E" w:rsidRPr="00745205">
        <w:rPr>
          <w:rFonts w:ascii="Arial" w:hAnsi="Arial" w:cs="Arial"/>
        </w:rPr>
        <w:t>uatro (04</w:t>
      </w:r>
      <w:r w:rsidR="00062571" w:rsidRPr="00745205">
        <w:rPr>
          <w:rFonts w:ascii="Arial" w:hAnsi="Arial" w:cs="Arial"/>
        </w:rPr>
        <w:t>) de ju</w:t>
      </w:r>
      <w:r w:rsidR="0031143E" w:rsidRPr="00745205">
        <w:rPr>
          <w:rFonts w:ascii="Arial" w:hAnsi="Arial" w:cs="Arial"/>
        </w:rPr>
        <w:t>l</w:t>
      </w:r>
      <w:r w:rsidR="00062571" w:rsidRPr="00745205">
        <w:rPr>
          <w:rFonts w:ascii="Arial" w:hAnsi="Arial" w:cs="Arial"/>
        </w:rPr>
        <w:t>io de dos mil diecisiete (2017)</w:t>
      </w:r>
    </w:p>
    <w:p w:rsidR="00062571" w:rsidRPr="00745205" w:rsidRDefault="00062571" w:rsidP="001B258B">
      <w:pPr>
        <w:pStyle w:val="Sinespaciado"/>
        <w:jc w:val="both"/>
        <w:rPr>
          <w:rFonts w:ascii="Arial" w:hAnsi="Arial" w:cs="Arial"/>
        </w:rPr>
      </w:pPr>
    </w:p>
    <w:p w:rsidR="00062571" w:rsidRPr="00745205" w:rsidRDefault="00062571" w:rsidP="001B258B">
      <w:pPr>
        <w:pStyle w:val="Sinespaciado"/>
        <w:jc w:val="both"/>
        <w:rPr>
          <w:rFonts w:ascii="Arial" w:hAnsi="Arial" w:cs="Arial"/>
          <w:b/>
        </w:rPr>
      </w:pPr>
      <w:r w:rsidRPr="00745205">
        <w:rPr>
          <w:rFonts w:ascii="Arial" w:hAnsi="Arial" w:cs="Arial"/>
          <w:b/>
        </w:rPr>
        <w:t>Radica</w:t>
      </w:r>
      <w:r w:rsidR="001B258B" w:rsidRPr="00745205">
        <w:rPr>
          <w:rFonts w:ascii="Arial" w:hAnsi="Arial" w:cs="Arial"/>
          <w:b/>
        </w:rPr>
        <w:t xml:space="preserve">ción número: </w:t>
      </w:r>
      <w:r w:rsidR="004C6A00" w:rsidRPr="00745205">
        <w:rPr>
          <w:rFonts w:ascii="Arial" w:hAnsi="Arial" w:cs="Arial"/>
          <w:b/>
        </w:rPr>
        <w:t>11001-03-26-000-2013-00125-00</w:t>
      </w:r>
      <w:r w:rsidRPr="00745205">
        <w:rPr>
          <w:rFonts w:ascii="Arial" w:hAnsi="Arial" w:cs="Arial"/>
          <w:b/>
        </w:rPr>
        <w:t>(48488)</w:t>
      </w:r>
    </w:p>
    <w:p w:rsidR="001B258B" w:rsidRPr="00745205" w:rsidRDefault="001B258B" w:rsidP="001B258B">
      <w:pPr>
        <w:pStyle w:val="Sinespaciado"/>
        <w:jc w:val="both"/>
        <w:rPr>
          <w:rFonts w:ascii="Arial" w:hAnsi="Arial" w:cs="Arial"/>
          <w:b/>
        </w:rPr>
      </w:pPr>
    </w:p>
    <w:p w:rsidR="00062571" w:rsidRPr="00745205" w:rsidRDefault="00062571" w:rsidP="001B258B">
      <w:pPr>
        <w:pStyle w:val="Sinespaciado"/>
        <w:jc w:val="both"/>
        <w:rPr>
          <w:rFonts w:ascii="Arial" w:hAnsi="Arial" w:cs="Arial"/>
          <w:b/>
        </w:rPr>
      </w:pPr>
      <w:r w:rsidRPr="00745205">
        <w:rPr>
          <w:rFonts w:ascii="Arial" w:hAnsi="Arial" w:cs="Arial"/>
          <w:b/>
        </w:rPr>
        <w:t>Act</w:t>
      </w:r>
      <w:r w:rsidR="001B258B" w:rsidRPr="00745205">
        <w:rPr>
          <w:rFonts w:ascii="Arial" w:hAnsi="Arial" w:cs="Arial"/>
          <w:b/>
        </w:rPr>
        <w:t>or:</w:t>
      </w:r>
      <w:r w:rsidR="001B258B" w:rsidRPr="00745205">
        <w:rPr>
          <w:rFonts w:ascii="Arial" w:hAnsi="Arial" w:cs="Arial"/>
          <w:b/>
        </w:rPr>
        <w:tab/>
        <w:t xml:space="preserve"> JAVIER RICARDO DELGADO RAMÍREZ</w:t>
      </w:r>
    </w:p>
    <w:p w:rsidR="001B258B" w:rsidRPr="00745205" w:rsidRDefault="001B258B" w:rsidP="001B258B">
      <w:pPr>
        <w:pStyle w:val="Sinespaciado"/>
        <w:jc w:val="both"/>
        <w:rPr>
          <w:rFonts w:ascii="Arial" w:hAnsi="Arial" w:cs="Arial"/>
          <w:b/>
        </w:rPr>
      </w:pPr>
    </w:p>
    <w:p w:rsidR="00062571" w:rsidRPr="00745205" w:rsidRDefault="001B258B" w:rsidP="001B258B">
      <w:pPr>
        <w:pStyle w:val="Sinespaciado"/>
        <w:jc w:val="both"/>
        <w:rPr>
          <w:rFonts w:ascii="Arial" w:hAnsi="Arial" w:cs="Arial"/>
          <w:b/>
        </w:rPr>
      </w:pPr>
      <w:r w:rsidRPr="00745205">
        <w:rPr>
          <w:rFonts w:ascii="Arial" w:hAnsi="Arial" w:cs="Arial"/>
          <w:b/>
        </w:rPr>
        <w:t>Demandado: DIRECCIÓN NACIONAL DE ESTUPEFACIENTES</w:t>
      </w:r>
    </w:p>
    <w:p w:rsidR="001B258B" w:rsidRPr="00745205" w:rsidRDefault="001B258B" w:rsidP="001B258B">
      <w:pPr>
        <w:pStyle w:val="Sinespaciado"/>
        <w:jc w:val="both"/>
        <w:rPr>
          <w:rFonts w:ascii="Arial" w:hAnsi="Arial" w:cs="Arial"/>
          <w:b/>
        </w:rPr>
      </w:pPr>
    </w:p>
    <w:p w:rsidR="001B258B" w:rsidRPr="00745205" w:rsidRDefault="001B258B" w:rsidP="001B258B">
      <w:pPr>
        <w:pStyle w:val="Sinespaciado"/>
        <w:jc w:val="both"/>
        <w:rPr>
          <w:rFonts w:ascii="Arial" w:hAnsi="Arial" w:cs="Arial"/>
          <w:b/>
        </w:rPr>
      </w:pPr>
    </w:p>
    <w:p w:rsidR="001B258B" w:rsidRPr="00745205" w:rsidRDefault="001B258B" w:rsidP="001B258B">
      <w:pPr>
        <w:pStyle w:val="Sinespaciado"/>
        <w:jc w:val="both"/>
        <w:rPr>
          <w:rFonts w:ascii="Arial" w:hAnsi="Arial" w:cs="Arial"/>
          <w:b/>
        </w:rPr>
      </w:pPr>
    </w:p>
    <w:p w:rsidR="00062571" w:rsidRPr="00745205" w:rsidRDefault="00062571" w:rsidP="001B258B">
      <w:pPr>
        <w:pStyle w:val="Sinespaciado"/>
        <w:jc w:val="both"/>
        <w:rPr>
          <w:rFonts w:ascii="Arial" w:hAnsi="Arial" w:cs="Arial"/>
          <w:b/>
        </w:rPr>
      </w:pPr>
      <w:r w:rsidRPr="00745205">
        <w:rPr>
          <w:rFonts w:ascii="Arial" w:hAnsi="Arial" w:cs="Arial"/>
          <w:b/>
        </w:rPr>
        <w:t>R</w:t>
      </w:r>
      <w:r w:rsidR="001B258B" w:rsidRPr="00745205">
        <w:rPr>
          <w:rFonts w:ascii="Arial" w:hAnsi="Arial" w:cs="Arial"/>
          <w:b/>
        </w:rPr>
        <w:t xml:space="preserve">eferencia: </w:t>
      </w:r>
      <w:r w:rsidR="006400B7" w:rsidRPr="00745205">
        <w:rPr>
          <w:rFonts w:ascii="Arial" w:hAnsi="Arial" w:cs="Arial"/>
          <w:b/>
        </w:rPr>
        <w:t xml:space="preserve">RECURSO DE SÚPLICA - </w:t>
      </w:r>
      <w:r w:rsidR="00657949" w:rsidRPr="00745205">
        <w:rPr>
          <w:rFonts w:ascii="Arial" w:hAnsi="Arial" w:cs="Arial"/>
          <w:b/>
        </w:rPr>
        <w:t xml:space="preserve">MEDIO DE CONTROL DE </w:t>
      </w:r>
      <w:r w:rsidR="001B258B" w:rsidRPr="00745205">
        <w:rPr>
          <w:rFonts w:ascii="Arial" w:hAnsi="Arial" w:cs="Arial"/>
          <w:b/>
        </w:rPr>
        <w:t xml:space="preserve">NULIDAD </w:t>
      </w:r>
      <w:r w:rsidR="001B0D50" w:rsidRPr="00745205">
        <w:rPr>
          <w:rFonts w:ascii="Arial" w:hAnsi="Arial" w:cs="Arial"/>
          <w:b/>
        </w:rPr>
        <w:t>Y RESTABLECIMIENTO DEL DERECHO - LEY 1437/2011</w:t>
      </w:r>
    </w:p>
    <w:p w:rsidR="00062571" w:rsidRPr="00745205" w:rsidRDefault="00062571" w:rsidP="001B258B">
      <w:pPr>
        <w:pStyle w:val="Sinespaciado"/>
        <w:tabs>
          <w:tab w:val="left" w:pos="7329"/>
        </w:tabs>
        <w:jc w:val="both"/>
        <w:rPr>
          <w:rFonts w:ascii="Arial" w:hAnsi="Arial" w:cs="Arial"/>
          <w:b/>
          <w:bCs/>
        </w:rPr>
      </w:pPr>
    </w:p>
    <w:p w:rsidR="001B258B" w:rsidRPr="00745205" w:rsidRDefault="001B258B" w:rsidP="001B258B">
      <w:pPr>
        <w:pStyle w:val="Sinespaciado"/>
        <w:tabs>
          <w:tab w:val="left" w:pos="7329"/>
        </w:tabs>
        <w:rPr>
          <w:rFonts w:ascii="Arial" w:hAnsi="Arial" w:cs="Arial"/>
          <w:b/>
          <w:bCs/>
        </w:rPr>
      </w:pPr>
    </w:p>
    <w:p w:rsidR="00062571" w:rsidRPr="00745205" w:rsidRDefault="00062571" w:rsidP="001B258B">
      <w:pPr>
        <w:pStyle w:val="Lista"/>
        <w:ind w:left="0" w:firstLine="0"/>
        <w:jc w:val="both"/>
        <w:rPr>
          <w:sz w:val="24"/>
          <w:szCs w:val="24"/>
          <w:lang w:val="es-CO"/>
        </w:rPr>
      </w:pPr>
    </w:p>
    <w:p w:rsidR="00062571" w:rsidRPr="00745205" w:rsidRDefault="00062571" w:rsidP="00062571">
      <w:pPr>
        <w:spacing w:line="360" w:lineRule="auto"/>
        <w:jc w:val="both"/>
        <w:rPr>
          <w:rFonts w:ascii="Arial" w:hAnsi="Arial" w:cs="Arial"/>
          <w:sz w:val="24"/>
          <w:szCs w:val="24"/>
        </w:rPr>
      </w:pPr>
      <w:r w:rsidRPr="00745205">
        <w:rPr>
          <w:rFonts w:ascii="Arial" w:hAnsi="Arial" w:cs="Arial"/>
          <w:sz w:val="24"/>
          <w:szCs w:val="24"/>
        </w:rPr>
        <w:t xml:space="preserve">Tema: </w:t>
      </w:r>
      <w:r w:rsidR="00A07782" w:rsidRPr="00745205">
        <w:rPr>
          <w:rFonts w:ascii="Arial" w:hAnsi="Arial" w:cs="Arial"/>
          <w:sz w:val="24"/>
          <w:szCs w:val="24"/>
        </w:rPr>
        <w:t xml:space="preserve">AUTO QUE NIEGA </w:t>
      </w:r>
      <w:r w:rsidRPr="00745205">
        <w:rPr>
          <w:rFonts w:ascii="Arial" w:hAnsi="Arial" w:cs="Arial"/>
          <w:sz w:val="24"/>
          <w:szCs w:val="24"/>
        </w:rPr>
        <w:t xml:space="preserve">SUSPENSION PROVISIONAL </w:t>
      </w:r>
      <w:r w:rsidR="00A07782" w:rsidRPr="00745205">
        <w:rPr>
          <w:rFonts w:ascii="Arial" w:hAnsi="Arial" w:cs="Arial"/>
          <w:sz w:val="24"/>
          <w:szCs w:val="24"/>
        </w:rPr>
        <w:t>–</w:t>
      </w:r>
      <w:r w:rsidR="0089738B" w:rsidRPr="00745205">
        <w:rPr>
          <w:rFonts w:ascii="Arial" w:hAnsi="Arial" w:cs="Arial"/>
          <w:sz w:val="24"/>
          <w:szCs w:val="24"/>
        </w:rPr>
        <w:t xml:space="preserve"> </w:t>
      </w:r>
      <w:r w:rsidR="00A07782" w:rsidRPr="00745205">
        <w:rPr>
          <w:rFonts w:ascii="Arial" w:hAnsi="Arial" w:cs="Arial"/>
          <w:sz w:val="24"/>
          <w:szCs w:val="24"/>
        </w:rPr>
        <w:t>procede el recurso de reposición por no tratarse de una providencia susceptible de apelación o de súplica</w:t>
      </w:r>
      <w:r w:rsidR="00E415FA" w:rsidRPr="00745205">
        <w:rPr>
          <w:rFonts w:ascii="Arial" w:hAnsi="Arial" w:cs="Arial"/>
          <w:sz w:val="24"/>
          <w:szCs w:val="24"/>
        </w:rPr>
        <w:t>,</w:t>
      </w:r>
      <w:r w:rsidR="00A07782" w:rsidRPr="00745205">
        <w:rPr>
          <w:rFonts w:ascii="Arial" w:hAnsi="Arial" w:cs="Arial"/>
          <w:sz w:val="24"/>
          <w:szCs w:val="24"/>
        </w:rPr>
        <w:t xml:space="preserve"> de acuerdo con el artículo 242 de la Ley 1437 de</w:t>
      </w:r>
      <w:r w:rsidR="0040272D" w:rsidRPr="00745205">
        <w:rPr>
          <w:rFonts w:ascii="Arial" w:hAnsi="Arial" w:cs="Arial"/>
          <w:sz w:val="24"/>
          <w:szCs w:val="24"/>
        </w:rPr>
        <w:t xml:space="preserve"> </w:t>
      </w:r>
      <w:r w:rsidR="00A07782" w:rsidRPr="00745205">
        <w:rPr>
          <w:rFonts w:ascii="Arial" w:hAnsi="Arial" w:cs="Arial"/>
          <w:sz w:val="24"/>
          <w:szCs w:val="24"/>
        </w:rPr>
        <w:t>2</w:t>
      </w:r>
      <w:r w:rsidR="0040272D" w:rsidRPr="00745205">
        <w:rPr>
          <w:rFonts w:ascii="Arial" w:hAnsi="Arial" w:cs="Arial"/>
          <w:sz w:val="24"/>
          <w:szCs w:val="24"/>
        </w:rPr>
        <w:t>011.</w:t>
      </w:r>
      <w:r w:rsidR="00A07782" w:rsidRPr="00745205">
        <w:rPr>
          <w:rFonts w:ascii="Arial" w:hAnsi="Arial" w:cs="Arial"/>
          <w:sz w:val="24"/>
          <w:szCs w:val="24"/>
        </w:rPr>
        <w:t xml:space="preserve"> </w:t>
      </w:r>
    </w:p>
    <w:p w:rsidR="00A07782" w:rsidRPr="00745205" w:rsidRDefault="00A07782" w:rsidP="00062571">
      <w:pPr>
        <w:spacing w:line="360" w:lineRule="auto"/>
        <w:jc w:val="both"/>
        <w:rPr>
          <w:rFonts w:ascii="Arial" w:hAnsi="Arial" w:cs="Arial"/>
          <w:spacing w:val="-3"/>
          <w:sz w:val="24"/>
          <w:szCs w:val="24"/>
        </w:rPr>
      </w:pPr>
    </w:p>
    <w:p w:rsidR="00ED6835" w:rsidRPr="00745205" w:rsidRDefault="00062571" w:rsidP="00ED6835">
      <w:pPr>
        <w:spacing w:line="360" w:lineRule="auto"/>
        <w:jc w:val="both"/>
        <w:rPr>
          <w:rFonts w:ascii="Arial" w:hAnsi="Arial" w:cs="Arial"/>
          <w:sz w:val="24"/>
          <w:szCs w:val="24"/>
        </w:rPr>
      </w:pPr>
      <w:r w:rsidRPr="00745205">
        <w:rPr>
          <w:rFonts w:ascii="Arial" w:hAnsi="Arial" w:cs="Arial"/>
          <w:spacing w:val="-3"/>
          <w:sz w:val="24"/>
          <w:szCs w:val="24"/>
        </w:rPr>
        <w:t xml:space="preserve">Procede </w:t>
      </w:r>
      <w:r w:rsidR="00A07782" w:rsidRPr="00745205">
        <w:rPr>
          <w:rFonts w:ascii="Arial" w:hAnsi="Arial" w:cs="Arial"/>
          <w:spacing w:val="-3"/>
          <w:sz w:val="24"/>
          <w:szCs w:val="24"/>
        </w:rPr>
        <w:t>el Despacho</w:t>
      </w:r>
      <w:r w:rsidRPr="00745205">
        <w:rPr>
          <w:rFonts w:ascii="Arial" w:hAnsi="Arial" w:cs="Arial"/>
          <w:spacing w:val="-3"/>
          <w:sz w:val="24"/>
          <w:szCs w:val="24"/>
        </w:rPr>
        <w:t xml:space="preserve"> a decidir sobre </w:t>
      </w:r>
      <w:r w:rsidR="00A07782" w:rsidRPr="00745205">
        <w:rPr>
          <w:rFonts w:ascii="Arial" w:hAnsi="Arial" w:cs="Arial"/>
          <w:spacing w:val="-3"/>
          <w:sz w:val="24"/>
          <w:szCs w:val="24"/>
        </w:rPr>
        <w:t>la procedencia d</w:t>
      </w:r>
      <w:r w:rsidR="00ED6835" w:rsidRPr="00745205">
        <w:rPr>
          <w:rFonts w:ascii="Arial" w:hAnsi="Arial" w:cs="Arial"/>
          <w:spacing w:val="-3"/>
          <w:sz w:val="24"/>
          <w:szCs w:val="24"/>
        </w:rPr>
        <w:t>el recurso de súplica interpuesto por la parte demandante contra el auto del 12 de octubre de 2016, por el cual se negó la suspensión provisional de la invitación pública No. 3 de 2013, expedida por la Dirección Nacional de Estupefacientes DNE.</w:t>
      </w:r>
    </w:p>
    <w:p w:rsidR="00ED6835" w:rsidRPr="00745205" w:rsidRDefault="00ED6835" w:rsidP="00ED6835">
      <w:pPr>
        <w:spacing w:line="360" w:lineRule="auto"/>
        <w:jc w:val="both"/>
        <w:rPr>
          <w:rFonts w:ascii="Arial" w:hAnsi="Arial" w:cs="Arial"/>
          <w:sz w:val="24"/>
          <w:szCs w:val="24"/>
        </w:rPr>
      </w:pPr>
    </w:p>
    <w:p w:rsidR="00062571" w:rsidRPr="00745205" w:rsidRDefault="00062571" w:rsidP="0013219E">
      <w:pPr>
        <w:spacing w:line="360" w:lineRule="auto"/>
        <w:jc w:val="center"/>
        <w:rPr>
          <w:rFonts w:ascii="Arial" w:hAnsi="Arial" w:cs="Arial"/>
          <w:b/>
          <w:sz w:val="24"/>
          <w:szCs w:val="24"/>
          <w:lang w:val="es-CO"/>
        </w:rPr>
      </w:pPr>
      <w:r w:rsidRPr="00745205">
        <w:rPr>
          <w:rFonts w:ascii="Arial" w:hAnsi="Arial" w:cs="Arial"/>
          <w:b/>
          <w:sz w:val="24"/>
          <w:szCs w:val="24"/>
          <w:lang w:val="es-CO"/>
        </w:rPr>
        <w:t>I. ANTECEDENTES</w:t>
      </w:r>
    </w:p>
    <w:p w:rsidR="00062571" w:rsidRPr="00745205" w:rsidRDefault="00062571" w:rsidP="00062571">
      <w:pPr>
        <w:pStyle w:val="Lista"/>
        <w:spacing w:line="360" w:lineRule="auto"/>
        <w:ind w:left="0" w:firstLine="0"/>
        <w:jc w:val="both"/>
        <w:rPr>
          <w:sz w:val="24"/>
          <w:szCs w:val="24"/>
          <w:lang w:val="es-CO"/>
        </w:rPr>
      </w:pPr>
    </w:p>
    <w:p w:rsidR="00DE717E" w:rsidRPr="00745205" w:rsidRDefault="00062571" w:rsidP="00062571">
      <w:pPr>
        <w:pStyle w:val="NormalWeb"/>
        <w:spacing w:line="360" w:lineRule="auto"/>
        <w:jc w:val="both"/>
        <w:rPr>
          <w:rFonts w:ascii="Arial" w:hAnsi="Arial" w:cs="Arial"/>
          <w:lang w:val="es-CO"/>
        </w:rPr>
      </w:pPr>
      <w:r w:rsidRPr="00745205">
        <w:rPr>
          <w:rFonts w:ascii="Arial" w:hAnsi="Arial" w:cs="Arial"/>
          <w:lang w:val="es-CO"/>
        </w:rPr>
        <w:t xml:space="preserve">El </w:t>
      </w:r>
      <w:r w:rsidR="00D677F9" w:rsidRPr="00745205">
        <w:rPr>
          <w:rFonts w:ascii="Arial" w:hAnsi="Arial" w:cs="Arial"/>
          <w:lang w:val="es-CO"/>
        </w:rPr>
        <w:t>4 de septiembre de 2013</w:t>
      </w:r>
      <w:r w:rsidRPr="00745205">
        <w:rPr>
          <w:rFonts w:ascii="Arial" w:hAnsi="Arial" w:cs="Arial"/>
          <w:lang w:val="es-CO"/>
        </w:rPr>
        <w:t xml:space="preserve">, </w:t>
      </w:r>
      <w:r w:rsidR="00D677F9" w:rsidRPr="00745205">
        <w:rPr>
          <w:rFonts w:ascii="Arial" w:hAnsi="Arial" w:cs="Arial"/>
          <w:lang w:val="es-CO"/>
        </w:rPr>
        <w:t>e</w:t>
      </w:r>
      <w:r w:rsidRPr="00745205">
        <w:rPr>
          <w:rFonts w:ascii="Arial" w:hAnsi="Arial" w:cs="Arial"/>
          <w:lang w:val="es-CO"/>
        </w:rPr>
        <w:t xml:space="preserve">l señor </w:t>
      </w:r>
      <w:r w:rsidR="00D677F9" w:rsidRPr="00745205">
        <w:rPr>
          <w:rFonts w:ascii="Arial" w:hAnsi="Arial" w:cs="Arial"/>
          <w:lang w:val="es-CO"/>
        </w:rPr>
        <w:t>Javier Ricardo Delgado Ramírez</w:t>
      </w:r>
      <w:r w:rsidR="00A75ACC" w:rsidRPr="00745205">
        <w:rPr>
          <w:rFonts w:ascii="Arial" w:hAnsi="Arial" w:cs="Arial"/>
          <w:lang w:val="es-CO"/>
        </w:rPr>
        <w:t>,</w:t>
      </w:r>
      <w:r w:rsidR="00AC023C" w:rsidRPr="00745205">
        <w:rPr>
          <w:rFonts w:ascii="Arial" w:hAnsi="Arial" w:cs="Arial"/>
          <w:lang w:val="es-CO"/>
        </w:rPr>
        <w:t xml:space="preserve"> por conducto de apoderada judicial y</w:t>
      </w:r>
      <w:r w:rsidRPr="00745205">
        <w:rPr>
          <w:rFonts w:ascii="Arial" w:hAnsi="Arial" w:cs="Arial"/>
          <w:lang w:val="es-CO"/>
        </w:rPr>
        <w:t xml:space="preserve"> en ejercicio </w:t>
      </w:r>
      <w:r w:rsidR="00D677F9" w:rsidRPr="00745205">
        <w:rPr>
          <w:rFonts w:ascii="Arial" w:hAnsi="Arial" w:cs="Arial"/>
          <w:lang w:val="es-CO"/>
        </w:rPr>
        <w:t xml:space="preserve">de la </w:t>
      </w:r>
      <w:r w:rsidR="00DE717E" w:rsidRPr="00745205">
        <w:rPr>
          <w:rFonts w:ascii="Arial" w:hAnsi="Arial" w:cs="Arial"/>
          <w:lang w:val="es-CO"/>
        </w:rPr>
        <w:t>pretensión</w:t>
      </w:r>
      <w:r w:rsidR="00D677F9" w:rsidRPr="00745205">
        <w:rPr>
          <w:rFonts w:ascii="Arial" w:hAnsi="Arial" w:cs="Arial"/>
          <w:lang w:val="es-CO"/>
        </w:rPr>
        <w:t xml:space="preserve"> de </w:t>
      </w:r>
      <w:r w:rsidRPr="00745205">
        <w:rPr>
          <w:rFonts w:ascii="Arial" w:hAnsi="Arial" w:cs="Arial"/>
          <w:lang w:val="es-CO"/>
        </w:rPr>
        <w:t>nulidad y restablecimiento del derecho</w:t>
      </w:r>
      <w:r w:rsidR="00E415FA" w:rsidRPr="00745205">
        <w:rPr>
          <w:rFonts w:ascii="Arial" w:hAnsi="Arial" w:cs="Arial"/>
          <w:lang w:val="es-CO"/>
        </w:rPr>
        <w:t>,</w:t>
      </w:r>
      <w:r w:rsidRPr="00745205">
        <w:rPr>
          <w:rFonts w:ascii="Arial" w:hAnsi="Arial" w:cs="Arial"/>
          <w:lang w:val="es-CO"/>
        </w:rPr>
        <w:t xml:space="preserve"> </w:t>
      </w:r>
      <w:r w:rsidR="00DE717E" w:rsidRPr="00745205">
        <w:rPr>
          <w:rFonts w:ascii="Arial" w:hAnsi="Arial" w:cs="Arial"/>
          <w:lang w:val="es-CO"/>
        </w:rPr>
        <w:t>solicitó</w:t>
      </w:r>
      <w:r w:rsidRPr="00745205">
        <w:rPr>
          <w:rFonts w:ascii="Arial" w:hAnsi="Arial" w:cs="Arial"/>
          <w:lang w:val="es-CO"/>
        </w:rPr>
        <w:t xml:space="preserve"> que se declarara la nulidad </w:t>
      </w:r>
      <w:r w:rsidR="00DE717E" w:rsidRPr="00745205">
        <w:rPr>
          <w:rFonts w:ascii="Arial" w:hAnsi="Arial" w:cs="Arial"/>
          <w:lang w:val="es-CO"/>
        </w:rPr>
        <w:t>total o parcial del acto administrativo de invitación pública No. 3 de</w:t>
      </w:r>
      <w:r w:rsidR="00D37C13" w:rsidRPr="00745205">
        <w:rPr>
          <w:rFonts w:ascii="Arial" w:hAnsi="Arial" w:cs="Arial"/>
          <w:lang w:val="es-CO"/>
        </w:rPr>
        <w:t xml:space="preserve"> </w:t>
      </w:r>
      <w:r w:rsidR="00DE717E" w:rsidRPr="00745205">
        <w:rPr>
          <w:rFonts w:ascii="Arial" w:hAnsi="Arial" w:cs="Arial"/>
          <w:lang w:val="es-CO"/>
        </w:rPr>
        <w:t xml:space="preserve">2013, por medio del cual la DNE invitó a cotizar </w:t>
      </w:r>
      <w:r w:rsidR="00E415FA" w:rsidRPr="00745205">
        <w:rPr>
          <w:rFonts w:ascii="Arial" w:hAnsi="Arial" w:cs="Arial"/>
          <w:lang w:val="es-CO"/>
        </w:rPr>
        <w:t>el</w:t>
      </w:r>
      <w:r w:rsidR="00DE717E" w:rsidRPr="00745205">
        <w:rPr>
          <w:rFonts w:ascii="Arial" w:hAnsi="Arial" w:cs="Arial"/>
          <w:lang w:val="es-CO"/>
        </w:rPr>
        <w:t xml:space="preserve"> arrendamiento de </w:t>
      </w:r>
      <w:r w:rsidR="00A75ACC" w:rsidRPr="00745205">
        <w:rPr>
          <w:rFonts w:ascii="Arial" w:hAnsi="Arial" w:cs="Arial"/>
          <w:lang w:val="es-CO"/>
        </w:rPr>
        <w:t>veintitrés</w:t>
      </w:r>
      <w:r w:rsidR="00DE717E" w:rsidRPr="00745205">
        <w:rPr>
          <w:rFonts w:ascii="Arial" w:hAnsi="Arial" w:cs="Arial"/>
          <w:lang w:val="es-CO"/>
        </w:rPr>
        <w:t xml:space="preserve"> bienes rurales, entre los cuales se encuentra la hacienda Potosí, </w:t>
      </w:r>
      <w:r w:rsidR="00A75ACC" w:rsidRPr="00745205">
        <w:rPr>
          <w:rFonts w:ascii="Arial" w:hAnsi="Arial" w:cs="Arial"/>
          <w:lang w:val="es-CO"/>
        </w:rPr>
        <w:t xml:space="preserve">ubicada </w:t>
      </w:r>
      <w:r w:rsidR="00DE717E" w:rsidRPr="00745205">
        <w:rPr>
          <w:rFonts w:ascii="Arial" w:hAnsi="Arial" w:cs="Arial"/>
          <w:lang w:val="es-CO"/>
        </w:rPr>
        <w:t>en el municipio de Armero.</w:t>
      </w:r>
    </w:p>
    <w:p w:rsidR="00DE717E" w:rsidRPr="00745205" w:rsidRDefault="00DE717E" w:rsidP="00062571">
      <w:pPr>
        <w:pStyle w:val="NormalWeb"/>
        <w:spacing w:line="360" w:lineRule="auto"/>
        <w:jc w:val="both"/>
        <w:rPr>
          <w:rFonts w:ascii="Arial" w:hAnsi="Arial" w:cs="Arial"/>
          <w:lang w:val="es-CO"/>
        </w:rPr>
      </w:pPr>
    </w:p>
    <w:p w:rsidR="00B61EC7" w:rsidRPr="00745205" w:rsidRDefault="00D37C13" w:rsidP="00062571">
      <w:pPr>
        <w:pStyle w:val="NormalWeb"/>
        <w:spacing w:line="360" w:lineRule="auto"/>
        <w:jc w:val="both"/>
        <w:rPr>
          <w:rFonts w:ascii="Arial" w:hAnsi="Arial" w:cs="Arial"/>
          <w:lang w:val="es-CO"/>
        </w:rPr>
      </w:pPr>
      <w:r w:rsidRPr="00745205">
        <w:rPr>
          <w:rFonts w:ascii="Arial" w:hAnsi="Arial" w:cs="Arial"/>
          <w:lang w:val="es-CO"/>
        </w:rPr>
        <w:t>En escrito separado de la misma fecha</w:t>
      </w:r>
      <w:r w:rsidR="005E1011" w:rsidRPr="00745205">
        <w:rPr>
          <w:rFonts w:ascii="Arial" w:hAnsi="Arial" w:cs="Arial"/>
          <w:lang w:val="es-CO"/>
        </w:rPr>
        <w:t>, el</w:t>
      </w:r>
      <w:r w:rsidR="00A75ACC" w:rsidRPr="00745205">
        <w:rPr>
          <w:rFonts w:ascii="Arial" w:hAnsi="Arial" w:cs="Arial"/>
          <w:lang w:val="es-CO"/>
        </w:rPr>
        <w:t xml:space="preserve"> </w:t>
      </w:r>
      <w:r w:rsidR="005E1011" w:rsidRPr="00745205">
        <w:rPr>
          <w:rFonts w:ascii="Arial" w:hAnsi="Arial" w:cs="Arial"/>
          <w:lang w:val="es-CO"/>
        </w:rPr>
        <w:t>actor</w:t>
      </w:r>
      <w:r w:rsidRPr="00745205">
        <w:rPr>
          <w:rFonts w:ascii="Arial" w:hAnsi="Arial" w:cs="Arial"/>
          <w:lang w:val="es-CO"/>
        </w:rPr>
        <w:t xml:space="preserve"> solicitó la suspensión provisional de</w:t>
      </w:r>
      <w:r w:rsidR="00E415FA" w:rsidRPr="00745205">
        <w:rPr>
          <w:rFonts w:ascii="Arial" w:hAnsi="Arial" w:cs="Arial"/>
          <w:lang w:val="es-CO"/>
        </w:rPr>
        <w:t>l</w:t>
      </w:r>
      <w:r w:rsidRPr="00745205">
        <w:rPr>
          <w:rFonts w:ascii="Arial" w:hAnsi="Arial" w:cs="Arial"/>
          <w:lang w:val="es-CO"/>
        </w:rPr>
        <w:t xml:space="preserve"> mismo acto</w:t>
      </w:r>
      <w:r w:rsidR="00E415FA" w:rsidRPr="00745205">
        <w:rPr>
          <w:rFonts w:ascii="Arial" w:hAnsi="Arial" w:cs="Arial"/>
          <w:lang w:val="es-CO"/>
        </w:rPr>
        <w:t>,</w:t>
      </w:r>
      <w:r w:rsidR="005E1011" w:rsidRPr="00745205">
        <w:rPr>
          <w:rFonts w:ascii="Arial" w:hAnsi="Arial" w:cs="Arial"/>
          <w:lang w:val="es-CO"/>
        </w:rPr>
        <w:t xml:space="preserve"> por considerar que vulneraba el artículo 29 constitucional, dado que la entidad demandada adelantó una invitación pública</w:t>
      </w:r>
      <w:r w:rsidR="00E415FA" w:rsidRPr="00745205">
        <w:rPr>
          <w:rFonts w:ascii="Arial" w:hAnsi="Arial" w:cs="Arial"/>
          <w:lang w:val="es-CO"/>
        </w:rPr>
        <w:t>,</w:t>
      </w:r>
      <w:r w:rsidR="005E1011" w:rsidRPr="00745205">
        <w:rPr>
          <w:rFonts w:ascii="Arial" w:hAnsi="Arial" w:cs="Arial"/>
          <w:lang w:val="es-CO"/>
        </w:rPr>
        <w:t xml:space="preserve"> desconociendo el contrato </w:t>
      </w:r>
      <w:r w:rsidR="005E1011" w:rsidRPr="00745205">
        <w:rPr>
          <w:rFonts w:ascii="Arial" w:hAnsi="Arial" w:cs="Arial"/>
          <w:lang w:val="es-CO"/>
        </w:rPr>
        <w:lastRenderedPageBreak/>
        <w:t>de arrendamiento para conservación y explotación agrícola en el predio denominado hacienda Potosí</w:t>
      </w:r>
      <w:r w:rsidR="00A75ACC" w:rsidRPr="00745205">
        <w:rPr>
          <w:rFonts w:ascii="Arial" w:hAnsi="Arial" w:cs="Arial"/>
          <w:lang w:val="es-CO"/>
        </w:rPr>
        <w:t>,</w:t>
      </w:r>
      <w:r w:rsidR="005E1011" w:rsidRPr="00745205">
        <w:rPr>
          <w:rFonts w:ascii="Arial" w:hAnsi="Arial" w:cs="Arial"/>
          <w:lang w:val="es-CO"/>
        </w:rPr>
        <w:t xml:space="preserve"> del cual </w:t>
      </w:r>
      <w:r w:rsidR="00E415FA" w:rsidRPr="00745205">
        <w:rPr>
          <w:rFonts w:ascii="Arial" w:hAnsi="Arial" w:cs="Arial"/>
          <w:lang w:val="es-CO"/>
        </w:rPr>
        <w:t xml:space="preserve">él </w:t>
      </w:r>
      <w:r w:rsidR="005E1011" w:rsidRPr="00745205">
        <w:rPr>
          <w:rFonts w:ascii="Arial" w:hAnsi="Arial" w:cs="Arial"/>
          <w:lang w:val="es-CO"/>
        </w:rPr>
        <w:t>e</w:t>
      </w:r>
      <w:r w:rsidR="00061AC3" w:rsidRPr="00745205">
        <w:rPr>
          <w:rFonts w:ascii="Arial" w:hAnsi="Arial" w:cs="Arial"/>
          <w:lang w:val="es-CO"/>
        </w:rPr>
        <w:t>ra</w:t>
      </w:r>
      <w:r w:rsidR="005E1011" w:rsidRPr="00745205">
        <w:rPr>
          <w:rFonts w:ascii="Arial" w:hAnsi="Arial" w:cs="Arial"/>
          <w:lang w:val="es-CO"/>
        </w:rPr>
        <w:t xml:space="preserve"> arrendatario</w:t>
      </w:r>
      <w:r w:rsidR="00102042" w:rsidRPr="00745205">
        <w:rPr>
          <w:rStyle w:val="Refdenotaalpie"/>
          <w:rFonts w:ascii="Arial" w:hAnsi="Arial" w:cs="Arial"/>
          <w:lang w:val="es-CO"/>
        </w:rPr>
        <w:footnoteReference w:id="1"/>
      </w:r>
      <w:r w:rsidR="00B61EC7" w:rsidRPr="00745205">
        <w:rPr>
          <w:rFonts w:ascii="Arial" w:hAnsi="Arial" w:cs="Arial"/>
          <w:lang w:val="es-CO"/>
        </w:rPr>
        <w:t>.</w:t>
      </w:r>
    </w:p>
    <w:p w:rsidR="00AE35BC" w:rsidRPr="00745205" w:rsidRDefault="00AE35BC" w:rsidP="00062571">
      <w:pPr>
        <w:pStyle w:val="NormalWeb"/>
        <w:spacing w:line="360" w:lineRule="auto"/>
        <w:jc w:val="both"/>
        <w:rPr>
          <w:rFonts w:ascii="Arial" w:hAnsi="Arial" w:cs="Arial"/>
          <w:lang w:val="es-CO"/>
        </w:rPr>
      </w:pPr>
    </w:p>
    <w:p w:rsidR="00B61EC7" w:rsidRPr="00745205" w:rsidRDefault="00B61EC7" w:rsidP="00062571">
      <w:pPr>
        <w:pStyle w:val="NormalWeb"/>
        <w:spacing w:line="360" w:lineRule="auto"/>
        <w:jc w:val="both"/>
        <w:rPr>
          <w:rFonts w:ascii="Arial" w:hAnsi="Arial" w:cs="Arial"/>
          <w:lang w:val="es-CO"/>
        </w:rPr>
      </w:pPr>
      <w:r w:rsidRPr="00745205">
        <w:rPr>
          <w:rFonts w:ascii="Arial" w:hAnsi="Arial" w:cs="Arial"/>
          <w:lang w:val="es-CO"/>
        </w:rPr>
        <w:t xml:space="preserve">Por su parte, la </w:t>
      </w:r>
      <w:r w:rsidR="002809B2" w:rsidRPr="00745205">
        <w:rPr>
          <w:rFonts w:ascii="Arial" w:hAnsi="Arial" w:cs="Arial"/>
          <w:lang w:val="es-CO"/>
        </w:rPr>
        <w:t>Sociedad</w:t>
      </w:r>
      <w:r w:rsidR="00F66933" w:rsidRPr="00745205">
        <w:rPr>
          <w:rFonts w:ascii="Arial" w:hAnsi="Arial" w:cs="Arial"/>
          <w:lang w:val="es-CO"/>
        </w:rPr>
        <w:t xml:space="preserve"> de</w:t>
      </w:r>
      <w:r w:rsidR="002809B2" w:rsidRPr="00745205">
        <w:rPr>
          <w:rFonts w:ascii="Arial" w:hAnsi="Arial" w:cs="Arial"/>
          <w:lang w:val="es-CO"/>
        </w:rPr>
        <w:t xml:space="preserve"> Activos</w:t>
      </w:r>
      <w:r w:rsidR="00F66933" w:rsidRPr="00745205">
        <w:rPr>
          <w:rFonts w:ascii="Arial" w:hAnsi="Arial" w:cs="Arial"/>
          <w:lang w:val="es-CO"/>
        </w:rPr>
        <w:t xml:space="preserve"> Especiales S.A.S.</w:t>
      </w:r>
      <w:r w:rsidR="00F66933" w:rsidRPr="00745205">
        <w:rPr>
          <w:rStyle w:val="Refdenotaalpie"/>
          <w:rFonts w:ascii="Arial" w:hAnsi="Arial" w:cs="Arial"/>
          <w:lang w:val="es-CO"/>
        </w:rPr>
        <w:footnoteReference w:id="2"/>
      </w:r>
      <w:r w:rsidR="00E415FA" w:rsidRPr="00745205">
        <w:rPr>
          <w:rFonts w:ascii="Arial" w:hAnsi="Arial" w:cs="Arial"/>
          <w:lang w:val="es-CO"/>
        </w:rPr>
        <w:t>,</w:t>
      </w:r>
      <w:r w:rsidR="002809B2" w:rsidRPr="00745205">
        <w:rPr>
          <w:rFonts w:ascii="Arial" w:hAnsi="Arial" w:cs="Arial"/>
          <w:lang w:val="es-CO"/>
        </w:rPr>
        <w:t xml:space="preserve"> </w:t>
      </w:r>
      <w:r w:rsidRPr="00745205">
        <w:rPr>
          <w:rFonts w:ascii="Arial" w:hAnsi="Arial" w:cs="Arial"/>
          <w:lang w:val="es-CO"/>
        </w:rPr>
        <w:t>al descorrer el traslado de la solicitud</w:t>
      </w:r>
      <w:r w:rsidR="00102042" w:rsidRPr="00745205">
        <w:rPr>
          <w:rFonts w:ascii="Arial" w:hAnsi="Arial" w:cs="Arial"/>
          <w:lang w:val="es-CO"/>
        </w:rPr>
        <w:t xml:space="preserve"> de suspensión provisiona</w:t>
      </w:r>
      <w:r w:rsidR="00E415FA" w:rsidRPr="00745205">
        <w:rPr>
          <w:rFonts w:ascii="Arial" w:hAnsi="Arial" w:cs="Arial"/>
          <w:lang w:val="es-CO"/>
        </w:rPr>
        <w:t>l,</w:t>
      </w:r>
      <w:r w:rsidR="00102042" w:rsidRPr="00745205">
        <w:rPr>
          <w:rFonts w:ascii="Arial" w:hAnsi="Arial" w:cs="Arial"/>
          <w:lang w:val="es-CO"/>
        </w:rPr>
        <w:t xml:space="preserve"> señaló que la misma no </w:t>
      </w:r>
      <w:r w:rsidR="00A75ACC" w:rsidRPr="00745205">
        <w:rPr>
          <w:rFonts w:ascii="Arial" w:hAnsi="Arial" w:cs="Arial"/>
          <w:lang w:val="es-CO"/>
        </w:rPr>
        <w:t>especificaba</w:t>
      </w:r>
      <w:r w:rsidR="00102042" w:rsidRPr="00745205">
        <w:rPr>
          <w:rFonts w:ascii="Arial" w:hAnsi="Arial" w:cs="Arial"/>
          <w:lang w:val="es-CO"/>
        </w:rPr>
        <w:t xml:space="preserve"> cuáles eran las normas superiores violadas</w:t>
      </w:r>
      <w:r w:rsidR="006E275E" w:rsidRPr="00745205">
        <w:rPr>
          <w:rFonts w:ascii="Arial" w:hAnsi="Arial" w:cs="Arial"/>
          <w:lang w:val="es-CO"/>
        </w:rPr>
        <w:t xml:space="preserve"> por el acto administrativo demandado</w:t>
      </w:r>
      <w:r w:rsidR="00061AC3" w:rsidRPr="00745205">
        <w:rPr>
          <w:rFonts w:ascii="Arial" w:hAnsi="Arial" w:cs="Arial"/>
          <w:lang w:val="es-CO"/>
        </w:rPr>
        <w:t xml:space="preserve"> y que </w:t>
      </w:r>
      <w:r w:rsidR="002F1424" w:rsidRPr="00745205">
        <w:rPr>
          <w:rFonts w:ascii="Arial" w:hAnsi="Arial" w:cs="Arial"/>
          <w:lang w:val="es-CO"/>
        </w:rPr>
        <w:t>el demandante tampoco demostró</w:t>
      </w:r>
      <w:r w:rsidR="00AC023C" w:rsidRPr="00745205">
        <w:rPr>
          <w:rFonts w:ascii="Arial" w:hAnsi="Arial" w:cs="Arial"/>
          <w:lang w:val="es-CO"/>
        </w:rPr>
        <w:t xml:space="preserve"> la vulneración al debido proceso, dado que no acreditó </w:t>
      </w:r>
      <w:r w:rsidR="002F1424" w:rsidRPr="00745205">
        <w:rPr>
          <w:rFonts w:ascii="Arial" w:hAnsi="Arial" w:cs="Arial"/>
          <w:lang w:val="es-CO"/>
        </w:rPr>
        <w:t xml:space="preserve">ser tenedor o poseedor legal de ninguno de los bienes </w:t>
      </w:r>
      <w:r w:rsidR="00061AC3" w:rsidRPr="00745205">
        <w:rPr>
          <w:rFonts w:ascii="Arial" w:hAnsi="Arial" w:cs="Arial"/>
          <w:lang w:val="es-CO"/>
        </w:rPr>
        <w:t>ofertados para arrendamiento</w:t>
      </w:r>
      <w:r w:rsidR="00AC023C" w:rsidRPr="00745205">
        <w:rPr>
          <w:rStyle w:val="Refdenotaalpie"/>
          <w:rFonts w:ascii="Arial" w:hAnsi="Arial" w:cs="Arial"/>
          <w:lang w:val="es-CO"/>
        </w:rPr>
        <w:footnoteReference w:id="3"/>
      </w:r>
      <w:r w:rsidR="006E275E" w:rsidRPr="00745205">
        <w:rPr>
          <w:rFonts w:ascii="Arial" w:hAnsi="Arial" w:cs="Arial"/>
          <w:lang w:val="es-CO"/>
        </w:rPr>
        <w:t xml:space="preserve">.  </w:t>
      </w:r>
    </w:p>
    <w:p w:rsidR="00ED56CA" w:rsidRPr="00745205" w:rsidRDefault="00ED56CA" w:rsidP="00062571">
      <w:pPr>
        <w:pStyle w:val="NormalWeb"/>
        <w:spacing w:line="360" w:lineRule="auto"/>
        <w:jc w:val="both"/>
        <w:rPr>
          <w:rFonts w:ascii="Arial" w:hAnsi="Arial" w:cs="Arial"/>
          <w:lang w:val="es-CO"/>
        </w:rPr>
      </w:pPr>
    </w:p>
    <w:p w:rsidR="00ED56CA" w:rsidRPr="00745205" w:rsidRDefault="00ED56CA" w:rsidP="00062571">
      <w:pPr>
        <w:pStyle w:val="NormalWeb"/>
        <w:spacing w:line="360" w:lineRule="auto"/>
        <w:jc w:val="both"/>
        <w:rPr>
          <w:rFonts w:ascii="Arial" w:hAnsi="Arial" w:cs="Arial"/>
          <w:b/>
          <w:lang w:val="es-CO"/>
        </w:rPr>
      </w:pPr>
      <w:r w:rsidRPr="00745205">
        <w:rPr>
          <w:rFonts w:ascii="Arial" w:hAnsi="Arial" w:cs="Arial"/>
          <w:b/>
          <w:lang w:val="es-CO"/>
        </w:rPr>
        <w:t>2.- La providencia impugnada</w:t>
      </w:r>
    </w:p>
    <w:p w:rsidR="00062571" w:rsidRPr="00745205" w:rsidRDefault="00DF6F65" w:rsidP="00062571">
      <w:pPr>
        <w:pStyle w:val="NormalWeb"/>
        <w:spacing w:line="360" w:lineRule="auto"/>
        <w:jc w:val="both"/>
        <w:rPr>
          <w:rFonts w:ascii="Arial" w:hAnsi="Arial" w:cs="Arial"/>
          <w:lang w:val="es-CO"/>
        </w:rPr>
      </w:pPr>
      <w:r w:rsidRPr="00745205">
        <w:rPr>
          <w:rFonts w:ascii="Arial" w:hAnsi="Arial" w:cs="Arial"/>
          <w:lang w:val="es-CO"/>
        </w:rPr>
        <w:t xml:space="preserve">  </w:t>
      </w:r>
    </w:p>
    <w:p w:rsidR="006F2D28" w:rsidRPr="00745205" w:rsidRDefault="001667D4" w:rsidP="001667D4">
      <w:pPr>
        <w:pStyle w:val="NormalWeb"/>
        <w:spacing w:line="360" w:lineRule="auto"/>
        <w:jc w:val="both"/>
        <w:rPr>
          <w:rFonts w:ascii="Arial" w:hAnsi="Arial" w:cs="Arial"/>
          <w:lang w:val="es-CO"/>
        </w:rPr>
      </w:pPr>
      <w:r w:rsidRPr="00745205">
        <w:rPr>
          <w:rFonts w:ascii="Arial" w:hAnsi="Arial" w:cs="Arial"/>
          <w:lang w:val="es-CO"/>
        </w:rPr>
        <w:t>Por auto del 12 de octubre de 2016, dicha solicitud fue negada</w:t>
      </w:r>
      <w:r w:rsidR="00E415FA" w:rsidRPr="00745205">
        <w:rPr>
          <w:rFonts w:ascii="Arial" w:hAnsi="Arial" w:cs="Arial"/>
          <w:lang w:val="es-CO"/>
        </w:rPr>
        <w:t>,</w:t>
      </w:r>
      <w:r w:rsidRPr="00745205">
        <w:rPr>
          <w:rFonts w:ascii="Arial" w:hAnsi="Arial" w:cs="Arial"/>
          <w:lang w:val="es-CO"/>
        </w:rPr>
        <w:t xml:space="preserve"> con fundamento en que la invitación pública No. 3 de 2013</w:t>
      </w:r>
      <w:r w:rsidR="00363E16" w:rsidRPr="00745205">
        <w:rPr>
          <w:rFonts w:ascii="Arial" w:hAnsi="Arial" w:cs="Arial"/>
          <w:lang w:val="es-CO"/>
        </w:rPr>
        <w:t xml:space="preserve"> no tenía como propósito desconocer ni anular arrendamientos previos</w:t>
      </w:r>
      <w:r w:rsidR="00E63D95" w:rsidRPr="00745205">
        <w:rPr>
          <w:rFonts w:ascii="Arial" w:hAnsi="Arial" w:cs="Arial"/>
          <w:lang w:val="es-CO"/>
        </w:rPr>
        <w:t xml:space="preserve">, sino </w:t>
      </w:r>
      <w:r w:rsidR="00363E16" w:rsidRPr="00745205">
        <w:rPr>
          <w:rFonts w:ascii="Arial" w:hAnsi="Arial" w:cs="Arial"/>
          <w:lang w:val="es-CO"/>
        </w:rPr>
        <w:t xml:space="preserve">disponer la administración de los inmuebles </w:t>
      </w:r>
      <w:r w:rsidR="006F2D28" w:rsidRPr="00745205">
        <w:rPr>
          <w:rFonts w:ascii="Arial" w:hAnsi="Arial" w:cs="Arial"/>
          <w:lang w:val="es-CO"/>
        </w:rPr>
        <w:t>a cargo de la entidad demandada, de forma que se adecuara a las necesidades del servicio y que se ciñera a las normas de selección objetiva que debían observarse en la contratación estatal.</w:t>
      </w:r>
    </w:p>
    <w:p w:rsidR="006F2D28" w:rsidRPr="00745205" w:rsidRDefault="006F2D28" w:rsidP="001667D4">
      <w:pPr>
        <w:pStyle w:val="NormalWeb"/>
        <w:spacing w:line="360" w:lineRule="auto"/>
        <w:jc w:val="both"/>
        <w:rPr>
          <w:rFonts w:ascii="Arial" w:hAnsi="Arial" w:cs="Arial"/>
          <w:lang w:val="es-CO"/>
        </w:rPr>
      </w:pPr>
    </w:p>
    <w:p w:rsidR="00B77B4D" w:rsidRPr="00745205" w:rsidRDefault="006F2D28" w:rsidP="001667D4">
      <w:pPr>
        <w:pStyle w:val="NormalWeb"/>
        <w:spacing w:line="360" w:lineRule="auto"/>
        <w:jc w:val="both"/>
        <w:rPr>
          <w:rFonts w:ascii="Arial" w:hAnsi="Arial" w:cs="Arial"/>
          <w:lang w:val="es-CO"/>
        </w:rPr>
      </w:pPr>
      <w:r w:rsidRPr="00745205">
        <w:rPr>
          <w:rFonts w:ascii="Arial" w:hAnsi="Arial" w:cs="Arial"/>
          <w:lang w:val="es-CO"/>
        </w:rPr>
        <w:t>Consideró que la entidad demandada no se encontraba obligada a demandar el contrato de arrendamiento celebrado con el depositario provisional</w:t>
      </w:r>
      <w:r w:rsidR="00B77B4D" w:rsidRPr="00745205">
        <w:rPr>
          <w:rFonts w:ascii="Arial" w:hAnsi="Arial" w:cs="Arial"/>
          <w:lang w:val="es-CO"/>
        </w:rPr>
        <w:t xml:space="preserve">, pues de las pruebas allegadas al plenario no se colegía que en el acto administrativo demandado la entidad se hubiera referido a la ilegalidad del </w:t>
      </w:r>
      <w:r w:rsidR="00DE21A6" w:rsidRPr="00745205">
        <w:rPr>
          <w:rFonts w:ascii="Arial" w:hAnsi="Arial" w:cs="Arial"/>
          <w:lang w:val="es-CO"/>
        </w:rPr>
        <w:t>contrato o</w:t>
      </w:r>
      <w:r w:rsidR="00B77B4D" w:rsidRPr="00745205">
        <w:rPr>
          <w:rFonts w:ascii="Arial" w:hAnsi="Arial" w:cs="Arial"/>
          <w:lang w:val="es-CO"/>
        </w:rPr>
        <w:t xml:space="preserve"> pretendido adelantar trámites para eliminarlo de la vida jurídica.</w:t>
      </w:r>
    </w:p>
    <w:p w:rsidR="00B77B4D" w:rsidRPr="00745205" w:rsidRDefault="00B77B4D" w:rsidP="001667D4">
      <w:pPr>
        <w:pStyle w:val="NormalWeb"/>
        <w:spacing w:line="360" w:lineRule="auto"/>
        <w:jc w:val="both"/>
        <w:rPr>
          <w:rFonts w:ascii="Arial" w:hAnsi="Arial" w:cs="Arial"/>
          <w:lang w:val="es-CO"/>
        </w:rPr>
      </w:pPr>
    </w:p>
    <w:p w:rsidR="008A1F44" w:rsidRPr="00745205" w:rsidRDefault="00514E01" w:rsidP="00062571">
      <w:pPr>
        <w:pStyle w:val="NormalWeb"/>
        <w:spacing w:line="360" w:lineRule="auto"/>
        <w:jc w:val="both"/>
        <w:rPr>
          <w:rFonts w:ascii="Arial" w:hAnsi="Arial" w:cs="Arial"/>
          <w:lang w:val="es-CO"/>
        </w:rPr>
      </w:pPr>
      <w:r w:rsidRPr="00745205">
        <w:rPr>
          <w:rFonts w:ascii="Arial" w:hAnsi="Arial" w:cs="Arial"/>
          <w:lang w:val="es-CO"/>
        </w:rPr>
        <w:t xml:space="preserve">En cuanto a los supuestos perjuicios, </w:t>
      </w:r>
      <w:r w:rsidR="00FA0026" w:rsidRPr="00745205">
        <w:rPr>
          <w:rFonts w:ascii="Arial" w:hAnsi="Arial" w:cs="Arial"/>
          <w:lang w:val="es-CO"/>
        </w:rPr>
        <w:t xml:space="preserve">señaló que </w:t>
      </w:r>
      <w:r w:rsidR="008A1F44" w:rsidRPr="00745205">
        <w:rPr>
          <w:rFonts w:ascii="Arial" w:hAnsi="Arial" w:cs="Arial"/>
          <w:lang w:val="es-CO"/>
        </w:rPr>
        <w:t>de la solicitud se podía colegir que el daño alegado por el demandante consistía en no poder seguir explotando el inmueble cuyo arrendamiento buscó contratar la demandada</w:t>
      </w:r>
      <w:r w:rsidR="00E415FA" w:rsidRPr="00745205">
        <w:rPr>
          <w:rFonts w:ascii="Arial" w:hAnsi="Arial" w:cs="Arial"/>
          <w:lang w:val="es-CO"/>
        </w:rPr>
        <w:t>,</w:t>
      </w:r>
      <w:r w:rsidR="008A1F44" w:rsidRPr="00745205">
        <w:rPr>
          <w:rFonts w:ascii="Arial" w:hAnsi="Arial" w:cs="Arial"/>
          <w:lang w:val="es-CO"/>
        </w:rPr>
        <w:t xml:space="preserve"> a través de la invitación pública No. 03 de 2013</w:t>
      </w:r>
      <w:r w:rsidR="00E415FA" w:rsidRPr="00745205">
        <w:rPr>
          <w:rFonts w:ascii="Arial" w:hAnsi="Arial" w:cs="Arial"/>
          <w:lang w:val="es-CO"/>
        </w:rPr>
        <w:t>;</w:t>
      </w:r>
      <w:r w:rsidR="008A1F44" w:rsidRPr="00745205">
        <w:rPr>
          <w:rFonts w:ascii="Arial" w:hAnsi="Arial" w:cs="Arial"/>
          <w:lang w:val="es-CO"/>
        </w:rPr>
        <w:t xml:space="preserve"> pese a ello, advirtió </w:t>
      </w:r>
      <w:r w:rsidR="00175FF1" w:rsidRPr="00745205">
        <w:rPr>
          <w:rFonts w:ascii="Arial" w:hAnsi="Arial" w:cs="Arial"/>
          <w:lang w:val="es-CO"/>
        </w:rPr>
        <w:t xml:space="preserve">no solo la </w:t>
      </w:r>
      <w:r w:rsidR="008A1F44" w:rsidRPr="00745205">
        <w:rPr>
          <w:rFonts w:ascii="Arial" w:hAnsi="Arial" w:cs="Arial"/>
          <w:lang w:val="es-CO"/>
        </w:rPr>
        <w:t xml:space="preserve">ausencia de prueba </w:t>
      </w:r>
      <w:r w:rsidR="008A1F44" w:rsidRPr="00745205">
        <w:rPr>
          <w:rFonts w:ascii="Arial" w:hAnsi="Arial" w:cs="Arial"/>
          <w:lang w:val="es-CO"/>
        </w:rPr>
        <w:lastRenderedPageBreak/>
        <w:t>sumaria por concepto de los ingresos que el actor dejaría de percibir con ocasión del acto</w:t>
      </w:r>
      <w:r w:rsidR="00175FF1" w:rsidRPr="00745205">
        <w:rPr>
          <w:rFonts w:ascii="Arial" w:hAnsi="Arial" w:cs="Arial"/>
          <w:lang w:val="es-CO"/>
        </w:rPr>
        <w:t xml:space="preserve">, sino también la inexistencia </w:t>
      </w:r>
      <w:r w:rsidR="008A1F44" w:rsidRPr="00745205">
        <w:rPr>
          <w:rFonts w:ascii="Arial" w:hAnsi="Arial" w:cs="Arial"/>
          <w:lang w:val="es-CO"/>
        </w:rPr>
        <w:t>de</w:t>
      </w:r>
      <w:r w:rsidR="00175FF1" w:rsidRPr="00745205">
        <w:rPr>
          <w:rFonts w:ascii="Arial" w:hAnsi="Arial" w:cs="Arial"/>
          <w:lang w:val="es-CO"/>
        </w:rPr>
        <w:t xml:space="preserve"> un</w:t>
      </w:r>
      <w:r w:rsidR="008A1F44" w:rsidRPr="00745205">
        <w:rPr>
          <w:rFonts w:ascii="Arial" w:hAnsi="Arial" w:cs="Arial"/>
          <w:lang w:val="es-CO"/>
        </w:rPr>
        <w:t xml:space="preserve"> contrato de arrendamiento vigente a la fecha de la invitación p</w:t>
      </w:r>
      <w:r w:rsidR="005645F9" w:rsidRPr="00745205">
        <w:rPr>
          <w:rFonts w:ascii="Arial" w:hAnsi="Arial" w:cs="Arial"/>
          <w:lang w:val="es-CO"/>
        </w:rPr>
        <w:t xml:space="preserve">ública, </w:t>
      </w:r>
      <w:r w:rsidR="008A1F44" w:rsidRPr="00745205">
        <w:rPr>
          <w:rFonts w:ascii="Arial" w:hAnsi="Arial" w:cs="Arial"/>
          <w:lang w:val="es-CO"/>
        </w:rPr>
        <w:t>que estableciera obligaciones de la demandada con el accionante.</w:t>
      </w:r>
    </w:p>
    <w:p w:rsidR="008A1F44" w:rsidRPr="00745205" w:rsidRDefault="008A1F44" w:rsidP="00062571">
      <w:pPr>
        <w:pStyle w:val="NormalWeb"/>
        <w:spacing w:line="360" w:lineRule="auto"/>
        <w:jc w:val="both"/>
        <w:rPr>
          <w:rFonts w:ascii="Arial" w:hAnsi="Arial" w:cs="Arial"/>
          <w:lang w:val="es-CO"/>
        </w:rPr>
      </w:pPr>
    </w:p>
    <w:p w:rsidR="00053510" w:rsidRPr="00745205" w:rsidRDefault="00E63D95" w:rsidP="00062571">
      <w:pPr>
        <w:pStyle w:val="NormalWeb"/>
        <w:spacing w:line="360" w:lineRule="auto"/>
        <w:jc w:val="both"/>
        <w:rPr>
          <w:rFonts w:ascii="Arial" w:hAnsi="Arial" w:cs="Arial"/>
          <w:lang w:val="es-CO"/>
        </w:rPr>
      </w:pPr>
      <w:r w:rsidRPr="00745205">
        <w:rPr>
          <w:rFonts w:ascii="Arial" w:hAnsi="Arial" w:cs="Arial"/>
          <w:lang w:val="es-CO"/>
        </w:rPr>
        <w:t>Indicó</w:t>
      </w:r>
      <w:r w:rsidR="00E415FA" w:rsidRPr="00745205">
        <w:rPr>
          <w:rFonts w:ascii="Arial" w:hAnsi="Arial" w:cs="Arial"/>
          <w:lang w:val="es-CO"/>
        </w:rPr>
        <w:t xml:space="preserve"> </w:t>
      </w:r>
      <w:r w:rsidR="00053510" w:rsidRPr="00745205">
        <w:rPr>
          <w:rFonts w:ascii="Arial" w:hAnsi="Arial" w:cs="Arial"/>
          <w:lang w:val="es-CO"/>
        </w:rPr>
        <w:t>que aunque el actor manifestó que el acto administrativo reprochado desconocía la existencia de un contrato con la entidad, lo cierto era que al examinar el material probatorio se apreciaba que el arrendamiento de la hacienda Potosí no fue pactado con la DNE sino con el señor Edmundo Delgado Villamizar, en su condición de depositario provisional del inmueble.</w:t>
      </w:r>
    </w:p>
    <w:p w:rsidR="00053510" w:rsidRPr="00745205" w:rsidRDefault="00053510" w:rsidP="00062571">
      <w:pPr>
        <w:pStyle w:val="NormalWeb"/>
        <w:spacing w:line="360" w:lineRule="auto"/>
        <w:jc w:val="both"/>
        <w:rPr>
          <w:rFonts w:ascii="Arial" w:hAnsi="Arial" w:cs="Arial"/>
          <w:lang w:val="es-CO"/>
        </w:rPr>
      </w:pPr>
    </w:p>
    <w:p w:rsidR="002323CF" w:rsidRPr="00745205" w:rsidRDefault="00E415FA" w:rsidP="00062571">
      <w:pPr>
        <w:pStyle w:val="NormalWeb"/>
        <w:spacing w:line="360" w:lineRule="auto"/>
        <w:jc w:val="both"/>
        <w:rPr>
          <w:rFonts w:ascii="Arial" w:hAnsi="Arial" w:cs="Arial"/>
          <w:lang w:val="es-CO"/>
        </w:rPr>
      </w:pPr>
      <w:r w:rsidRPr="00745205">
        <w:rPr>
          <w:rFonts w:ascii="Arial" w:hAnsi="Arial" w:cs="Arial"/>
          <w:lang w:val="es-CO"/>
        </w:rPr>
        <w:t xml:space="preserve">Señaló </w:t>
      </w:r>
      <w:r w:rsidR="002323CF" w:rsidRPr="00745205">
        <w:rPr>
          <w:rFonts w:ascii="Arial" w:hAnsi="Arial" w:cs="Arial"/>
          <w:lang w:val="es-CO"/>
        </w:rPr>
        <w:t>que el término de duración del arrendamiento sería de tres años contados a partir de la autorización de la DNE, la cual ocurrió el 5 de junio de 2009</w:t>
      </w:r>
      <w:r w:rsidRPr="00745205">
        <w:rPr>
          <w:rFonts w:ascii="Arial" w:hAnsi="Arial" w:cs="Arial"/>
          <w:lang w:val="es-CO"/>
        </w:rPr>
        <w:t>,</w:t>
      </w:r>
      <w:r w:rsidR="002323CF" w:rsidRPr="00745205">
        <w:rPr>
          <w:rFonts w:ascii="Arial" w:hAnsi="Arial" w:cs="Arial"/>
          <w:lang w:val="es-CO"/>
        </w:rPr>
        <w:t xml:space="preserve"> como consta en Otrosí de la misma fecha, de ahí que venció el 5 de junio de 2012, de manera que al </w:t>
      </w:r>
      <w:r w:rsidR="0040272D" w:rsidRPr="00745205">
        <w:rPr>
          <w:rFonts w:ascii="Arial" w:hAnsi="Arial" w:cs="Arial"/>
          <w:lang w:val="es-CO"/>
        </w:rPr>
        <w:t xml:space="preserve">expedirse </w:t>
      </w:r>
      <w:r w:rsidR="002323CF" w:rsidRPr="00745205">
        <w:rPr>
          <w:rFonts w:ascii="Arial" w:hAnsi="Arial" w:cs="Arial"/>
          <w:lang w:val="es-CO"/>
        </w:rPr>
        <w:t xml:space="preserve">la invitación pública No. 3 del 29 de julio de 2013, el aludido acuerdo de voluntades ya había expirado. </w:t>
      </w:r>
    </w:p>
    <w:p w:rsidR="002323CF" w:rsidRPr="00745205" w:rsidRDefault="002323CF" w:rsidP="00062571">
      <w:pPr>
        <w:pStyle w:val="NormalWeb"/>
        <w:spacing w:line="360" w:lineRule="auto"/>
        <w:jc w:val="both"/>
        <w:rPr>
          <w:rFonts w:ascii="Arial" w:hAnsi="Arial" w:cs="Arial"/>
          <w:lang w:val="es-CO"/>
        </w:rPr>
      </w:pPr>
    </w:p>
    <w:p w:rsidR="00695CC8" w:rsidRPr="00745205" w:rsidRDefault="00695CC8" w:rsidP="00062571">
      <w:pPr>
        <w:pStyle w:val="NormalWeb"/>
        <w:spacing w:line="360" w:lineRule="auto"/>
        <w:jc w:val="both"/>
        <w:rPr>
          <w:rFonts w:ascii="Arial" w:hAnsi="Arial" w:cs="Arial"/>
          <w:lang w:val="es-CO"/>
        </w:rPr>
      </w:pPr>
      <w:r w:rsidRPr="00745205">
        <w:rPr>
          <w:rFonts w:ascii="Arial" w:hAnsi="Arial" w:cs="Arial"/>
          <w:lang w:val="es-CO"/>
        </w:rPr>
        <w:t>Añadió que, en gracia de discusión, si tal acuerdo se hubiera prorrogado por los contratantes, esa estipulación de los particulares no comprometía a la DNE, pues las entidades solo podían obligarse contractualmente cuando ellas mismas celebraban el acuerdo de voluntades (artículos 24, 29, 30 y 41 de la Ley 80 de 1993.</w:t>
      </w:r>
    </w:p>
    <w:p w:rsidR="00695CC8" w:rsidRPr="00745205" w:rsidRDefault="00695CC8" w:rsidP="00062571">
      <w:pPr>
        <w:pStyle w:val="NormalWeb"/>
        <w:spacing w:line="360" w:lineRule="auto"/>
        <w:jc w:val="both"/>
        <w:rPr>
          <w:rFonts w:ascii="Arial" w:hAnsi="Arial" w:cs="Arial"/>
          <w:lang w:val="es-CO"/>
        </w:rPr>
      </w:pPr>
    </w:p>
    <w:p w:rsidR="00E415FA" w:rsidRPr="00745205" w:rsidRDefault="00695CC8" w:rsidP="00062571">
      <w:pPr>
        <w:pStyle w:val="NormalWeb"/>
        <w:spacing w:line="360" w:lineRule="auto"/>
        <w:jc w:val="both"/>
        <w:rPr>
          <w:rFonts w:ascii="Arial" w:hAnsi="Arial" w:cs="Arial"/>
          <w:lang w:val="es-CO"/>
        </w:rPr>
      </w:pPr>
      <w:r w:rsidRPr="00745205">
        <w:rPr>
          <w:rFonts w:ascii="Arial" w:hAnsi="Arial" w:cs="Arial"/>
          <w:lang w:val="es-CO"/>
        </w:rPr>
        <w:t>Finalmente, concluyó que en el contrato de arrendamiento de la hacienda Potosí las partes señalaron expresamente que quien figuraba como arrendador, el señor Edmundo Delgado Villamizar, era el depositario provisional del inmueble, luego, si esta circunstancia fue reconocida por el arrendatario, ello implicaba su aceptación de que la entidad estatal pudiera retomar directamente el bien en cualquier momento</w:t>
      </w:r>
      <w:r w:rsidR="00DE7523" w:rsidRPr="00745205">
        <w:rPr>
          <w:rStyle w:val="Refdenotaalpie"/>
          <w:rFonts w:ascii="Arial" w:hAnsi="Arial" w:cs="Arial"/>
          <w:lang w:val="es-CO"/>
        </w:rPr>
        <w:footnoteReference w:id="4"/>
      </w:r>
      <w:r w:rsidR="006400B7" w:rsidRPr="00745205">
        <w:rPr>
          <w:rFonts w:ascii="Arial" w:hAnsi="Arial" w:cs="Arial"/>
          <w:lang w:val="es-CO"/>
        </w:rPr>
        <w:t xml:space="preserve">.     </w:t>
      </w:r>
    </w:p>
    <w:p w:rsidR="00E415FA" w:rsidRPr="00745205" w:rsidRDefault="00E415FA" w:rsidP="00062571">
      <w:pPr>
        <w:pStyle w:val="NormalWeb"/>
        <w:spacing w:line="360" w:lineRule="auto"/>
        <w:jc w:val="both"/>
        <w:rPr>
          <w:rFonts w:ascii="Arial" w:hAnsi="Arial" w:cs="Arial"/>
          <w:lang w:val="es-CO"/>
        </w:rPr>
      </w:pPr>
    </w:p>
    <w:p w:rsidR="005E1011" w:rsidRPr="00745205" w:rsidRDefault="005E1011" w:rsidP="00062571">
      <w:pPr>
        <w:pStyle w:val="NormalWeb"/>
        <w:spacing w:line="360" w:lineRule="auto"/>
        <w:jc w:val="both"/>
        <w:rPr>
          <w:rFonts w:ascii="Arial" w:hAnsi="Arial" w:cs="Arial"/>
          <w:b/>
          <w:lang w:val="es-CO"/>
        </w:rPr>
      </w:pPr>
      <w:r w:rsidRPr="00745205">
        <w:rPr>
          <w:rFonts w:ascii="Arial" w:hAnsi="Arial" w:cs="Arial"/>
          <w:b/>
          <w:lang w:val="es-CO"/>
        </w:rPr>
        <w:t>3.</w:t>
      </w:r>
      <w:r w:rsidR="007D64B0" w:rsidRPr="00745205">
        <w:rPr>
          <w:rFonts w:ascii="Arial" w:hAnsi="Arial" w:cs="Arial"/>
          <w:b/>
          <w:lang w:val="es-CO"/>
        </w:rPr>
        <w:t>-</w:t>
      </w:r>
      <w:r w:rsidRPr="00745205">
        <w:rPr>
          <w:rFonts w:ascii="Arial" w:hAnsi="Arial" w:cs="Arial"/>
          <w:b/>
          <w:lang w:val="es-CO"/>
        </w:rPr>
        <w:t xml:space="preserve"> Objeto del recurso</w:t>
      </w:r>
    </w:p>
    <w:p w:rsidR="005E1011" w:rsidRPr="00745205" w:rsidRDefault="005E1011" w:rsidP="00062571">
      <w:pPr>
        <w:pStyle w:val="NormalWeb"/>
        <w:spacing w:line="360" w:lineRule="auto"/>
        <w:jc w:val="both"/>
        <w:rPr>
          <w:rFonts w:ascii="Arial" w:hAnsi="Arial" w:cs="Arial"/>
          <w:lang w:val="es-CO"/>
        </w:rPr>
      </w:pPr>
    </w:p>
    <w:p w:rsidR="000363CF" w:rsidRPr="00745205" w:rsidRDefault="00DE7523" w:rsidP="00062571">
      <w:pPr>
        <w:pStyle w:val="NormalWeb"/>
        <w:spacing w:line="360" w:lineRule="auto"/>
        <w:jc w:val="both"/>
        <w:rPr>
          <w:rFonts w:ascii="Arial" w:hAnsi="Arial" w:cs="Arial"/>
          <w:lang w:val="es-CO"/>
        </w:rPr>
      </w:pPr>
      <w:r w:rsidRPr="00745205">
        <w:rPr>
          <w:rFonts w:ascii="Arial" w:hAnsi="Arial" w:cs="Arial"/>
          <w:lang w:val="es-CO"/>
        </w:rPr>
        <w:t>La parte actora solicitó que se revocara el proveído del 12 de octubre de 2016 y</w:t>
      </w:r>
      <w:r w:rsidR="00E63D95" w:rsidRPr="00745205">
        <w:rPr>
          <w:rFonts w:ascii="Arial" w:hAnsi="Arial" w:cs="Arial"/>
          <w:lang w:val="es-CO"/>
        </w:rPr>
        <w:t xml:space="preserve"> que</w:t>
      </w:r>
      <w:r w:rsidRPr="00745205">
        <w:rPr>
          <w:rFonts w:ascii="Arial" w:hAnsi="Arial" w:cs="Arial"/>
          <w:lang w:val="es-CO"/>
        </w:rPr>
        <w:t>, en su lugar</w:t>
      </w:r>
      <w:r w:rsidR="00E63D95" w:rsidRPr="00745205">
        <w:rPr>
          <w:rFonts w:ascii="Arial" w:hAnsi="Arial" w:cs="Arial"/>
          <w:lang w:val="es-CO"/>
        </w:rPr>
        <w:t>,</w:t>
      </w:r>
      <w:r w:rsidRPr="00745205">
        <w:rPr>
          <w:rFonts w:ascii="Arial" w:hAnsi="Arial" w:cs="Arial"/>
          <w:lang w:val="es-CO"/>
        </w:rPr>
        <w:t xml:space="preserve"> se decretara la medida de suspensión provisional solicitada.</w:t>
      </w:r>
    </w:p>
    <w:p w:rsidR="00DE7523" w:rsidRPr="00745205" w:rsidRDefault="00DE7523" w:rsidP="00062571">
      <w:pPr>
        <w:pStyle w:val="NormalWeb"/>
        <w:spacing w:line="360" w:lineRule="auto"/>
        <w:jc w:val="both"/>
        <w:rPr>
          <w:rFonts w:ascii="Arial" w:hAnsi="Arial" w:cs="Arial"/>
          <w:lang w:val="es-CO"/>
        </w:rPr>
      </w:pPr>
    </w:p>
    <w:p w:rsidR="00DE7523" w:rsidRPr="00745205" w:rsidRDefault="00DE7523" w:rsidP="00062571">
      <w:pPr>
        <w:pStyle w:val="NormalWeb"/>
        <w:spacing w:line="360" w:lineRule="auto"/>
        <w:jc w:val="both"/>
        <w:rPr>
          <w:rFonts w:ascii="Arial" w:hAnsi="Arial" w:cs="Arial"/>
          <w:lang w:val="es-CO"/>
        </w:rPr>
      </w:pPr>
      <w:r w:rsidRPr="00745205">
        <w:rPr>
          <w:rFonts w:ascii="Arial" w:hAnsi="Arial" w:cs="Arial"/>
          <w:lang w:val="es-CO"/>
        </w:rPr>
        <w:lastRenderedPageBreak/>
        <w:t>Insistió en que la invitación pública No. 3 del 29 de julio de 2013</w:t>
      </w:r>
      <w:r w:rsidR="00E415FA" w:rsidRPr="00745205">
        <w:rPr>
          <w:rFonts w:ascii="Arial" w:hAnsi="Arial" w:cs="Arial"/>
          <w:lang w:val="es-CO"/>
        </w:rPr>
        <w:t>,</w:t>
      </w:r>
      <w:r w:rsidRPr="00745205">
        <w:rPr>
          <w:rFonts w:ascii="Arial" w:hAnsi="Arial" w:cs="Arial"/>
          <w:lang w:val="es-CO"/>
        </w:rPr>
        <w:t xml:space="preserve"> expedida por la DNE</w:t>
      </w:r>
      <w:r w:rsidR="00E415FA" w:rsidRPr="00745205">
        <w:rPr>
          <w:rFonts w:ascii="Arial" w:hAnsi="Arial" w:cs="Arial"/>
          <w:lang w:val="es-CO"/>
        </w:rPr>
        <w:t>,</w:t>
      </w:r>
      <w:r w:rsidRPr="00745205">
        <w:rPr>
          <w:rFonts w:ascii="Arial" w:hAnsi="Arial" w:cs="Arial"/>
          <w:lang w:val="es-CO"/>
        </w:rPr>
        <w:t>desconoció el contrato de arrendamiento</w:t>
      </w:r>
      <w:r w:rsidR="00E63D95" w:rsidRPr="00745205">
        <w:rPr>
          <w:rFonts w:ascii="Arial" w:hAnsi="Arial" w:cs="Arial"/>
          <w:lang w:val="es-CO"/>
        </w:rPr>
        <w:t>,</w:t>
      </w:r>
      <w:r w:rsidRPr="00745205">
        <w:rPr>
          <w:rFonts w:ascii="Arial" w:hAnsi="Arial" w:cs="Arial"/>
          <w:lang w:val="es-CO"/>
        </w:rPr>
        <w:t xml:space="preserve"> </w:t>
      </w:r>
      <w:r w:rsidR="007A0E06" w:rsidRPr="00745205">
        <w:rPr>
          <w:rFonts w:ascii="Arial" w:hAnsi="Arial" w:cs="Arial"/>
          <w:lang w:val="es-CO"/>
        </w:rPr>
        <w:t>pues su objeto era arrendar el predio que ya se encontraba arrendado y</w:t>
      </w:r>
      <w:r w:rsidR="00E415FA" w:rsidRPr="00745205">
        <w:rPr>
          <w:rFonts w:ascii="Arial" w:hAnsi="Arial" w:cs="Arial"/>
          <w:lang w:val="es-CO"/>
        </w:rPr>
        <w:t>,</w:t>
      </w:r>
      <w:r w:rsidR="007A0E06" w:rsidRPr="00745205">
        <w:rPr>
          <w:rFonts w:ascii="Arial" w:hAnsi="Arial" w:cs="Arial"/>
          <w:lang w:val="es-CO"/>
        </w:rPr>
        <w:t xml:space="preserve"> como consecuencia</w:t>
      </w:r>
      <w:r w:rsidR="00E415FA" w:rsidRPr="00745205">
        <w:rPr>
          <w:rFonts w:ascii="Arial" w:hAnsi="Arial" w:cs="Arial"/>
          <w:lang w:val="es-CO"/>
        </w:rPr>
        <w:t>,</w:t>
      </w:r>
      <w:r w:rsidR="007A0E06" w:rsidRPr="00745205">
        <w:rPr>
          <w:rFonts w:ascii="Arial" w:hAnsi="Arial" w:cs="Arial"/>
          <w:lang w:val="es-CO"/>
        </w:rPr>
        <w:t xml:space="preserve"> se firmó </w:t>
      </w:r>
      <w:r w:rsidR="00E63D95" w:rsidRPr="00745205">
        <w:rPr>
          <w:rFonts w:ascii="Arial" w:hAnsi="Arial" w:cs="Arial"/>
          <w:lang w:val="es-CO"/>
        </w:rPr>
        <w:t>otro</w:t>
      </w:r>
      <w:r w:rsidR="007A0E06" w:rsidRPr="00745205">
        <w:rPr>
          <w:rFonts w:ascii="Arial" w:hAnsi="Arial" w:cs="Arial"/>
          <w:lang w:val="es-CO"/>
        </w:rPr>
        <w:t xml:space="preserve"> con la empresa S</w:t>
      </w:r>
      <w:r w:rsidR="00E63D95" w:rsidRPr="00745205">
        <w:rPr>
          <w:rFonts w:ascii="Arial" w:hAnsi="Arial" w:cs="Arial"/>
          <w:lang w:val="es-CO"/>
        </w:rPr>
        <w:t xml:space="preserve">IG </w:t>
      </w:r>
      <w:r w:rsidR="007A0E06" w:rsidRPr="00745205">
        <w:rPr>
          <w:rFonts w:ascii="Arial" w:hAnsi="Arial" w:cs="Arial"/>
          <w:lang w:val="es-CO"/>
        </w:rPr>
        <w:t>SOUTHWESTERN INTERNATIONAL GROUP S</w:t>
      </w:r>
      <w:r w:rsidR="00DD7FCB" w:rsidRPr="00745205">
        <w:rPr>
          <w:rFonts w:ascii="Arial" w:hAnsi="Arial" w:cs="Arial"/>
          <w:lang w:val="es-CO"/>
        </w:rPr>
        <w:t>.</w:t>
      </w:r>
      <w:r w:rsidR="007A0E06" w:rsidRPr="00745205">
        <w:rPr>
          <w:rFonts w:ascii="Arial" w:hAnsi="Arial" w:cs="Arial"/>
          <w:lang w:val="es-CO"/>
        </w:rPr>
        <w:t>A</w:t>
      </w:r>
      <w:r w:rsidR="00DD7FCB" w:rsidRPr="00745205">
        <w:rPr>
          <w:rFonts w:ascii="Arial" w:hAnsi="Arial" w:cs="Arial"/>
          <w:lang w:val="es-CO"/>
        </w:rPr>
        <w:t>.</w:t>
      </w:r>
      <w:r w:rsidR="007A0E06" w:rsidRPr="00745205">
        <w:rPr>
          <w:rFonts w:ascii="Arial" w:hAnsi="Arial" w:cs="Arial"/>
          <w:lang w:val="es-CO"/>
        </w:rPr>
        <w:t>, tal como se acreditaba con la copia del acta de adjudicación de la oferta</w:t>
      </w:r>
      <w:r w:rsidR="00DD7FCB" w:rsidRPr="00745205">
        <w:rPr>
          <w:rFonts w:ascii="Arial" w:hAnsi="Arial" w:cs="Arial"/>
          <w:lang w:val="es-CO"/>
        </w:rPr>
        <w:t xml:space="preserve">, </w:t>
      </w:r>
      <w:r w:rsidR="00E63D95" w:rsidRPr="00745205">
        <w:rPr>
          <w:rFonts w:ascii="Arial" w:hAnsi="Arial" w:cs="Arial"/>
          <w:lang w:val="es-CO"/>
        </w:rPr>
        <w:t>lo que</w:t>
      </w:r>
      <w:r w:rsidR="00DD7FCB" w:rsidRPr="00745205">
        <w:rPr>
          <w:rFonts w:ascii="Arial" w:hAnsi="Arial" w:cs="Arial"/>
          <w:lang w:val="es-CO"/>
        </w:rPr>
        <w:t xml:space="preserve"> desechaba la relación contractual y la explotación de buena fe realizada por el actor. </w:t>
      </w:r>
    </w:p>
    <w:p w:rsidR="00DD7FCB" w:rsidRPr="00745205" w:rsidRDefault="00DD7FCB" w:rsidP="00062571">
      <w:pPr>
        <w:pStyle w:val="NormalWeb"/>
        <w:spacing w:line="360" w:lineRule="auto"/>
        <w:jc w:val="both"/>
        <w:rPr>
          <w:rFonts w:ascii="Arial" w:hAnsi="Arial" w:cs="Arial"/>
          <w:lang w:val="es-CO"/>
        </w:rPr>
      </w:pPr>
    </w:p>
    <w:p w:rsidR="00DD7FCB" w:rsidRPr="00745205" w:rsidRDefault="00DD7FCB" w:rsidP="00062571">
      <w:pPr>
        <w:pStyle w:val="NormalWeb"/>
        <w:spacing w:line="360" w:lineRule="auto"/>
        <w:jc w:val="both"/>
        <w:rPr>
          <w:rFonts w:ascii="Arial" w:hAnsi="Arial" w:cs="Arial"/>
          <w:lang w:val="es-CO"/>
        </w:rPr>
      </w:pPr>
      <w:r w:rsidRPr="00745205">
        <w:rPr>
          <w:rFonts w:ascii="Arial" w:hAnsi="Arial" w:cs="Arial"/>
          <w:lang w:val="es-CO"/>
        </w:rPr>
        <w:t>Sostuvo que al margen de no haberse precisado los perjuicios en la solicitud de suspensión provisional, era claro que al existir una relación contractual de explotación agrícola</w:t>
      </w:r>
      <w:r w:rsidR="003B6808" w:rsidRPr="00745205">
        <w:rPr>
          <w:rFonts w:ascii="Arial" w:hAnsi="Arial" w:cs="Arial"/>
          <w:lang w:val="es-CO"/>
        </w:rPr>
        <w:t xml:space="preserve"> y ganadera </w:t>
      </w:r>
      <w:r w:rsidRPr="00745205">
        <w:rPr>
          <w:rFonts w:ascii="Arial" w:hAnsi="Arial" w:cs="Arial"/>
          <w:lang w:val="es-CO"/>
        </w:rPr>
        <w:t xml:space="preserve">y luego </w:t>
      </w:r>
      <w:r w:rsidR="00E63D95" w:rsidRPr="00745205">
        <w:rPr>
          <w:rFonts w:ascii="Arial" w:hAnsi="Arial" w:cs="Arial"/>
          <w:lang w:val="es-CO"/>
        </w:rPr>
        <w:t>otorgársela</w:t>
      </w:r>
      <w:r w:rsidRPr="00745205">
        <w:rPr>
          <w:rFonts w:ascii="Arial" w:hAnsi="Arial" w:cs="Arial"/>
          <w:lang w:val="es-CO"/>
        </w:rPr>
        <w:t xml:space="preserve"> a la sociedad SIG SOUTHWESTERN INTERNATIONAL GROUP S.A., se ponían en </w:t>
      </w:r>
      <w:r w:rsidR="00E415FA" w:rsidRPr="00745205">
        <w:rPr>
          <w:rFonts w:ascii="Arial" w:hAnsi="Arial" w:cs="Arial"/>
          <w:lang w:val="es-CO"/>
        </w:rPr>
        <w:t>inm</w:t>
      </w:r>
      <w:r w:rsidRPr="00745205">
        <w:rPr>
          <w:rFonts w:ascii="Arial" w:hAnsi="Arial" w:cs="Arial"/>
          <w:lang w:val="es-CO"/>
        </w:rPr>
        <w:t>inente riesgo los cultivos de temprana edad en el terreno</w:t>
      </w:r>
      <w:r w:rsidR="00E415FA" w:rsidRPr="00745205">
        <w:rPr>
          <w:rFonts w:ascii="Arial" w:hAnsi="Arial" w:cs="Arial"/>
          <w:lang w:val="es-CO"/>
        </w:rPr>
        <w:t>,</w:t>
      </w:r>
      <w:r w:rsidR="00053E0E" w:rsidRPr="00745205">
        <w:rPr>
          <w:rFonts w:ascii="Arial" w:hAnsi="Arial" w:cs="Arial"/>
          <w:lang w:val="es-CO"/>
        </w:rPr>
        <w:t xml:space="preserve"> así como las mejoras efectuadas en el inmueble</w:t>
      </w:r>
      <w:r w:rsidR="003B6808" w:rsidRPr="00745205">
        <w:rPr>
          <w:rFonts w:ascii="Arial" w:hAnsi="Arial" w:cs="Arial"/>
          <w:lang w:val="es-CO"/>
        </w:rPr>
        <w:t xml:space="preserve">. Igualmente, señaló que se le causaba perturbación a la tenencia si se procuraba hacer </w:t>
      </w:r>
      <w:r w:rsidR="00DD609F" w:rsidRPr="00745205">
        <w:rPr>
          <w:rFonts w:ascii="Arial" w:hAnsi="Arial" w:cs="Arial"/>
          <w:lang w:val="es-CO"/>
        </w:rPr>
        <w:t xml:space="preserve">la </w:t>
      </w:r>
      <w:r w:rsidR="003B6808" w:rsidRPr="00745205">
        <w:rPr>
          <w:rFonts w:ascii="Arial" w:hAnsi="Arial" w:cs="Arial"/>
          <w:lang w:val="es-CO"/>
        </w:rPr>
        <w:t xml:space="preserve">entrega del bien a la nueva arrendataria. </w:t>
      </w:r>
    </w:p>
    <w:p w:rsidR="00256A04" w:rsidRPr="00745205" w:rsidRDefault="00256A04" w:rsidP="00062571">
      <w:pPr>
        <w:pStyle w:val="NormalWeb"/>
        <w:spacing w:line="360" w:lineRule="auto"/>
        <w:jc w:val="both"/>
        <w:rPr>
          <w:rFonts w:ascii="Arial" w:hAnsi="Arial" w:cs="Arial"/>
          <w:lang w:val="es-CO"/>
        </w:rPr>
      </w:pPr>
    </w:p>
    <w:p w:rsidR="00256A04" w:rsidRPr="00745205" w:rsidRDefault="00872DA2" w:rsidP="00062571">
      <w:pPr>
        <w:pStyle w:val="NormalWeb"/>
        <w:spacing w:line="360" w:lineRule="auto"/>
        <w:jc w:val="both"/>
        <w:rPr>
          <w:rFonts w:ascii="Arial" w:hAnsi="Arial" w:cs="Arial"/>
          <w:lang w:val="es-CO"/>
        </w:rPr>
      </w:pPr>
      <w:r w:rsidRPr="00745205">
        <w:rPr>
          <w:rFonts w:ascii="Arial" w:hAnsi="Arial" w:cs="Arial"/>
          <w:lang w:val="es-CO"/>
        </w:rPr>
        <w:t>Finalmente, a</w:t>
      </w:r>
      <w:r w:rsidR="00541E43" w:rsidRPr="00745205">
        <w:rPr>
          <w:rFonts w:ascii="Arial" w:hAnsi="Arial" w:cs="Arial"/>
          <w:lang w:val="es-CO"/>
        </w:rPr>
        <w:t xml:space="preserve">rgumentó que en el presente caso se presentaban las siguientes situaciones: </w:t>
      </w:r>
      <w:r w:rsidR="00541E43" w:rsidRPr="00745205">
        <w:rPr>
          <w:rFonts w:ascii="Arial" w:hAnsi="Arial" w:cs="Arial"/>
          <w:i/>
          <w:lang w:val="es-CO"/>
        </w:rPr>
        <w:t>a)</w:t>
      </w:r>
      <w:r w:rsidR="00541E43" w:rsidRPr="00745205">
        <w:rPr>
          <w:rFonts w:ascii="Arial" w:hAnsi="Arial" w:cs="Arial"/>
          <w:lang w:val="es-CO"/>
        </w:rPr>
        <w:t xml:space="preserve"> la DNE, para defender el predio de ocupantes ilegales autorizó el contrato de arrendamiento; </w:t>
      </w:r>
      <w:r w:rsidR="00541E43" w:rsidRPr="00745205">
        <w:rPr>
          <w:rFonts w:ascii="Arial" w:hAnsi="Arial" w:cs="Arial"/>
          <w:i/>
          <w:lang w:val="es-CO"/>
        </w:rPr>
        <w:t>b)</w:t>
      </w:r>
      <w:r w:rsidR="00541E43" w:rsidRPr="00745205">
        <w:rPr>
          <w:rFonts w:ascii="Arial" w:hAnsi="Arial" w:cs="Arial"/>
          <w:lang w:val="es-CO"/>
        </w:rPr>
        <w:t xml:space="preserve"> la DNE avaló en el Otrosí que se modificaran las cláusulas de renovación contractual en las que se modificaron los tiempos</w:t>
      </w:r>
      <w:r w:rsidR="00344924" w:rsidRPr="00745205">
        <w:rPr>
          <w:rFonts w:ascii="Arial" w:hAnsi="Arial" w:cs="Arial"/>
          <w:lang w:val="es-CO"/>
        </w:rPr>
        <w:t xml:space="preserve"> con una ampliación de 180 días, dado que la duración del plan de mejoramiento y de fertilización de los cultivos extremaba el término de vigencia del contrato</w:t>
      </w:r>
      <w:r w:rsidRPr="00745205">
        <w:rPr>
          <w:rFonts w:ascii="Arial" w:hAnsi="Arial" w:cs="Arial"/>
          <w:lang w:val="es-CO"/>
        </w:rPr>
        <w:t xml:space="preserve"> y</w:t>
      </w:r>
      <w:r w:rsidR="00344924" w:rsidRPr="00745205">
        <w:rPr>
          <w:rFonts w:ascii="Arial" w:hAnsi="Arial" w:cs="Arial"/>
          <w:lang w:val="es-CO"/>
        </w:rPr>
        <w:t xml:space="preserve">; c) el señor </w:t>
      </w:r>
      <w:r w:rsidR="00344924" w:rsidRPr="00745205">
        <w:rPr>
          <w:rFonts w:ascii="Arial" w:hAnsi="Arial" w:cs="Arial"/>
        </w:rPr>
        <w:t>Javier Ricardo Delgado Ramírez</w:t>
      </w:r>
      <w:r w:rsidR="00E415FA" w:rsidRPr="00745205">
        <w:rPr>
          <w:rFonts w:ascii="Arial" w:hAnsi="Arial" w:cs="Arial"/>
        </w:rPr>
        <w:t>,</w:t>
      </w:r>
      <w:r w:rsidR="00344924" w:rsidRPr="00745205">
        <w:rPr>
          <w:rFonts w:ascii="Arial" w:hAnsi="Arial" w:cs="Arial"/>
        </w:rPr>
        <w:t xml:space="preserve"> </w:t>
      </w:r>
      <w:r w:rsidRPr="00745205">
        <w:rPr>
          <w:rFonts w:ascii="Arial" w:hAnsi="Arial" w:cs="Arial"/>
        </w:rPr>
        <w:t>en su calidad de arrendatario</w:t>
      </w:r>
      <w:r w:rsidR="00E415FA" w:rsidRPr="00745205">
        <w:rPr>
          <w:rFonts w:ascii="Arial" w:hAnsi="Arial" w:cs="Arial"/>
        </w:rPr>
        <w:t>,</w:t>
      </w:r>
      <w:r w:rsidRPr="00745205">
        <w:rPr>
          <w:rFonts w:ascii="Arial" w:hAnsi="Arial" w:cs="Arial"/>
        </w:rPr>
        <w:t xml:space="preserve"> </w:t>
      </w:r>
      <w:r w:rsidR="00344924" w:rsidRPr="00745205">
        <w:rPr>
          <w:rFonts w:ascii="Arial" w:hAnsi="Arial" w:cs="Arial"/>
        </w:rPr>
        <w:t>siempre obró de buena fe</w:t>
      </w:r>
      <w:r w:rsidRPr="00745205">
        <w:rPr>
          <w:rFonts w:ascii="Arial" w:hAnsi="Arial" w:cs="Arial"/>
        </w:rPr>
        <w:t>.</w:t>
      </w:r>
      <w:r w:rsidR="00344924" w:rsidRPr="00745205">
        <w:rPr>
          <w:rFonts w:ascii="Arial" w:hAnsi="Arial" w:cs="Arial"/>
          <w:lang w:val="es-CO"/>
        </w:rPr>
        <w:t xml:space="preserve"> </w:t>
      </w:r>
      <w:r w:rsidR="00541E43" w:rsidRPr="00745205">
        <w:rPr>
          <w:rFonts w:ascii="Arial" w:hAnsi="Arial" w:cs="Arial"/>
          <w:lang w:val="es-CO"/>
        </w:rPr>
        <w:t xml:space="preserve"> </w:t>
      </w:r>
    </w:p>
    <w:p w:rsidR="00DD609F" w:rsidRPr="00745205" w:rsidRDefault="00DD609F" w:rsidP="00062571">
      <w:pPr>
        <w:pStyle w:val="NormalWeb"/>
        <w:spacing w:line="360" w:lineRule="auto"/>
        <w:jc w:val="both"/>
        <w:rPr>
          <w:rFonts w:ascii="Arial" w:hAnsi="Arial" w:cs="Arial"/>
          <w:lang w:val="es-CO"/>
        </w:rPr>
      </w:pPr>
    </w:p>
    <w:p w:rsidR="007D64B0" w:rsidRPr="00745205" w:rsidRDefault="007D64B0" w:rsidP="00062571">
      <w:pPr>
        <w:pStyle w:val="NormalWeb"/>
        <w:spacing w:line="360" w:lineRule="auto"/>
        <w:jc w:val="both"/>
        <w:rPr>
          <w:rFonts w:ascii="Arial" w:hAnsi="Arial" w:cs="Arial"/>
          <w:b/>
          <w:lang w:val="es-CO"/>
        </w:rPr>
      </w:pPr>
      <w:r w:rsidRPr="00745205">
        <w:rPr>
          <w:rFonts w:ascii="Arial" w:hAnsi="Arial" w:cs="Arial"/>
          <w:b/>
          <w:lang w:val="es-CO"/>
        </w:rPr>
        <w:t>4.- Oposición</w:t>
      </w:r>
    </w:p>
    <w:p w:rsidR="007D64B0" w:rsidRPr="00745205" w:rsidRDefault="007D64B0" w:rsidP="00062571">
      <w:pPr>
        <w:pStyle w:val="NormalWeb"/>
        <w:spacing w:line="360" w:lineRule="auto"/>
        <w:jc w:val="both"/>
        <w:rPr>
          <w:rFonts w:ascii="Arial" w:hAnsi="Arial" w:cs="Arial"/>
          <w:lang w:val="es-CO"/>
        </w:rPr>
      </w:pPr>
    </w:p>
    <w:p w:rsidR="00062571" w:rsidRPr="00745205" w:rsidRDefault="007D64B0" w:rsidP="00062571">
      <w:pPr>
        <w:pStyle w:val="NormalWeb"/>
        <w:spacing w:line="360" w:lineRule="auto"/>
        <w:jc w:val="both"/>
        <w:rPr>
          <w:rFonts w:ascii="Arial" w:hAnsi="Arial" w:cs="Arial"/>
          <w:lang w:val="es-CO"/>
        </w:rPr>
      </w:pPr>
      <w:r w:rsidRPr="00745205">
        <w:rPr>
          <w:rFonts w:ascii="Arial" w:hAnsi="Arial" w:cs="Arial"/>
          <w:lang w:val="es-CO"/>
        </w:rPr>
        <w:t xml:space="preserve">La Sociedad de Activos Especiales S.A.S </w:t>
      </w:r>
      <w:r w:rsidR="00BD4003" w:rsidRPr="00745205">
        <w:rPr>
          <w:rFonts w:ascii="Arial" w:hAnsi="Arial" w:cs="Arial"/>
          <w:lang w:val="es-CO"/>
        </w:rPr>
        <w:t xml:space="preserve">presentó escrito en el cual reiteró que el demandante no demostró </w:t>
      </w:r>
      <w:r w:rsidR="00190014" w:rsidRPr="00745205">
        <w:rPr>
          <w:rFonts w:ascii="Arial" w:hAnsi="Arial" w:cs="Arial"/>
          <w:lang w:val="es-CO"/>
        </w:rPr>
        <w:t xml:space="preserve">de </w:t>
      </w:r>
      <w:r w:rsidR="00BD4003" w:rsidRPr="00745205">
        <w:rPr>
          <w:rFonts w:ascii="Arial" w:hAnsi="Arial" w:cs="Arial"/>
          <w:lang w:val="es-CO"/>
        </w:rPr>
        <w:t>qu</w:t>
      </w:r>
      <w:r w:rsidR="00190014" w:rsidRPr="00745205">
        <w:rPr>
          <w:rFonts w:ascii="Arial" w:hAnsi="Arial" w:cs="Arial"/>
          <w:lang w:val="es-CO"/>
        </w:rPr>
        <w:t>é</w:t>
      </w:r>
      <w:r w:rsidR="00BD4003" w:rsidRPr="00745205">
        <w:rPr>
          <w:rFonts w:ascii="Arial" w:hAnsi="Arial" w:cs="Arial"/>
          <w:lang w:val="es-CO"/>
        </w:rPr>
        <w:t xml:space="preserve"> manera se vería perjudicado con el acto administrativo acusado, dado que este no acreditó ser poseedor o tenedor de ninguno de los inmuebles que se ofertaban para arrendar y, por tanto, su solicitud era infundada</w:t>
      </w:r>
      <w:r w:rsidRPr="00745205">
        <w:rPr>
          <w:rStyle w:val="Refdenotaalpie"/>
          <w:rFonts w:ascii="Arial" w:hAnsi="Arial" w:cs="Arial"/>
          <w:lang w:val="es-CO"/>
        </w:rPr>
        <w:footnoteReference w:id="5"/>
      </w:r>
      <w:r w:rsidR="00BD4003" w:rsidRPr="00745205">
        <w:rPr>
          <w:rFonts w:ascii="Arial" w:hAnsi="Arial" w:cs="Arial"/>
          <w:lang w:val="es-CO"/>
        </w:rPr>
        <w:t>.</w:t>
      </w:r>
    </w:p>
    <w:p w:rsidR="00062571" w:rsidRPr="00745205" w:rsidRDefault="00062571" w:rsidP="00062571">
      <w:pPr>
        <w:pStyle w:val="Lista"/>
        <w:spacing w:line="360" w:lineRule="auto"/>
        <w:ind w:left="0" w:firstLine="0"/>
        <w:jc w:val="center"/>
        <w:rPr>
          <w:b/>
          <w:sz w:val="24"/>
          <w:szCs w:val="24"/>
        </w:rPr>
      </w:pPr>
      <w:r w:rsidRPr="00745205">
        <w:rPr>
          <w:b/>
          <w:sz w:val="24"/>
          <w:szCs w:val="24"/>
        </w:rPr>
        <w:t>II. CONSIDERACIONES</w:t>
      </w:r>
    </w:p>
    <w:p w:rsidR="00062571" w:rsidRPr="00745205" w:rsidRDefault="00062571" w:rsidP="00062571">
      <w:pPr>
        <w:pStyle w:val="Lista"/>
        <w:spacing w:line="360" w:lineRule="auto"/>
        <w:jc w:val="both"/>
        <w:rPr>
          <w:b/>
          <w:sz w:val="24"/>
          <w:szCs w:val="24"/>
          <w:lang w:val="es-CO"/>
        </w:rPr>
      </w:pPr>
    </w:p>
    <w:p w:rsidR="00062571" w:rsidRPr="00745205" w:rsidRDefault="00062571" w:rsidP="00062571">
      <w:pPr>
        <w:pStyle w:val="Lista"/>
        <w:ind w:left="0" w:firstLine="0"/>
        <w:jc w:val="both"/>
        <w:rPr>
          <w:b/>
          <w:sz w:val="24"/>
          <w:szCs w:val="24"/>
          <w:lang w:val="es-CO"/>
        </w:rPr>
      </w:pPr>
      <w:r w:rsidRPr="00745205">
        <w:rPr>
          <w:b/>
          <w:sz w:val="24"/>
          <w:szCs w:val="24"/>
          <w:lang w:val="es-CO"/>
        </w:rPr>
        <w:t>1.- Competencia de</w:t>
      </w:r>
      <w:r w:rsidR="00E62946" w:rsidRPr="00745205">
        <w:rPr>
          <w:b/>
          <w:sz w:val="24"/>
          <w:szCs w:val="24"/>
          <w:lang w:val="es-CO"/>
        </w:rPr>
        <w:t xml:space="preserve"> </w:t>
      </w:r>
      <w:r w:rsidRPr="00745205">
        <w:rPr>
          <w:b/>
          <w:sz w:val="24"/>
          <w:szCs w:val="24"/>
          <w:lang w:val="es-CO"/>
        </w:rPr>
        <w:t>l</w:t>
      </w:r>
      <w:r w:rsidR="00E62946" w:rsidRPr="00745205">
        <w:rPr>
          <w:b/>
          <w:sz w:val="24"/>
          <w:szCs w:val="24"/>
          <w:lang w:val="es-CO"/>
        </w:rPr>
        <w:t>a</w:t>
      </w:r>
      <w:r w:rsidRPr="00745205">
        <w:rPr>
          <w:b/>
          <w:sz w:val="24"/>
          <w:szCs w:val="24"/>
          <w:lang w:val="es-CO"/>
        </w:rPr>
        <w:t xml:space="preserve"> </w:t>
      </w:r>
      <w:r w:rsidR="00E62946" w:rsidRPr="00745205">
        <w:rPr>
          <w:b/>
          <w:sz w:val="24"/>
          <w:szCs w:val="24"/>
          <w:lang w:val="es-CO"/>
        </w:rPr>
        <w:t>Sala</w:t>
      </w:r>
      <w:r w:rsidRPr="00745205">
        <w:rPr>
          <w:b/>
          <w:sz w:val="24"/>
          <w:szCs w:val="24"/>
          <w:lang w:val="es-CO"/>
        </w:rPr>
        <w:t xml:space="preserve"> para resolver </w:t>
      </w:r>
      <w:r w:rsidR="00E62946" w:rsidRPr="00745205">
        <w:rPr>
          <w:b/>
          <w:sz w:val="24"/>
          <w:szCs w:val="24"/>
          <w:lang w:val="es-CO"/>
        </w:rPr>
        <w:t>el recurso de súplica</w:t>
      </w:r>
    </w:p>
    <w:p w:rsidR="002222C6" w:rsidRPr="00745205" w:rsidRDefault="002222C6" w:rsidP="00062571">
      <w:pPr>
        <w:pStyle w:val="Lista"/>
        <w:ind w:left="0" w:firstLine="0"/>
        <w:jc w:val="both"/>
        <w:rPr>
          <w:b/>
          <w:sz w:val="24"/>
          <w:szCs w:val="24"/>
          <w:lang w:val="es-CO"/>
        </w:rPr>
      </w:pPr>
    </w:p>
    <w:p w:rsidR="00062571" w:rsidRPr="00745205" w:rsidRDefault="00062571" w:rsidP="00062571">
      <w:pPr>
        <w:pStyle w:val="Lista"/>
        <w:ind w:left="0" w:firstLine="0"/>
        <w:jc w:val="both"/>
        <w:rPr>
          <w:b/>
          <w:sz w:val="24"/>
          <w:szCs w:val="24"/>
          <w:lang w:val="es-CO"/>
        </w:rPr>
      </w:pPr>
    </w:p>
    <w:p w:rsidR="002B2266" w:rsidRPr="00745205" w:rsidRDefault="00806529" w:rsidP="002B2266">
      <w:pPr>
        <w:pStyle w:val="Lista"/>
        <w:spacing w:line="360" w:lineRule="auto"/>
        <w:ind w:left="0" w:firstLine="0"/>
        <w:jc w:val="both"/>
        <w:rPr>
          <w:sz w:val="24"/>
          <w:szCs w:val="24"/>
          <w:lang w:val="es-CO"/>
        </w:rPr>
      </w:pPr>
      <w:r w:rsidRPr="00745205">
        <w:rPr>
          <w:sz w:val="24"/>
          <w:szCs w:val="24"/>
          <w:lang w:val="es-CO"/>
        </w:rPr>
        <w:lastRenderedPageBreak/>
        <w:t xml:space="preserve">Respecto de la </w:t>
      </w:r>
      <w:r w:rsidR="002B2266" w:rsidRPr="00745205">
        <w:rPr>
          <w:sz w:val="24"/>
          <w:szCs w:val="24"/>
          <w:lang w:val="es-CO"/>
        </w:rPr>
        <w:t>procedencia del recurso de súplica, el inciso primero del artículo 246 de</w:t>
      </w:r>
      <w:r w:rsidR="000D51F3" w:rsidRPr="00745205">
        <w:rPr>
          <w:sz w:val="24"/>
          <w:szCs w:val="24"/>
          <w:lang w:val="es-CO"/>
        </w:rPr>
        <w:t xml:space="preserve"> </w:t>
      </w:r>
      <w:r w:rsidR="002B2266" w:rsidRPr="00745205">
        <w:rPr>
          <w:sz w:val="24"/>
          <w:szCs w:val="24"/>
          <w:lang w:val="es-CO"/>
        </w:rPr>
        <w:t>l</w:t>
      </w:r>
      <w:r w:rsidR="000D51F3" w:rsidRPr="00745205">
        <w:rPr>
          <w:sz w:val="24"/>
          <w:szCs w:val="24"/>
          <w:lang w:val="es-CO"/>
        </w:rPr>
        <w:t xml:space="preserve">a Ley 1437 de 2011 </w:t>
      </w:r>
      <w:r w:rsidR="002B2266" w:rsidRPr="00745205">
        <w:rPr>
          <w:sz w:val="24"/>
          <w:szCs w:val="24"/>
          <w:lang w:val="es-CO"/>
        </w:rPr>
        <w:t xml:space="preserve">dispone que éste procede “… </w:t>
      </w:r>
      <w:r w:rsidR="002B2266" w:rsidRPr="00745205">
        <w:rPr>
          <w:i/>
          <w:sz w:val="24"/>
          <w:szCs w:val="24"/>
          <w:lang w:val="es-CO"/>
        </w:rPr>
        <w:t>contra los autos que por su naturaleza serían apelables, dictados por el magistrado ponente en el curso de la segunda o única instancia o durante el trámite de la apelación de un auto. También procede contra el auto que rechaza o declara desierta la apelación</w:t>
      </w:r>
      <w:r w:rsidR="002B2266" w:rsidRPr="00745205">
        <w:rPr>
          <w:sz w:val="24"/>
          <w:szCs w:val="24"/>
          <w:lang w:val="es-CO"/>
        </w:rPr>
        <w:t xml:space="preserve">”. </w:t>
      </w:r>
    </w:p>
    <w:p w:rsidR="002B2266" w:rsidRPr="00745205" w:rsidRDefault="002B2266" w:rsidP="002B2266">
      <w:pPr>
        <w:pStyle w:val="Lista"/>
        <w:spacing w:line="360" w:lineRule="auto"/>
        <w:jc w:val="both"/>
        <w:rPr>
          <w:sz w:val="24"/>
          <w:szCs w:val="24"/>
          <w:lang w:val="es-CO"/>
        </w:rPr>
      </w:pPr>
    </w:p>
    <w:p w:rsidR="002B2266" w:rsidRPr="00745205" w:rsidRDefault="002B2266" w:rsidP="002B2266">
      <w:pPr>
        <w:pStyle w:val="Lista"/>
        <w:spacing w:line="360" w:lineRule="auto"/>
        <w:ind w:left="0" w:firstLine="0"/>
        <w:jc w:val="both"/>
        <w:rPr>
          <w:sz w:val="24"/>
          <w:szCs w:val="24"/>
          <w:lang w:val="es-CO"/>
        </w:rPr>
      </w:pPr>
      <w:r w:rsidRPr="00745205">
        <w:rPr>
          <w:sz w:val="24"/>
          <w:szCs w:val="24"/>
          <w:lang w:val="es-CO"/>
        </w:rPr>
        <w:t xml:space="preserve">De la lectura de </w:t>
      </w:r>
      <w:r w:rsidR="004F11BA" w:rsidRPr="00745205">
        <w:rPr>
          <w:sz w:val="24"/>
          <w:szCs w:val="24"/>
          <w:lang w:val="es-CO"/>
        </w:rPr>
        <w:t>dicha</w:t>
      </w:r>
      <w:r w:rsidRPr="00745205">
        <w:rPr>
          <w:sz w:val="24"/>
          <w:szCs w:val="24"/>
          <w:lang w:val="es-CO"/>
        </w:rPr>
        <w:t xml:space="preserve"> disposición se colige que el </w:t>
      </w:r>
      <w:r w:rsidR="004F11BA" w:rsidRPr="00745205">
        <w:rPr>
          <w:sz w:val="24"/>
          <w:szCs w:val="24"/>
          <w:lang w:val="es-CO"/>
        </w:rPr>
        <w:t>mencionado</w:t>
      </w:r>
      <w:r w:rsidRPr="00745205">
        <w:rPr>
          <w:sz w:val="24"/>
          <w:szCs w:val="24"/>
          <w:lang w:val="es-CO"/>
        </w:rPr>
        <w:t xml:space="preserve"> recurso es procedente cuando: </w:t>
      </w:r>
      <w:r w:rsidRPr="00745205">
        <w:rPr>
          <w:i/>
          <w:sz w:val="24"/>
          <w:szCs w:val="24"/>
          <w:lang w:val="es-CO"/>
        </w:rPr>
        <w:t>i)</w:t>
      </w:r>
      <w:r w:rsidRPr="00745205">
        <w:rPr>
          <w:sz w:val="24"/>
          <w:szCs w:val="24"/>
          <w:lang w:val="es-CO"/>
        </w:rPr>
        <w:t xml:space="preserve"> el auto que se recurre haya sido proferido por el magistrado ponente en el curso de un proceso de única o segunda instancia; y </w:t>
      </w:r>
      <w:r w:rsidRPr="00745205">
        <w:rPr>
          <w:i/>
          <w:sz w:val="24"/>
          <w:szCs w:val="24"/>
          <w:lang w:val="es-CO"/>
        </w:rPr>
        <w:t>ii)</w:t>
      </w:r>
      <w:r w:rsidRPr="00745205">
        <w:rPr>
          <w:sz w:val="24"/>
          <w:szCs w:val="24"/>
          <w:lang w:val="es-CO"/>
        </w:rPr>
        <w:t xml:space="preserve"> la providencia sea pasible, por su naturaleza, del recurso de apelación, en los términos del artículo 243 </w:t>
      </w:r>
      <w:r w:rsidR="00C832F7" w:rsidRPr="00745205">
        <w:rPr>
          <w:sz w:val="24"/>
          <w:szCs w:val="24"/>
          <w:lang w:val="es-CO"/>
        </w:rPr>
        <w:t>ibídem</w:t>
      </w:r>
      <w:r w:rsidRPr="00745205">
        <w:rPr>
          <w:sz w:val="24"/>
          <w:szCs w:val="24"/>
          <w:lang w:val="es-CO"/>
        </w:rPr>
        <w:t>.</w:t>
      </w:r>
    </w:p>
    <w:p w:rsidR="002B2266" w:rsidRPr="00745205" w:rsidRDefault="002B2266" w:rsidP="00D9722F">
      <w:pPr>
        <w:pStyle w:val="Lista"/>
        <w:spacing w:line="360" w:lineRule="auto"/>
        <w:ind w:left="0" w:firstLine="0"/>
        <w:jc w:val="both"/>
        <w:rPr>
          <w:sz w:val="24"/>
          <w:szCs w:val="24"/>
          <w:lang w:val="es-CO"/>
        </w:rPr>
      </w:pPr>
    </w:p>
    <w:p w:rsidR="00062571" w:rsidRPr="00745205" w:rsidRDefault="00B77A09" w:rsidP="00D9722F">
      <w:pPr>
        <w:pStyle w:val="Lista"/>
        <w:spacing w:line="360" w:lineRule="auto"/>
        <w:ind w:left="0" w:firstLine="0"/>
        <w:jc w:val="both"/>
        <w:rPr>
          <w:sz w:val="24"/>
          <w:szCs w:val="24"/>
          <w:lang w:val="es-CO"/>
        </w:rPr>
      </w:pPr>
      <w:r w:rsidRPr="00745205">
        <w:rPr>
          <w:sz w:val="24"/>
          <w:szCs w:val="24"/>
          <w:lang w:val="es-CO"/>
        </w:rPr>
        <w:t>Ahora bien, l</w:t>
      </w:r>
      <w:r w:rsidR="002222C6" w:rsidRPr="00745205">
        <w:rPr>
          <w:sz w:val="24"/>
          <w:szCs w:val="24"/>
          <w:lang w:val="es-CO"/>
        </w:rPr>
        <w:t>a Ley 1437 de 2011 r</w:t>
      </w:r>
      <w:r w:rsidRPr="00745205">
        <w:rPr>
          <w:sz w:val="24"/>
          <w:szCs w:val="24"/>
          <w:lang w:val="es-CO"/>
        </w:rPr>
        <w:t>egula</w:t>
      </w:r>
      <w:r w:rsidR="002222C6" w:rsidRPr="00745205">
        <w:rPr>
          <w:sz w:val="24"/>
          <w:szCs w:val="24"/>
          <w:lang w:val="es-CO"/>
        </w:rPr>
        <w:t xml:space="preserve"> el trámite pertinente para la adopción de medidas cautelares y sobre los recursos procedentes contra dicha decisión. Así</w:t>
      </w:r>
      <w:r w:rsidR="006D0F5B" w:rsidRPr="00745205">
        <w:rPr>
          <w:sz w:val="24"/>
          <w:szCs w:val="24"/>
          <w:lang w:val="es-CO"/>
        </w:rPr>
        <w:t>,</w:t>
      </w:r>
      <w:r w:rsidR="002222C6" w:rsidRPr="00745205">
        <w:rPr>
          <w:sz w:val="24"/>
          <w:szCs w:val="24"/>
          <w:lang w:val="es-CO"/>
        </w:rPr>
        <w:t xml:space="preserve"> el artículo 233 establece que </w:t>
      </w:r>
      <w:r w:rsidR="00D9722F" w:rsidRPr="00745205">
        <w:rPr>
          <w:sz w:val="24"/>
          <w:szCs w:val="24"/>
          <w:lang w:val="es-CO"/>
        </w:rPr>
        <w:t>“</w:t>
      </w:r>
      <w:r w:rsidR="00D9722F" w:rsidRPr="00745205">
        <w:rPr>
          <w:i/>
          <w:sz w:val="24"/>
          <w:szCs w:val="24"/>
          <w:lang w:val="es-CO"/>
        </w:rPr>
        <w:t>cuando la medida haya sido negada, podrá solicitarse nuevamente si se han presentado hechos sobrevinientes y en virtud de ellos se cumplen las condiciones requeridas para su decreto. Contra el auto que resuelva esta solicitud no procederá ningún recurso</w:t>
      </w:r>
      <w:r w:rsidR="00D9722F" w:rsidRPr="00745205">
        <w:rPr>
          <w:sz w:val="24"/>
          <w:szCs w:val="24"/>
          <w:lang w:val="es-CO"/>
        </w:rPr>
        <w:t>”.</w:t>
      </w:r>
      <w:r w:rsidR="00D9722F" w:rsidRPr="00745205">
        <w:rPr>
          <w:sz w:val="24"/>
          <w:szCs w:val="24"/>
          <w:lang w:val="es-CO"/>
        </w:rPr>
        <w:cr/>
      </w:r>
    </w:p>
    <w:p w:rsidR="002222C6" w:rsidRPr="00745205" w:rsidRDefault="00230D56" w:rsidP="00230D56">
      <w:pPr>
        <w:pStyle w:val="Lista"/>
        <w:spacing w:line="360" w:lineRule="auto"/>
        <w:ind w:left="0" w:firstLine="0"/>
        <w:jc w:val="both"/>
        <w:rPr>
          <w:sz w:val="24"/>
          <w:szCs w:val="24"/>
          <w:lang w:val="es-CO"/>
        </w:rPr>
      </w:pPr>
      <w:r w:rsidRPr="00745205">
        <w:rPr>
          <w:sz w:val="24"/>
          <w:szCs w:val="24"/>
          <w:lang w:val="es-CO"/>
        </w:rPr>
        <w:t>Por su parte, el artículo 236 ibídem prevé que “</w:t>
      </w:r>
      <w:r w:rsidRPr="00745205">
        <w:rPr>
          <w:i/>
          <w:sz w:val="24"/>
          <w:szCs w:val="24"/>
          <w:lang w:val="es-CO"/>
        </w:rPr>
        <w:t>el auto que decrete una medida cautelar será susceptible del recurso de apelación o del de súplica, según el</w:t>
      </w:r>
      <w:r w:rsidRPr="00745205">
        <w:rPr>
          <w:i/>
          <w:sz w:val="24"/>
          <w:szCs w:val="24"/>
        </w:rPr>
        <w:t xml:space="preserve"> </w:t>
      </w:r>
      <w:r w:rsidRPr="00745205">
        <w:rPr>
          <w:i/>
          <w:sz w:val="24"/>
          <w:szCs w:val="24"/>
          <w:lang w:val="es-CO"/>
        </w:rPr>
        <w:t>caso. Los recursos se concederán en el efecto devolutivo y deberán ser resueltos en un término máximo de veinte (20) días.</w:t>
      </w:r>
      <w:r w:rsidR="00365AF3" w:rsidRPr="00745205">
        <w:rPr>
          <w:i/>
          <w:sz w:val="24"/>
          <w:szCs w:val="24"/>
          <w:lang w:val="es-CO"/>
        </w:rPr>
        <w:t xml:space="preserve"> </w:t>
      </w:r>
      <w:r w:rsidRPr="00745205">
        <w:rPr>
          <w:i/>
          <w:sz w:val="24"/>
          <w:szCs w:val="24"/>
          <w:lang w:val="es-CO"/>
        </w:rPr>
        <w:t>Las decisiones relacionadas con el levantamiento, la modificación o revocatoria de las medidas cautelares no serán susceptibles de recurso alguno</w:t>
      </w:r>
      <w:r w:rsidRPr="00745205">
        <w:rPr>
          <w:sz w:val="24"/>
          <w:szCs w:val="24"/>
          <w:lang w:val="es-CO"/>
        </w:rPr>
        <w:t>”.</w:t>
      </w:r>
      <w:r w:rsidRPr="00745205">
        <w:rPr>
          <w:sz w:val="24"/>
          <w:szCs w:val="24"/>
          <w:lang w:val="es-CO"/>
        </w:rPr>
        <w:cr/>
      </w:r>
    </w:p>
    <w:p w:rsidR="004A571F" w:rsidRPr="00745205" w:rsidRDefault="004A571F" w:rsidP="004A571F">
      <w:pPr>
        <w:pStyle w:val="Lista"/>
        <w:spacing w:line="360" w:lineRule="auto"/>
        <w:ind w:left="0" w:firstLine="0"/>
        <w:jc w:val="both"/>
        <w:rPr>
          <w:sz w:val="24"/>
          <w:szCs w:val="24"/>
          <w:lang w:val="es-CO"/>
        </w:rPr>
      </w:pPr>
      <w:r w:rsidRPr="00745205">
        <w:rPr>
          <w:sz w:val="24"/>
          <w:szCs w:val="24"/>
          <w:lang w:val="es-CO"/>
        </w:rPr>
        <w:t xml:space="preserve">De lo dispuesto en tales normas se observa que la Ley 1437 de 2011 guarda silencio respecto de los recursos procedentes contra la decisión que niega una medida cautelar; no obstante, el artículo 242 </w:t>
      </w:r>
      <w:r w:rsidR="00B77A09" w:rsidRPr="00745205">
        <w:rPr>
          <w:sz w:val="24"/>
          <w:szCs w:val="24"/>
          <w:lang w:val="es-CO"/>
        </w:rPr>
        <w:t>de la misma ley</w:t>
      </w:r>
      <w:r w:rsidRPr="00745205">
        <w:rPr>
          <w:sz w:val="24"/>
          <w:szCs w:val="24"/>
          <w:lang w:val="es-CO"/>
        </w:rPr>
        <w:t>, regula lo pertinente al recurso de reposición y establece que “</w:t>
      </w:r>
      <w:r w:rsidRPr="00745205">
        <w:rPr>
          <w:i/>
          <w:sz w:val="24"/>
          <w:szCs w:val="24"/>
          <w:lang w:val="es-CO"/>
        </w:rPr>
        <w:t>salvo norma legal en contrario, el recurso de reposición procede contra los autos que no sean susceptibles de apelación o de súplica</w:t>
      </w:r>
      <w:r w:rsidRPr="00745205">
        <w:rPr>
          <w:sz w:val="24"/>
          <w:szCs w:val="24"/>
          <w:lang w:val="es-CO"/>
        </w:rPr>
        <w:t>”.</w:t>
      </w:r>
      <w:r w:rsidRPr="00745205">
        <w:rPr>
          <w:sz w:val="24"/>
          <w:szCs w:val="24"/>
          <w:lang w:val="es-CO"/>
        </w:rPr>
        <w:cr/>
      </w:r>
    </w:p>
    <w:p w:rsidR="00230D56" w:rsidRPr="00745205" w:rsidRDefault="004A571F" w:rsidP="004A571F">
      <w:pPr>
        <w:pStyle w:val="Lista"/>
        <w:spacing w:line="360" w:lineRule="auto"/>
        <w:ind w:left="0" w:firstLine="0"/>
        <w:jc w:val="both"/>
        <w:rPr>
          <w:sz w:val="24"/>
          <w:szCs w:val="24"/>
          <w:lang w:val="es-CO"/>
        </w:rPr>
      </w:pPr>
      <w:r w:rsidRPr="00745205">
        <w:rPr>
          <w:sz w:val="24"/>
          <w:szCs w:val="24"/>
          <w:lang w:val="es-CO"/>
        </w:rPr>
        <w:t xml:space="preserve">Así las cosas, advierte la Sala que </w:t>
      </w:r>
      <w:r w:rsidR="007D64B0" w:rsidRPr="00745205">
        <w:rPr>
          <w:sz w:val="24"/>
          <w:szCs w:val="24"/>
          <w:lang w:val="es-CO"/>
        </w:rPr>
        <w:t>contra el auto del 12 de octubre de 2016</w:t>
      </w:r>
      <w:r w:rsidRPr="00745205">
        <w:rPr>
          <w:sz w:val="24"/>
          <w:szCs w:val="24"/>
          <w:lang w:val="es-CO"/>
        </w:rPr>
        <w:t xml:space="preserve">, que negó la solicitud de medida cautelar consistente en la suspensión provisional de los efectos jurídicos </w:t>
      </w:r>
      <w:r w:rsidR="00B77A09" w:rsidRPr="00745205">
        <w:rPr>
          <w:sz w:val="24"/>
          <w:szCs w:val="24"/>
          <w:lang w:val="es-CO"/>
        </w:rPr>
        <w:t>de la invitación pública No. 3 de 2013</w:t>
      </w:r>
      <w:r w:rsidRPr="00745205">
        <w:rPr>
          <w:sz w:val="24"/>
          <w:szCs w:val="24"/>
          <w:lang w:val="es-CO"/>
        </w:rPr>
        <w:t xml:space="preserve"> procede el recurso ordinario de reposición, según lo establecido por el artículo 242 de</w:t>
      </w:r>
      <w:r w:rsidR="005F2E37" w:rsidRPr="00745205">
        <w:rPr>
          <w:sz w:val="24"/>
          <w:szCs w:val="24"/>
          <w:lang w:val="es-CO"/>
        </w:rPr>
        <w:t xml:space="preserve"> </w:t>
      </w:r>
      <w:r w:rsidRPr="00745205">
        <w:rPr>
          <w:sz w:val="24"/>
          <w:szCs w:val="24"/>
          <w:lang w:val="es-CO"/>
        </w:rPr>
        <w:t>l</w:t>
      </w:r>
      <w:r w:rsidR="005F2E37" w:rsidRPr="00745205">
        <w:rPr>
          <w:sz w:val="24"/>
          <w:szCs w:val="24"/>
          <w:lang w:val="es-CO"/>
        </w:rPr>
        <w:t>a Ley 1437 de 2011</w:t>
      </w:r>
      <w:r w:rsidRPr="00745205">
        <w:rPr>
          <w:sz w:val="24"/>
          <w:szCs w:val="24"/>
          <w:lang w:val="es-CO"/>
        </w:rPr>
        <w:t xml:space="preserve">, toda </w:t>
      </w:r>
      <w:r w:rsidRPr="00745205">
        <w:rPr>
          <w:sz w:val="24"/>
          <w:szCs w:val="24"/>
          <w:lang w:val="es-CO"/>
        </w:rPr>
        <w:lastRenderedPageBreak/>
        <w:t xml:space="preserve">vez que sobre la procedencia del mismo no existe norma legal en contrario, y que la decisión no es de aquellas que son susceptibles de los recursos de apelación o </w:t>
      </w:r>
      <w:r w:rsidR="00870922" w:rsidRPr="00745205">
        <w:rPr>
          <w:sz w:val="24"/>
          <w:szCs w:val="24"/>
          <w:lang w:val="es-CO"/>
        </w:rPr>
        <w:t xml:space="preserve">de </w:t>
      </w:r>
      <w:r w:rsidRPr="00745205">
        <w:rPr>
          <w:sz w:val="24"/>
          <w:szCs w:val="24"/>
          <w:lang w:val="es-CO"/>
        </w:rPr>
        <w:t>súplica.</w:t>
      </w:r>
    </w:p>
    <w:p w:rsidR="002222C6" w:rsidRPr="00745205" w:rsidRDefault="002222C6" w:rsidP="00062571">
      <w:pPr>
        <w:pStyle w:val="Lista"/>
        <w:spacing w:line="360" w:lineRule="auto"/>
        <w:ind w:left="0" w:firstLine="0"/>
        <w:jc w:val="both"/>
        <w:rPr>
          <w:sz w:val="24"/>
          <w:szCs w:val="24"/>
          <w:lang w:val="es-CO"/>
        </w:rPr>
      </w:pPr>
    </w:p>
    <w:p w:rsidR="0040272D" w:rsidRPr="00745205" w:rsidRDefault="0083423C" w:rsidP="00062571">
      <w:pPr>
        <w:pStyle w:val="Lista"/>
        <w:spacing w:line="360" w:lineRule="auto"/>
        <w:ind w:left="0" w:firstLine="0"/>
        <w:jc w:val="both"/>
        <w:rPr>
          <w:sz w:val="24"/>
          <w:szCs w:val="24"/>
          <w:lang w:val="es-CO"/>
        </w:rPr>
      </w:pPr>
      <w:r w:rsidRPr="00745205">
        <w:rPr>
          <w:sz w:val="24"/>
          <w:szCs w:val="24"/>
          <w:lang w:val="es-CO"/>
        </w:rPr>
        <w:t>En consonancia con lo anterior, el Despacho declarará la improcedencia del recurso de súplica propuesto por el demandante en contra del auto del 12 de octubre de 2016 y</w:t>
      </w:r>
      <w:r w:rsidR="006D0F5B" w:rsidRPr="00745205">
        <w:rPr>
          <w:sz w:val="24"/>
          <w:szCs w:val="24"/>
          <w:lang w:val="es-CO"/>
        </w:rPr>
        <w:t>,</w:t>
      </w:r>
      <w:r w:rsidRPr="00745205">
        <w:rPr>
          <w:sz w:val="24"/>
          <w:szCs w:val="24"/>
          <w:lang w:val="es-CO"/>
        </w:rPr>
        <w:t xml:space="preserve"> de conformidad con el </w:t>
      </w:r>
      <w:r w:rsidR="00365AF3" w:rsidRPr="00745205">
        <w:rPr>
          <w:sz w:val="24"/>
          <w:szCs w:val="24"/>
          <w:lang w:val="es-CO"/>
        </w:rPr>
        <w:t xml:space="preserve">parágrafo del </w:t>
      </w:r>
      <w:r w:rsidRPr="00745205">
        <w:rPr>
          <w:sz w:val="24"/>
          <w:szCs w:val="24"/>
          <w:lang w:val="es-CO"/>
        </w:rPr>
        <w:t>artículo 318 del Código General del Proceso</w:t>
      </w:r>
      <w:r w:rsidR="006D0F5B" w:rsidRPr="00745205">
        <w:rPr>
          <w:sz w:val="24"/>
          <w:szCs w:val="24"/>
          <w:lang w:val="es-CO"/>
        </w:rPr>
        <w:t>,</w:t>
      </w:r>
      <w:r w:rsidRPr="00745205">
        <w:rPr>
          <w:sz w:val="24"/>
          <w:szCs w:val="24"/>
          <w:lang w:val="es-CO"/>
        </w:rPr>
        <w:t xml:space="preserve"> se devolverá al despacho de origen para que el magistrado ponente </w:t>
      </w:r>
      <w:r w:rsidR="006D0F5B" w:rsidRPr="00745205">
        <w:rPr>
          <w:sz w:val="24"/>
          <w:szCs w:val="24"/>
          <w:lang w:val="es-CO"/>
        </w:rPr>
        <w:t>dé</w:t>
      </w:r>
      <w:r w:rsidR="004C60C7" w:rsidRPr="00745205">
        <w:rPr>
          <w:sz w:val="24"/>
          <w:szCs w:val="24"/>
          <w:lang w:val="es-CO"/>
        </w:rPr>
        <w:t xml:space="preserve"> trámite</w:t>
      </w:r>
      <w:r w:rsidRPr="00745205">
        <w:rPr>
          <w:sz w:val="24"/>
          <w:szCs w:val="24"/>
          <w:lang w:val="es-CO"/>
        </w:rPr>
        <w:t xml:space="preserve"> </w:t>
      </w:r>
      <w:r w:rsidR="004C60C7" w:rsidRPr="00745205">
        <w:rPr>
          <w:sz w:val="24"/>
          <w:szCs w:val="24"/>
          <w:lang w:val="es-CO"/>
        </w:rPr>
        <w:t>a</w:t>
      </w:r>
      <w:r w:rsidRPr="00745205">
        <w:rPr>
          <w:sz w:val="24"/>
          <w:szCs w:val="24"/>
          <w:lang w:val="es-CO"/>
        </w:rPr>
        <w:t>l recurso de reposición procedente</w:t>
      </w:r>
      <w:r w:rsidR="006D0F5B" w:rsidRPr="00745205">
        <w:rPr>
          <w:sz w:val="24"/>
          <w:szCs w:val="24"/>
          <w:lang w:val="es-CO"/>
        </w:rPr>
        <w:t>,</w:t>
      </w:r>
      <w:r w:rsidRPr="00745205">
        <w:rPr>
          <w:sz w:val="24"/>
          <w:szCs w:val="24"/>
          <w:lang w:val="es-CO"/>
        </w:rPr>
        <w:t xml:space="preserve"> según la regla del artículo 242 de la Ley 1437 de 2011.</w:t>
      </w:r>
    </w:p>
    <w:p w:rsidR="0040272D" w:rsidRPr="00745205" w:rsidRDefault="0040272D" w:rsidP="00062571">
      <w:pPr>
        <w:pStyle w:val="Lista"/>
        <w:spacing w:line="360" w:lineRule="auto"/>
        <w:ind w:left="0" w:firstLine="0"/>
        <w:jc w:val="both"/>
        <w:rPr>
          <w:sz w:val="24"/>
          <w:szCs w:val="24"/>
          <w:lang w:val="es-CO"/>
        </w:rPr>
      </w:pPr>
    </w:p>
    <w:p w:rsidR="008A61E1" w:rsidRPr="00745205" w:rsidRDefault="00062571" w:rsidP="008A61E1">
      <w:pPr>
        <w:pStyle w:val="Sinespaciado"/>
        <w:spacing w:line="360" w:lineRule="auto"/>
        <w:jc w:val="both"/>
        <w:rPr>
          <w:rFonts w:ascii="Arial" w:hAnsi="Arial" w:cs="Arial"/>
          <w:lang w:val="es-ES_tradnl"/>
        </w:rPr>
      </w:pPr>
      <w:r w:rsidRPr="00745205">
        <w:rPr>
          <w:rFonts w:ascii="Arial" w:hAnsi="Arial" w:cs="Arial"/>
          <w:lang w:val="es-ES_tradnl"/>
        </w:rPr>
        <w:t xml:space="preserve">En mérito de lo expuesto, </w:t>
      </w:r>
      <w:r w:rsidR="0083423C" w:rsidRPr="00745205">
        <w:rPr>
          <w:rFonts w:ascii="Arial" w:hAnsi="Arial" w:cs="Arial"/>
          <w:lang w:val="es-ES_tradnl"/>
        </w:rPr>
        <w:t>se</w:t>
      </w:r>
    </w:p>
    <w:p w:rsidR="0083423C" w:rsidRPr="00745205" w:rsidRDefault="0083423C" w:rsidP="008A61E1">
      <w:pPr>
        <w:pStyle w:val="Sinespaciado"/>
        <w:spacing w:line="360" w:lineRule="auto"/>
        <w:jc w:val="both"/>
        <w:rPr>
          <w:rFonts w:ascii="Arial" w:hAnsi="Arial" w:cs="Arial"/>
          <w:lang w:val="es-ES_tradnl"/>
        </w:rPr>
      </w:pPr>
    </w:p>
    <w:p w:rsidR="00062571" w:rsidRPr="00745205" w:rsidRDefault="00062571" w:rsidP="00062571">
      <w:pPr>
        <w:pStyle w:val="Sinespaciado"/>
        <w:spacing w:line="360" w:lineRule="auto"/>
        <w:jc w:val="center"/>
        <w:rPr>
          <w:rFonts w:ascii="Arial" w:hAnsi="Arial" w:cs="Arial"/>
          <w:b/>
        </w:rPr>
      </w:pPr>
      <w:r w:rsidRPr="00745205">
        <w:rPr>
          <w:rFonts w:ascii="Arial" w:hAnsi="Arial" w:cs="Arial"/>
          <w:b/>
        </w:rPr>
        <w:t>RESUELVE:</w:t>
      </w:r>
    </w:p>
    <w:p w:rsidR="00062571" w:rsidRPr="00745205" w:rsidRDefault="00062571" w:rsidP="00062571">
      <w:pPr>
        <w:pStyle w:val="Sinespaciado"/>
        <w:spacing w:line="360" w:lineRule="auto"/>
        <w:jc w:val="center"/>
        <w:rPr>
          <w:rFonts w:ascii="Arial" w:hAnsi="Arial" w:cs="Arial"/>
          <w:b/>
        </w:rPr>
      </w:pPr>
    </w:p>
    <w:p w:rsidR="0083423C" w:rsidRPr="00745205" w:rsidRDefault="0083423C" w:rsidP="0083423C">
      <w:pPr>
        <w:spacing w:line="360" w:lineRule="auto"/>
        <w:jc w:val="both"/>
        <w:rPr>
          <w:rFonts w:ascii="Arial" w:hAnsi="Arial" w:cs="Arial"/>
          <w:sz w:val="24"/>
          <w:szCs w:val="24"/>
        </w:rPr>
      </w:pPr>
      <w:r w:rsidRPr="00745205">
        <w:rPr>
          <w:rFonts w:ascii="Arial" w:hAnsi="Arial" w:cs="Arial"/>
          <w:b/>
          <w:sz w:val="24"/>
          <w:szCs w:val="24"/>
        </w:rPr>
        <w:t>PRIMERO: Declarar</w:t>
      </w:r>
      <w:r w:rsidRPr="00745205">
        <w:rPr>
          <w:rFonts w:ascii="Arial" w:hAnsi="Arial" w:cs="Arial"/>
          <w:sz w:val="24"/>
          <w:szCs w:val="24"/>
        </w:rPr>
        <w:t xml:space="preserve"> la improcedencia del recurso de súplica propuesto por el demandante en contra del auto </w:t>
      </w:r>
      <w:r w:rsidRPr="00745205">
        <w:rPr>
          <w:rFonts w:ascii="Arial" w:hAnsi="Arial" w:cs="Arial"/>
          <w:sz w:val="24"/>
          <w:szCs w:val="24"/>
          <w:lang w:val="es-CO"/>
        </w:rPr>
        <w:t>del 12 de octubre de 2016</w:t>
      </w:r>
      <w:r w:rsidRPr="00745205">
        <w:rPr>
          <w:rFonts w:ascii="Arial" w:hAnsi="Arial" w:cs="Arial"/>
          <w:sz w:val="24"/>
          <w:szCs w:val="24"/>
        </w:rPr>
        <w:t>, por las razones expuestas en la parte motiva de esta providencia.</w:t>
      </w:r>
    </w:p>
    <w:p w:rsidR="0083423C" w:rsidRPr="00745205" w:rsidRDefault="0083423C" w:rsidP="0083423C">
      <w:pPr>
        <w:spacing w:line="360" w:lineRule="auto"/>
        <w:jc w:val="both"/>
        <w:rPr>
          <w:rFonts w:ascii="Arial" w:hAnsi="Arial" w:cs="Arial"/>
          <w:sz w:val="24"/>
          <w:szCs w:val="24"/>
        </w:rPr>
      </w:pPr>
    </w:p>
    <w:p w:rsidR="0083423C" w:rsidRPr="00745205" w:rsidRDefault="0083423C" w:rsidP="0083423C">
      <w:pPr>
        <w:spacing w:line="360" w:lineRule="auto"/>
        <w:jc w:val="both"/>
        <w:rPr>
          <w:rFonts w:ascii="Arial" w:hAnsi="Arial" w:cs="Arial"/>
          <w:sz w:val="24"/>
          <w:szCs w:val="24"/>
        </w:rPr>
      </w:pPr>
      <w:r w:rsidRPr="00745205">
        <w:rPr>
          <w:rFonts w:ascii="Arial" w:hAnsi="Arial" w:cs="Arial"/>
          <w:b/>
          <w:sz w:val="24"/>
          <w:szCs w:val="24"/>
        </w:rPr>
        <w:t xml:space="preserve">SEGUNDO: </w:t>
      </w:r>
      <w:r w:rsidRPr="00745205">
        <w:rPr>
          <w:rFonts w:ascii="Arial" w:hAnsi="Arial" w:cs="Arial"/>
          <w:sz w:val="24"/>
          <w:szCs w:val="24"/>
        </w:rPr>
        <w:t>En firme esta providencia, vuelva el expediente al Despacho del</w:t>
      </w:r>
      <w:r w:rsidR="00526145" w:rsidRPr="00745205">
        <w:rPr>
          <w:rFonts w:ascii="Arial" w:hAnsi="Arial" w:cs="Arial"/>
          <w:sz w:val="24"/>
          <w:szCs w:val="24"/>
        </w:rPr>
        <w:t xml:space="preserve"> C</w:t>
      </w:r>
      <w:r w:rsidRPr="00745205">
        <w:rPr>
          <w:rFonts w:ascii="Arial" w:hAnsi="Arial" w:cs="Arial"/>
          <w:sz w:val="24"/>
          <w:szCs w:val="24"/>
        </w:rPr>
        <w:t>onsejer</w:t>
      </w:r>
      <w:r w:rsidR="00526145" w:rsidRPr="00745205">
        <w:rPr>
          <w:rFonts w:ascii="Arial" w:hAnsi="Arial" w:cs="Arial"/>
          <w:sz w:val="24"/>
          <w:szCs w:val="24"/>
        </w:rPr>
        <w:t>o</w:t>
      </w:r>
      <w:r w:rsidRPr="00745205">
        <w:rPr>
          <w:rFonts w:ascii="Arial" w:hAnsi="Arial" w:cs="Arial"/>
          <w:sz w:val="24"/>
          <w:szCs w:val="24"/>
        </w:rPr>
        <w:t xml:space="preserve"> ponente para lo pertinente.</w:t>
      </w:r>
    </w:p>
    <w:p w:rsidR="0083423C" w:rsidRPr="00745205" w:rsidRDefault="0083423C" w:rsidP="006400B7">
      <w:pPr>
        <w:jc w:val="center"/>
        <w:rPr>
          <w:rFonts w:ascii="Arial" w:hAnsi="Arial" w:cs="Arial"/>
          <w:b/>
          <w:sz w:val="24"/>
          <w:szCs w:val="24"/>
        </w:rPr>
      </w:pPr>
    </w:p>
    <w:p w:rsidR="0083423C" w:rsidRPr="00745205" w:rsidRDefault="0083423C" w:rsidP="006400B7">
      <w:pPr>
        <w:jc w:val="center"/>
        <w:rPr>
          <w:rFonts w:ascii="Arial" w:hAnsi="Arial" w:cs="Arial"/>
          <w:b/>
          <w:sz w:val="24"/>
          <w:szCs w:val="24"/>
        </w:rPr>
      </w:pPr>
    </w:p>
    <w:p w:rsidR="006400B7" w:rsidRPr="00745205" w:rsidRDefault="006400B7" w:rsidP="006400B7">
      <w:pPr>
        <w:jc w:val="center"/>
        <w:rPr>
          <w:rFonts w:ascii="Arial" w:hAnsi="Arial" w:cs="Arial"/>
          <w:b/>
          <w:sz w:val="24"/>
          <w:szCs w:val="24"/>
        </w:rPr>
      </w:pPr>
    </w:p>
    <w:p w:rsidR="00062571" w:rsidRPr="00745205" w:rsidRDefault="006400B7" w:rsidP="006400B7">
      <w:pPr>
        <w:jc w:val="center"/>
        <w:rPr>
          <w:rFonts w:ascii="Arial" w:hAnsi="Arial" w:cs="Arial"/>
          <w:b/>
          <w:sz w:val="24"/>
          <w:szCs w:val="24"/>
        </w:rPr>
      </w:pPr>
      <w:r w:rsidRPr="00745205">
        <w:rPr>
          <w:rFonts w:ascii="Arial" w:hAnsi="Arial" w:cs="Arial"/>
          <w:b/>
          <w:sz w:val="24"/>
          <w:szCs w:val="24"/>
        </w:rPr>
        <w:t>NOTIFÍQUESE Y CÚMPLASE.</w:t>
      </w:r>
    </w:p>
    <w:p w:rsidR="006D0F5B" w:rsidRPr="00745205" w:rsidRDefault="006D0F5B" w:rsidP="006400B7">
      <w:pPr>
        <w:jc w:val="center"/>
        <w:rPr>
          <w:rFonts w:ascii="Arial" w:hAnsi="Arial" w:cs="Arial"/>
          <w:b/>
          <w:color w:val="000000"/>
          <w:sz w:val="24"/>
          <w:szCs w:val="24"/>
        </w:rPr>
      </w:pPr>
    </w:p>
    <w:p w:rsidR="00745205" w:rsidRPr="00745205" w:rsidRDefault="00745205" w:rsidP="006400B7">
      <w:pPr>
        <w:jc w:val="center"/>
        <w:rPr>
          <w:rFonts w:ascii="Arial" w:hAnsi="Arial" w:cs="Arial"/>
          <w:b/>
          <w:color w:val="000000"/>
          <w:sz w:val="24"/>
          <w:szCs w:val="24"/>
        </w:rPr>
      </w:pPr>
    </w:p>
    <w:p w:rsidR="008A61E1" w:rsidRPr="00745205" w:rsidRDefault="008A61E1" w:rsidP="006400B7">
      <w:pPr>
        <w:jc w:val="center"/>
        <w:rPr>
          <w:rFonts w:ascii="Arial" w:eastAsia="Times New Roman" w:hAnsi="Arial" w:cs="Arial"/>
          <w:sz w:val="24"/>
          <w:szCs w:val="24"/>
          <w:lang w:eastAsia="es-ES"/>
        </w:rPr>
      </w:pPr>
    </w:p>
    <w:p w:rsidR="008A61E1" w:rsidRPr="00745205" w:rsidRDefault="008A61E1" w:rsidP="006400B7">
      <w:pPr>
        <w:jc w:val="center"/>
        <w:rPr>
          <w:rFonts w:ascii="Arial" w:eastAsia="Times New Roman" w:hAnsi="Arial" w:cs="Arial"/>
          <w:b/>
          <w:sz w:val="24"/>
          <w:szCs w:val="24"/>
          <w:lang w:eastAsia="es-ES"/>
        </w:rPr>
      </w:pPr>
    </w:p>
    <w:p w:rsidR="00051248" w:rsidRPr="00745205" w:rsidRDefault="006400B7" w:rsidP="006400B7">
      <w:pPr>
        <w:jc w:val="center"/>
        <w:rPr>
          <w:rFonts w:ascii="Arial" w:eastAsia="Times New Roman" w:hAnsi="Arial" w:cs="Arial"/>
          <w:b/>
          <w:sz w:val="24"/>
          <w:szCs w:val="24"/>
          <w:lang w:eastAsia="es-ES"/>
        </w:rPr>
      </w:pPr>
      <w:r w:rsidRPr="00745205">
        <w:rPr>
          <w:rFonts w:ascii="Arial" w:eastAsia="Times New Roman" w:hAnsi="Arial" w:cs="Arial"/>
          <w:b/>
          <w:sz w:val="24"/>
          <w:szCs w:val="24"/>
          <w:lang w:eastAsia="es-ES"/>
        </w:rPr>
        <w:t>MARTA NUBIA VELÁSQUEZ RICO</w:t>
      </w:r>
    </w:p>
    <w:sectPr w:rsidR="00051248" w:rsidRPr="00745205" w:rsidSect="00745205">
      <w:headerReference w:type="default" r:id="rId11"/>
      <w:headerReference w:type="first" r:id="rId12"/>
      <w:footerReference w:type="first" r:id="rId13"/>
      <w:pgSz w:w="12242" w:h="18722" w:code="120"/>
      <w:pgMar w:top="1701" w:right="1701" w:bottom="1701" w:left="1701"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5E1A" w:rsidRDefault="00FC5E1A" w:rsidP="00062571">
      <w:r>
        <w:separator/>
      </w:r>
    </w:p>
  </w:endnote>
  <w:endnote w:type="continuationSeparator" w:id="0">
    <w:p w:rsidR="00FC5E1A" w:rsidRDefault="00FC5E1A" w:rsidP="00062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6CA" w:rsidRPr="00471DB8" w:rsidRDefault="00ED56CA">
    <w:pPr>
      <w:pStyle w:val="Piedepgina"/>
      <w:jc w:val="right"/>
      <w:rPr>
        <w:rFonts w:ascii="Arial" w:hAnsi="Arial" w:cs="Arial"/>
        <w:sz w:val="22"/>
        <w:szCs w:val="22"/>
      </w:rPr>
    </w:pPr>
  </w:p>
  <w:p w:rsidR="00ED56CA" w:rsidRPr="005759C1" w:rsidRDefault="00ED56CA">
    <w:pPr>
      <w:pStyle w:val="Piedepgina"/>
      <w:rPr>
        <w:rFonts w:ascii="Arial"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5E1A" w:rsidRDefault="00FC5E1A" w:rsidP="00062571">
      <w:r>
        <w:separator/>
      </w:r>
    </w:p>
  </w:footnote>
  <w:footnote w:type="continuationSeparator" w:id="0">
    <w:p w:rsidR="00FC5E1A" w:rsidRDefault="00FC5E1A" w:rsidP="00062571">
      <w:r>
        <w:continuationSeparator/>
      </w:r>
    </w:p>
  </w:footnote>
  <w:footnote w:id="1">
    <w:p w:rsidR="00ED56CA" w:rsidRPr="00102042" w:rsidRDefault="00ED56CA">
      <w:pPr>
        <w:pStyle w:val="Textonotapie"/>
        <w:rPr>
          <w:rFonts w:ascii="Arial" w:hAnsi="Arial" w:cs="Arial"/>
          <w:lang w:val="es-CO"/>
        </w:rPr>
      </w:pPr>
      <w:r w:rsidRPr="00102042">
        <w:rPr>
          <w:rStyle w:val="Refdenotaalpie"/>
          <w:rFonts w:ascii="Arial" w:hAnsi="Arial" w:cs="Arial"/>
        </w:rPr>
        <w:footnoteRef/>
      </w:r>
      <w:r w:rsidRPr="00102042">
        <w:rPr>
          <w:rFonts w:ascii="Arial" w:hAnsi="Arial" w:cs="Arial"/>
        </w:rPr>
        <w:t xml:space="preserve"> </w:t>
      </w:r>
      <w:r>
        <w:rPr>
          <w:rFonts w:ascii="Arial" w:hAnsi="Arial" w:cs="Arial"/>
          <w:lang w:val="es-CO"/>
        </w:rPr>
        <w:t xml:space="preserve">Fls. 11 y </w:t>
      </w:r>
      <w:r w:rsidRPr="00102042">
        <w:rPr>
          <w:rFonts w:ascii="Arial" w:hAnsi="Arial" w:cs="Arial"/>
          <w:lang w:val="es-CO"/>
        </w:rPr>
        <w:t>12</w:t>
      </w:r>
      <w:r>
        <w:rPr>
          <w:rFonts w:ascii="Arial" w:hAnsi="Arial" w:cs="Arial"/>
          <w:lang w:val="es-CO"/>
        </w:rPr>
        <w:t xml:space="preserve"> c 1 y 7 y 8</w:t>
      </w:r>
      <w:r w:rsidRPr="00102042">
        <w:rPr>
          <w:rFonts w:ascii="Arial" w:hAnsi="Arial" w:cs="Arial"/>
          <w:lang w:val="es-CO"/>
        </w:rPr>
        <w:t xml:space="preserve"> cuaderno de medida cautelar.</w:t>
      </w:r>
    </w:p>
  </w:footnote>
  <w:footnote w:id="2">
    <w:p w:rsidR="00ED56CA" w:rsidRPr="00F66933" w:rsidRDefault="00ED56CA" w:rsidP="00317C2F">
      <w:pPr>
        <w:pStyle w:val="Textonotapie"/>
        <w:jc w:val="both"/>
        <w:rPr>
          <w:rFonts w:ascii="Arial" w:hAnsi="Arial" w:cs="Arial"/>
          <w:lang w:val="es-CO"/>
        </w:rPr>
      </w:pPr>
      <w:r w:rsidRPr="00F66933">
        <w:rPr>
          <w:rStyle w:val="Refdenotaalpie"/>
          <w:rFonts w:ascii="Arial" w:hAnsi="Arial" w:cs="Arial"/>
        </w:rPr>
        <w:footnoteRef/>
      </w:r>
      <w:r w:rsidRPr="00F66933">
        <w:rPr>
          <w:rFonts w:ascii="Arial" w:hAnsi="Arial" w:cs="Arial"/>
        </w:rPr>
        <w:t xml:space="preserve"> </w:t>
      </w:r>
      <w:r w:rsidRPr="00F66933">
        <w:rPr>
          <w:rFonts w:ascii="Arial" w:hAnsi="Arial" w:cs="Arial"/>
          <w:lang w:val="es-CO"/>
        </w:rPr>
        <w:t>La D</w:t>
      </w:r>
      <w:r>
        <w:rPr>
          <w:rFonts w:ascii="Arial" w:hAnsi="Arial" w:cs="Arial"/>
          <w:lang w:val="es-CO"/>
        </w:rPr>
        <w:t>N</w:t>
      </w:r>
      <w:r w:rsidRPr="00F66933">
        <w:rPr>
          <w:rFonts w:ascii="Arial" w:hAnsi="Arial" w:cs="Arial"/>
          <w:lang w:val="es-CO"/>
        </w:rPr>
        <w:t>E fue suprimida y liquidada según lo</w:t>
      </w:r>
      <w:r>
        <w:rPr>
          <w:rFonts w:ascii="Arial" w:hAnsi="Arial" w:cs="Arial"/>
          <w:lang w:val="es-CO"/>
        </w:rPr>
        <w:t xml:space="preserve"> </w:t>
      </w:r>
      <w:r w:rsidRPr="00F66933">
        <w:rPr>
          <w:rFonts w:ascii="Arial" w:hAnsi="Arial" w:cs="Arial"/>
          <w:lang w:val="es-CO"/>
        </w:rPr>
        <w:t>ordenado en el Decreto 3183 de 2011 modificado por los Decretos 4588 de 2011, 319 de</w:t>
      </w:r>
      <w:r>
        <w:rPr>
          <w:rFonts w:ascii="Arial" w:hAnsi="Arial" w:cs="Arial"/>
          <w:lang w:val="es-CO"/>
        </w:rPr>
        <w:t xml:space="preserve"> </w:t>
      </w:r>
      <w:r w:rsidRPr="00F66933">
        <w:rPr>
          <w:rFonts w:ascii="Arial" w:hAnsi="Arial" w:cs="Arial"/>
          <w:lang w:val="es-CO"/>
        </w:rPr>
        <w:t>2012,1420 de 2012,2177 de 2013 y 1335 de 2014.</w:t>
      </w:r>
      <w:r>
        <w:rPr>
          <w:rFonts w:ascii="Arial" w:hAnsi="Arial" w:cs="Arial"/>
          <w:lang w:val="es-CO"/>
        </w:rPr>
        <w:t xml:space="preserve"> El </w:t>
      </w:r>
      <w:r w:rsidRPr="00317C2F">
        <w:rPr>
          <w:rFonts w:ascii="Arial" w:hAnsi="Arial" w:cs="Arial"/>
          <w:lang w:val="es-CO"/>
        </w:rPr>
        <w:t>inciso 1° del artículo 10 del Decreto 1335 de 2014 estableció que de conformidad con</w:t>
      </w:r>
      <w:r>
        <w:rPr>
          <w:rFonts w:ascii="Arial" w:hAnsi="Arial" w:cs="Arial"/>
          <w:lang w:val="es-CO"/>
        </w:rPr>
        <w:t xml:space="preserve"> </w:t>
      </w:r>
      <w:r w:rsidRPr="00317C2F">
        <w:rPr>
          <w:rFonts w:ascii="Arial" w:hAnsi="Arial" w:cs="Arial"/>
          <w:lang w:val="es-CO"/>
        </w:rPr>
        <w:t>el plan y cronograma respectivo la Dirección Nacional de Estupefacientes en liquidación haría</w:t>
      </w:r>
      <w:r>
        <w:rPr>
          <w:rFonts w:ascii="Arial" w:hAnsi="Arial" w:cs="Arial"/>
          <w:lang w:val="es-CO"/>
        </w:rPr>
        <w:t xml:space="preserve"> </w:t>
      </w:r>
      <w:r w:rsidRPr="00317C2F">
        <w:rPr>
          <w:rFonts w:ascii="Arial" w:hAnsi="Arial" w:cs="Arial"/>
          <w:lang w:val="es-CO"/>
        </w:rPr>
        <w:t>entrega a la Sociedad de Activos Especiales SAS - SAE S.AS. -, de los procesos judiciales</w:t>
      </w:r>
      <w:r>
        <w:rPr>
          <w:rFonts w:ascii="Arial" w:hAnsi="Arial" w:cs="Arial"/>
          <w:lang w:val="es-CO"/>
        </w:rPr>
        <w:t xml:space="preserve"> </w:t>
      </w:r>
      <w:r w:rsidRPr="00317C2F">
        <w:rPr>
          <w:rFonts w:ascii="Arial" w:hAnsi="Arial" w:cs="Arial"/>
          <w:lang w:val="es-CO"/>
        </w:rPr>
        <w:t>cuyas pretensiones se encuentren relacionadas con la administración de los bienes del Fondo</w:t>
      </w:r>
      <w:r>
        <w:rPr>
          <w:rFonts w:ascii="Arial" w:hAnsi="Arial" w:cs="Arial"/>
          <w:lang w:val="es-CO"/>
        </w:rPr>
        <w:t xml:space="preserve"> </w:t>
      </w:r>
      <w:r w:rsidRPr="00317C2F">
        <w:rPr>
          <w:rFonts w:ascii="Arial" w:hAnsi="Arial" w:cs="Arial"/>
          <w:lang w:val="es-CO"/>
        </w:rPr>
        <w:t>para la Rehabilitación, Inversión Social y Lucha contra el Crimen Organizado - FRISCO - y de</w:t>
      </w:r>
      <w:r>
        <w:rPr>
          <w:rFonts w:ascii="Arial" w:hAnsi="Arial" w:cs="Arial"/>
          <w:lang w:val="es-CO"/>
        </w:rPr>
        <w:t xml:space="preserve"> </w:t>
      </w:r>
      <w:r w:rsidRPr="00317C2F">
        <w:rPr>
          <w:rFonts w:ascii="Arial" w:hAnsi="Arial" w:cs="Arial"/>
          <w:lang w:val="es-CO"/>
        </w:rPr>
        <w:t>aquellos procesos derivados de la administración de bienes que estuvieron o se encuentren</w:t>
      </w:r>
      <w:r>
        <w:rPr>
          <w:rFonts w:ascii="Arial" w:hAnsi="Arial" w:cs="Arial"/>
          <w:lang w:val="es-CO"/>
        </w:rPr>
        <w:t xml:space="preserve"> </w:t>
      </w:r>
      <w:r w:rsidRPr="00317C2F">
        <w:rPr>
          <w:rFonts w:ascii="Arial" w:hAnsi="Arial" w:cs="Arial"/>
          <w:lang w:val="es-CO"/>
        </w:rPr>
        <w:t>afectados con medidas cautelares en procesos de extinción de dominio, la cual deberá estar</w:t>
      </w:r>
      <w:r>
        <w:rPr>
          <w:rFonts w:ascii="Arial" w:hAnsi="Arial" w:cs="Arial"/>
          <w:lang w:val="es-CO"/>
        </w:rPr>
        <w:t xml:space="preserve"> </w:t>
      </w:r>
      <w:r w:rsidRPr="00317C2F">
        <w:rPr>
          <w:rFonts w:ascii="Arial" w:hAnsi="Arial" w:cs="Arial"/>
          <w:lang w:val="es-CO"/>
        </w:rPr>
        <w:t>acompañada de un diagnóstico respecto a su estado actualizado y al nivel de contingencia</w:t>
      </w:r>
      <w:r>
        <w:rPr>
          <w:rFonts w:ascii="Arial" w:hAnsi="Arial" w:cs="Arial"/>
          <w:lang w:val="es-CO"/>
        </w:rPr>
        <w:t xml:space="preserve"> </w:t>
      </w:r>
      <w:r w:rsidRPr="00317C2F">
        <w:rPr>
          <w:rFonts w:ascii="Arial" w:hAnsi="Arial" w:cs="Arial"/>
          <w:lang w:val="es-CO"/>
        </w:rPr>
        <w:t>que reviste cada acción.</w:t>
      </w:r>
    </w:p>
  </w:footnote>
  <w:footnote w:id="3">
    <w:p w:rsidR="00ED56CA" w:rsidRPr="00AC023C" w:rsidRDefault="00ED56CA">
      <w:pPr>
        <w:pStyle w:val="Textonotapie"/>
        <w:rPr>
          <w:rFonts w:ascii="Arial" w:hAnsi="Arial" w:cs="Arial"/>
          <w:lang w:val="es-CO"/>
        </w:rPr>
      </w:pPr>
      <w:r w:rsidRPr="00AC023C">
        <w:rPr>
          <w:rStyle w:val="Refdenotaalpie"/>
          <w:rFonts w:ascii="Arial" w:hAnsi="Arial" w:cs="Arial"/>
        </w:rPr>
        <w:footnoteRef/>
      </w:r>
      <w:r w:rsidRPr="00AC023C">
        <w:rPr>
          <w:rFonts w:ascii="Arial" w:hAnsi="Arial" w:cs="Arial"/>
        </w:rPr>
        <w:t xml:space="preserve"> </w:t>
      </w:r>
      <w:r w:rsidRPr="00AC023C">
        <w:rPr>
          <w:rFonts w:ascii="Arial" w:hAnsi="Arial" w:cs="Arial"/>
          <w:lang w:val="es-CO"/>
        </w:rPr>
        <w:t>Fls. 10 a 12</w:t>
      </w:r>
      <w:r>
        <w:rPr>
          <w:rFonts w:ascii="Arial" w:hAnsi="Arial" w:cs="Arial"/>
          <w:lang w:val="es-CO"/>
        </w:rPr>
        <w:t xml:space="preserve"> y 15 a 16</w:t>
      </w:r>
      <w:r w:rsidRPr="00AC023C">
        <w:rPr>
          <w:rFonts w:ascii="Arial" w:hAnsi="Arial" w:cs="Arial"/>
          <w:lang w:val="es-CO"/>
        </w:rPr>
        <w:t xml:space="preserve"> </w:t>
      </w:r>
      <w:r>
        <w:rPr>
          <w:rFonts w:ascii="Arial" w:hAnsi="Arial" w:cs="Arial"/>
          <w:lang w:val="es-CO"/>
        </w:rPr>
        <w:t>cuaderno de medida cautelar.</w:t>
      </w:r>
    </w:p>
  </w:footnote>
  <w:footnote w:id="4">
    <w:p w:rsidR="00ED56CA" w:rsidRPr="00DE7523" w:rsidRDefault="00ED56CA">
      <w:pPr>
        <w:pStyle w:val="Textonotapie"/>
        <w:rPr>
          <w:lang w:val="es-CO"/>
        </w:rPr>
      </w:pPr>
      <w:r w:rsidRPr="00DE7523">
        <w:rPr>
          <w:rStyle w:val="Refdenotaalpie"/>
          <w:rFonts w:ascii="Arial" w:hAnsi="Arial" w:cs="Arial"/>
        </w:rPr>
        <w:footnoteRef/>
      </w:r>
      <w:r w:rsidRPr="00DE7523">
        <w:rPr>
          <w:rFonts w:ascii="Arial" w:hAnsi="Arial" w:cs="Arial"/>
        </w:rPr>
        <w:t xml:space="preserve"> </w:t>
      </w:r>
      <w:r w:rsidRPr="00DE7523">
        <w:rPr>
          <w:rFonts w:ascii="Arial" w:hAnsi="Arial" w:cs="Arial"/>
          <w:lang w:val="es-CO"/>
        </w:rPr>
        <w:t>Fls. 24 a 35</w:t>
      </w:r>
      <w:r>
        <w:rPr>
          <w:lang w:val="es-CO"/>
        </w:rPr>
        <w:t xml:space="preserve"> </w:t>
      </w:r>
      <w:r>
        <w:rPr>
          <w:rFonts w:ascii="Arial" w:hAnsi="Arial" w:cs="Arial"/>
          <w:lang w:val="es-CO"/>
        </w:rPr>
        <w:t>cuaderno de medida cautelar.</w:t>
      </w:r>
    </w:p>
  </w:footnote>
  <w:footnote w:id="5">
    <w:p w:rsidR="00ED56CA" w:rsidRPr="007D64B0" w:rsidRDefault="00ED56CA">
      <w:pPr>
        <w:pStyle w:val="Textonotapie"/>
        <w:rPr>
          <w:rFonts w:ascii="Arial" w:hAnsi="Arial" w:cs="Arial"/>
          <w:lang w:val="es-CO"/>
        </w:rPr>
      </w:pPr>
      <w:r w:rsidRPr="007D64B0">
        <w:rPr>
          <w:rStyle w:val="Refdenotaalpie"/>
          <w:rFonts w:ascii="Arial" w:hAnsi="Arial" w:cs="Arial"/>
        </w:rPr>
        <w:footnoteRef/>
      </w:r>
      <w:r w:rsidRPr="007D64B0">
        <w:rPr>
          <w:rFonts w:ascii="Arial" w:hAnsi="Arial" w:cs="Arial"/>
        </w:rPr>
        <w:t xml:space="preserve"> </w:t>
      </w:r>
      <w:r w:rsidRPr="007D64B0">
        <w:rPr>
          <w:rFonts w:ascii="Arial" w:hAnsi="Arial" w:cs="Arial"/>
          <w:lang w:val="es-CO"/>
        </w:rPr>
        <w:t>Fl. 64 cuaderno de medida cautelar.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6CA" w:rsidRPr="00D227E4" w:rsidRDefault="00ED56CA" w:rsidP="00ED56CA">
    <w:pPr>
      <w:jc w:val="both"/>
      <w:rPr>
        <w:rFonts w:ascii="Arial" w:hAnsi="Arial" w:cs="Arial"/>
        <w:sz w:val="16"/>
        <w:szCs w:val="16"/>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56CA" w:rsidRDefault="00ED56CA" w:rsidP="00ED56CA">
    <w:pPr>
      <w:tabs>
        <w:tab w:val="center" w:pos="4420"/>
      </w:tabs>
      <w:spacing w:line="360"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59326F"/>
    <w:multiLevelType w:val="hybridMultilevel"/>
    <w:tmpl w:val="6A9C4D5C"/>
    <w:lvl w:ilvl="0" w:tplc="33362A7E">
      <w:start w:val="1"/>
      <w:numFmt w:val="lowerLetter"/>
      <w:lvlText w:val="%1)"/>
      <w:lvlJc w:val="left"/>
      <w:pPr>
        <w:ind w:left="720" w:hanging="360"/>
      </w:pPr>
      <w:rPr>
        <w:rFonts w:hint="default"/>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1"/>
    <w:rsid w:val="000363CF"/>
    <w:rsid w:val="0004319E"/>
    <w:rsid w:val="00051248"/>
    <w:rsid w:val="00053510"/>
    <w:rsid w:val="00053E0E"/>
    <w:rsid w:val="00061AC3"/>
    <w:rsid w:val="00062571"/>
    <w:rsid w:val="000D51F3"/>
    <w:rsid w:val="000E624C"/>
    <w:rsid w:val="00102042"/>
    <w:rsid w:val="0012637C"/>
    <w:rsid w:val="0013219E"/>
    <w:rsid w:val="00146256"/>
    <w:rsid w:val="001667D4"/>
    <w:rsid w:val="00175FF1"/>
    <w:rsid w:val="00190014"/>
    <w:rsid w:val="001B0D50"/>
    <w:rsid w:val="001B258B"/>
    <w:rsid w:val="001D30E3"/>
    <w:rsid w:val="002003D6"/>
    <w:rsid w:val="0020672B"/>
    <w:rsid w:val="002222C6"/>
    <w:rsid w:val="00230D56"/>
    <w:rsid w:val="002323CF"/>
    <w:rsid w:val="00256A04"/>
    <w:rsid w:val="002809B2"/>
    <w:rsid w:val="002B2266"/>
    <w:rsid w:val="002F1424"/>
    <w:rsid w:val="00300BB9"/>
    <w:rsid w:val="0031143E"/>
    <w:rsid w:val="00317C2F"/>
    <w:rsid w:val="00327544"/>
    <w:rsid w:val="00344924"/>
    <w:rsid w:val="00363E16"/>
    <w:rsid w:val="00365AF3"/>
    <w:rsid w:val="00394540"/>
    <w:rsid w:val="003955B7"/>
    <w:rsid w:val="003B6808"/>
    <w:rsid w:val="0040272D"/>
    <w:rsid w:val="004255D8"/>
    <w:rsid w:val="004743B9"/>
    <w:rsid w:val="00475650"/>
    <w:rsid w:val="00486F9A"/>
    <w:rsid w:val="004A571F"/>
    <w:rsid w:val="004C60C7"/>
    <w:rsid w:val="004C6A00"/>
    <w:rsid w:val="004D2DE4"/>
    <w:rsid w:val="004F11BA"/>
    <w:rsid w:val="005003D2"/>
    <w:rsid w:val="005117D4"/>
    <w:rsid w:val="00514E01"/>
    <w:rsid w:val="00526145"/>
    <w:rsid w:val="00541E43"/>
    <w:rsid w:val="00542E2F"/>
    <w:rsid w:val="005645F9"/>
    <w:rsid w:val="005D2574"/>
    <w:rsid w:val="005E1011"/>
    <w:rsid w:val="005F2E37"/>
    <w:rsid w:val="00635E57"/>
    <w:rsid w:val="006400B7"/>
    <w:rsid w:val="00657949"/>
    <w:rsid w:val="00695CC8"/>
    <w:rsid w:val="006D0F5B"/>
    <w:rsid w:val="006E275E"/>
    <w:rsid w:val="006F2D28"/>
    <w:rsid w:val="00745205"/>
    <w:rsid w:val="007A0E06"/>
    <w:rsid w:val="007B5256"/>
    <w:rsid w:val="007B75B8"/>
    <w:rsid w:val="007D64B0"/>
    <w:rsid w:val="007E1233"/>
    <w:rsid w:val="007F29C3"/>
    <w:rsid w:val="007F6324"/>
    <w:rsid w:val="00800CA7"/>
    <w:rsid w:val="00806529"/>
    <w:rsid w:val="0083423C"/>
    <w:rsid w:val="00870922"/>
    <w:rsid w:val="00872DA2"/>
    <w:rsid w:val="0088496E"/>
    <w:rsid w:val="0089738B"/>
    <w:rsid w:val="008A1F44"/>
    <w:rsid w:val="008A61E1"/>
    <w:rsid w:val="0093285D"/>
    <w:rsid w:val="00942708"/>
    <w:rsid w:val="00954B4A"/>
    <w:rsid w:val="00960757"/>
    <w:rsid w:val="00973D76"/>
    <w:rsid w:val="00983BBB"/>
    <w:rsid w:val="009D3212"/>
    <w:rsid w:val="00A07699"/>
    <w:rsid w:val="00A07782"/>
    <w:rsid w:val="00A07A00"/>
    <w:rsid w:val="00A75ACC"/>
    <w:rsid w:val="00A93CC4"/>
    <w:rsid w:val="00AC023C"/>
    <w:rsid w:val="00AC067E"/>
    <w:rsid w:val="00AE318E"/>
    <w:rsid w:val="00AE35BC"/>
    <w:rsid w:val="00B17F48"/>
    <w:rsid w:val="00B46703"/>
    <w:rsid w:val="00B50C8E"/>
    <w:rsid w:val="00B61EC7"/>
    <w:rsid w:val="00B77A09"/>
    <w:rsid w:val="00B77B4D"/>
    <w:rsid w:val="00BB2F18"/>
    <w:rsid w:val="00BD4003"/>
    <w:rsid w:val="00C57FAA"/>
    <w:rsid w:val="00C80D69"/>
    <w:rsid w:val="00C832F7"/>
    <w:rsid w:val="00C96B28"/>
    <w:rsid w:val="00CA0B58"/>
    <w:rsid w:val="00CA7405"/>
    <w:rsid w:val="00CD37E8"/>
    <w:rsid w:val="00D313F4"/>
    <w:rsid w:val="00D37C13"/>
    <w:rsid w:val="00D54EEA"/>
    <w:rsid w:val="00D677F9"/>
    <w:rsid w:val="00D86437"/>
    <w:rsid w:val="00D92104"/>
    <w:rsid w:val="00D9722F"/>
    <w:rsid w:val="00DC0E62"/>
    <w:rsid w:val="00DD609F"/>
    <w:rsid w:val="00DD7FCB"/>
    <w:rsid w:val="00DE21A6"/>
    <w:rsid w:val="00DE717E"/>
    <w:rsid w:val="00DE7523"/>
    <w:rsid w:val="00DF6F65"/>
    <w:rsid w:val="00E2797C"/>
    <w:rsid w:val="00E415FA"/>
    <w:rsid w:val="00E62946"/>
    <w:rsid w:val="00E63D95"/>
    <w:rsid w:val="00E67613"/>
    <w:rsid w:val="00E90B78"/>
    <w:rsid w:val="00ED56CA"/>
    <w:rsid w:val="00ED6835"/>
    <w:rsid w:val="00F46D93"/>
    <w:rsid w:val="00F6007D"/>
    <w:rsid w:val="00F63F92"/>
    <w:rsid w:val="00F66933"/>
    <w:rsid w:val="00FA0026"/>
    <w:rsid w:val="00FA127A"/>
    <w:rsid w:val="00FC0093"/>
    <w:rsid w:val="00FC5E1A"/>
    <w:rsid w:val="00FE63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B2A5D"/>
  <w15:chartTrackingRefBased/>
  <w15:docId w15:val="{AF5F65C0-9869-46B2-AAB3-706E0CF79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62571"/>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062571"/>
    <w:pPr>
      <w:tabs>
        <w:tab w:val="center" w:pos="4419"/>
        <w:tab w:val="right" w:pos="8838"/>
      </w:tabs>
    </w:pPr>
    <w:rPr>
      <w:rFonts w:ascii="Times New Roman" w:eastAsia="Times New Roman" w:hAnsi="Times New Roman"/>
      <w:sz w:val="24"/>
      <w:szCs w:val="24"/>
      <w:lang w:eastAsia="es-ES"/>
    </w:rPr>
  </w:style>
  <w:style w:type="character" w:customStyle="1" w:styleId="PiedepginaCar">
    <w:name w:val="Pie de página Car"/>
    <w:link w:val="Piedepgina"/>
    <w:uiPriority w:val="99"/>
    <w:rsid w:val="00062571"/>
    <w:rPr>
      <w:rFonts w:ascii="Times New Roman" w:eastAsia="Times New Roman" w:hAnsi="Times New Roman"/>
      <w:sz w:val="24"/>
      <w:szCs w:val="24"/>
    </w:rPr>
  </w:style>
  <w:style w:type="paragraph" w:styleId="Lista">
    <w:name w:val="List"/>
    <w:basedOn w:val="Normal"/>
    <w:rsid w:val="00062571"/>
    <w:pPr>
      <w:autoSpaceDE w:val="0"/>
      <w:autoSpaceDN w:val="0"/>
      <w:ind w:left="283" w:hanging="283"/>
    </w:pPr>
    <w:rPr>
      <w:rFonts w:ascii="Arial" w:eastAsia="Times New Roman" w:hAnsi="Arial" w:cs="Arial"/>
      <w:sz w:val="28"/>
      <w:szCs w:val="28"/>
      <w:lang w:val="es-ES_tradnl" w:eastAsia="es-ES"/>
    </w:rPr>
  </w:style>
  <w:style w:type="paragraph" w:styleId="Textonotapie">
    <w:name w:val="footnote text"/>
    <w:aliases w:val="Footnote reference,FA Fu,Footnote Text Char Char Char Char Char,Footnote Text Char Char Char Char,Footnote Text Char Char Char,Footnote Text Cha,FA Fußnotentext,FA Fuﬂnotentext,Footnote Text Char Char,texto de nota al p"/>
    <w:basedOn w:val="Normal"/>
    <w:link w:val="TextonotapieCar"/>
    <w:qFormat/>
    <w:rsid w:val="00062571"/>
    <w:rPr>
      <w:rFonts w:ascii="Times New Roman" w:eastAsia="Times New Roman" w:hAnsi="Times New Roman"/>
      <w:sz w:val="20"/>
      <w:szCs w:val="20"/>
      <w:lang w:eastAsia="es-ES"/>
    </w:rPr>
  </w:style>
  <w:style w:type="character" w:customStyle="1" w:styleId="TextonotapieCar">
    <w:name w:val="Texto nota pie Car"/>
    <w:aliases w:val="Footnote reference Car,FA Fu Car,Footnote Text Char Char Char Char Char Car,Footnote Text Char Char Char Char Car,Footnote Text Char Char Char Car,Footnote Text Cha Car,FA Fußnotentext Car,FA Fuﬂnotentext Car,texto de nota al p Car"/>
    <w:link w:val="Textonotapie"/>
    <w:rsid w:val="00062571"/>
    <w:rPr>
      <w:rFonts w:ascii="Times New Roman" w:eastAsia="Times New Roman" w:hAnsi="Times New Roman"/>
    </w:rPr>
  </w:style>
  <w:style w:type="character" w:styleId="Refdenotaalpie">
    <w:name w:val="footnote reference"/>
    <w:aliases w:val="Ref. de nota al pie 2,Pie de Página,FC,Texto de nota al pie,Texto de nota al pi,Appel note de bas de page,Footnotes refss,Footnote number,referencia nota al pie,BVI fnr,f,4_G,16 Point,Superscript 6 Point,Texto nota al pie,Pie de Pàgi"/>
    <w:qFormat/>
    <w:rsid w:val="00062571"/>
    <w:rPr>
      <w:vertAlign w:val="superscript"/>
    </w:rPr>
  </w:style>
  <w:style w:type="paragraph" w:styleId="NormalWeb">
    <w:name w:val="Normal (Web)"/>
    <w:basedOn w:val="Normal"/>
    <w:unhideWhenUsed/>
    <w:rsid w:val="00062571"/>
    <w:rPr>
      <w:rFonts w:ascii="Times New Roman" w:hAnsi="Times New Roman"/>
      <w:sz w:val="24"/>
      <w:szCs w:val="24"/>
    </w:rPr>
  </w:style>
  <w:style w:type="paragraph" w:styleId="Encabezado">
    <w:name w:val="header"/>
    <w:basedOn w:val="Normal"/>
    <w:link w:val="EncabezadoCar"/>
    <w:uiPriority w:val="99"/>
    <w:unhideWhenUsed/>
    <w:rsid w:val="00D677F9"/>
    <w:pPr>
      <w:tabs>
        <w:tab w:val="center" w:pos="4252"/>
        <w:tab w:val="right" w:pos="8504"/>
      </w:tabs>
    </w:pPr>
  </w:style>
  <w:style w:type="character" w:customStyle="1" w:styleId="EncabezadoCar">
    <w:name w:val="Encabezado Car"/>
    <w:link w:val="Encabezado"/>
    <w:uiPriority w:val="99"/>
    <w:rsid w:val="00D677F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3BADE9-D456-4EA0-80C8-09AD999A0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E498E3-2247-4D8E-8C22-D3D5143EBC14}">
  <ds:schemaRefs>
    <ds:schemaRef ds:uri="http://schemas.microsoft.com/sharepoint/v3/contenttype/forms"/>
  </ds:schemaRefs>
</ds:datastoreItem>
</file>

<file path=customXml/itemProps3.xml><?xml version="1.0" encoding="utf-8"?>
<ds:datastoreItem xmlns:ds="http://schemas.openxmlformats.org/officeDocument/2006/customXml" ds:itemID="{291F2D21-7ACD-485D-9DF5-B6646CB22D6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5230B97-374E-44BB-BF3C-086194B83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2172</Words>
  <Characters>12385</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MARIA CASTRILLON PALERMO</dc:creator>
  <cp:keywords/>
  <dc:description/>
  <cp:lastModifiedBy>Nina María Padrón</cp:lastModifiedBy>
  <cp:revision>2</cp:revision>
  <dcterms:created xsi:type="dcterms:W3CDTF">2020-06-14T22:10:00Z</dcterms:created>
  <dcterms:modified xsi:type="dcterms:W3CDTF">2020-06-14T22:10:00Z</dcterms:modified>
</cp:coreProperties>
</file>