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3595" w:rsidRPr="00A2245B" w:rsidRDefault="002D3595" w:rsidP="00A2245B">
      <w:pPr>
        <w:spacing w:after="0" w:line="240" w:lineRule="auto"/>
        <w:jc w:val="both"/>
        <w:rPr>
          <w:rFonts w:ascii="Arial" w:hAnsi="Arial" w:cs="Arial"/>
          <w:b/>
        </w:rPr>
      </w:pPr>
    </w:p>
    <w:p w:rsidR="009660FE" w:rsidRPr="001E7405" w:rsidRDefault="006031E1" w:rsidP="00A2245B">
      <w:pPr>
        <w:spacing w:after="0" w:line="240" w:lineRule="auto"/>
        <w:jc w:val="both"/>
        <w:rPr>
          <w:rFonts w:ascii="Arial" w:hAnsi="Arial" w:cs="Arial"/>
          <w:b/>
        </w:rPr>
      </w:pPr>
      <w:r>
        <w:rPr>
          <w:rFonts w:ascii="Arial" w:hAnsi="Arial" w:cs="Arial"/>
          <w:b/>
        </w:rPr>
        <w:t xml:space="preserve">ACCIÓN DE TUTELA – Contra providencia judicial – </w:t>
      </w:r>
      <w:r w:rsidR="009660FE" w:rsidRPr="001E7405">
        <w:rPr>
          <w:rFonts w:ascii="Arial" w:hAnsi="Arial" w:cs="Arial"/>
          <w:b/>
        </w:rPr>
        <w:t>Procedencia</w:t>
      </w:r>
    </w:p>
    <w:p w:rsidR="009660FE" w:rsidRPr="00A2245B" w:rsidRDefault="009660FE" w:rsidP="00A2245B">
      <w:pPr>
        <w:spacing w:after="0" w:line="240" w:lineRule="auto"/>
        <w:jc w:val="both"/>
        <w:rPr>
          <w:rFonts w:ascii="Arial" w:hAnsi="Arial" w:cs="Arial"/>
          <w:b/>
        </w:rPr>
      </w:pPr>
    </w:p>
    <w:p w:rsidR="009660FE" w:rsidRPr="00A2245B" w:rsidRDefault="009660FE" w:rsidP="00A2245B">
      <w:pPr>
        <w:spacing w:after="0" w:line="240" w:lineRule="auto"/>
        <w:jc w:val="both"/>
        <w:rPr>
          <w:rFonts w:ascii="Arial" w:hAnsi="Arial" w:cs="Arial"/>
        </w:rPr>
      </w:pPr>
      <w:r w:rsidRPr="00A2245B">
        <w:rPr>
          <w:rFonts w:ascii="Arial" w:hAnsi="Arial" w:cs="Arial"/>
        </w:rPr>
        <w:t>Para tal efecto, el juez de tutela debe verificar el cumplimiento de los requisitos generales (procesales o de procedibilidad) que fijó la Corte Constitucional, en la sentencia C-590 de 2005. Esto es, la relevancia constitucional, el agotamiento de los medios ordinarios de defensa, la inmediatez y que no se esté cuestionando una sentencia de tutela. Además, debe examinar si el demandante identificó y sustentó la causal específica de procedibilidad y expuso las razones que sustentan la violación o amenaza de los derechos fundamentales. No son suficientes las simples inconformidades frente a las decisiones tomadas por los jueces de instancia, sino que el interesado debe demostrar que la providencia cuestionada vulneró o dejó en situación de amenaza derechos fundamentales.</w:t>
      </w:r>
    </w:p>
    <w:p w:rsidR="009660FE" w:rsidRPr="00A2245B" w:rsidRDefault="009660FE" w:rsidP="00A2245B">
      <w:pPr>
        <w:spacing w:after="0" w:line="240" w:lineRule="auto"/>
        <w:jc w:val="both"/>
        <w:rPr>
          <w:rFonts w:ascii="Arial" w:hAnsi="Arial" w:cs="Arial"/>
          <w:b/>
        </w:rPr>
      </w:pPr>
    </w:p>
    <w:p w:rsidR="00BC0DEF" w:rsidRPr="001E7405" w:rsidRDefault="006031E1" w:rsidP="00A2245B">
      <w:pPr>
        <w:spacing w:after="0" w:line="240" w:lineRule="auto"/>
        <w:jc w:val="both"/>
        <w:rPr>
          <w:rFonts w:ascii="Arial" w:hAnsi="Arial" w:cs="Arial"/>
          <w:b/>
        </w:rPr>
      </w:pPr>
      <w:r>
        <w:rPr>
          <w:rFonts w:ascii="Arial" w:hAnsi="Arial" w:cs="Arial"/>
          <w:b/>
        </w:rPr>
        <w:t xml:space="preserve">ACCIÓN DE TUTELA – Contra providencia judicial </w:t>
      </w:r>
      <w:r>
        <w:rPr>
          <w:rFonts w:ascii="Arial" w:hAnsi="Arial" w:cs="Arial"/>
          <w:b/>
        </w:rPr>
        <w:t>– Requisitos específicos – Procedencia</w:t>
      </w:r>
    </w:p>
    <w:p w:rsidR="00BC0DEF" w:rsidRPr="001E7405" w:rsidRDefault="00BC0DEF" w:rsidP="00A2245B">
      <w:pPr>
        <w:spacing w:after="0" w:line="240" w:lineRule="auto"/>
        <w:jc w:val="both"/>
        <w:rPr>
          <w:rFonts w:ascii="Arial" w:hAnsi="Arial" w:cs="Arial"/>
          <w:b/>
        </w:rPr>
      </w:pPr>
    </w:p>
    <w:p w:rsidR="00DB4CC8" w:rsidRPr="00A2245B" w:rsidRDefault="00DB4CC8" w:rsidP="00A2245B">
      <w:pPr>
        <w:spacing w:after="0" w:line="240" w:lineRule="auto"/>
        <w:jc w:val="both"/>
        <w:rPr>
          <w:rFonts w:ascii="Arial" w:hAnsi="Arial" w:cs="Arial"/>
        </w:rPr>
      </w:pPr>
      <w:r w:rsidRPr="00A2245B">
        <w:rPr>
          <w:rFonts w:ascii="Arial" w:hAnsi="Arial" w:cs="Arial"/>
        </w:rPr>
        <w:t>(i) defecto sustantivo, (ii) defecto fáctico, (iii) defecto procedimental absoluto, (iv) defecto orgánico, (v) error inducido, (vi) decisión sin motivación, (vii) desconocimiento del precedente y (viii) violación directa de la Constitución. Las causales específicas que ha decantado la Corte Constitucional (y que han venido aplicando la mayoría de las autoridades judiciales) buscan que la tutela no se convierta en una instancia adicional para que las partes reabran discusiones jurídicas que son propias de los procesos ordinarios o expongan los argumentos que, por negligencia o decisión propia, dejaron de proponer oportunamente.</w:t>
      </w:r>
    </w:p>
    <w:p w:rsidR="00CA42A2" w:rsidRPr="00A2245B" w:rsidRDefault="00CA42A2" w:rsidP="00A2245B">
      <w:pPr>
        <w:spacing w:after="0" w:line="240" w:lineRule="auto"/>
        <w:jc w:val="both"/>
        <w:rPr>
          <w:rFonts w:ascii="Arial" w:hAnsi="Arial" w:cs="Arial"/>
          <w:b/>
        </w:rPr>
      </w:pPr>
    </w:p>
    <w:p w:rsidR="0024314E" w:rsidRPr="00A2245B" w:rsidRDefault="00C03743" w:rsidP="00A2245B">
      <w:pPr>
        <w:spacing w:after="0" w:line="240" w:lineRule="auto"/>
        <w:jc w:val="both"/>
        <w:rPr>
          <w:rFonts w:ascii="Arial" w:hAnsi="Arial" w:cs="Arial"/>
        </w:rPr>
      </w:pPr>
      <w:r w:rsidRPr="00A2245B">
        <w:rPr>
          <w:rFonts w:ascii="Arial" w:hAnsi="Arial" w:cs="Arial"/>
          <w:b/>
        </w:rPr>
        <w:t>CONTRATO REALIDAD</w:t>
      </w:r>
      <w:r w:rsidR="006031E1">
        <w:rPr>
          <w:rFonts w:ascii="Arial" w:hAnsi="Arial" w:cs="Arial"/>
          <w:b/>
        </w:rPr>
        <w:t xml:space="preserve"> –</w:t>
      </w:r>
      <w:r w:rsidR="00CA42A2" w:rsidRPr="00A2245B">
        <w:rPr>
          <w:rFonts w:ascii="Arial" w:hAnsi="Arial" w:cs="Arial"/>
          <w:b/>
        </w:rPr>
        <w:t xml:space="preserve"> </w:t>
      </w:r>
      <w:r w:rsidR="00CA42A2" w:rsidRPr="001E7405">
        <w:rPr>
          <w:rFonts w:ascii="Arial" w:hAnsi="Arial" w:cs="Arial"/>
          <w:b/>
        </w:rPr>
        <w:t>Prescripción trienal</w:t>
      </w:r>
    </w:p>
    <w:p w:rsidR="00CA42A2" w:rsidRPr="00A2245B" w:rsidRDefault="00CA42A2" w:rsidP="00A2245B">
      <w:pPr>
        <w:spacing w:after="0" w:line="240" w:lineRule="auto"/>
        <w:jc w:val="both"/>
        <w:rPr>
          <w:rFonts w:ascii="Arial" w:hAnsi="Arial" w:cs="Arial"/>
        </w:rPr>
      </w:pPr>
    </w:p>
    <w:p w:rsidR="00CA42A2" w:rsidRPr="00A2245B" w:rsidRDefault="007178AC" w:rsidP="00A2245B">
      <w:pPr>
        <w:spacing w:after="0" w:line="240" w:lineRule="auto"/>
        <w:jc w:val="both"/>
        <w:rPr>
          <w:rFonts w:ascii="Arial" w:hAnsi="Arial" w:cs="Arial"/>
        </w:rPr>
      </w:pPr>
      <w:r w:rsidRPr="00A2245B">
        <w:rPr>
          <w:rFonts w:ascii="Arial" w:hAnsi="Arial" w:cs="Arial"/>
        </w:rPr>
        <w:t>el tribunal demandado citó la jurisprudencia de la Sección Segunda de la Corporación, que indica que la prescripción, en los casos de contrato realidad, empieza a correr desde la sentencia constitutiva, esto es, desde el fallo que declara la existencia de la relación laboral. Empero, manifestó que ese criterio había sido aclarado, mediante pronunciamiento posterior, en el sentido de indicar que, si bien debía tenerse en cuenta la sentencia constitutiva, eso no relevaba al demandante del deber de presentar la solicitud, al vencimiento de cada contrato. Luego, la autoridad demandada concluyó que entre los contratos que suscribió la señora Montañez Vargas hubo interrupciones superiores a 15 días hábiles, lo que, a su juicio, implicaba que hubo solución de continuidad, por lo que la actora debió solicitar, dentro del término de prescripción de cada uno, el reconocimiento de la relación laboral y de las prestaciones sociales.</w:t>
      </w:r>
    </w:p>
    <w:p w:rsidR="007178AC" w:rsidRPr="00A2245B" w:rsidRDefault="007178AC" w:rsidP="00A2245B">
      <w:pPr>
        <w:spacing w:after="0" w:line="240" w:lineRule="auto"/>
        <w:jc w:val="both"/>
        <w:rPr>
          <w:rFonts w:ascii="Arial" w:hAnsi="Arial" w:cs="Arial"/>
          <w:b/>
        </w:rPr>
      </w:pPr>
    </w:p>
    <w:p w:rsidR="00CA42A2" w:rsidRPr="001E7405" w:rsidRDefault="006031E1" w:rsidP="00A2245B">
      <w:pPr>
        <w:spacing w:after="0" w:line="240" w:lineRule="auto"/>
        <w:jc w:val="both"/>
        <w:rPr>
          <w:rFonts w:ascii="Arial" w:hAnsi="Arial" w:cs="Arial"/>
          <w:b/>
        </w:rPr>
      </w:pPr>
      <w:bookmarkStart w:id="0" w:name="_GoBack"/>
      <w:r>
        <w:rPr>
          <w:rFonts w:ascii="Arial" w:hAnsi="Arial" w:cs="Arial"/>
          <w:b/>
        </w:rPr>
        <w:t xml:space="preserve">PRECEDENTE JUDICIAL </w:t>
      </w:r>
      <w:bookmarkEnd w:id="0"/>
      <w:r>
        <w:rPr>
          <w:rFonts w:ascii="Arial" w:hAnsi="Arial" w:cs="Arial"/>
          <w:b/>
        </w:rPr>
        <w:t>– Desconocimiento</w:t>
      </w:r>
      <w:r w:rsidR="00CA42A2" w:rsidRPr="00A2245B">
        <w:rPr>
          <w:rFonts w:ascii="Arial" w:hAnsi="Arial" w:cs="Arial"/>
          <w:b/>
        </w:rPr>
        <w:t xml:space="preserve"> </w:t>
      </w:r>
      <w:r>
        <w:rPr>
          <w:rFonts w:ascii="Arial" w:hAnsi="Arial" w:cs="Arial"/>
          <w:b/>
        </w:rPr>
        <w:t xml:space="preserve">– </w:t>
      </w:r>
      <w:r w:rsidR="002D6CD4" w:rsidRPr="001E7405">
        <w:rPr>
          <w:rFonts w:ascii="Arial" w:hAnsi="Arial" w:cs="Arial"/>
          <w:b/>
        </w:rPr>
        <w:t xml:space="preserve">No se acreditó </w:t>
      </w:r>
    </w:p>
    <w:p w:rsidR="00CA42A2" w:rsidRPr="001E7405" w:rsidRDefault="00CA42A2" w:rsidP="00A2245B">
      <w:pPr>
        <w:spacing w:after="0" w:line="240" w:lineRule="auto"/>
        <w:jc w:val="both"/>
        <w:rPr>
          <w:rFonts w:ascii="Arial" w:hAnsi="Arial" w:cs="Arial"/>
          <w:b/>
        </w:rPr>
      </w:pPr>
    </w:p>
    <w:p w:rsidR="002D6CD4" w:rsidRPr="00A2245B" w:rsidRDefault="002D6CD4" w:rsidP="00A2245B">
      <w:pPr>
        <w:spacing w:after="0" w:line="240" w:lineRule="auto"/>
        <w:jc w:val="both"/>
        <w:rPr>
          <w:rFonts w:ascii="Arial" w:hAnsi="Arial" w:cs="Arial"/>
          <w:bCs/>
        </w:rPr>
      </w:pPr>
      <w:r w:rsidRPr="00A2245B">
        <w:rPr>
          <w:rFonts w:ascii="Arial" w:hAnsi="Arial" w:cs="Arial"/>
          <w:bCs/>
        </w:rPr>
        <w:t xml:space="preserve">Conforme con lo expuesto, es evidente que, respecto de la prescripción en los casos de contrato realidad, han existido criterios dispares en la Sección Segunda de la Corporación, por lo que, al no existir un criterio uniforme, no puede afirmarse que la sentencia el 5 de mayo de 2016 haya incurrido en el desconocimiento del precedente alegado en la tutela. De hecho, la sentencia de unificación sobre la materia fue expedida el 25 de agosto de 2016, esto es, más de tres meses después de la providencia que aquí se cuestiona. </w:t>
      </w:r>
      <w:r w:rsidR="009A413A" w:rsidRPr="00A2245B">
        <w:rPr>
          <w:rFonts w:ascii="Arial" w:hAnsi="Arial" w:cs="Arial"/>
          <w:bCs/>
        </w:rPr>
        <w:t>Queda resuelto el problema jurídico: la sentencia del 5 de mayo de 2016 no desconoció el precedente de la Sección Segunda del Consejo de Estado, relacionado con la contabilización del término de prescripción, en los casos en los que se declara la existencia de una relación laboral, generada en virtud de contratos de prestación de servicios.</w:t>
      </w:r>
    </w:p>
    <w:p w:rsidR="002D6CD4" w:rsidRDefault="002D6CD4" w:rsidP="0024314E">
      <w:pPr>
        <w:spacing w:after="0" w:line="240" w:lineRule="auto"/>
        <w:jc w:val="center"/>
        <w:rPr>
          <w:rFonts w:ascii="Arial" w:hAnsi="Arial" w:cs="Arial"/>
          <w:bCs/>
        </w:rPr>
      </w:pPr>
    </w:p>
    <w:p w:rsidR="00015C75" w:rsidRDefault="00015C75" w:rsidP="0024314E">
      <w:pPr>
        <w:spacing w:after="0" w:line="240" w:lineRule="auto"/>
        <w:jc w:val="center"/>
        <w:rPr>
          <w:rFonts w:ascii="Arial" w:hAnsi="Arial" w:cs="Arial"/>
          <w:b/>
          <w:sz w:val="24"/>
          <w:szCs w:val="24"/>
        </w:rPr>
      </w:pPr>
      <w:r w:rsidRPr="0024314E">
        <w:rPr>
          <w:rFonts w:ascii="Arial" w:hAnsi="Arial" w:cs="Arial"/>
          <w:b/>
          <w:sz w:val="24"/>
          <w:szCs w:val="24"/>
        </w:rPr>
        <w:t>CONSEJO DE ESTADO</w:t>
      </w:r>
    </w:p>
    <w:p w:rsidR="0024314E" w:rsidRPr="0024314E" w:rsidRDefault="0024314E" w:rsidP="0024314E">
      <w:pPr>
        <w:spacing w:after="0" w:line="240" w:lineRule="auto"/>
        <w:jc w:val="center"/>
        <w:rPr>
          <w:rFonts w:ascii="Arial" w:hAnsi="Arial" w:cs="Arial"/>
          <w:b/>
          <w:sz w:val="24"/>
          <w:szCs w:val="24"/>
        </w:rPr>
      </w:pPr>
    </w:p>
    <w:p w:rsidR="00015C75" w:rsidRDefault="00015C75" w:rsidP="0024314E">
      <w:pPr>
        <w:spacing w:after="0" w:line="240" w:lineRule="auto"/>
        <w:jc w:val="center"/>
        <w:rPr>
          <w:rFonts w:ascii="Arial" w:hAnsi="Arial" w:cs="Arial"/>
          <w:b/>
          <w:sz w:val="24"/>
          <w:szCs w:val="24"/>
        </w:rPr>
      </w:pPr>
      <w:r w:rsidRPr="0024314E">
        <w:rPr>
          <w:rFonts w:ascii="Arial" w:hAnsi="Arial" w:cs="Arial"/>
          <w:b/>
          <w:sz w:val="24"/>
          <w:szCs w:val="24"/>
        </w:rPr>
        <w:t>SALA DE LO CONTENCIOSO ADMINISTRATIVO</w:t>
      </w:r>
    </w:p>
    <w:p w:rsidR="0024314E" w:rsidRPr="0024314E" w:rsidRDefault="0024314E" w:rsidP="0024314E">
      <w:pPr>
        <w:spacing w:after="0" w:line="240" w:lineRule="auto"/>
        <w:jc w:val="center"/>
        <w:rPr>
          <w:rFonts w:ascii="Arial" w:hAnsi="Arial" w:cs="Arial"/>
          <w:b/>
          <w:sz w:val="24"/>
          <w:szCs w:val="24"/>
        </w:rPr>
      </w:pPr>
    </w:p>
    <w:p w:rsidR="00015C75" w:rsidRPr="0024314E" w:rsidRDefault="00015C75" w:rsidP="0024314E">
      <w:pPr>
        <w:spacing w:after="0" w:line="240" w:lineRule="auto"/>
        <w:jc w:val="center"/>
        <w:rPr>
          <w:rFonts w:ascii="Arial" w:hAnsi="Arial" w:cs="Arial"/>
          <w:b/>
          <w:sz w:val="24"/>
          <w:szCs w:val="24"/>
        </w:rPr>
      </w:pPr>
      <w:r w:rsidRPr="0024314E">
        <w:rPr>
          <w:rFonts w:ascii="Arial" w:hAnsi="Arial" w:cs="Arial"/>
          <w:b/>
          <w:sz w:val="24"/>
          <w:szCs w:val="24"/>
        </w:rPr>
        <w:t>SECCIÓN CUARTA</w:t>
      </w:r>
    </w:p>
    <w:p w:rsidR="00015C75" w:rsidRPr="0024314E" w:rsidRDefault="00015C75" w:rsidP="0024314E">
      <w:pPr>
        <w:spacing w:after="0" w:line="240" w:lineRule="auto"/>
        <w:rPr>
          <w:rFonts w:ascii="Arial" w:hAnsi="Arial" w:cs="Arial"/>
          <w:b/>
          <w:sz w:val="24"/>
          <w:szCs w:val="24"/>
        </w:rPr>
      </w:pPr>
    </w:p>
    <w:p w:rsidR="00015C75" w:rsidRPr="0024314E" w:rsidRDefault="0024314E" w:rsidP="0024314E">
      <w:pPr>
        <w:spacing w:after="0" w:line="240" w:lineRule="auto"/>
        <w:jc w:val="center"/>
        <w:rPr>
          <w:rFonts w:ascii="Arial" w:hAnsi="Arial" w:cs="Arial"/>
          <w:b/>
          <w:sz w:val="24"/>
          <w:szCs w:val="24"/>
        </w:rPr>
      </w:pPr>
      <w:r w:rsidRPr="0024314E">
        <w:rPr>
          <w:rFonts w:ascii="Arial" w:hAnsi="Arial" w:cs="Arial"/>
          <w:b/>
          <w:sz w:val="24"/>
          <w:szCs w:val="24"/>
        </w:rPr>
        <w:t>Consejero</w:t>
      </w:r>
      <w:r w:rsidR="001379B8" w:rsidRPr="0024314E">
        <w:rPr>
          <w:rFonts w:ascii="Arial" w:hAnsi="Arial" w:cs="Arial"/>
          <w:b/>
          <w:sz w:val="24"/>
          <w:szCs w:val="24"/>
        </w:rPr>
        <w:t xml:space="preserve"> ponente: JULIO ROBERTO PIZA RODRÍGUEZ</w:t>
      </w:r>
    </w:p>
    <w:p w:rsidR="001379B8" w:rsidRPr="0024314E" w:rsidRDefault="001379B8" w:rsidP="0024314E">
      <w:pPr>
        <w:spacing w:after="0" w:line="240" w:lineRule="auto"/>
        <w:rPr>
          <w:rFonts w:ascii="Arial" w:hAnsi="Arial" w:cs="Arial"/>
          <w:sz w:val="24"/>
          <w:szCs w:val="24"/>
        </w:rPr>
      </w:pPr>
    </w:p>
    <w:p w:rsidR="00015C75" w:rsidRPr="0024314E" w:rsidRDefault="00015C75" w:rsidP="0024314E">
      <w:pPr>
        <w:spacing w:after="0" w:line="240" w:lineRule="auto"/>
        <w:rPr>
          <w:rFonts w:ascii="Arial" w:hAnsi="Arial" w:cs="Arial"/>
          <w:sz w:val="24"/>
          <w:szCs w:val="24"/>
        </w:rPr>
      </w:pPr>
      <w:r w:rsidRPr="0024314E">
        <w:rPr>
          <w:rFonts w:ascii="Arial" w:hAnsi="Arial" w:cs="Arial"/>
          <w:sz w:val="24"/>
          <w:szCs w:val="24"/>
        </w:rPr>
        <w:t xml:space="preserve">Bogotá, </w:t>
      </w:r>
      <w:r w:rsidR="0024314E">
        <w:rPr>
          <w:rFonts w:ascii="Arial" w:hAnsi="Arial" w:cs="Arial"/>
          <w:sz w:val="24"/>
          <w:szCs w:val="24"/>
        </w:rPr>
        <w:t>cuatro (</w:t>
      </w:r>
      <w:r w:rsidR="009C3814" w:rsidRPr="0024314E">
        <w:rPr>
          <w:rFonts w:ascii="Arial" w:hAnsi="Arial" w:cs="Arial"/>
          <w:sz w:val="24"/>
          <w:szCs w:val="24"/>
        </w:rPr>
        <w:t>4</w:t>
      </w:r>
      <w:r w:rsidR="0024314E">
        <w:rPr>
          <w:rFonts w:ascii="Arial" w:hAnsi="Arial" w:cs="Arial"/>
          <w:sz w:val="24"/>
          <w:szCs w:val="24"/>
        </w:rPr>
        <w:t>)</w:t>
      </w:r>
      <w:r w:rsidR="00535E98" w:rsidRPr="0024314E">
        <w:rPr>
          <w:rFonts w:ascii="Arial" w:hAnsi="Arial" w:cs="Arial"/>
          <w:sz w:val="24"/>
          <w:szCs w:val="24"/>
        </w:rPr>
        <w:t xml:space="preserve"> de octubre</w:t>
      </w:r>
      <w:r w:rsidR="00507BDE" w:rsidRPr="0024314E">
        <w:rPr>
          <w:rFonts w:ascii="Arial" w:hAnsi="Arial" w:cs="Arial"/>
          <w:sz w:val="24"/>
          <w:szCs w:val="24"/>
        </w:rPr>
        <w:t xml:space="preserve"> </w:t>
      </w:r>
      <w:r w:rsidR="00EA4CAC" w:rsidRPr="0024314E">
        <w:rPr>
          <w:rFonts w:ascii="Arial" w:hAnsi="Arial" w:cs="Arial"/>
          <w:sz w:val="24"/>
          <w:szCs w:val="24"/>
        </w:rPr>
        <w:t xml:space="preserve">de </w:t>
      </w:r>
      <w:r w:rsidR="0024314E">
        <w:rPr>
          <w:rFonts w:ascii="Arial" w:hAnsi="Arial" w:cs="Arial"/>
          <w:sz w:val="24"/>
          <w:szCs w:val="24"/>
        </w:rPr>
        <w:t>dos mil diecisiete (</w:t>
      </w:r>
      <w:r w:rsidR="00727A96" w:rsidRPr="0024314E">
        <w:rPr>
          <w:rFonts w:ascii="Arial" w:hAnsi="Arial" w:cs="Arial"/>
          <w:sz w:val="24"/>
          <w:szCs w:val="24"/>
        </w:rPr>
        <w:t>2017</w:t>
      </w:r>
      <w:r w:rsidR="0024314E">
        <w:rPr>
          <w:rFonts w:ascii="Arial" w:hAnsi="Arial" w:cs="Arial"/>
          <w:sz w:val="24"/>
          <w:szCs w:val="24"/>
        </w:rPr>
        <w:t>)</w:t>
      </w:r>
    </w:p>
    <w:p w:rsidR="004342F0" w:rsidRPr="0024314E" w:rsidRDefault="004342F0" w:rsidP="0024314E">
      <w:pPr>
        <w:spacing w:after="0" w:line="240" w:lineRule="auto"/>
        <w:rPr>
          <w:rFonts w:ascii="Arial" w:hAnsi="Arial" w:cs="Arial"/>
          <w:b/>
          <w:bCs/>
          <w:sz w:val="24"/>
          <w:szCs w:val="24"/>
        </w:rPr>
      </w:pPr>
    </w:p>
    <w:p w:rsidR="00015C75" w:rsidRDefault="0024314E" w:rsidP="0024314E">
      <w:pPr>
        <w:spacing w:after="0" w:line="240" w:lineRule="auto"/>
        <w:rPr>
          <w:rFonts w:ascii="Arial" w:eastAsia="Times New Roman" w:hAnsi="Arial" w:cs="Arial"/>
          <w:b/>
          <w:bCs/>
          <w:sz w:val="24"/>
          <w:szCs w:val="24"/>
          <w:lang w:eastAsia="es-ES"/>
        </w:rPr>
      </w:pPr>
      <w:r>
        <w:rPr>
          <w:rFonts w:ascii="Arial" w:eastAsia="Times New Roman" w:hAnsi="Arial" w:cs="Arial"/>
          <w:b/>
          <w:bCs/>
          <w:sz w:val="24"/>
          <w:szCs w:val="24"/>
          <w:lang w:eastAsia="es-ES"/>
        </w:rPr>
        <w:t>Radicación número</w:t>
      </w:r>
      <w:r w:rsidR="00015C75" w:rsidRPr="0024314E">
        <w:rPr>
          <w:rFonts w:ascii="Arial" w:eastAsia="Times New Roman" w:hAnsi="Arial" w:cs="Arial"/>
          <w:b/>
          <w:bCs/>
          <w:sz w:val="24"/>
          <w:szCs w:val="24"/>
          <w:lang w:eastAsia="es-ES"/>
        </w:rPr>
        <w:t>: 11001-03-15-000-201</w:t>
      </w:r>
      <w:r w:rsidR="00727A96" w:rsidRPr="0024314E">
        <w:rPr>
          <w:rFonts w:ascii="Arial" w:eastAsia="Times New Roman" w:hAnsi="Arial" w:cs="Arial"/>
          <w:b/>
          <w:bCs/>
          <w:sz w:val="24"/>
          <w:szCs w:val="24"/>
          <w:lang w:eastAsia="es-ES"/>
        </w:rPr>
        <w:t>6</w:t>
      </w:r>
      <w:r w:rsidR="00015C75" w:rsidRPr="0024314E">
        <w:rPr>
          <w:rFonts w:ascii="Arial" w:eastAsia="Times New Roman" w:hAnsi="Arial" w:cs="Arial"/>
          <w:b/>
          <w:bCs/>
          <w:sz w:val="24"/>
          <w:szCs w:val="24"/>
          <w:lang w:eastAsia="es-ES"/>
        </w:rPr>
        <w:t>-</w:t>
      </w:r>
      <w:r w:rsidR="00727A96" w:rsidRPr="0024314E">
        <w:rPr>
          <w:rFonts w:ascii="Arial" w:eastAsia="Times New Roman" w:hAnsi="Arial" w:cs="Arial"/>
          <w:b/>
          <w:bCs/>
          <w:sz w:val="24"/>
          <w:szCs w:val="24"/>
          <w:lang w:eastAsia="es-ES"/>
        </w:rPr>
        <w:t>0</w:t>
      </w:r>
      <w:r w:rsidR="00F71E7F" w:rsidRPr="0024314E">
        <w:rPr>
          <w:rFonts w:ascii="Arial" w:eastAsia="Times New Roman" w:hAnsi="Arial" w:cs="Arial"/>
          <w:b/>
          <w:bCs/>
          <w:sz w:val="24"/>
          <w:szCs w:val="24"/>
          <w:lang w:eastAsia="es-ES"/>
        </w:rPr>
        <w:t>3</w:t>
      </w:r>
      <w:r w:rsidR="00507BDE" w:rsidRPr="0024314E">
        <w:rPr>
          <w:rFonts w:ascii="Arial" w:eastAsia="Times New Roman" w:hAnsi="Arial" w:cs="Arial"/>
          <w:b/>
          <w:bCs/>
          <w:sz w:val="24"/>
          <w:szCs w:val="24"/>
          <w:lang w:eastAsia="es-ES"/>
        </w:rPr>
        <w:t>242</w:t>
      </w:r>
      <w:r w:rsidR="00015C75" w:rsidRPr="0024314E">
        <w:rPr>
          <w:rFonts w:ascii="Arial" w:eastAsia="Times New Roman" w:hAnsi="Arial" w:cs="Arial"/>
          <w:b/>
          <w:bCs/>
          <w:sz w:val="24"/>
          <w:szCs w:val="24"/>
          <w:lang w:eastAsia="es-ES"/>
        </w:rPr>
        <w:t>-01</w:t>
      </w:r>
      <w:r>
        <w:rPr>
          <w:rFonts w:ascii="Arial" w:eastAsia="Times New Roman" w:hAnsi="Arial" w:cs="Arial"/>
          <w:b/>
          <w:bCs/>
          <w:sz w:val="24"/>
          <w:szCs w:val="24"/>
          <w:lang w:eastAsia="es-ES"/>
        </w:rPr>
        <w:t>(AC)</w:t>
      </w:r>
    </w:p>
    <w:p w:rsidR="0024314E" w:rsidRPr="0024314E" w:rsidRDefault="0024314E" w:rsidP="0024314E">
      <w:pPr>
        <w:spacing w:after="0" w:line="240" w:lineRule="auto"/>
        <w:rPr>
          <w:rFonts w:ascii="Arial" w:eastAsia="Times New Roman" w:hAnsi="Arial" w:cs="Arial"/>
          <w:b/>
          <w:bCs/>
          <w:sz w:val="24"/>
          <w:szCs w:val="24"/>
          <w:lang w:eastAsia="es-ES"/>
        </w:rPr>
      </w:pPr>
    </w:p>
    <w:p w:rsidR="00015C75" w:rsidRDefault="00015C75" w:rsidP="0024314E">
      <w:pPr>
        <w:spacing w:after="0" w:line="240" w:lineRule="auto"/>
        <w:rPr>
          <w:rFonts w:ascii="Arial" w:eastAsia="Times New Roman" w:hAnsi="Arial" w:cs="Arial"/>
          <w:b/>
          <w:bCs/>
          <w:sz w:val="24"/>
          <w:szCs w:val="24"/>
          <w:lang w:eastAsia="es-ES"/>
        </w:rPr>
      </w:pPr>
      <w:r w:rsidRPr="0024314E">
        <w:rPr>
          <w:rFonts w:ascii="Arial" w:eastAsia="Times New Roman" w:hAnsi="Arial" w:cs="Arial"/>
          <w:b/>
          <w:bCs/>
          <w:sz w:val="24"/>
          <w:szCs w:val="24"/>
          <w:lang w:eastAsia="es-ES"/>
        </w:rPr>
        <w:t xml:space="preserve">Demandante: </w:t>
      </w:r>
      <w:r w:rsidR="0024314E" w:rsidRPr="0024314E">
        <w:rPr>
          <w:rFonts w:ascii="Arial" w:eastAsia="Times New Roman" w:hAnsi="Arial" w:cs="Arial"/>
          <w:b/>
          <w:bCs/>
          <w:sz w:val="24"/>
          <w:szCs w:val="24"/>
          <w:lang w:eastAsia="es-ES"/>
        </w:rPr>
        <w:t>ELSA SAMIRA MONTAÑEZ VARGAS</w:t>
      </w:r>
    </w:p>
    <w:p w:rsidR="0024314E" w:rsidRPr="0024314E" w:rsidRDefault="0024314E" w:rsidP="0024314E">
      <w:pPr>
        <w:spacing w:after="0" w:line="240" w:lineRule="auto"/>
        <w:rPr>
          <w:rFonts w:ascii="Arial" w:eastAsia="Times New Roman" w:hAnsi="Arial" w:cs="Arial"/>
          <w:b/>
          <w:bCs/>
          <w:sz w:val="24"/>
          <w:szCs w:val="24"/>
          <w:lang w:eastAsia="es-ES"/>
        </w:rPr>
      </w:pPr>
    </w:p>
    <w:p w:rsidR="00015C75" w:rsidRPr="0024314E" w:rsidRDefault="00015C75" w:rsidP="0024314E">
      <w:pPr>
        <w:spacing w:after="0" w:line="240" w:lineRule="auto"/>
        <w:jc w:val="both"/>
        <w:rPr>
          <w:rFonts w:ascii="Arial" w:eastAsia="Times New Roman" w:hAnsi="Arial" w:cs="Arial"/>
          <w:b/>
          <w:bCs/>
          <w:sz w:val="24"/>
          <w:szCs w:val="24"/>
          <w:lang w:eastAsia="es-ES"/>
        </w:rPr>
      </w:pPr>
      <w:r w:rsidRPr="0024314E">
        <w:rPr>
          <w:rFonts w:ascii="Arial" w:eastAsia="Times New Roman" w:hAnsi="Arial" w:cs="Arial"/>
          <w:b/>
          <w:bCs/>
          <w:sz w:val="24"/>
          <w:szCs w:val="24"/>
          <w:lang w:eastAsia="es-ES"/>
        </w:rPr>
        <w:t xml:space="preserve">Demandado: </w:t>
      </w:r>
      <w:r w:rsidR="0024314E" w:rsidRPr="0024314E">
        <w:rPr>
          <w:rFonts w:ascii="Arial" w:eastAsia="Times New Roman" w:hAnsi="Arial" w:cs="Arial"/>
          <w:b/>
          <w:bCs/>
          <w:sz w:val="24"/>
          <w:szCs w:val="24"/>
          <w:lang w:eastAsia="es-ES"/>
        </w:rPr>
        <w:t>TRIBUNAL ADMINISTRATIVO DE CUNDINAMARCA, SECCIÓN SEGUNDA, SUBSECCIÓN A, Y OTRO</w:t>
      </w:r>
    </w:p>
    <w:p w:rsidR="00E40DA3" w:rsidRPr="0024314E" w:rsidRDefault="00E40DA3" w:rsidP="0024314E">
      <w:pPr>
        <w:spacing w:after="0" w:line="240" w:lineRule="auto"/>
        <w:rPr>
          <w:rFonts w:ascii="Arial" w:eastAsia="Times New Roman" w:hAnsi="Arial" w:cs="Arial"/>
          <w:b/>
          <w:bCs/>
          <w:sz w:val="24"/>
          <w:szCs w:val="24"/>
          <w:lang w:eastAsia="es-ES"/>
        </w:rPr>
      </w:pPr>
    </w:p>
    <w:p w:rsidR="00D220DE" w:rsidRDefault="00D220DE" w:rsidP="0024314E">
      <w:pPr>
        <w:spacing w:after="0" w:line="240" w:lineRule="auto"/>
        <w:rPr>
          <w:rFonts w:ascii="Arial" w:eastAsia="Times New Roman" w:hAnsi="Arial" w:cs="Arial"/>
          <w:b/>
          <w:bCs/>
          <w:sz w:val="24"/>
          <w:szCs w:val="24"/>
          <w:lang w:eastAsia="es-ES"/>
        </w:rPr>
      </w:pPr>
    </w:p>
    <w:p w:rsidR="0024314E" w:rsidRPr="0024314E" w:rsidRDefault="0024314E" w:rsidP="0024314E">
      <w:pPr>
        <w:spacing w:after="0" w:line="240" w:lineRule="auto"/>
        <w:rPr>
          <w:rFonts w:ascii="Arial" w:hAnsi="Arial" w:cs="Arial"/>
          <w:b/>
          <w:sz w:val="24"/>
          <w:szCs w:val="24"/>
        </w:rPr>
      </w:pPr>
    </w:p>
    <w:p w:rsidR="00015C75" w:rsidRPr="0024314E" w:rsidRDefault="00015C75" w:rsidP="00D63644">
      <w:pPr>
        <w:pStyle w:val="Sangradetextonormal"/>
        <w:widowControl w:val="0"/>
        <w:rPr>
          <w:b w:val="0"/>
          <w:sz w:val="24"/>
          <w:szCs w:val="24"/>
        </w:rPr>
      </w:pPr>
      <w:r w:rsidRPr="0024314E">
        <w:rPr>
          <w:b w:val="0"/>
          <w:sz w:val="24"/>
          <w:szCs w:val="24"/>
        </w:rPr>
        <w:t xml:space="preserve">La Sala decide la impugnación formulada por </w:t>
      </w:r>
      <w:r w:rsidR="00507BDE" w:rsidRPr="0024314E">
        <w:rPr>
          <w:b w:val="0"/>
          <w:sz w:val="24"/>
          <w:szCs w:val="24"/>
        </w:rPr>
        <w:t>Elsa Samira Montañez Vargas</w:t>
      </w:r>
      <w:r w:rsidR="00415F6C" w:rsidRPr="0024314E">
        <w:rPr>
          <w:b w:val="0"/>
          <w:sz w:val="24"/>
          <w:szCs w:val="24"/>
        </w:rPr>
        <w:t xml:space="preserve"> </w:t>
      </w:r>
      <w:r w:rsidRPr="0024314E">
        <w:rPr>
          <w:b w:val="0"/>
          <w:sz w:val="24"/>
          <w:szCs w:val="24"/>
        </w:rPr>
        <w:t xml:space="preserve">contra la </w:t>
      </w:r>
      <w:r w:rsidR="008963D1" w:rsidRPr="0024314E">
        <w:rPr>
          <w:b w:val="0"/>
          <w:sz w:val="24"/>
          <w:szCs w:val="24"/>
        </w:rPr>
        <w:t xml:space="preserve">sentencia del </w:t>
      </w:r>
      <w:r w:rsidR="0079555C" w:rsidRPr="0024314E">
        <w:rPr>
          <w:b w:val="0"/>
          <w:sz w:val="24"/>
          <w:szCs w:val="24"/>
        </w:rPr>
        <w:t>16 de enero de 2017</w:t>
      </w:r>
      <w:r w:rsidRPr="0024314E">
        <w:rPr>
          <w:b w:val="0"/>
          <w:sz w:val="24"/>
          <w:szCs w:val="24"/>
        </w:rPr>
        <w:t xml:space="preserve">, proferida por el </w:t>
      </w:r>
      <w:r w:rsidR="0079555C" w:rsidRPr="0024314E">
        <w:rPr>
          <w:b w:val="0"/>
          <w:sz w:val="24"/>
          <w:szCs w:val="24"/>
        </w:rPr>
        <w:t>Consejo de Estado, Sección Segunda, Subsección A</w:t>
      </w:r>
      <w:r w:rsidRPr="0024314E">
        <w:rPr>
          <w:b w:val="0"/>
          <w:sz w:val="24"/>
          <w:szCs w:val="24"/>
        </w:rPr>
        <w:t xml:space="preserve">, que </w:t>
      </w:r>
      <w:r w:rsidR="00C4652E" w:rsidRPr="0024314E">
        <w:rPr>
          <w:b w:val="0"/>
          <w:sz w:val="24"/>
          <w:szCs w:val="24"/>
        </w:rPr>
        <w:t>denegó las pretensiones de</w:t>
      </w:r>
      <w:r w:rsidR="003E5B01" w:rsidRPr="0024314E">
        <w:rPr>
          <w:b w:val="0"/>
          <w:sz w:val="24"/>
          <w:szCs w:val="24"/>
        </w:rPr>
        <w:t xml:space="preserve"> la tutela</w:t>
      </w:r>
      <w:r w:rsidR="00A0447B" w:rsidRPr="0024314E">
        <w:rPr>
          <w:b w:val="0"/>
          <w:sz w:val="24"/>
          <w:szCs w:val="24"/>
        </w:rPr>
        <w:t>.</w:t>
      </w:r>
      <w:r w:rsidR="00D220DE" w:rsidRPr="0024314E">
        <w:rPr>
          <w:b w:val="0"/>
          <w:sz w:val="24"/>
          <w:szCs w:val="24"/>
        </w:rPr>
        <w:t xml:space="preserve"> </w:t>
      </w:r>
    </w:p>
    <w:p w:rsidR="00D220DE" w:rsidRPr="0024314E" w:rsidRDefault="00D220DE" w:rsidP="00D63644">
      <w:pPr>
        <w:pStyle w:val="Sangradetextonormal"/>
        <w:widowControl w:val="0"/>
        <w:rPr>
          <w:b w:val="0"/>
          <w:sz w:val="24"/>
          <w:szCs w:val="24"/>
        </w:rPr>
      </w:pPr>
    </w:p>
    <w:p w:rsidR="00015C75" w:rsidRPr="0024314E" w:rsidRDefault="005E6422" w:rsidP="00D63644">
      <w:pPr>
        <w:pStyle w:val="Sangradetextonormal"/>
        <w:widowControl w:val="0"/>
        <w:jc w:val="center"/>
        <w:rPr>
          <w:b w:val="0"/>
          <w:sz w:val="24"/>
          <w:szCs w:val="24"/>
        </w:rPr>
      </w:pPr>
      <w:r w:rsidRPr="0024314E">
        <w:rPr>
          <w:sz w:val="24"/>
          <w:szCs w:val="24"/>
        </w:rPr>
        <w:t xml:space="preserve">I. </w:t>
      </w:r>
      <w:r w:rsidR="00015C75" w:rsidRPr="0024314E">
        <w:rPr>
          <w:sz w:val="24"/>
          <w:szCs w:val="24"/>
        </w:rPr>
        <w:t>ANTECEDENTES</w:t>
      </w:r>
    </w:p>
    <w:p w:rsidR="00015C75" w:rsidRPr="0024314E" w:rsidRDefault="00015C75" w:rsidP="00D63644">
      <w:pPr>
        <w:pStyle w:val="Sangradetextonormal"/>
        <w:widowControl w:val="0"/>
        <w:rPr>
          <w:b w:val="0"/>
          <w:sz w:val="24"/>
          <w:szCs w:val="24"/>
        </w:rPr>
      </w:pPr>
    </w:p>
    <w:p w:rsidR="00015C75" w:rsidRPr="0024314E" w:rsidRDefault="00015C75" w:rsidP="00D63644">
      <w:pPr>
        <w:widowControl w:val="0"/>
        <w:numPr>
          <w:ilvl w:val="0"/>
          <w:numId w:val="1"/>
        </w:numPr>
        <w:spacing w:after="0" w:line="360" w:lineRule="auto"/>
        <w:rPr>
          <w:rFonts w:ascii="Arial" w:hAnsi="Arial" w:cs="Arial"/>
          <w:b/>
          <w:sz w:val="24"/>
          <w:szCs w:val="24"/>
          <w:lang w:val="es-ES"/>
        </w:rPr>
      </w:pPr>
      <w:r w:rsidRPr="0024314E">
        <w:rPr>
          <w:rFonts w:ascii="Arial" w:hAnsi="Arial" w:cs="Arial"/>
          <w:b/>
          <w:sz w:val="24"/>
          <w:szCs w:val="24"/>
          <w:lang w:val="es-ES"/>
        </w:rPr>
        <w:t xml:space="preserve">Pretensiones </w:t>
      </w:r>
    </w:p>
    <w:p w:rsidR="00742863" w:rsidRPr="0024314E" w:rsidRDefault="00742863" w:rsidP="00D63644">
      <w:pPr>
        <w:spacing w:after="0" w:line="360" w:lineRule="auto"/>
        <w:jc w:val="both"/>
        <w:rPr>
          <w:rFonts w:ascii="Arial" w:hAnsi="Arial" w:cs="Arial"/>
          <w:sz w:val="24"/>
          <w:szCs w:val="24"/>
          <w:lang w:val="es-ES_tradnl"/>
        </w:rPr>
      </w:pPr>
    </w:p>
    <w:p w:rsidR="00742863" w:rsidRPr="0024314E" w:rsidRDefault="0079555C" w:rsidP="00D63644">
      <w:pPr>
        <w:spacing w:after="0" w:line="360" w:lineRule="auto"/>
        <w:jc w:val="both"/>
        <w:rPr>
          <w:rFonts w:ascii="Arial" w:hAnsi="Arial" w:cs="Arial"/>
          <w:sz w:val="24"/>
          <w:szCs w:val="24"/>
          <w:lang w:val="es-ES_tradnl"/>
        </w:rPr>
      </w:pPr>
      <w:r w:rsidRPr="0024314E">
        <w:rPr>
          <w:rFonts w:ascii="Arial" w:hAnsi="Arial" w:cs="Arial"/>
          <w:sz w:val="24"/>
          <w:szCs w:val="24"/>
          <w:lang w:val="es-ES_tradnl"/>
        </w:rPr>
        <w:t xml:space="preserve">En ejercicio de la acción de tutela, </w:t>
      </w:r>
      <w:r w:rsidR="00535E98" w:rsidRPr="0024314E">
        <w:rPr>
          <w:rFonts w:ascii="Arial" w:hAnsi="Arial" w:cs="Arial"/>
          <w:sz w:val="24"/>
          <w:szCs w:val="24"/>
          <w:lang w:val="es-ES_tradnl"/>
        </w:rPr>
        <w:t xml:space="preserve">la señora </w:t>
      </w:r>
      <w:r w:rsidR="00507BDE" w:rsidRPr="0024314E">
        <w:rPr>
          <w:rFonts w:ascii="Arial" w:hAnsi="Arial" w:cs="Arial"/>
          <w:sz w:val="24"/>
          <w:szCs w:val="24"/>
          <w:lang w:val="es-ES_tradnl"/>
        </w:rPr>
        <w:t>Elsa Samira Montañez Vargas</w:t>
      </w:r>
      <w:r w:rsidR="00CB6433" w:rsidRPr="0024314E">
        <w:rPr>
          <w:rFonts w:ascii="Arial" w:hAnsi="Arial" w:cs="Arial"/>
          <w:sz w:val="24"/>
          <w:szCs w:val="24"/>
          <w:lang w:val="es-ES_tradnl"/>
        </w:rPr>
        <w:t>, por intermedio de apoderad</w:t>
      </w:r>
      <w:r w:rsidRPr="0024314E">
        <w:rPr>
          <w:rFonts w:ascii="Arial" w:hAnsi="Arial" w:cs="Arial"/>
          <w:sz w:val="24"/>
          <w:szCs w:val="24"/>
          <w:lang w:val="es-ES_tradnl"/>
        </w:rPr>
        <w:t>o</w:t>
      </w:r>
      <w:r w:rsidR="00CB6433" w:rsidRPr="0024314E">
        <w:rPr>
          <w:rFonts w:ascii="Arial" w:hAnsi="Arial" w:cs="Arial"/>
          <w:sz w:val="24"/>
          <w:szCs w:val="24"/>
          <w:lang w:val="es-ES_tradnl"/>
        </w:rPr>
        <w:t>,</w:t>
      </w:r>
      <w:r w:rsidR="00A54F4B" w:rsidRPr="0024314E">
        <w:rPr>
          <w:rFonts w:ascii="Arial" w:hAnsi="Arial" w:cs="Arial"/>
          <w:sz w:val="24"/>
          <w:szCs w:val="24"/>
          <w:lang w:val="es-ES_tradnl"/>
        </w:rPr>
        <w:t xml:space="preserve"> </w:t>
      </w:r>
      <w:r w:rsidR="00F2758A" w:rsidRPr="0024314E">
        <w:rPr>
          <w:rFonts w:ascii="Arial" w:hAnsi="Arial" w:cs="Arial"/>
          <w:sz w:val="24"/>
          <w:szCs w:val="24"/>
          <w:lang w:val="es-ES_tradnl"/>
        </w:rPr>
        <w:t xml:space="preserve">pidió </w:t>
      </w:r>
      <w:r w:rsidR="00742863" w:rsidRPr="0024314E">
        <w:rPr>
          <w:rFonts w:ascii="Arial" w:hAnsi="Arial" w:cs="Arial"/>
          <w:sz w:val="24"/>
          <w:szCs w:val="24"/>
          <w:lang w:val="es-ES_tradnl"/>
        </w:rPr>
        <w:t>la protección de</w:t>
      </w:r>
      <w:r w:rsidR="007C29C3" w:rsidRPr="0024314E">
        <w:rPr>
          <w:rFonts w:ascii="Arial" w:hAnsi="Arial" w:cs="Arial"/>
          <w:sz w:val="24"/>
          <w:szCs w:val="24"/>
          <w:lang w:val="es-ES_tradnl"/>
        </w:rPr>
        <w:t xml:space="preserve"> los</w:t>
      </w:r>
      <w:r w:rsidR="00742863" w:rsidRPr="0024314E">
        <w:rPr>
          <w:rFonts w:ascii="Arial" w:hAnsi="Arial" w:cs="Arial"/>
          <w:sz w:val="24"/>
          <w:szCs w:val="24"/>
          <w:lang w:val="es-ES_tradnl"/>
        </w:rPr>
        <w:t xml:space="preserve"> derecho</w:t>
      </w:r>
      <w:r w:rsidR="007C29C3" w:rsidRPr="0024314E">
        <w:rPr>
          <w:rFonts w:ascii="Arial" w:hAnsi="Arial" w:cs="Arial"/>
          <w:sz w:val="24"/>
          <w:szCs w:val="24"/>
          <w:lang w:val="es-ES_tradnl"/>
        </w:rPr>
        <w:t>s</w:t>
      </w:r>
      <w:r w:rsidR="00F2758A" w:rsidRPr="0024314E">
        <w:rPr>
          <w:rFonts w:ascii="Arial" w:hAnsi="Arial" w:cs="Arial"/>
          <w:sz w:val="24"/>
          <w:szCs w:val="24"/>
          <w:lang w:val="es-ES_tradnl"/>
        </w:rPr>
        <w:t xml:space="preserve"> fundamental</w:t>
      </w:r>
      <w:r w:rsidR="007C29C3" w:rsidRPr="0024314E">
        <w:rPr>
          <w:rFonts w:ascii="Arial" w:hAnsi="Arial" w:cs="Arial"/>
          <w:sz w:val="24"/>
          <w:szCs w:val="24"/>
          <w:lang w:val="es-ES_tradnl"/>
        </w:rPr>
        <w:t>es</w:t>
      </w:r>
      <w:r w:rsidR="00742863" w:rsidRPr="0024314E">
        <w:rPr>
          <w:rFonts w:ascii="Arial" w:hAnsi="Arial" w:cs="Arial"/>
          <w:sz w:val="24"/>
          <w:szCs w:val="24"/>
          <w:lang w:val="es-ES_tradnl"/>
        </w:rPr>
        <w:t xml:space="preserve"> </w:t>
      </w:r>
      <w:r w:rsidRPr="0024314E">
        <w:rPr>
          <w:rFonts w:ascii="Arial" w:hAnsi="Arial" w:cs="Arial"/>
          <w:sz w:val="24"/>
          <w:szCs w:val="24"/>
          <w:lang w:val="es-ES_tradnl"/>
        </w:rPr>
        <w:t xml:space="preserve">a la igualdad, </w:t>
      </w:r>
      <w:r w:rsidR="00742863" w:rsidRPr="0024314E">
        <w:rPr>
          <w:rFonts w:ascii="Arial" w:hAnsi="Arial" w:cs="Arial"/>
          <w:sz w:val="24"/>
          <w:szCs w:val="24"/>
          <w:lang w:val="es-ES_tradnl"/>
        </w:rPr>
        <w:t>al debido proceso</w:t>
      </w:r>
      <w:r w:rsidR="007C29C3" w:rsidRPr="0024314E">
        <w:rPr>
          <w:rFonts w:ascii="Arial" w:hAnsi="Arial" w:cs="Arial"/>
          <w:sz w:val="24"/>
          <w:szCs w:val="24"/>
          <w:lang w:val="es-ES_tradnl"/>
        </w:rPr>
        <w:t xml:space="preserve"> y de acceso a la administración de justicia</w:t>
      </w:r>
      <w:r w:rsidR="00F2758A" w:rsidRPr="0024314E">
        <w:rPr>
          <w:rFonts w:ascii="Arial" w:hAnsi="Arial" w:cs="Arial"/>
          <w:sz w:val="24"/>
          <w:szCs w:val="24"/>
          <w:lang w:val="es-ES_tradnl"/>
        </w:rPr>
        <w:t>, que estimó vulnerado</w:t>
      </w:r>
      <w:r w:rsidR="007C29C3" w:rsidRPr="0024314E">
        <w:rPr>
          <w:rFonts w:ascii="Arial" w:hAnsi="Arial" w:cs="Arial"/>
          <w:sz w:val="24"/>
          <w:szCs w:val="24"/>
          <w:lang w:val="es-ES_tradnl"/>
        </w:rPr>
        <w:t>s</w:t>
      </w:r>
      <w:r w:rsidR="00742863" w:rsidRPr="0024314E">
        <w:rPr>
          <w:rFonts w:ascii="Arial" w:hAnsi="Arial" w:cs="Arial"/>
          <w:sz w:val="24"/>
          <w:szCs w:val="24"/>
          <w:lang w:val="es-ES_tradnl"/>
        </w:rPr>
        <w:t xml:space="preserve"> por </w:t>
      </w:r>
      <w:r w:rsidR="000E3325" w:rsidRPr="0024314E">
        <w:rPr>
          <w:rFonts w:ascii="Arial" w:hAnsi="Arial" w:cs="Arial"/>
          <w:sz w:val="24"/>
          <w:szCs w:val="24"/>
          <w:lang w:val="es-ES_tradnl"/>
        </w:rPr>
        <w:t xml:space="preserve">el </w:t>
      </w:r>
      <w:r w:rsidRPr="0024314E">
        <w:rPr>
          <w:rFonts w:ascii="Arial" w:hAnsi="Arial" w:cs="Arial"/>
          <w:sz w:val="24"/>
          <w:szCs w:val="24"/>
          <w:lang w:val="es-ES_tradnl"/>
        </w:rPr>
        <w:t xml:space="preserve">Juzgado 18 Administrativo de Descongestión de Bogotá y el </w:t>
      </w:r>
      <w:r w:rsidR="00507BDE" w:rsidRPr="0024314E">
        <w:rPr>
          <w:rFonts w:ascii="Arial" w:hAnsi="Arial" w:cs="Arial"/>
          <w:sz w:val="24"/>
          <w:szCs w:val="24"/>
          <w:lang w:val="es-ES_tradnl"/>
        </w:rPr>
        <w:t>Tribunal Administrativo de Cundinamarca, Sección Segunda, Subsección A</w:t>
      </w:r>
      <w:r w:rsidR="00F2758A" w:rsidRPr="0024314E">
        <w:rPr>
          <w:rFonts w:ascii="Arial" w:hAnsi="Arial" w:cs="Arial"/>
          <w:sz w:val="24"/>
          <w:szCs w:val="24"/>
          <w:lang w:val="es-ES_tradnl"/>
        </w:rPr>
        <w:t xml:space="preserve">, con ocasión de </w:t>
      </w:r>
      <w:r w:rsidR="00C4652E" w:rsidRPr="0024314E">
        <w:rPr>
          <w:rFonts w:ascii="Arial" w:hAnsi="Arial" w:cs="Arial"/>
          <w:sz w:val="24"/>
          <w:szCs w:val="24"/>
          <w:lang w:val="es-ES_tradnl"/>
        </w:rPr>
        <w:t>la</w:t>
      </w:r>
      <w:r w:rsidRPr="0024314E">
        <w:rPr>
          <w:rFonts w:ascii="Arial" w:hAnsi="Arial" w:cs="Arial"/>
          <w:sz w:val="24"/>
          <w:szCs w:val="24"/>
          <w:lang w:val="es-ES_tradnl"/>
        </w:rPr>
        <w:t>s</w:t>
      </w:r>
      <w:r w:rsidR="00C4652E" w:rsidRPr="0024314E">
        <w:rPr>
          <w:rFonts w:ascii="Arial" w:hAnsi="Arial" w:cs="Arial"/>
          <w:sz w:val="24"/>
          <w:szCs w:val="24"/>
          <w:lang w:val="es-ES_tradnl"/>
        </w:rPr>
        <w:t xml:space="preserve"> sentencia</w:t>
      </w:r>
      <w:r w:rsidRPr="0024314E">
        <w:rPr>
          <w:rFonts w:ascii="Arial" w:hAnsi="Arial" w:cs="Arial"/>
          <w:sz w:val="24"/>
          <w:szCs w:val="24"/>
          <w:lang w:val="es-ES_tradnl"/>
        </w:rPr>
        <w:t>s</w:t>
      </w:r>
      <w:r w:rsidR="00C4652E" w:rsidRPr="0024314E">
        <w:rPr>
          <w:rFonts w:ascii="Arial" w:hAnsi="Arial" w:cs="Arial"/>
          <w:sz w:val="24"/>
          <w:szCs w:val="24"/>
          <w:lang w:val="es-ES_tradnl"/>
        </w:rPr>
        <w:t xml:space="preserve"> del</w:t>
      </w:r>
      <w:r w:rsidR="001848C0" w:rsidRPr="0024314E">
        <w:rPr>
          <w:rFonts w:ascii="Arial" w:hAnsi="Arial" w:cs="Arial"/>
          <w:sz w:val="24"/>
          <w:szCs w:val="24"/>
          <w:lang w:val="es-ES_tradnl"/>
        </w:rPr>
        <w:t xml:space="preserve"> </w:t>
      </w:r>
      <w:r w:rsidRPr="0024314E">
        <w:rPr>
          <w:rFonts w:ascii="Arial" w:hAnsi="Arial" w:cs="Arial"/>
          <w:sz w:val="24"/>
          <w:szCs w:val="24"/>
          <w:lang w:val="es-ES_tradnl"/>
        </w:rPr>
        <w:t>30 de junio de 2015 y 5 de mayo de 2016</w:t>
      </w:r>
      <w:r w:rsidR="001848C0" w:rsidRPr="0024314E">
        <w:rPr>
          <w:rFonts w:ascii="Arial" w:hAnsi="Arial" w:cs="Arial"/>
          <w:sz w:val="24"/>
          <w:szCs w:val="24"/>
          <w:lang w:val="es-ES_tradnl"/>
        </w:rPr>
        <w:t xml:space="preserve">, que </w:t>
      </w:r>
      <w:r w:rsidRPr="0024314E">
        <w:rPr>
          <w:rFonts w:ascii="Arial" w:hAnsi="Arial" w:cs="Arial"/>
          <w:sz w:val="24"/>
          <w:szCs w:val="24"/>
          <w:lang w:val="es-ES_tradnl"/>
        </w:rPr>
        <w:t xml:space="preserve">accedieron a </w:t>
      </w:r>
      <w:r w:rsidR="00C4652E" w:rsidRPr="0024314E">
        <w:rPr>
          <w:rFonts w:ascii="Arial" w:hAnsi="Arial" w:cs="Arial"/>
          <w:sz w:val="24"/>
          <w:szCs w:val="24"/>
          <w:lang w:val="es-ES_tradnl"/>
        </w:rPr>
        <w:t xml:space="preserve">las pretensiones de la </w:t>
      </w:r>
      <w:r w:rsidRPr="0024314E">
        <w:rPr>
          <w:rFonts w:ascii="Arial" w:hAnsi="Arial" w:cs="Arial"/>
          <w:sz w:val="24"/>
          <w:szCs w:val="24"/>
          <w:lang w:val="es-ES_tradnl"/>
        </w:rPr>
        <w:t xml:space="preserve">demanda de nulidad y restablecimiento del derecho </w:t>
      </w:r>
      <w:r w:rsidR="00C4652E" w:rsidRPr="0024314E">
        <w:rPr>
          <w:rFonts w:ascii="Arial" w:hAnsi="Arial" w:cs="Arial"/>
          <w:sz w:val="24"/>
          <w:szCs w:val="24"/>
          <w:lang w:val="es-ES_tradnl"/>
        </w:rPr>
        <w:t>instaurada</w:t>
      </w:r>
      <w:r w:rsidR="00B34B6A" w:rsidRPr="0024314E">
        <w:rPr>
          <w:rFonts w:ascii="Arial" w:hAnsi="Arial" w:cs="Arial"/>
          <w:sz w:val="24"/>
          <w:szCs w:val="24"/>
          <w:lang w:val="es-ES_tradnl"/>
        </w:rPr>
        <w:t xml:space="preserve"> contra </w:t>
      </w:r>
      <w:r w:rsidRPr="0024314E">
        <w:rPr>
          <w:rFonts w:ascii="Arial" w:hAnsi="Arial" w:cs="Arial"/>
          <w:sz w:val="24"/>
          <w:szCs w:val="24"/>
          <w:lang w:val="es-ES_tradnl"/>
        </w:rPr>
        <w:t xml:space="preserve">el Servicio Nacional de Aprendizaje (Sena), para obtener e conocimiento de la existencia de una relación laboral, pero </w:t>
      </w:r>
      <w:r w:rsidR="00BA668C" w:rsidRPr="0024314E">
        <w:rPr>
          <w:rFonts w:ascii="Arial" w:hAnsi="Arial" w:cs="Arial"/>
          <w:sz w:val="24"/>
          <w:szCs w:val="24"/>
          <w:lang w:val="es-ES_tradnl"/>
        </w:rPr>
        <w:t xml:space="preserve">declararon la prescripción de los derechos causados </w:t>
      </w:r>
      <w:r w:rsidR="006E421C" w:rsidRPr="0024314E">
        <w:rPr>
          <w:rFonts w:ascii="Arial" w:hAnsi="Arial" w:cs="Arial"/>
          <w:sz w:val="24"/>
          <w:szCs w:val="24"/>
          <w:lang w:val="es-ES_tradnl"/>
        </w:rPr>
        <w:t>con anterioridad a</w:t>
      </w:r>
      <w:r w:rsidR="00BA668C" w:rsidRPr="0024314E">
        <w:rPr>
          <w:rFonts w:ascii="Arial" w:hAnsi="Arial" w:cs="Arial"/>
          <w:sz w:val="24"/>
          <w:szCs w:val="24"/>
          <w:lang w:val="es-ES_tradnl"/>
        </w:rPr>
        <w:t>l 6 de agosto de 2010</w:t>
      </w:r>
      <w:r w:rsidR="00F2758A" w:rsidRPr="0024314E">
        <w:rPr>
          <w:rFonts w:ascii="Arial" w:hAnsi="Arial" w:cs="Arial"/>
          <w:sz w:val="24"/>
          <w:szCs w:val="24"/>
          <w:lang w:val="es-ES_tradnl"/>
        </w:rPr>
        <w:t xml:space="preserve">. En </w:t>
      </w:r>
      <w:r w:rsidR="00BA668C" w:rsidRPr="0024314E">
        <w:rPr>
          <w:rFonts w:ascii="Arial" w:hAnsi="Arial" w:cs="Arial"/>
          <w:sz w:val="24"/>
          <w:szCs w:val="24"/>
          <w:lang w:val="es-ES_tradnl"/>
        </w:rPr>
        <w:t>concreto</w:t>
      </w:r>
      <w:r w:rsidR="00F2758A" w:rsidRPr="0024314E">
        <w:rPr>
          <w:rFonts w:ascii="Arial" w:hAnsi="Arial" w:cs="Arial"/>
          <w:sz w:val="24"/>
          <w:szCs w:val="24"/>
          <w:lang w:val="es-ES_tradnl"/>
        </w:rPr>
        <w:t xml:space="preserve">, </w:t>
      </w:r>
      <w:r w:rsidR="00535E98" w:rsidRPr="0024314E">
        <w:rPr>
          <w:rFonts w:ascii="Arial" w:hAnsi="Arial" w:cs="Arial"/>
          <w:sz w:val="24"/>
          <w:szCs w:val="24"/>
          <w:lang w:val="es-ES_tradnl"/>
        </w:rPr>
        <w:t xml:space="preserve">la demandante </w:t>
      </w:r>
      <w:r w:rsidR="00F2758A" w:rsidRPr="0024314E">
        <w:rPr>
          <w:rFonts w:ascii="Arial" w:hAnsi="Arial" w:cs="Arial"/>
          <w:sz w:val="24"/>
          <w:szCs w:val="24"/>
          <w:lang w:val="es-ES_tradnl"/>
        </w:rPr>
        <w:t>formuló</w:t>
      </w:r>
      <w:r w:rsidR="00D45D6D" w:rsidRPr="0024314E">
        <w:rPr>
          <w:rFonts w:ascii="Arial" w:hAnsi="Arial" w:cs="Arial"/>
          <w:sz w:val="24"/>
          <w:szCs w:val="24"/>
          <w:lang w:val="es-ES_tradnl"/>
        </w:rPr>
        <w:t xml:space="preserve"> la</w:t>
      </w:r>
      <w:r w:rsidR="003E5B01" w:rsidRPr="0024314E">
        <w:rPr>
          <w:rFonts w:ascii="Arial" w:hAnsi="Arial" w:cs="Arial"/>
          <w:sz w:val="24"/>
          <w:szCs w:val="24"/>
          <w:lang w:val="es-ES_tradnl"/>
        </w:rPr>
        <w:t>s</w:t>
      </w:r>
      <w:r w:rsidR="00D45D6D" w:rsidRPr="0024314E">
        <w:rPr>
          <w:rFonts w:ascii="Arial" w:hAnsi="Arial" w:cs="Arial"/>
          <w:sz w:val="24"/>
          <w:szCs w:val="24"/>
          <w:lang w:val="es-ES_tradnl"/>
        </w:rPr>
        <w:t xml:space="preserve"> siguiente</w:t>
      </w:r>
      <w:r w:rsidR="003E5B01" w:rsidRPr="0024314E">
        <w:rPr>
          <w:rFonts w:ascii="Arial" w:hAnsi="Arial" w:cs="Arial"/>
          <w:sz w:val="24"/>
          <w:szCs w:val="24"/>
          <w:lang w:val="es-ES_tradnl"/>
        </w:rPr>
        <w:t>s pretensiones</w:t>
      </w:r>
      <w:r w:rsidR="005E6422" w:rsidRPr="0024314E">
        <w:rPr>
          <w:rFonts w:ascii="Arial" w:hAnsi="Arial" w:cs="Arial"/>
          <w:sz w:val="24"/>
          <w:szCs w:val="24"/>
          <w:lang w:val="es-ES_tradnl"/>
        </w:rPr>
        <w:t>:</w:t>
      </w:r>
      <w:r w:rsidR="005B52BA" w:rsidRPr="0024314E">
        <w:rPr>
          <w:rFonts w:ascii="Arial" w:hAnsi="Arial" w:cs="Arial"/>
          <w:sz w:val="24"/>
          <w:szCs w:val="24"/>
          <w:lang w:val="es-ES_tradnl"/>
        </w:rPr>
        <w:t xml:space="preserve"> </w:t>
      </w:r>
    </w:p>
    <w:p w:rsidR="00BA668C" w:rsidRPr="0024314E" w:rsidRDefault="00BA668C" w:rsidP="00D63644">
      <w:pPr>
        <w:spacing w:after="0" w:line="240" w:lineRule="auto"/>
        <w:ind w:left="284"/>
        <w:jc w:val="both"/>
        <w:rPr>
          <w:rFonts w:ascii="Arial" w:hAnsi="Arial" w:cs="Arial"/>
          <w:sz w:val="24"/>
          <w:szCs w:val="24"/>
          <w:lang w:val="es-ES_tradnl"/>
        </w:rPr>
      </w:pPr>
    </w:p>
    <w:p w:rsidR="00BA668C" w:rsidRPr="0024314E" w:rsidRDefault="00BA668C" w:rsidP="00D63644">
      <w:pPr>
        <w:spacing w:after="0" w:line="240" w:lineRule="auto"/>
        <w:ind w:left="284"/>
        <w:jc w:val="both"/>
        <w:rPr>
          <w:rFonts w:ascii="Arial" w:hAnsi="Arial" w:cs="Arial"/>
          <w:sz w:val="24"/>
          <w:szCs w:val="24"/>
          <w:lang w:val="es-ES_tradnl"/>
        </w:rPr>
      </w:pPr>
      <w:r w:rsidRPr="0024314E">
        <w:rPr>
          <w:rFonts w:ascii="Arial" w:hAnsi="Arial" w:cs="Arial"/>
          <w:sz w:val="24"/>
          <w:szCs w:val="24"/>
          <w:lang w:val="es-ES_tradnl"/>
        </w:rPr>
        <w:t xml:space="preserve">PRIMERA. Honorables Consejeros de Estado, SÍRVANSE DEJAR sin EFECTOS PARCIALMENTE las siguientes Providencias Judiciales: </w:t>
      </w:r>
    </w:p>
    <w:p w:rsidR="00BA668C" w:rsidRPr="0024314E" w:rsidRDefault="00BA668C" w:rsidP="00D63644">
      <w:pPr>
        <w:spacing w:after="0" w:line="240" w:lineRule="auto"/>
        <w:ind w:left="284"/>
        <w:jc w:val="both"/>
        <w:rPr>
          <w:rFonts w:ascii="Arial" w:hAnsi="Arial" w:cs="Arial"/>
          <w:sz w:val="24"/>
          <w:szCs w:val="24"/>
          <w:lang w:val="es-ES_tradnl"/>
        </w:rPr>
      </w:pPr>
    </w:p>
    <w:p w:rsidR="00BA668C" w:rsidRPr="0024314E" w:rsidRDefault="00BA668C" w:rsidP="00D63644">
      <w:pPr>
        <w:pStyle w:val="Prrafodelista"/>
        <w:numPr>
          <w:ilvl w:val="1"/>
          <w:numId w:val="1"/>
        </w:numPr>
        <w:spacing w:after="0" w:line="240" w:lineRule="auto"/>
        <w:ind w:left="993" w:hanging="567"/>
        <w:jc w:val="both"/>
        <w:rPr>
          <w:rFonts w:ascii="Arial" w:hAnsi="Arial" w:cs="Arial"/>
          <w:sz w:val="24"/>
          <w:szCs w:val="24"/>
          <w:lang w:val="es-ES_tradnl"/>
        </w:rPr>
      </w:pPr>
      <w:r w:rsidRPr="0024314E">
        <w:rPr>
          <w:rFonts w:ascii="Arial" w:hAnsi="Arial" w:cs="Arial"/>
          <w:sz w:val="24"/>
          <w:szCs w:val="24"/>
          <w:lang w:val="es-ES_tradnl"/>
        </w:rPr>
        <w:t xml:space="preserve">Sentencia de Primera Instancia proferida por el JUZGADO DIECIOCHO (18) ADMINISTRATIVO DE DESCONGESTIÓN DEL CIRCUITO JUDICIAL DE BOGOTÁ D.C., calendada Treinta (30) de Junio de Dos mil Quince (2015) en el proceso de Nulidad y Restablecimiento del Derecho Radicado bajo el No. 110013335013-2014-00080-00, en el que actuaba como Dte. Elsa Samira Montañez Vargas y como Ddo. El SENA. </w:t>
      </w:r>
    </w:p>
    <w:p w:rsidR="00BA668C" w:rsidRPr="0024314E" w:rsidRDefault="00BA668C" w:rsidP="00D63644">
      <w:pPr>
        <w:pStyle w:val="Prrafodelista"/>
        <w:spacing w:after="0" w:line="240" w:lineRule="auto"/>
        <w:ind w:left="993"/>
        <w:jc w:val="both"/>
        <w:rPr>
          <w:rFonts w:ascii="Arial" w:hAnsi="Arial" w:cs="Arial"/>
          <w:sz w:val="24"/>
          <w:szCs w:val="24"/>
          <w:lang w:val="es-ES_tradnl"/>
        </w:rPr>
      </w:pPr>
    </w:p>
    <w:p w:rsidR="00BA668C" w:rsidRPr="0024314E" w:rsidRDefault="00BA668C" w:rsidP="00D63644">
      <w:pPr>
        <w:pStyle w:val="Prrafodelista"/>
        <w:numPr>
          <w:ilvl w:val="1"/>
          <w:numId w:val="1"/>
        </w:numPr>
        <w:spacing w:after="0" w:line="240" w:lineRule="auto"/>
        <w:ind w:left="993" w:hanging="567"/>
        <w:jc w:val="both"/>
        <w:rPr>
          <w:rFonts w:ascii="Arial" w:hAnsi="Arial" w:cs="Arial"/>
          <w:sz w:val="24"/>
          <w:szCs w:val="24"/>
          <w:lang w:val="es-ES_tradnl"/>
        </w:rPr>
      </w:pPr>
      <w:r w:rsidRPr="0024314E">
        <w:rPr>
          <w:rFonts w:ascii="Arial" w:hAnsi="Arial" w:cs="Arial"/>
          <w:sz w:val="24"/>
          <w:szCs w:val="24"/>
          <w:lang w:val="es-ES_tradnl"/>
        </w:rPr>
        <w:t xml:space="preserve">Sentencia de Segunda Instancia proferida por el TRIBUNAL ADMINISTRATIVO DE CUNDINAMARCA – SECCIÓN SEGUNDA – SUBSECCIÓN A, calendada cinco (5) de diciembre de dos mil trece (2013). </w:t>
      </w:r>
    </w:p>
    <w:p w:rsidR="00BA668C" w:rsidRPr="0024314E" w:rsidRDefault="00BA668C" w:rsidP="00D63644">
      <w:pPr>
        <w:spacing w:after="0" w:line="240" w:lineRule="auto"/>
        <w:ind w:left="284"/>
        <w:jc w:val="both"/>
        <w:rPr>
          <w:rFonts w:ascii="Arial" w:hAnsi="Arial" w:cs="Arial"/>
          <w:sz w:val="24"/>
          <w:szCs w:val="24"/>
          <w:lang w:val="es-ES_tradnl"/>
        </w:rPr>
      </w:pPr>
    </w:p>
    <w:p w:rsidR="00BA668C" w:rsidRPr="0024314E" w:rsidRDefault="00BA668C" w:rsidP="00D63644">
      <w:pPr>
        <w:spacing w:after="0" w:line="240" w:lineRule="auto"/>
        <w:ind w:left="284"/>
        <w:jc w:val="both"/>
        <w:rPr>
          <w:rFonts w:ascii="Arial" w:hAnsi="Arial" w:cs="Arial"/>
          <w:sz w:val="24"/>
          <w:szCs w:val="24"/>
          <w:lang w:val="es-ES_tradnl"/>
        </w:rPr>
      </w:pPr>
      <w:r w:rsidRPr="0024314E">
        <w:rPr>
          <w:rFonts w:ascii="Arial" w:hAnsi="Arial" w:cs="Arial"/>
          <w:sz w:val="24"/>
          <w:szCs w:val="24"/>
          <w:lang w:val="es-ES_tradnl"/>
        </w:rPr>
        <w:t xml:space="preserve">Lo anterior, como quiera que, por medio de ellas se incurrió en una VÍA DE HECHO que redundó en la vulneración de los derechos fundamentales al DEBIDO PROCESO, ACCESO A LA </w:t>
      </w:r>
      <w:r w:rsidR="00535E98" w:rsidRPr="0024314E">
        <w:rPr>
          <w:rFonts w:ascii="Arial" w:hAnsi="Arial" w:cs="Arial"/>
          <w:sz w:val="24"/>
          <w:szCs w:val="24"/>
          <w:lang w:val="es-ES_tradnl"/>
        </w:rPr>
        <w:t xml:space="preserve">ADMINISTRACIÓN </w:t>
      </w:r>
      <w:r w:rsidRPr="0024314E">
        <w:rPr>
          <w:rFonts w:ascii="Arial" w:hAnsi="Arial" w:cs="Arial"/>
          <w:sz w:val="24"/>
          <w:szCs w:val="24"/>
          <w:lang w:val="es-ES_tradnl"/>
        </w:rPr>
        <w:t>DE JUSTICIA, DERECHO A LA IGUALDAD y al PRINCIPIO DE FAVORABILIDAD</w:t>
      </w:r>
      <w:r w:rsidR="00845BC9" w:rsidRPr="0024314E">
        <w:rPr>
          <w:rFonts w:ascii="Arial" w:hAnsi="Arial" w:cs="Arial"/>
          <w:sz w:val="24"/>
          <w:szCs w:val="24"/>
          <w:lang w:val="es-ES_tradnl"/>
        </w:rPr>
        <w:t xml:space="preserve">, de conformidad con la Constitución Política de 1991. </w:t>
      </w:r>
    </w:p>
    <w:p w:rsidR="00845BC9" w:rsidRPr="0024314E" w:rsidRDefault="00845BC9" w:rsidP="00D63644">
      <w:pPr>
        <w:spacing w:after="0" w:line="240" w:lineRule="auto"/>
        <w:ind w:left="284"/>
        <w:jc w:val="both"/>
        <w:rPr>
          <w:rFonts w:ascii="Arial" w:hAnsi="Arial" w:cs="Arial"/>
          <w:sz w:val="24"/>
          <w:szCs w:val="24"/>
          <w:lang w:val="es-ES_tradnl"/>
        </w:rPr>
      </w:pPr>
    </w:p>
    <w:p w:rsidR="00015C75" w:rsidRPr="0024314E" w:rsidRDefault="00845BC9" w:rsidP="00D63644">
      <w:pPr>
        <w:spacing w:after="0" w:line="240" w:lineRule="auto"/>
        <w:ind w:left="284"/>
        <w:jc w:val="both"/>
        <w:rPr>
          <w:rFonts w:ascii="Arial" w:hAnsi="Arial" w:cs="Arial"/>
          <w:sz w:val="24"/>
          <w:szCs w:val="24"/>
          <w:lang w:val="es-ES_tradnl"/>
        </w:rPr>
      </w:pPr>
      <w:r w:rsidRPr="0024314E">
        <w:rPr>
          <w:rFonts w:ascii="Arial" w:hAnsi="Arial" w:cs="Arial"/>
          <w:sz w:val="24"/>
          <w:szCs w:val="24"/>
          <w:lang w:val="es-ES_tradnl"/>
        </w:rPr>
        <w:t>SEGUNDA. Como consecuencia de lo anterior, Honorable Consejo de Estado, SÍRVASE ordenar al TRIBUNAL ADMINISTRATIVO DE CUNDINAMARCA – SECCIÓN SEGUNDA SUBSECCIÓN A, proferir una nueva sentencia dentro del Proceso de Nulidad y Restablecimiento del Derecho Radicado bajo el No. 110013335013-2014-00080-00, en el que actuaba como Dte. Elsa Samira Montañez Vargas y como Ddo. El SENA, en el sentido que, se DECLARE la existencia de la relación laboral respecto del pago de Prestaciones Sociales y Laborales a que tiene derecho mi poderdante desde el diecinueve (19) de febrero de mil novecientos noventa y siete (1997) y hasta el treinta y uno (31) de diciembre de dos mil doce (2012, sin que sea dable la aplicación de prescripción alguna</w:t>
      </w:r>
      <w:r w:rsidR="00CD2A2B" w:rsidRPr="0024314E">
        <w:rPr>
          <w:rFonts w:ascii="Arial" w:hAnsi="Arial" w:cs="Arial"/>
          <w:sz w:val="24"/>
          <w:szCs w:val="24"/>
          <w:lang w:val="es-ES_tradnl"/>
        </w:rPr>
        <w:t>, de conformidad con la interpretación establecida por el Honorable Consejo de Estado – Sala de lo Contencioso Administrativo – Sección Segunda, específicamente materializada en la Sentencia</w:t>
      </w:r>
      <w:r w:rsidR="00D23E7C" w:rsidRPr="0024314E">
        <w:rPr>
          <w:rFonts w:ascii="Arial" w:hAnsi="Arial" w:cs="Arial"/>
          <w:sz w:val="24"/>
          <w:szCs w:val="24"/>
          <w:lang w:val="es-ES_tradnl"/>
        </w:rPr>
        <w:t xml:space="preserve"> de fecha diecinueve (19) de enero de dos mil quince (2015), proferida por la Sección Segunda, Subsección A del Honorable Consejo de Estado, donde obró como Consejero Ponente: el Dr. GUSTAVO EDUARDO GÓMEZ ARANGUREN</w:t>
      </w:r>
      <w:r w:rsidR="00015C75" w:rsidRPr="0024314E">
        <w:rPr>
          <w:rStyle w:val="Refdenotaalpie"/>
          <w:rFonts w:ascii="Arial" w:hAnsi="Arial" w:cs="Arial"/>
          <w:sz w:val="24"/>
          <w:szCs w:val="24"/>
          <w:lang w:val="es-ES_tradnl"/>
        </w:rPr>
        <w:footnoteReference w:id="1"/>
      </w:r>
      <w:r w:rsidR="00015C75" w:rsidRPr="0024314E">
        <w:rPr>
          <w:rFonts w:ascii="Arial" w:hAnsi="Arial" w:cs="Arial"/>
          <w:sz w:val="24"/>
          <w:szCs w:val="24"/>
          <w:lang w:val="es-ES_tradnl"/>
        </w:rPr>
        <w:t>.</w:t>
      </w:r>
      <w:r w:rsidR="004D354C" w:rsidRPr="0024314E">
        <w:rPr>
          <w:rFonts w:ascii="Arial" w:hAnsi="Arial" w:cs="Arial"/>
          <w:sz w:val="24"/>
          <w:szCs w:val="24"/>
          <w:lang w:val="es-ES_tradnl"/>
        </w:rPr>
        <w:t xml:space="preserve"> </w:t>
      </w:r>
    </w:p>
    <w:p w:rsidR="00507BDE" w:rsidRPr="0024314E" w:rsidRDefault="00507BDE" w:rsidP="00D63644">
      <w:pPr>
        <w:spacing w:after="0" w:line="360" w:lineRule="auto"/>
        <w:jc w:val="both"/>
        <w:rPr>
          <w:rFonts w:ascii="Arial" w:hAnsi="Arial" w:cs="Arial"/>
          <w:sz w:val="24"/>
          <w:szCs w:val="24"/>
        </w:rPr>
      </w:pPr>
    </w:p>
    <w:p w:rsidR="00015C75" w:rsidRPr="0024314E" w:rsidRDefault="00015C75" w:rsidP="00D63644">
      <w:pPr>
        <w:widowControl w:val="0"/>
        <w:numPr>
          <w:ilvl w:val="0"/>
          <w:numId w:val="1"/>
        </w:numPr>
        <w:spacing w:after="0" w:line="360" w:lineRule="auto"/>
        <w:rPr>
          <w:rFonts w:ascii="Arial" w:hAnsi="Arial" w:cs="Arial"/>
          <w:b/>
          <w:sz w:val="24"/>
          <w:szCs w:val="24"/>
        </w:rPr>
      </w:pPr>
      <w:r w:rsidRPr="0024314E">
        <w:rPr>
          <w:rFonts w:ascii="Arial" w:hAnsi="Arial" w:cs="Arial"/>
          <w:b/>
          <w:sz w:val="24"/>
          <w:szCs w:val="24"/>
        </w:rPr>
        <w:t>Hechos</w:t>
      </w:r>
    </w:p>
    <w:p w:rsidR="00600D7C" w:rsidRPr="0024314E" w:rsidRDefault="00600D7C" w:rsidP="00D63644">
      <w:pPr>
        <w:pStyle w:val="Textoindependiente2"/>
        <w:widowControl w:val="0"/>
        <w:spacing w:after="0" w:line="360" w:lineRule="auto"/>
        <w:jc w:val="both"/>
        <w:rPr>
          <w:rFonts w:ascii="Arial" w:hAnsi="Arial" w:cs="Arial"/>
        </w:rPr>
      </w:pPr>
    </w:p>
    <w:p w:rsidR="00015C75" w:rsidRPr="0024314E" w:rsidRDefault="00A0447B" w:rsidP="00D63644">
      <w:pPr>
        <w:pStyle w:val="Textoindependiente2"/>
        <w:widowControl w:val="0"/>
        <w:spacing w:after="0" w:line="360" w:lineRule="auto"/>
        <w:jc w:val="both"/>
        <w:rPr>
          <w:rFonts w:ascii="Arial" w:hAnsi="Arial" w:cs="Arial"/>
        </w:rPr>
      </w:pPr>
      <w:r w:rsidRPr="0024314E">
        <w:rPr>
          <w:rFonts w:ascii="Arial" w:hAnsi="Arial" w:cs="Arial"/>
        </w:rPr>
        <w:t xml:space="preserve">Del expediente, la Sala </w:t>
      </w:r>
      <w:r w:rsidR="00E40DA3" w:rsidRPr="0024314E">
        <w:rPr>
          <w:rFonts w:ascii="Arial" w:hAnsi="Arial" w:cs="Arial"/>
        </w:rPr>
        <w:t>destaca</w:t>
      </w:r>
      <w:r w:rsidRPr="0024314E">
        <w:rPr>
          <w:rFonts w:ascii="Arial" w:hAnsi="Arial" w:cs="Arial"/>
        </w:rPr>
        <w:t xml:space="preserve"> los siguientes hechos relevantes:</w:t>
      </w:r>
      <w:r w:rsidR="00CA3C7B" w:rsidRPr="0024314E">
        <w:rPr>
          <w:rFonts w:ascii="Arial" w:hAnsi="Arial" w:cs="Arial"/>
        </w:rPr>
        <w:t xml:space="preserve"> </w:t>
      </w:r>
    </w:p>
    <w:p w:rsidR="00015C75" w:rsidRPr="0024314E" w:rsidRDefault="00015C75" w:rsidP="00D63644">
      <w:pPr>
        <w:spacing w:after="0" w:line="360" w:lineRule="auto"/>
        <w:jc w:val="both"/>
        <w:rPr>
          <w:rFonts w:ascii="Arial" w:hAnsi="Arial" w:cs="Arial"/>
          <w:sz w:val="24"/>
          <w:szCs w:val="24"/>
        </w:rPr>
      </w:pPr>
    </w:p>
    <w:p w:rsidR="00BB0875" w:rsidRPr="0024314E" w:rsidRDefault="00505C1D" w:rsidP="00D63644">
      <w:pPr>
        <w:spacing w:after="0" w:line="360" w:lineRule="auto"/>
        <w:jc w:val="both"/>
        <w:rPr>
          <w:rFonts w:ascii="Arial" w:hAnsi="Arial" w:cs="Arial"/>
          <w:sz w:val="24"/>
          <w:szCs w:val="24"/>
        </w:rPr>
      </w:pPr>
      <w:r w:rsidRPr="0024314E">
        <w:rPr>
          <w:rFonts w:ascii="Arial" w:hAnsi="Arial" w:cs="Arial"/>
          <w:sz w:val="24"/>
          <w:szCs w:val="24"/>
        </w:rPr>
        <w:t xml:space="preserve">Que </w:t>
      </w:r>
      <w:r w:rsidR="00507BDE" w:rsidRPr="0024314E">
        <w:rPr>
          <w:rFonts w:ascii="Arial" w:hAnsi="Arial" w:cs="Arial"/>
          <w:sz w:val="24"/>
          <w:szCs w:val="24"/>
          <w:lang w:val="es-ES_tradnl"/>
        </w:rPr>
        <w:t>Elsa Samira Montañez Vargas</w:t>
      </w:r>
      <w:r w:rsidR="00F97893" w:rsidRPr="0024314E">
        <w:rPr>
          <w:rFonts w:ascii="Arial" w:hAnsi="Arial" w:cs="Arial"/>
          <w:sz w:val="24"/>
          <w:szCs w:val="24"/>
          <w:lang w:val="es-ES_tradnl"/>
        </w:rPr>
        <w:t xml:space="preserve"> interpuso </w:t>
      </w:r>
      <w:r w:rsidR="00990835" w:rsidRPr="0024314E">
        <w:rPr>
          <w:rFonts w:ascii="Arial" w:hAnsi="Arial" w:cs="Arial"/>
          <w:sz w:val="24"/>
          <w:szCs w:val="24"/>
          <w:lang w:val="es-ES_tradnl"/>
        </w:rPr>
        <w:t xml:space="preserve">demanda de nulidad y restablecimiento del derecho </w:t>
      </w:r>
      <w:r w:rsidR="00F97893" w:rsidRPr="0024314E">
        <w:rPr>
          <w:rFonts w:ascii="Arial" w:hAnsi="Arial" w:cs="Arial"/>
          <w:sz w:val="24"/>
          <w:szCs w:val="24"/>
          <w:lang w:val="es-ES_tradnl"/>
        </w:rPr>
        <w:t xml:space="preserve">contra el </w:t>
      </w:r>
      <w:r w:rsidR="00285852" w:rsidRPr="0024314E">
        <w:rPr>
          <w:rFonts w:ascii="Arial" w:hAnsi="Arial" w:cs="Arial"/>
          <w:sz w:val="24"/>
          <w:szCs w:val="24"/>
          <w:lang w:val="es-ES_tradnl"/>
        </w:rPr>
        <w:t>Servicio Nacional de Aprendizaje (Sena)</w:t>
      </w:r>
      <w:r w:rsidR="00990835" w:rsidRPr="0024314E">
        <w:rPr>
          <w:rFonts w:ascii="Arial" w:hAnsi="Arial" w:cs="Arial"/>
          <w:sz w:val="24"/>
          <w:szCs w:val="24"/>
          <w:lang w:val="es-ES_tradnl"/>
        </w:rPr>
        <w:t>,</w:t>
      </w:r>
      <w:r w:rsidR="00F97893" w:rsidRPr="0024314E">
        <w:rPr>
          <w:rFonts w:ascii="Arial" w:hAnsi="Arial" w:cs="Arial"/>
          <w:sz w:val="24"/>
          <w:szCs w:val="24"/>
          <w:lang w:val="es-ES_tradnl"/>
        </w:rPr>
        <w:t xml:space="preserve"> con el fin de </w:t>
      </w:r>
      <w:r w:rsidR="004D354C" w:rsidRPr="0024314E">
        <w:rPr>
          <w:rFonts w:ascii="Arial" w:hAnsi="Arial" w:cs="Arial"/>
          <w:sz w:val="24"/>
          <w:szCs w:val="24"/>
          <w:lang w:val="es-ES_tradnl"/>
        </w:rPr>
        <w:t>que se declara</w:t>
      </w:r>
      <w:r w:rsidR="00535E98" w:rsidRPr="0024314E">
        <w:rPr>
          <w:rFonts w:ascii="Arial" w:hAnsi="Arial" w:cs="Arial"/>
          <w:sz w:val="24"/>
          <w:szCs w:val="24"/>
          <w:lang w:val="es-ES_tradnl"/>
        </w:rPr>
        <w:t>ra</w:t>
      </w:r>
      <w:r w:rsidR="004D354C" w:rsidRPr="0024314E">
        <w:rPr>
          <w:rFonts w:ascii="Arial" w:hAnsi="Arial" w:cs="Arial"/>
          <w:sz w:val="24"/>
          <w:szCs w:val="24"/>
          <w:lang w:val="es-ES_tradnl"/>
        </w:rPr>
        <w:t xml:space="preserve"> la existencia de una relación laboral, </w:t>
      </w:r>
      <w:r w:rsidR="00285852" w:rsidRPr="0024314E">
        <w:rPr>
          <w:rFonts w:ascii="Arial" w:hAnsi="Arial" w:cs="Arial"/>
          <w:sz w:val="24"/>
          <w:szCs w:val="24"/>
          <w:lang w:val="es-ES_tradnl"/>
        </w:rPr>
        <w:t>originada</w:t>
      </w:r>
      <w:r w:rsidR="00285852" w:rsidRPr="0024314E">
        <w:rPr>
          <w:rFonts w:ascii="Arial" w:hAnsi="Arial" w:cs="Arial"/>
          <w:sz w:val="24"/>
          <w:szCs w:val="24"/>
        </w:rPr>
        <w:t xml:space="preserve"> en virtud de varios contratos de prestación </w:t>
      </w:r>
      <w:r w:rsidR="006E421C" w:rsidRPr="0024314E">
        <w:rPr>
          <w:rFonts w:ascii="Arial" w:hAnsi="Arial" w:cs="Arial"/>
          <w:sz w:val="24"/>
          <w:szCs w:val="24"/>
        </w:rPr>
        <w:t>de servicios y órdenes de trabajo</w:t>
      </w:r>
      <w:r w:rsidR="00990835" w:rsidRPr="0024314E">
        <w:rPr>
          <w:rFonts w:ascii="Arial" w:hAnsi="Arial" w:cs="Arial"/>
          <w:sz w:val="24"/>
          <w:szCs w:val="24"/>
        </w:rPr>
        <w:t xml:space="preserve">, cuyo objeto consistió en la ejecución de labores </w:t>
      </w:r>
      <w:r w:rsidR="00990835" w:rsidRPr="0024314E">
        <w:rPr>
          <w:rFonts w:ascii="Arial" w:hAnsi="Arial" w:cs="Arial"/>
          <w:sz w:val="24"/>
          <w:szCs w:val="24"/>
          <w:lang w:val="es-ES_tradnl"/>
        </w:rPr>
        <w:t xml:space="preserve">de instructora, </w:t>
      </w:r>
      <w:r w:rsidR="006E421C" w:rsidRPr="0024314E">
        <w:rPr>
          <w:rFonts w:ascii="Arial" w:hAnsi="Arial" w:cs="Arial"/>
          <w:sz w:val="24"/>
          <w:szCs w:val="24"/>
        </w:rPr>
        <w:t xml:space="preserve">suscritos entre </w:t>
      </w:r>
      <w:r w:rsidR="00285852" w:rsidRPr="0024314E">
        <w:rPr>
          <w:rFonts w:ascii="Arial" w:hAnsi="Arial" w:cs="Arial"/>
          <w:sz w:val="24"/>
          <w:szCs w:val="24"/>
          <w:lang w:val="es-ES_tradnl"/>
        </w:rPr>
        <w:t xml:space="preserve">el 19 de febrero de 1997 </w:t>
      </w:r>
      <w:r w:rsidR="006E421C" w:rsidRPr="0024314E">
        <w:rPr>
          <w:rFonts w:ascii="Arial" w:hAnsi="Arial" w:cs="Arial"/>
          <w:sz w:val="24"/>
          <w:szCs w:val="24"/>
          <w:lang w:val="es-ES_tradnl"/>
        </w:rPr>
        <w:t xml:space="preserve">y </w:t>
      </w:r>
      <w:r w:rsidR="00285852" w:rsidRPr="0024314E">
        <w:rPr>
          <w:rFonts w:ascii="Arial" w:hAnsi="Arial" w:cs="Arial"/>
          <w:sz w:val="24"/>
          <w:szCs w:val="24"/>
          <w:lang w:val="es-ES_tradnl"/>
        </w:rPr>
        <w:t>el 31 de diciembre de 2012</w:t>
      </w:r>
      <w:r w:rsidR="00535E98" w:rsidRPr="0024314E">
        <w:rPr>
          <w:rFonts w:ascii="Arial" w:hAnsi="Arial" w:cs="Arial"/>
          <w:sz w:val="24"/>
          <w:szCs w:val="24"/>
          <w:lang w:val="es-ES_tradnl"/>
        </w:rPr>
        <w:t xml:space="preserve">. Además, solicitó </w:t>
      </w:r>
      <w:r w:rsidR="006E421C" w:rsidRPr="0024314E">
        <w:rPr>
          <w:rFonts w:ascii="Arial" w:hAnsi="Arial" w:cs="Arial"/>
          <w:sz w:val="24"/>
          <w:szCs w:val="24"/>
          <w:lang w:val="es-ES_tradnl"/>
        </w:rPr>
        <w:t>el reconocimiento de las prestaciones sociales</w:t>
      </w:r>
      <w:r w:rsidR="00535E98" w:rsidRPr="0024314E">
        <w:rPr>
          <w:rFonts w:ascii="Arial" w:hAnsi="Arial" w:cs="Arial"/>
          <w:sz w:val="24"/>
          <w:szCs w:val="24"/>
          <w:lang w:val="es-ES_tradnl"/>
        </w:rPr>
        <w:t>, originadas en el contrato realidad encubierto</w:t>
      </w:r>
      <w:r w:rsidR="006E421C" w:rsidRPr="0024314E">
        <w:rPr>
          <w:rFonts w:ascii="Arial" w:hAnsi="Arial" w:cs="Arial"/>
          <w:sz w:val="24"/>
          <w:szCs w:val="24"/>
          <w:lang w:val="es-ES_tradnl"/>
        </w:rPr>
        <w:t xml:space="preserve">. </w:t>
      </w:r>
    </w:p>
    <w:p w:rsidR="00C00C3B" w:rsidRPr="0024314E" w:rsidRDefault="00C00C3B" w:rsidP="00D63644">
      <w:pPr>
        <w:spacing w:after="0" w:line="360" w:lineRule="auto"/>
        <w:jc w:val="both"/>
        <w:rPr>
          <w:rFonts w:ascii="Arial" w:hAnsi="Arial" w:cs="Arial"/>
          <w:sz w:val="24"/>
          <w:szCs w:val="24"/>
        </w:rPr>
      </w:pPr>
    </w:p>
    <w:p w:rsidR="006E421C" w:rsidRPr="0024314E" w:rsidRDefault="00CA0595" w:rsidP="00D63644">
      <w:pPr>
        <w:spacing w:after="0" w:line="360" w:lineRule="auto"/>
        <w:jc w:val="both"/>
        <w:rPr>
          <w:rFonts w:ascii="Arial" w:hAnsi="Arial" w:cs="Arial"/>
          <w:sz w:val="24"/>
          <w:szCs w:val="24"/>
        </w:rPr>
      </w:pPr>
      <w:r w:rsidRPr="0024314E">
        <w:rPr>
          <w:rFonts w:ascii="Arial" w:hAnsi="Arial" w:cs="Arial"/>
          <w:sz w:val="24"/>
          <w:szCs w:val="24"/>
        </w:rPr>
        <w:t xml:space="preserve">Que, mediante </w:t>
      </w:r>
      <w:r w:rsidR="000138D6" w:rsidRPr="0024314E">
        <w:rPr>
          <w:rFonts w:ascii="Arial" w:hAnsi="Arial" w:cs="Arial"/>
          <w:sz w:val="24"/>
          <w:szCs w:val="24"/>
        </w:rPr>
        <w:t xml:space="preserve">sentencia del </w:t>
      </w:r>
      <w:r w:rsidR="0079555C" w:rsidRPr="0024314E">
        <w:rPr>
          <w:rFonts w:ascii="Arial" w:hAnsi="Arial" w:cs="Arial"/>
          <w:sz w:val="24"/>
          <w:szCs w:val="24"/>
        </w:rPr>
        <w:t>30 de junio de 2015</w:t>
      </w:r>
      <w:r w:rsidR="000138D6" w:rsidRPr="0024314E">
        <w:rPr>
          <w:rFonts w:ascii="Arial" w:hAnsi="Arial" w:cs="Arial"/>
          <w:sz w:val="24"/>
          <w:szCs w:val="24"/>
        </w:rPr>
        <w:t xml:space="preserve">, el </w:t>
      </w:r>
      <w:r w:rsidR="0079555C" w:rsidRPr="0024314E">
        <w:rPr>
          <w:rFonts w:ascii="Arial" w:hAnsi="Arial" w:cs="Arial"/>
          <w:sz w:val="24"/>
          <w:szCs w:val="24"/>
          <w:lang w:val="es-ES_tradnl"/>
        </w:rPr>
        <w:t xml:space="preserve">Juzgado 18 Administrativo de Descongestión de Bogotá </w:t>
      </w:r>
      <w:r w:rsidR="006E421C" w:rsidRPr="0024314E">
        <w:rPr>
          <w:rFonts w:ascii="Arial" w:hAnsi="Arial" w:cs="Arial"/>
          <w:sz w:val="24"/>
          <w:szCs w:val="24"/>
        </w:rPr>
        <w:t>accedió a las pretensiones de la demanda y</w:t>
      </w:r>
      <w:r w:rsidR="00535E98" w:rsidRPr="0024314E">
        <w:rPr>
          <w:rFonts w:ascii="Arial" w:hAnsi="Arial" w:cs="Arial"/>
          <w:sz w:val="24"/>
          <w:szCs w:val="24"/>
        </w:rPr>
        <w:t>, por ende,</w:t>
      </w:r>
      <w:r w:rsidR="006E421C" w:rsidRPr="0024314E">
        <w:rPr>
          <w:rFonts w:ascii="Arial" w:hAnsi="Arial" w:cs="Arial"/>
          <w:sz w:val="24"/>
          <w:szCs w:val="24"/>
        </w:rPr>
        <w:t xml:space="preserve"> ordenó el pago de las prestaciones sociales dejadas de percibir</w:t>
      </w:r>
      <w:r w:rsidR="002D7F4B" w:rsidRPr="0024314E">
        <w:rPr>
          <w:rFonts w:ascii="Arial" w:hAnsi="Arial" w:cs="Arial"/>
          <w:sz w:val="24"/>
          <w:szCs w:val="24"/>
        </w:rPr>
        <w:t>.</w:t>
      </w:r>
      <w:r w:rsidR="006E421C" w:rsidRPr="0024314E">
        <w:rPr>
          <w:rFonts w:ascii="Arial" w:hAnsi="Arial" w:cs="Arial"/>
          <w:sz w:val="24"/>
          <w:szCs w:val="24"/>
        </w:rPr>
        <w:t xml:space="preserve"> Sin embargo, declaró prescritos los derechos causados con anterioridad al 6 de agosto de 2006</w:t>
      </w:r>
      <w:r w:rsidR="00990835" w:rsidRPr="0024314E">
        <w:rPr>
          <w:rFonts w:ascii="Arial" w:hAnsi="Arial" w:cs="Arial"/>
          <w:sz w:val="24"/>
          <w:szCs w:val="24"/>
        </w:rPr>
        <w:t>, con fundamento en que la actora presentó la reclamación a la entidad el 6 de agosto de 2013</w:t>
      </w:r>
      <w:r w:rsidR="006E421C" w:rsidRPr="0024314E">
        <w:rPr>
          <w:rFonts w:ascii="Arial" w:hAnsi="Arial" w:cs="Arial"/>
          <w:sz w:val="24"/>
          <w:szCs w:val="24"/>
        </w:rPr>
        <w:t xml:space="preserve">. </w:t>
      </w:r>
    </w:p>
    <w:p w:rsidR="00C00C3B" w:rsidRPr="0024314E" w:rsidRDefault="00C00C3B" w:rsidP="00D63644">
      <w:pPr>
        <w:spacing w:after="0" w:line="360" w:lineRule="auto"/>
        <w:jc w:val="both"/>
        <w:rPr>
          <w:rFonts w:ascii="Arial" w:hAnsi="Arial" w:cs="Arial"/>
          <w:sz w:val="24"/>
          <w:szCs w:val="24"/>
          <w:lang w:val="es-ES_tradnl"/>
        </w:rPr>
      </w:pPr>
    </w:p>
    <w:p w:rsidR="00995948" w:rsidRPr="0024314E" w:rsidRDefault="00C44395" w:rsidP="00D63644">
      <w:pPr>
        <w:spacing w:after="0" w:line="360" w:lineRule="auto"/>
        <w:jc w:val="both"/>
        <w:rPr>
          <w:rFonts w:ascii="Arial" w:hAnsi="Arial" w:cs="Arial"/>
          <w:sz w:val="24"/>
          <w:szCs w:val="24"/>
        </w:rPr>
      </w:pPr>
      <w:r w:rsidRPr="0024314E">
        <w:rPr>
          <w:rFonts w:ascii="Arial" w:hAnsi="Arial" w:cs="Arial"/>
          <w:sz w:val="24"/>
          <w:szCs w:val="24"/>
          <w:lang w:val="es-ES_tradnl"/>
        </w:rPr>
        <w:lastRenderedPageBreak/>
        <w:t xml:space="preserve">Que </w:t>
      </w:r>
      <w:r w:rsidR="006E421C" w:rsidRPr="0024314E">
        <w:rPr>
          <w:rFonts w:ascii="Arial" w:hAnsi="Arial" w:cs="Arial"/>
          <w:sz w:val="24"/>
          <w:szCs w:val="24"/>
          <w:lang w:val="es-ES_tradnl"/>
        </w:rPr>
        <w:t xml:space="preserve">la </w:t>
      </w:r>
      <w:r w:rsidRPr="0024314E">
        <w:rPr>
          <w:rFonts w:ascii="Arial" w:hAnsi="Arial" w:cs="Arial"/>
          <w:sz w:val="24"/>
          <w:szCs w:val="24"/>
          <w:lang w:val="es-ES_tradnl"/>
        </w:rPr>
        <w:t>señor</w:t>
      </w:r>
      <w:r w:rsidR="006E421C" w:rsidRPr="0024314E">
        <w:rPr>
          <w:rFonts w:ascii="Arial" w:hAnsi="Arial" w:cs="Arial"/>
          <w:sz w:val="24"/>
          <w:szCs w:val="24"/>
          <w:lang w:val="es-ES_tradnl"/>
        </w:rPr>
        <w:t>a</w:t>
      </w:r>
      <w:r w:rsidRPr="0024314E">
        <w:rPr>
          <w:rFonts w:ascii="Arial" w:hAnsi="Arial" w:cs="Arial"/>
          <w:sz w:val="24"/>
          <w:szCs w:val="24"/>
          <w:lang w:val="es-ES_tradnl"/>
        </w:rPr>
        <w:t xml:space="preserve"> </w:t>
      </w:r>
      <w:r w:rsidR="00507BDE" w:rsidRPr="0024314E">
        <w:rPr>
          <w:rFonts w:ascii="Arial" w:hAnsi="Arial" w:cs="Arial"/>
          <w:sz w:val="24"/>
          <w:szCs w:val="24"/>
          <w:lang w:val="es-ES_tradnl"/>
        </w:rPr>
        <w:t>Elsa Samira Montañez Vargas</w:t>
      </w:r>
      <w:r w:rsidRPr="0024314E">
        <w:rPr>
          <w:rFonts w:ascii="Arial" w:hAnsi="Arial" w:cs="Arial"/>
          <w:sz w:val="24"/>
          <w:szCs w:val="24"/>
        </w:rPr>
        <w:t xml:space="preserve"> y el</w:t>
      </w:r>
      <w:r w:rsidR="006E421C" w:rsidRPr="0024314E">
        <w:rPr>
          <w:rFonts w:ascii="Arial" w:hAnsi="Arial" w:cs="Arial"/>
          <w:sz w:val="24"/>
          <w:szCs w:val="24"/>
        </w:rPr>
        <w:t xml:space="preserve"> Sena</w:t>
      </w:r>
      <w:r w:rsidRPr="0024314E">
        <w:rPr>
          <w:rFonts w:ascii="Arial" w:hAnsi="Arial" w:cs="Arial"/>
          <w:sz w:val="24"/>
          <w:szCs w:val="24"/>
        </w:rPr>
        <w:t xml:space="preserve"> apelaron la anterior decisión y, </w:t>
      </w:r>
      <w:r w:rsidR="00B734B7" w:rsidRPr="0024314E">
        <w:rPr>
          <w:rFonts w:ascii="Arial" w:hAnsi="Arial" w:cs="Arial"/>
          <w:sz w:val="24"/>
          <w:szCs w:val="24"/>
        </w:rPr>
        <w:t xml:space="preserve">mediante </w:t>
      </w:r>
      <w:r w:rsidRPr="0024314E">
        <w:rPr>
          <w:rFonts w:ascii="Arial" w:hAnsi="Arial" w:cs="Arial"/>
          <w:sz w:val="24"/>
          <w:szCs w:val="24"/>
        </w:rPr>
        <w:t xml:space="preserve">sentencia del </w:t>
      </w:r>
      <w:r w:rsidR="0079555C" w:rsidRPr="0024314E">
        <w:rPr>
          <w:rFonts w:ascii="Arial" w:hAnsi="Arial" w:cs="Arial"/>
          <w:sz w:val="24"/>
          <w:szCs w:val="24"/>
        </w:rPr>
        <w:t>5 de mayo de 2016</w:t>
      </w:r>
      <w:r w:rsidR="00B51048" w:rsidRPr="0024314E">
        <w:rPr>
          <w:rFonts w:ascii="Arial" w:hAnsi="Arial" w:cs="Arial"/>
          <w:sz w:val="24"/>
          <w:szCs w:val="24"/>
        </w:rPr>
        <w:t xml:space="preserve">, </w:t>
      </w:r>
      <w:r w:rsidR="00BB0875" w:rsidRPr="0024314E">
        <w:rPr>
          <w:rFonts w:ascii="Arial" w:hAnsi="Arial" w:cs="Arial"/>
          <w:sz w:val="24"/>
          <w:szCs w:val="24"/>
        </w:rPr>
        <w:t xml:space="preserve">el </w:t>
      </w:r>
      <w:r w:rsidR="00507BDE" w:rsidRPr="0024314E">
        <w:rPr>
          <w:rFonts w:ascii="Arial" w:hAnsi="Arial" w:cs="Arial"/>
          <w:sz w:val="24"/>
          <w:szCs w:val="24"/>
        </w:rPr>
        <w:t>Tribunal Administrativo de Cundinamarca, Sección Segunda, Subsección A</w:t>
      </w:r>
      <w:r w:rsidR="000E26D4" w:rsidRPr="0024314E">
        <w:rPr>
          <w:rFonts w:ascii="Arial" w:hAnsi="Arial" w:cs="Arial"/>
          <w:sz w:val="24"/>
          <w:szCs w:val="24"/>
        </w:rPr>
        <w:t>,</w:t>
      </w:r>
      <w:r w:rsidR="00BB0875" w:rsidRPr="0024314E">
        <w:rPr>
          <w:rFonts w:ascii="Arial" w:hAnsi="Arial" w:cs="Arial"/>
          <w:sz w:val="24"/>
          <w:szCs w:val="24"/>
        </w:rPr>
        <w:t xml:space="preserve"> </w:t>
      </w:r>
      <w:r w:rsidRPr="0024314E">
        <w:rPr>
          <w:rFonts w:ascii="Arial" w:hAnsi="Arial" w:cs="Arial"/>
          <w:sz w:val="24"/>
          <w:szCs w:val="24"/>
        </w:rPr>
        <w:t xml:space="preserve">la </w:t>
      </w:r>
      <w:r w:rsidR="002D7F4B" w:rsidRPr="0024314E">
        <w:rPr>
          <w:rFonts w:ascii="Arial" w:hAnsi="Arial" w:cs="Arial"/>
          <w:sz w:val="24"/>
          <w:szCs w:val="24"/>
        </w:rPr>
        <w:t>modificó</w:t>
      </w:r>
      <w:r w:rsidR="00535E98" w:rsidRPr="0024314E">
        <w:rPr>
          <w:rFonts w:ascii="Arial" w:hAnsi="Arial" w:cs="Arial"/>
          <w:sz w:val="24"/>
          <w:szCs w:val="24"/>
        </w:rPr>
        <w:t>,</w:t>
      </w:r>
      <w:r w:rsidR="009A5863" w:rsidRPr="0024314E">
        <w:rPr>
          <w:rFonts w:ascii="Arial" w:hAnsi="Arial" w:cs="Arial"/>
          <w:sz w:val="24"/>
          <w:szCs w:val="24"/>
        </w:rPr>
        <w:t xml:space="preserve"> en el sentido de declarar la prescripción </w:t>
      </w:r>
      <w:r w:rsidR="00995948" w:rsidRPr="0024314E">
        <w:rPr>
          <w:rFonts w:ascii="Arial" w:hAnsi="Arial" w:cs="Arial"/>
          <w:i/>
          <w:sz w:val="24"/>
          <w:szCs w:val="24"/>
        </w:rPr>
        <w:t>«del derecho a que se declare la existencia de la relación laboral respecto al pago de las prestaciones sociales»</w:t>
      </w:r>
      <w:r w:rsidR="00995948" w:rsidRPr="0024314E">
        <w:rPr>
          <w:rFonts w:ascii="Arial" w:hAnsi="Arial" w:cs="Arial"/>
          <w:sz w:val="24"/>
          <w:szCs w:val="24"/>
        </w:rPr>
        <w:t xml:space="preserve">, </w:t>
      </w:r>
      <w:r w:rsidR="009A5863" w:rsidRPr="0024314E">
        <w:rPr>
          <w:rFonts w:ascii="Arial" w:hAnsi="Arial" w:cs="Arial"/>
          <w:sz w:val="24"/>
          <w:szCs w:val="24"/>
        </w:rPr>
        <w:t xml:space="preserve">para los contratos que culminaron antes del 6 de agosto de 2010. En consecuencia, declaró la existencia de la relación laboral, únicamente a partir de la adición al contrato 00307 del 28 de enero de 2010, suscrita el 12 de noviembre de ese año, y ordenó el pago de las prestaciones y demás emolumentos causados </w:t>
      </w:r>
      <w:r w:rsidR="00936897" w:rsidRPr="0024314E">
        <w:rPr>
          <w:rFonts w:ascii="Arial" w:hAnsi="Arial" w:cs="Arial"/>
          <w:sz w:val="24"/>
          <w:szCs w:val="24"/>
        </w:rPr>
        <w:t>des</w:t>
      </w:r>
      <w:r w:rsidR="009A5863" w:rsidRPr="0024314E">
        <w:rPr>
          <w:rFonts w:ascii="Arial" w:hAnsi="Arial" w:cs="Arial"/>
          <w:sz w:val="24"/>
          <w:szCs w:val="24"/>
        </w:rPr>
        <w:t xml:space="preserve">de esa fecha. </w:t>
      </w:r>
    </w:p>
    <w:p w:rsidR="00995948" w:rsidRPr="0024314E" w:rsidRDefault="00995948" w:rsidP="00D63644">
      <w:pPr>
        <w:spacing w:after="0" w:line="360" w:lineRule="auto"/>
        <w:jc w:val="both"/>
        <w:rPr>
          <w:rFonts w:ascii="Arial" w:hAnsi="Arial" w:cs="Arial"/>
          <w:sz w:val="24"/>
          <w:szCs w:val="24"/>
        </w:rPr>
      </w:pPr>
    </w:p>
    <w:p w:rsidR="006A0926" w:rsidRPr="0024314E" w:rsidRDefault="00995948" w:rsidP="00D63644">
      <w:pPr>
        <w:spacing w:after="0" w:line="360" w:lineRule="auto"/>
        <w:jc w:val="both"/>
        <w:rPr>
          <w:rFonts w:ascii="Arial" w:hAnsi="Arial" w:cs="Arial"/>
          <w:sz w:val="24"/>
          <w:szCs w:val="24"/>
        </w:rPr>
      </w:pPr>
      <w:r w:rsidRPr="0024314E">
        <w:rPr>
          <w:rFonts w:ascii="Arial" w:hAnsi="Arial" w:cs="Arial"/>
          <w:sz w:val="24"/>
          <w:szCs w:val="24"/>
        </w:rPr>
        <w:t>Que, como fundamento de la decisión</w:t>
      </w:r>
      <w:r w:rsidR="006A0926" w:rsidRPr="0024314E">
        <w:rPr>
          <w:rFonts w:ascii="Arial" w:hAnsi="Arial" w:cs="Arial"/>
          <w:sz w:val="24"/>
          <w:szCs w:val="24"/>
        </w:rPr>
        <w:t xml:space="preserve">, </w:t>
      </w:r>
      <w:r w:rsidRPr="0024314E">
        <w:rPr>
          <w:rFonts w:ascii="Arial" w:hAnsi="Arial" w:cs="Arial"/>
          <w:sz w:val="24"/>
          <w:szCs w:val="24"/>
        </w:rPr>
        <w:t xml:space="preserve">el tribunal </w:t>
      </w:r>
      <w:r w:rsidR="006A0926" w:rsidRPr="0024314E">
        <w:rPr>
          <w:rFonts w:ascii="Arial" w:hAnsi="Arial" w:cs="Arial"/>
          <w:sz w:val="24"/>
          <w:szCs w:val="24"/>
        </w:rPr>
        <w:t>señaló que</w:t>
      </w:r>
      <w:r w:rsidRPr="0024314E">
        <w:rPr>
          <w:rFonts w:ascii="Arial" w:hAnsi="Arial" w:cs="Arial"/>
          <w:sz w:val="24"/>
          <w:szCs w:val="24"/>
        </w:rPr>
        <w:t>,</w:t>
      </w:r>
      <w:r w:rsidR="009A5863" w:rsidRPr="0024314E">
        <w:rPr>
          <w:rFonts w:ascii="Arial" w:hAnsi="Arial" w:cs="Arial"/>
          <w:sz w:val="24"/>
          <w:szCs w:val="24"/>
        </w:rPr>
        <w:t xml:space="preserve"> entre los contratos de prestación de servicios </w:t>
      </w:r>
      <w:r w:rsidR="00FA2416" w:rsidRPr="0024314E">
        <w:rPr>
          <w:rFonts w:ascii="Arial" w:hAnsi="Arial" w:cs="Arial"/>
          <w:sz w:val="24"/>
          <w:szCs w:val="24"/>
        </w:rPr>
        <w:t xml:space="preserve">de </w:t>
      </w:r>
      <w:r w:rsidR="009A5863" w:rsidRPr="0024314E">
        <w:rPr>
          <w:rFonts w:ascii="Arial" w:hAnsi="Arial" w:cs="Arial"/>
          <w:sz w:val="24"/>
          <w:szCs w:val="24"/>
        </w:rPr>
        <w:t>la demandante hubo interrupciones superiores a 15 días hábiles, por lo que existió solución de continuidad y</w:t>
      </w:r>
      <w:r w:rsidR="00FA2416" w:rsidRPr="0024314E">
        <w:rPr>
          <w:rFonts w:ascii="Arial" w:hAnsi="Arial" w:cs="Arial"/>
          <w:sz w:val="24"/>
          <w:szCs w:val="24"/>
        </w:rPr>
        <w:t xml:space="preserve">, en consecuencia, </w:t>
      </w:r>
      <w:r w:rsidR="009A5863" w:rsidRPr="0024314E">
        <w:rPr>
          <w:rFonts w:ascii="Arial" w:hAnsi="Arial" w:cs="Arial"/>
          <w:sz w:val="24"/>
          <w:szCs w:val="24"/>
        </w:rPr>
        <w:t>la demandante debió reclamar los derechos causa</w:t>
      </w:r>
      <w:r w:rsidR="00FA2416" w:rsidRPr="0024314E">
        <w:rPr>
          <w:rFonts w:ascii="Arial" w:hAnsi="Arial" w:cs="Arial"/>
          <w:sz w:val="24"/>
          <w:szCs w:val="24"/>
        </w:rPr>
        <w:t>dos en virtud de cada uno de ést</w:t>
      </w:r>
      <w:r w:rsidR="009A5863" w:rsidRPr="0024314E">
        <w:rPr>
          <w:rFonts w:ascii="Arial" w:hAnsi="Arial" w:cs="Arial"/>
          <w:sz w:val="24"/>
          <w:szCs w:val="24"/>
        </w:rPr>
        <w:t xml:space="preserve">os, dentro del </w:t>
      </w:r>
      <w:r w:rsidRPr="0024314E">
        <w:rPr>
          <w:rFonts w:ascii="Arial" w:hAnsi="Arial" w:cs="Arial"/>
          <w:sz w:val="24"/>
          <w:szCs w:val="24"/>
        </w:rPr>
        <w:t xml:space="preserve">respectivo </w:t>
      </w:r>
      <w:r w:rsidR="009A5863" w:rsidRPr="0024314E">
        <w:rPr>
          <w:rFonts w:ascii="Arial" w:hAnsi="Arial" w:cs="Arial"/>
          <w:sz w:val="24"/>
          <w:szCs w:val="24"/>
        </w:rPr>
        <w:t xml:space="preserve">término de </w:t>
      </w:r>
      <w:r w:rsidR="00FA2416" w:rsidRPr="0024314E">
        <w:rPr>
          <w:rFonts w:ascii="Arial" w:hAnsi="Arial" w:cs="Arial"/>
          <w:sz w:val="24"/>
          <w:szCs w:val="24"/>
        </w:rPr>
        <w:t>p</w:t>
      </w:r>
      <w:r w:rsidR="009A5863" w:rsidRPr="0024314E">
        <w:rPr>
          <w:rFonts w:ascii="Arial" w:hAnsi="Arial" w:cs="Arial"/>
          <w:sz w:val="24"/>
          <w:szCs w:val="24"/>
        </w:rPr>
        <w:t xml:space="preserve">rescripción. </w:t>
      </w:r>
    </w:p>
    <w:p w:rsidR="00B734B7" w:rsidRPr="0024314E" w:rsidRDefault="00B734B7" w:rsidP="00D63644">
      <w:pPr>
        <w:spacing w:after="0" w:line="360" w:lineRule="auto"/>
        <w:jc w:val="both"/>
        <w:rPr>
          <w:rFonts w:ascii="Arial" w:hAnsi="Arial" w:cs="Arial"/>
          <w:sz w:val="24"/>
          <w:szCs w:val="24"/>
        </w:rPr>
      </w:pPr>
    </w:p>
    <w:p w:rsidR="009F7FC6" w:rsidRPr="0024314E" w:rsidRDefault="009F7FC6" w:rsidP="00D63644">
      <w:pPr>
        <w:numPr>
          <w:ilvl w:val="0"/>
          <w:numId w:val="2"/>
        </w:numPr>
        <w:spacing w:after="0" w:line="360" w:lineRule="auto"/>
        <w:jc w:val="both"/>
        <w:rPr>
          <w:rFonts w:ascii="Arial" w:hAnsi="Arial" w:cs="Arial"/>
          <w:b/>
          <w:sz w:val="24"/>
          <w:szCs w:val="24"/>
          <w:lang w:val="es-ES_tradnl"/>
        </w:rPr>
      </w:pPr>
      <w:r w:rsidRPr="0024314E">
        <w:rPr>
          <w:rFonts w:ascii="Arial" w:hAnsi="Arial" w:cs="Arial"/>
          <w:b/>
          <w:sz w:val="24"/>
          <w:szCs w:val="24"/>
          <w:lang w:val="es-ES_tradnl"/>
        </w:rPr>
        <w:t xml:space="preserve">Argumentos de la tutela </w:t>
      </w:r>
    </w:p>
    <w:p w:rsidR="009F7FC6" w:rsidRPr="0024314E" w:rsidRDefault="009F7FC6" w:rsidP="00D63644">
      <w:pPr>
        <w:spacing w:after="0" w:line="360" w:lineRule="auto"/>
        <w:jc w:val="both"/>
        <w:rPr>
          <w:rFonts w:ascii="Arial" w:hAnsi="Arial" w:cs="Arial"/>
          <w:sz w:val="24"/>
          <w:szCs w:val="24"/>
          <w:lang w:val="es-ES_tradnl"/>
        </w:rPr>
      </w:pPr>
    </w:p>
    <w:p w:rsidR="00AA31F5" w:rsidRPr="0024314E" w:rsidRDefault="00535E98" w:rsidP="00D63644">
      <w:pPr>
        <w:spacing w:after="0" w:line="360" w:lineRule="auto"/>
        <w:jc w:val="both"/>
        <w:rPr>
          <w:rFonts w:ascii="Arial" w:hAnsi="Arial" w:cs="Arial"/>
          <w:sz w:val="24"/>
          <w:szCs w:val="24"/>
          <w:lang w:val="es-ES_tradnl"/>
        </w:rPr>
      </w:pPr>
      <w:r w:rsidRPr="0024314E">
        <w:rPr>
          <w:rFonts w:ascii="Arial" w:hAnsi="Arial" w:cs="Arial"/>
          <w:sz w:val="24"/>
          <w:szCs w:val="24"/>
          <w:lang w:val="es-ES_tradnl"/>
        </w:rPr>
        <w:t xml:space="preserve">La señora </w:t>
      </w:r>
      <w:r w:rsidR="00507BDE" w:rsidRPr="0024314E">
        <w:rPr>
          <w:rFonts w:ascii="Arial" w:hAnsi="Arial" w:cs="Arial"/>
          <w:sz w:val="24"/>
          <w:szCs w:val="24"/>
          <w:lang w:val="es-ES_tradnl"/>
        </w:rPr>
        <w:t>Elsa Samira Montañez Vargas</w:t>
      </w:r>
      <w:r w:rsidR="00C7357C" w:rsidRPr="0024314E">
        <w:rPr>
          <w:rFonts w:ascii="Arial" w:hAnsi="Arial" w:cs="Arial"/>
          <w:sz w:val="24"/>
          <w:szCs w:val="24"/>
          <w:lang w:val="es-ES_tradnl"/>
        </w:rPr>
        <w:t xml:space="preserve"> </w:t>
      </w:r>
      <w:r w:rsidR="00756A74" w:rsidRPr="0024314E">
        <w:rPr>
          <w:rFonts w:ascii="Arial" w:hAnsi="Arial" w:cs="Arial"/>
          <w:sz w:val="24"/>
          <w:szCs w:val="24"/>
          <w:lang w:val="es-ES_tradnl"/>
        </w:rPr>
        <w:t>sostuvo que</w:t>
      </w:r>
      <w:r w:rsidR="0095778C" w:rsidRPr="0024314E">
        <w:rPr>
          <w:rFonts w:ascii="Arial" w:hAnsi="Arial" w:cs="Arial"/>
          <w:sz w:val="24"/>
          <w:szCs w:val="24"/>
          <w:lang w:val="es-ES_tradnl"/>
        </w:rPr>
        <w:t xml:space="preserve"> </w:t>
      </w:r>
      <w:r w:rsidR="004E1217" w:rsidRPr="0024314E">
        <w:rPr>
          <w:rFonts w:ascii="Arial" w:hAnsi="Arial" w:cs="Arial"/>
          <w:sz w:val="24"/>
          <w:szCs w:val="24"/>
          <w:lang w:val="es-ES_tradnl"/>
        </w:rPr>
        <w:t xml:space="preserve">la </w:t>
      </w:r>
      <w:r w:rsidR="00C4569A" w:rsidRPr="0024314E">
        <w:rPr>
          <w:rFonts w:ascii="Arial" w:hAnsi="Arial" w:cs="Arial"/>
          <w:sz w:val="24"/>
          <w:szCs w:val="24"/>
        </w:rPr>
        <w:t xml:space="preserve">sentencia del </w:t>
      </w:r>
      <w:r w:rsidR="0079555C" w:rsidRPr="0024314E">
        <w:rPr>
          <w:rFonts w:ascii="Arial" w:hAnsi="Arial" w:cs="Arial"/>
          <w:sz w:val="24"/>
          <w:szCs w:val="24"/>
        </w:rPr>
        <w:t>5 de mayo de 2016</w:t>
      </w:r>
      <w:r w:rsidR="00C4569A" w:rsidRPr="0024314E">
        <w:rPr>
          <w:rFonts w:ascii="Arial" w:hAnsi="Arial" w:cs="Arial"/>
          <w:sz w:val="24"/>
          <w:szCs w:val="24"/>
        </w:rPr>
        <w:t xml:space="preserve"> </w:t>
      </w:r>
      <w:r w:rsidR="00C4569A" w:rsidRPr="0024314E">
        <w:rPr>
          <w:rFonts w:ascii="Arial" w:hAnsi="Arial" w:cs="Arial"/>
          <w:sz w:val="24"/>
          <w:szCs w:val="24"/>
          <w:lang w:val="es-ES_tradnl"/>
        </w:rPr>
        <w:t>incurrió</w:t>
      </w:r>
      <w:r w:rsidR="0095778C" w:rsidRPr="0024314E">
        <w:rPr>
          <w:rFonts w:ascii="Arial" w:hAnsi="Arial" w:cs="Arial"/>
          <w:sz w:val="24"/>
          <w:szCs w:val="24"/>
          <w:lang w:val="es-ES_tradnl"/>
        </w:rPr>
        <w:t xml:space="preserve"> en</w:t>
      </w:r>
      <w:r w:rsidR="00526366" w:rsidRPr="0024314E">
        <w:rPr>
          <w:rFonts w:ascii="Arial" w:hAnsi="Arial" w:cs="Arial"/>
          <w:sz w:val="24"/>
          <w:szCs w:val="24"/>
          <w:lang w:val="es-ES_tradnl"/>
        </w:rPr>
        <w:t xml:space="preserve"> </w:t>
      </w:r>
      <w:r w:rsidR="00E83439" w:rsidRPr="0024314E">
        <w:rPr>
          <w:rFonts w:ascii="Arial" w:hAnsi="Arial" w:cs="Arial"/>
          <w:b/>
          <w:sz w:val="24"/>
          <w:szCs w:val="24"/>
          <w:lang w:val="es-ES_tradnl"/>
        </w:rPr>
        <w:t>desconocimiento del precedente</w:t>
      </w:r>
      <w:r w:rsidR="00E83439" w:rsidRPr="0024314E">
        <w:rPr>
          <w:rFonts w:ascii="Arial" w:hAnsi="Arial" w:cs="Arial"/>
          <w:sz w:val="24"/>
          <w:szCs w:val="24"/>
          <w:lang w:val="es-ES_tradnl"/>
        </w:rPr>
        <w:t xml:space="preserve"> </w:t>
      </w:r>
      <w:r w:rsidR="00526366" w:rsidRPr="0024314E">
        <w:rPr>
          <w:rFonts w:ascii="Arial" w:hAnsi="Arial" w:cs="Arial"/>
          <w:sz w:val="24"/>
          <w:szCs w:val="24"/>
          <w:lang w:val="es-ES_tradnl"/>
        </w:rPr>
        <w:t>de la Sección Segunda del Consejo de Estado</w:t>
      </w:r>
      <w:r w:rsidR="006A7A09" w:rsidRPr="0024314E">
        <w:rPr>
          <w:rStyle w:val="Refdenotaalpie"/>
          <w:rFonts w:ascii="Arial" w:hAnsi="Arial" w:cs="Arial"/>
          <w:sz w:val="24"/>
          <w:szCs w:val="24"/>
          <w:lang w:val="es-ES_tradnl"/>
        </w:rPr>
        <w:footnoteReference w:id="2"/>
      </w:r>
      <w:r w:rsidR="00526366" w:rsidRPr="0024314E">
        <w:rPr>
          <w:rFonts w:ascii="Arial" w:hAnsi="Arial" w:cs="Arial"/>
          <w:sz w:val="24"/>
          <w:szCs w:val="24"/>
          <w:lang w:val="es-ES_tradnl"/>
        </w:rPr>
        <w:t xml:space="preserve">, </w:t>
      </w:r>
      <w:r w:rsidRPr="0024314E">
        <w:rPr>
          <w:rFonts w:ascii="Arial" w:hAnsi="Arial" w:cs="Arial"/>
          <w:sz w:val="24"/>
          <w:szCs w:val="24"/>
          <w:lang w:val="es-ES_tradnl"/>
        </w:rPr>
        <w:t xml:space="preserve">fijado </w:t>
      </w:r>
      <w:r w:rsidR="00AA31F5" w:rsidRPr="0024314E">
        <w:rPr>
          <w:rFonts w:ascii="Arial" w:hAnsi="Arial" w:cs="Arial"/>
          <w:sz w:val="24"/>
          <w:szCs w:val="24"/>
          <w:lang w:val="es-ES_tradnl"/>
        </w:rPr>
        <w:t xml:space="preserve">en la sentencia del 19 de enero de 2015, que resolvió la demanda instaurada por un instructor del Sena, en la que concluyó que, en los casos de contrato realidad, la prescripción es de cinco años contados a partir de la finalización del último contrato de prestación de servicios. </w:t>
      </w:r>
    </w:p>
    <w:p w:rsidR="00AA31F5" w:rsidRPr="0024314E" w:rsidRDefault="00AA31F5" w:rsidP="00D63644">
      <w:pPr>
        <w:spacing w:after="0" w:line="360" w:lineRule="auto"/>
        <w:jc w:val="both"/>
        <w:rPr>
          <w:rFonts w:ascii="Arial" w:hAnsi="Arial" w:cs="Arial"/>
          <w:sz w:val="24"/>
          <w:szCs w:val="24"/>
          <w:lang w:val="es-ES_tradnl"/>
        </w:rPr>
      </w:pPr>
    </w:p>
    <w:p w:rsidR="006A7A09" w:rsidRPr="0024314E" w:rsidRDefault="00AA31F5" w:rsidP="00D63644">
      <w:pPr>
        <w:spacing w:after="0" w:line="360" w:lineRule="auto"/>
        <w:jc w:val="both"/>
        <w:rPr>
          <w:rFonts w:ascii="Arial" w:hAnsi="Arial" w:cs="Arial"/>
          <w:sz w:val="24"/>
          <w:szCs w:val="24"/>
          <w:lang w:val="es-ES_tradnl"/>
        </w:rPr>
      </w:pPr>
      <w:r w:rsidRPr="0024314E">
        <w:rPr>
          <w:rFonts w:ascii="Arial" w:hAnsi="Arial" w:cs="Arial"/>
          <w:sz w:val="24"/>
          <w:szCs w:val="24"/>
          <w:lang w:val="es-ES_tradnl"/>
        </w:rPr>
        <w:t>Q</w:t>
      </w:r>
      <w:r w:rsidR="006A7A09" w:rsidRPr="0024314E">
        <w:rPr>
          <w:rFonts w:ascii="Arial" w:hAnsi="Arial" w:cs="Arial"/>
          <w:sz w:val="24"/>
          <w:szCs w:val="24"/>
          <w:lang w:val="es-ES_tradnl"/>
        </w:rPr>
        <w:t xml:space="preserve">ue, en este caso, </w:t>
      </w:r>
      <w:r w:rsidRPr="0024314E">
        <w:rPr>
          <w:rFonts w:ascii="Arial" w:hAnsi="Arial" w:cs="Arial"/>
          <w:sz w:val="24"/>
          <w:szCs w:val="24"/>
          <w:lang w:val="es-ES_tradnl"/>
        </w:rPr>
        <w:t xml:space="preserve">el término del último contrato venció el 31 de </w:t>
      </w:r>
      <w:r w:rsidR="006A7A09" w:rsidRPr="0024314E">
        <w:rPr>
          <w:rFonts w:ascii="Arial" w:hAnsi="Arial" w:cs="Arial"/>
          <w:sz w:val="24"/>
          <w:szCs w:val="24"/>
          <w:lang w:val="es-ES_tradnl"/>
        </w:rPr>
        <w:t>diciembre de 2012</w:t>
      </w:r>
      <w:r w:rsidRPr="0024314E">
        <w:rPr>
          <w:rFonts w:ascii="Arial" w:hAnsi="Arial" w:cs="Arial"/>
          <w:sz w:val="24"/>
          <w:szCs w:val="24"/>
          <w:lang w:val="es-ES_tradnl"/>
        </w:rPr>
        <w:t>, por lo que la prescripción debió calcularse a partir del 1º de enero de 2013</w:t>
      </w:r>
      <w:r w:rsidR="006A7A09" w:rsidRPr="0024314E">
        <w:rPr>
          <w:rFonts w:ascii="Arial" w:hAnsi="Arial" w:cs="Arial"/>
          <w:sz w:val="24"/>
          <w:szCs w:val="24"/>
          <w:lang w:val="es-ES_tradnl"/>
        </w:rPr>
        <w:t xml:space="preserve">. </w:t>
      </w:r>
    </w:p>
    <w:p w:rsidR="00762640" w:rsidRPr="0024314E" w:rsidRDefault="00762640" w:rsidP="00D63644">
      <w:pPr>
        <w:spacing w:after="0" w:line="360" w:lineRule="auto"/>
        <w:jc w:val="both"/>
        <w:rPr>
          <w:rFonts w:ascii="Arial" w:hAnsi="Arial" w:cs="Arial"/>
          <w:sz w:val="24"/>
          <w:szCs w:val="24"/>
          <w:lang w:val="es-ES_tradnl"/>
        </w:rPr>
      </w:pPr>
    </w:p>
    <w:p w:rsidR="007F4276" w:rsidRPr="0024314E" w:rsidRDefault="00131192" w:rsidP="00D63644">
      <w:pPr>
        <w:spacing w:after="0" w:line="360" w:lineRule="auto"/>
        <w:jc w:val="both"/>
        <w:rPr>
          <w:rFonts w:ascii="Arial" w:hAnsi="Arial" w:cs="Arial"/>
          <w:sz w:val="24"/>
          <w:szCs w:val="24"/>
          <w:lang w:val="es-ES_tradnl"/>
        </w:rPr>
      </w:pPr>
      <w:r w:rsidRPr="0024314E">
        <w:rPr>
          <w:rFonts w:ascii="Arial" w:hAnsi="Arial" w:cs="Arial"/>
          <w:sz w:val="24"/>
          <w:szCs w:val="24"/>
          <w:lang w:val="es-ES_tradnl"/>
        </w:rPr>
        <w:t xml:space="preserve">Que, por otro lado, el tribunal se equivocó al concluir que en la vinculación de la actora con el Sena existió solución de continuidad. </w:t>
      </w:r>
      <w:r w:rsidR="00762640" w:rsidRPr="0024314E">
        <w:rPr>
          <w:rFonts w:ascii="Arial" w:hAnsi="Arial" w:cs="Arial"/>
          <w:sz w:val="24"/>
          <w:szCs w:val="24"/>
          <w:lang w:val="es-ES_tradnl"/>
        </w:rPr>
        <w:t xml:space="preserve">Que, para efectos de </w:t>
      </w:r>
      <w:r w:rsidR="00AA31F5" w:rsidRPr="0024314E">
        <w:rPr>
          <w:rFonts w:ascii="Arial" w:hAnsi="Arial" w:cs="Arial"/>
          <w:sz w:val="24"/>
          <w:szCs w:val="24"/>
          <w:lang w:val="es-ES_tradnl"/>
        </w:rPr>
        <w:t xml:space="preserve">calcular </w:t>
      </w:r>
      <w:r w:rsidR="00762640" w:rsidRPr="0024314E">
        <w:rPr>
          <w:rFonts w:ascii="Arial" w:hAnsi="Arial" w:cs="Arial"/>
          <w:sz w:val="24"/>
          <w:szCs w:val="24"/>
          <w:lang w:val="es-ES_tradnl"/>
        </w:rPr>
        <w:t xml:space="preserve">la prescripción, los contratos de prestación de servicios </w:t>
      </w:r>
      <w:r w:rsidR="00AA31F5" w:rsidRPr="0024314E">
        <w:rPr>
          <w:rFonts w:ascii="Arial" w:hAnsi="Arial" w:cs="Arial"/>
          <w:sz w:val="24"/>
          <w:szCs w:val="24"/>
          <w:lang w:val="es-ES_tradnl"/>
        </w:rPr>
        <w:t xml:space="preserve">suscritos por la señora Montañez Vargas </w:t>
      </w:r>
      <w:r w:rsidR="00762640" w:rsidRPr="0024314E">
        <w:rPr>
          <w:rFonts w:ascii="Arial" w:hAnsi="Arial" w:cs="Arial"/>
          <w:sz w:val="24"/>
          <w:szCs w:val="24"/>
          <w:lang w:val="es-ES_tradnl"/>
        </w:rPr>
        <w:t xml:space="preserve">no </w:t>
      </w:r>
      <w:r w:rsidR="00AA31F5" w:rsidRPr="0024314E">
        <w:rPr>
          <w:rFonts w:ascii="Arial" w:hAnsi="Arial" w:cs="Arial"/>
          <w:sz w:val="24"/>
          <w:szCs w:val="24"/>
          <w:lang w:val="es-ES_tradnl"/>
        </w:rPr>
        <w:t xml:space="preserve">podían </w:t>
      </w:r>
      <w:r w:rsidR="00762640" w:rsidRPr="0024314E">
        <w:rPr>
          <w:rFonts w:ascii="Arial" w:hAnsi="Arial" w:cs="Arial"/>
          <w:sz w:val="24"/>
          <w:szCs w:val="24"/>
          <w:lang w:val="es-ES_tradnl"/>
        </w:rPr>
        <w:t>ser valorados de manera independiente,</w:t>
      </w:r>
      <w:r w:rsidR="00990835" w:rsidRPr="0024314E">
        <w:rPr>
          <w:rFonts w:ascii="Arial" w:hAnsi="Arial" w:cs="Arial"/>
          <w:sz w:val="24"/>
          <w:szCs w:val="24"/>
          <w:lang w:val="es-ES_tradnl"/>
        </w:rPr>
        <w:t xml:space="preserve"> </w:t>
      </w:r>
      <w:r w:rsidRPr="0024314E">
        <w:rPr>
          <w:rFonts w:ascii="Arial" w:hAnsi="Arial" w:cs="Arial"/>
          <w:sz w:val="24"/>
          <w:szCs w:val="24"/>
          <w:lang w:val="es-ES_tradnl"/>
        </w:rPr>
        <w:t>pues los lapsos que transcurrieron</w:t>
      </w:r>
      <w:r w:rsidR="00762640" w:rsidRPr="0024314E">
        <w:rPr>
          <w:rFonts w:ascii="Arial" w:hAnsi="Arial" w:cs="Arial"/>
          <w:sz w:val="24"/>
          <w:szCs w:val="24"/>
          <w:lang w:val="es-ES_tradnl"/>
        </w:rPr>
        <w:t xml:space="preserve"> entre </w:t>
      </w:r>
      <w:r w:rsidRPr="0024314E">
        <w:rPr>
          <w:rFonts w:ascii="Arial" w:hAnsi="Arial" w:cs="Arial"/>
          <w:sz w:val="24"/>
          <w:szCs w:val="24"/>
          <w:lang w:val="es-ES_tradnl"/>
        </w:rPr>
        <w:t xml:space="preserve">éstos </w:t>
      </w:r>
      <w:r w:rsidR="00762640" w:rsidRPr="0024314E">
        <w:rPr>
          <w:rFonts w:ascii="Arial" w:hAnsi="Arial" w:cs="Arial"/>
          <w:sz w:val="24"/>
          <w:szCs w:val="24"/>
          <w:lang w:val="es-ES_tradnl"/>
        </w:rPr>
        <w:t xml:space="preserve">se </w:t>
      </w:r>
      <w:r w:rsidRPr="0024314E">
        <w:rPr>
          <w:rFonts w:ascii="Arial" w:hAnsi="Arial" w:cs="Arial"/>
          <w:sz w:val="24"/>
          <w:szCs w:val="24"/>
          <w:lang w:val="es-ES_tradnl"/>
        </w:rPr>
        <w:t>debían</w:t>
      </w:r>
      <w:r w:rsidR="00762640" w:rsidRPr="0024314E">
        <w:rPr>
          <w:rFonts w:ascii="Arial" w:hAnsi="Arial" w:cs="Arial"/>
          <w:sz w:val="24"/>
          <w:szCs w:val="24"/>
          <w:lang w:val="es-ES_tradnl"/>
        </w:rPr>
        <w:t xml:space="preserve"> a</w:t>
      </w:r>
      <w:r w:rsidR="00AA31F5" w:rsidRPr="0024314E">
        <w:rPr>
          <w:rFonts w:ascii="Arial" w:hAnsi="Arial" w:cs="Arial"/>
          <w:sz w:val="24"/>
          <w:szCs w:val="24"/>
          <w:lang w:val="es-ES_tradnl"/>
        </w:rPr>
        <w:t xml:space="preserve"> los calendarios académicos</w:t>
      </w:r>
      <w:r w:rsidR="00762640" w:rsidRPr="0024314E">
        <w:rPr>
          <w:rFonts w:ascii="Arial" w:hAnsi="Arial" w:cs="Arial"/>
          <w:sz w:val="24"/>
          <w:szCs w:val="24"/>
          <w:lang w:val="es-ES_tradnl"/>
        </w:rPr>
        <w:t xml:space="preserve">. </w:t>
      </w:r>
    </w:p>
    <w:p w:rsidR="0074544F" w:rsidRPr="0024314E" w:rsidRDefault="0074544F" w:rsidP="00D63644">
      <w:pPr>
        <w:spacing w:after="0" w:line="360" w:lineRule="auto"/>
        <w:jc w:val="both"/>
        <w:rPr>
          <w:rFonts w:ascii="Arial" w:hAnsi="Arial" w:cs="Arial"/>
          <w:sz w:val="24"/>
          <w:szCs w:val="24"/>
          <w:lang w:val="es-ES_tradnl"/>
        </w:rPr>
      </w:pPr>
    </w:p>
    <w:p w:rsidR="0074544F" w:rsidRPr="0024314E" w:rsidRDefault="0074544F" w:rsidP="00D63644">
      <w:pPr>
        <w:spacing w:after="0" w:line="360" w:lineRule="auto"/>
        <w:jc w:val="both"/>
        <w:rPr>
          <w:rFonts w:ascii="Arial" w:hAnsi="Arial" w:cs="Arial"/>
          <w:sz w:val="24"/>
          <w:szCs w:val="24"/>
          <w:lang w:val="es-ES_tradnl"/>
        </w:rPr>
      </w:pPr>
      <w:r w:rsidRPr="0024314E">
        <w:rPr>
          <w:rFonts w:ascii="Arial" w:hAnsi="Arial" w:cs="Arial"/>
          <w:sz w:val="24"/>
          <w:szCs w:val="24"/>
          <w:lang w:val="es-ES_tradnl"/>
        </w:rPr>
        <w:lastRenderedPageBreak/>
        <w:t xml:space="preserve">Que la aplicación del criterio acogido por la autoridad demandada </w:t>
      </w:r>
      <w:r w:rsidR="00762640" w:rsidRPr="0024314E">
        <w:rPr>
          <w:rFonts w:ascii="Arial" w:hAnsi="Arial" w:cs="Arial"/>
          <w:sz w:val="24"/>
          <w:szCs w:val="24"/>
          <w:lang w:val="es-ES_tradnl"/>
        </w:rPr>
        <w:t xml:space="preserve">genera </w:t>
      </w:r>
      <w:r w:rsidRPr="0024314E">
        <w:rPr>
          <w:rFonts w:ascii="Arial" w:hAnsi="Arial" w:cs="Arial"/>
          <w:sz w:val="24"/>
          <w:szCs w:val="24"/>
          <w:lang w:val="es-ES_tradnl"/>
        </w:rPr>
        <w:t xml:space="preserve">un retroceso </w:t>
      </w:r>
      <w:r w:rsidR="00762640" w:rsidRPr="0024314E">
        <w:rPr>
          <w:rFonts w:ascii="Arial" w:hAnsi="Arial" w:cs="Arial"/>
          <w:sz w:val="24"/>
          <w:szCs w:val="24"/>
          <w:lang w:val="es-ES_tradnl"/>
        </w:rPr>
        <w:t xml:space="preserve">en </w:t>
      </w:r>
      <w:r w:rsidRPr="0024314E">
        <w:rPr>
          <w:rFonts w:ascii="Arial" w:hAnsi="Arial" w:cs="Arial"/>
          <w:sz w:val="24"/>
          <w:szCs w:val="24"/>
          <w:lang w:val="es-ES_tradnl"/>
        </w:rPr>
        <w:t>los derechos de las personas que trabajan a través de contratos y órdenes de prestación de servicios, que</w:t>
      </w:r>
      <w:r w:rsidR="00C96823" w:rsidRPr="0024314E">
        <w:rPr>
          <w:rFonts w:ascii="Arial" w:hAnsi="Arial" w:cs="Arial"/>
          <w:sz w:val="24"/>
          <w:szCs w:val="24"/>
          <w:lang w:val="es-ES_tradnl"/>
        </w:rPr>
        <w:t xml:space="preserve"> no gozan de las mismas prerrogativas </w:t>
      </w:r>
      <w:r w:rsidR="00131192" w:rsidRPr="0024314E">
        <w:rPr>
          <w:rFonts w:ascii="Arial" w:hAnsi="Arial" w:cs="Arial"/>
          <w:sz w:val="24"/>
          <w:szCs w:val="24"/>
          <w:lang w:val="es-ES_tradnl"/>
        </w:rPr>
        <w:t>de</w:t>
      </w:r>
      <w:r w:rsidR="00C96823" w:rsidRPr="0024314E">
        <w:rPr>
          <w:rFonts w:ascii="Arial" w:hAnsi="Arial" w:cs="Arial"/>
          <w:sz w:val="24"/>
          <w:szCs w:val="24"/>
          <w:lang w:val="es-ES_tradnl"/>
        </w:rPr>
        <w:t>l personal de planta</w:t>
      </w:r>
      <w:r w:rsidR="00535E98" w:rsidRPr="0024314E">
        <w:rPr>
          <w:rFonts w:ascii="Arial" w:hAnsi="Arial" w:cs="Arial"/>
          <w:sz w:val="24"/>
          <w:szCs w:val="24"/>
          <w:lang w:val="es-ES_tradnl"/>
        </w:rPr>
        <w:t>. Q</w:t>
      </w:r>
      <w:r w:rsidR="00131192" w:rsidRPr="0024314E">
        <w:rPr>
          <w:rFonts w:ascii="Arial" w:hAnsi="Arial" w:cs="Arial"/>
          <w:sz w:val="24"/>
          <w:szCs w:val="24"/>
          <w:lang w:val="es-ES_tradnl"/>
        </w:rPr>
        <w:t>ue</w:t>
      </w:r>
      <w:r w:rsidRPr="0024314E">
        <w:rPr>
          <w:rFonts w:ascii="Arial" w:hAnsi="Arial" w:cs="Arial"/>
          <w:sz w:val="24"/>
          <w:szCs w:val="24"/>
          <w:lang w:val="es-ES_tradnl"/>
        </w:rPr>
        <w:t>, en ocasiones,</w:t>
      </w:r>
      <w:r w:rsidR="00B84476" w:rsidRPr="0024314E">
        <w:rPr>
          <w:rFonts w:ascii="Arial" w:hAnsi="Arial" w:cs="Arial"/>
          <w:sz w:val="24"/>
          <w:szCs w:val="24"/>
          <w:lang w:val="es-ES_tradnl"/>
        </w:rPr>
        <w:t xml:space="preserve"> cuando se cumple el plazo pactado,</w:t>
      </w:r>
      <w:r w:rsidRPr="0024314E">
        <w:rPr>
          <w:rFonts w:ascii="Arial" w:hAnsi="Arial" w:cs="Arial"/>
          <w:sz w:val="24"/>
          <w:szCs w:val="24"/>
          <w:lang w:val="es-ES_tradnl"/>
        </w:rPr>
        <w:t xml:space="preserve"> </w:t>
      </w:r>
      <w:r w:rsidR="00762640" w:rsidRPr="0024314E">
        <w:rPr>
          <w:rFonts w:ascii="Arial" w:hAnsi="Arial" w:cs="Arial"/>
          <w:sz w:val="24"/>
          <w:szCs w:val="24"/>
          <w:lang w:val="es-ES_tradnl"/>
        </w:rPr>
        <w:t xml:space="preserve">deben </w:t>
      </w:r>
      <w:r w:rsidRPr="0024314E">
        <w:rPr>
          <w:rFonts w:ascii="Arial" w:hAnsi="Arial" w:cs="Arial"/>
          <w:sz w:val="24"/>
          <w:szCs w:val="24"/>
          <w:lang w:val="es-ES_tradnl"/>
        </w:rPr>
        <w:t xml:space="preserve">continuar laborando por varios días, mientras que se les renueva la vinculación. </w:t>
      </w:r>
    </w:p>
    <w:p w:rsidR="00DE070B" w:rsidRPr="0024314E" w:rsidRDefault="00DE070B" w:rsidP="00D63644">
      <w:pPr>
        <w:spacing w:after="0" w:line="360" w:lineRule="auto"/>
        <w:jc w:val="both"/>
        <w:rPr>
          <w:rFonts w:ascii="Arial" w:hAnsi="Arial" w:cs="Arial"/>
          <w:sz w:val="24"/>
          <w:szCs w:val="24"/>
          <w:lang w:val="es-ES_tradnl"/>
        </w:rPr>
      </w:pPr>
    </w:p>
    <w:p w:rsidR="0085526E" w:rsidRPr="0024314E" w:rsidRDefault="009F7FC6" w:rsidP="00D63644">
      <w:pPr>
        <w:widowControl w:val="0"/>
        <w:numPr>
          <w:ilvl w:val="0"/>
          <w:numId w:val="2"/>
        </w:numPr>
        <w:spacing w:after="0" w:line="360" w:lineRule="auto"/>
        <w:jc w:val="both"/>
        <w:rPr>
          <w:rFonts w:ascii="Arial" w:hAnsi="Arial" w:cs="Arial"/>
          <w:b/>
          <w:bCs/>
          <w:sz w:val="24"/>
          <w:szCs w:val="24"/>
        </w:rPr>
      </w:pPr>
      <w:r w:rsidRPr="0024314E">
        <w:rPr>
          <w:rFonts w:ascii="Arial" w:hAnsi="Arial" w:cs="Arial"/>
          <w:b/>
          <w:sz w:val="24"/>
          <w:szCs w:val="24"/>
          <w:lang w:val="es-ES_tradnl"/>
        </w:rPr>
        <w:t>Intervenci</w:t>
      </w:r>
      <w:r w:rsidR="00EA17EB" w:rsidRPr="0024314E">
        <w:rPr>
          <w:rFonts w:ascii="Arial" w:hAnsi="Arial" w:cs="Arial"/>
          <w:b/>
          <w:sz w:val="24"/>
          <w:szCs w:val="24"/>
          <w:lang w:val="es-ES_tradnl"/>
        </w:rPr>
        <w:t>ón de la a</w:t>
      </w:r>
      <w:r w:rsidR="0085526E" w:rsidRPr="0024314E">
        <w:rPr>
          <w:rFonts w:ascii="Arial" w:hAnsi="Arial" w:cs="Arial"/>
          <w:b/>
          <w:sz w:val="24"/>
          <w:szCs w:val="24"/>
          <w:lang w:val="es-ES_tradnl"/>
        </w:rPr>
        <w:t xml:space="preserve">utoridad judicial demandada </w:t>
      </w:r>
    </w:p>
    <w:p w:rsidR="0085526E" w:rsidRPr="0024314E" w:rsidRDefault="0085526E" w:rsidP="00D63644">
      <w:pPr>
        <w:widowControl w:val="0"/>
        <w:spacing w:after="0" w:line="360" w:lineRule="auto"/>
        <w:jc w:val="both"/>
        <w:rPr>
          <w:rFonts w:ascii="Arial" w:hAnsi="Arial" w:cs="Arial"/>
          <w:b/>
          <w:sz w:val="24"/>
          <w:szCs w:val="24"/>
          <w:lang w:val="es-ES_tradnl"/>
        </w:rPr>
      </w:pPr>
    </w:p>
    <w:p w:rsidR="00BC429D" w:rsidRPr="0024314E" w:rsidRDefault="00BC429D" w:rsidP="00D63644">
      <w:pPr>
        <w:widowControl w:val="0"/>
        <w:spacing w:after="0" w:line="360" w:lineRule="auto"/>
        <w:jc w:val="both"/>
        <w:rPr>
          <w:rFonts w:ascii="Arial" w:hAnsi="Arial" w:cs="Arial"/>
          <w:sz w:val="24"/>
          <w:szCs w:val="24"/>
        </w:rPr>
      </w:pPr>
      <w:r w:rsidRPr="0024314E">
        <w:rPr>
          <w:rFonts w:ascii="Arial" w:hAnsi="Arial" w:cs="Arial"/>
          <w:sz w:val="24"/>
          <w:szCs w:val="24"/>
        </w:rPr>
        <w:t xml:space="preserve">La titular del </w:t>
      </w:r>
      <w:r w:rsidRPr="0024314E">
        <w:rPr>
          <w:rFonts w:ascii="Arial" w:hAnsi="Arial" w:cs="Arial"/>
          <w:b/>
          <w:sz w:val="24"/>
          <w:szCs w:val="24"/>
        </w:rPr>
        <w:t>Juzgado 57 Administrativo de Bogotá</w:t>
      </w:r>
      <w:r w:rsidRPr="0024314E">
        <w:rPr>
          <w:rStyle w:val="Refdenotaalpie"/>
          <w:rFonts w:ascii="Arial" w:hAnsi="Arial" w:cs="Arial"/>
          <w:sz w:val="24"/>
          <w:szCs w:val="24"/>
        </w:rPr>
        <w:footnoteReference w:id="3"/>
      </w:r>
      <w:r w:rsidRPr="0024314E">
        <w:rPr>
          <w:rFonts w:ascii="Arial" w:hAnsi="Arial" w:cs="Arial"/>
          <w:sz w:val="24"/>
          <w:szCs w:val="24"/>
        </w:rPr>
        <w:t xml:space="preserve"> manifestó que la sentencia del 30 de junio de 2015 se ajustó al criterio </w:t>
      </w:r>
      <w:r w:rsidR="00535E98" w:rsidRPr="0024314E">
        <w:rPr>
          <w:rFonts w:ascii="Arial" w:hAnsi="Arial" w:cs="Arial"/>
          <w:sz w:val="24"/>
          <w:szCs w:val="24"/>
        </w:rPr>
        <w:t xml:space="preserve">fijado </w:t>
      </w:r>
      <w:r w:rsidRPr="0024314E">
        <w:rPr>
          <w:rFonts w:ascii="Arial" w:hAnsi="Arial" w:cs="Arial"/>
          <w:sz w:val="24"/>
          <w:szCs w:val="24"/>
        </w:rPr>
        <w:t>por la Sección Segunda del Consejo de Estado, en la sentencia del 9 de abril de 2014</w:t>
      </w:r>
      <w:r w:rsidR="00E50976" w:rsidRPr="0024314E">
        <w:rPr>
          <w:rStyle w:val="Refdenotaalpie"/>
          <w:rFonts w:ascii="Arial" w:hAnsi="Arial" w:cs="Arial"/>
          <w:sz w:val="24"/>
          <w:szCs w:val="24"/>
        </w:rPr>
        <w:footnoteReference w:id="4"/>
      </w:r>
      <w:r w:rsidRPr="0024314E">
        <w:rPr>
          <w:rFonts w:ascii="Arial" w:hAnsi="Arial" w:cs="Arial"/>
          <w:sz w:val="24"/>
          <w:szCs w:val="24"/>
        </w:rPr>
        <w:t xml:space="preserve">, que </w:t>
      </w:r>
      <w:r w:rsidR="00535E98" w:rsidRPr="0024314E">
        <w:rPr>
          <w:rFonts w:ascii="Arial" w:hAnsi="Arial" w:cs="Arial"/>
          <w:sz w:val="24"/>
          <w:szCs w:val="24"/>
        </w:rPr>
        <w:t>manifestó</w:t>
      </w:r>
      <w:r w:rsidR="00D06FAF" w:rsidRPr="0024314E">
        <w:rPr>
          <w:rFonts w:ascii="Arial" w:hAnsi="Arial" w:cs="Arial"/>
          <w:sz w:val="24"/>
          <w:szCs w:val="24"/>
        </w:rPr>
        <w:t xml:space="preserve"> que la sentencia que declara la existencia de la relación laboral tiene carácter constitutivo de derechos, siempre que la parte demandante haya elevado oportunamente la reclamación ante la entidad, una vez culminado el vínculo contractual. </w:t>
      </w:r>
    </w:p>
    <w:p w:rsidR="00D06FAF" w:rsidRPr="0024314E" w:rsidRDefault="00D06FAF" w:rsidP="00D63644">
      <w:pPr>
        <w:widowControl w:val="0"/>
        <w:spacing w:after="0" w:line="360" w:lineRule="auto"/>
        <w:jc w:val="both"/>
        <w:rPr>
          <w:rFonts w:ascii="Arial" w:hAnsi="Arial" w:cs="Arial"/>
          <w:sz w:val="24"/>
          <w:szCs w:val="24"/>
        </w:rPr>
      </w:pPr>
    </w:p>
    <w:p w:rsidR="00BC429D" w:rsidRPr="0024314E" w:rsidRDefault="00D06FAF" w:rsidP="00D63644">
      <w:pPr>
        <w:widowControl w:val="0"/>
        <w:spacing w:after="0" w:line="360" w:lineRule="auto"/>
        <w:jc w:val="both"/>
        <w:rPr>
          <w:rFonts w:ascii="Arial" w:hAnsi="Arial" w:cs="Arial"/>
          <w:sz w:val="24"/>
          <w:szCs w:val="24"/>
        </w:rPr>
      </w:pPr>
      <w:r w:rsidRPr="0024314E">
        <w:rPr>
          <w:rFonts w:ascii="Arial" w:hAnsi="Arial" w:cs="Arial"/>
          <w:sz w:val="24"/>
          <w:szCs w:val="24"/>
        </w:rPr>
        <w:t>Que, en el caso concreto, entre los contratos de prestación de servicios suscritos entre el Sena y la demandante hubo interrupciones superiores a 15 días hábiles, por lo que existió solución de continuidad, y la demandante debió reclamar, dentro del término de la prescripción, los derechos causados en virtud de cada uno de ellos</w:t>
      </w:r>
      <w:r w:rsidR="00131192" w:rsidRPr="0024314E">
        <w:rPr>
          <w:rFonts w:ascii="Arial" w:hAnsi="Arial" w:cs="Arial"/>
          <w:sz w:val="24"/>
          <w:szCs w:val="24"/>
        </w:rPr>
        <w:t xml:space="preserve">, pero que no lo hizo así, sino que </w:t>
      </w:r>
      <w:r w:rsidRPr="0024314E">
        <w:rPr>
          <w:rFonts w:ascii="Arial" w:hAnsi="Arial" w:cs="Arial"/>
          <w:sz w:val="24"/>
          <w:szCs w:val="24"/>
        </w:rPr>
        <w:t xml:space="preserve">radicó </w:t>
      </w:r>
      <w:r w:rsidR="00131192" w:rsidRPr="0024314E">
        <w:rPr>
          <w:rFonts w:ascii="Arial" w:hAnsi="Arial" w:cs="Arial"/>
          <w:sz w:val="24"/>
          <w:szCs w:val="24"/>
        </w:rPr>
        <w:t xml:space="preserve">la solicitud </w:t>
      </w:r>
      <w:r w:rsidRPr="0024314E">
        <w:rPr>
          <w:rFonts w:ascii="Arial" w:hAnsi="Arial" w:cs="Arial"/>
          <w:sz w:val="24"/>
          <w:szCs w:val="24"/>
        </w:rPr>
        <w:t>ante la administración el 6 de agosto de 2013</w:t>
      </w:r>
      <w:r w:rsidR="00186A39" w:rsidRPr="0024314E">
        <w:rPr>
          <w:rFonts w:ascii="Arial" w:hAnsi="Arial" w:cs="Arial"/>
          <w:sz w:val="24"/>
          <w:szCs w:val="24"/>
        </w:rPr>
        <w:t xml:space="preserve">. </w:t>
      </w:r>
    </w:p>
    <w:p w:rsidR="00D06FAF" w:rsidRPr="0024314E" w:rsidRDefault="00D06FAF" w:rsidP="00D63644">
      <w:pPr>
        <w:widowControl w:val="0"/>
        <w:spacing w:after="0" w:line="360" w:lineRule="auto"/>
        <w:jc w:val="both"/>
        <w:rPr>
          <w:rFonts w:ascii="Arial" w:hAnsi="Arial" w:cs="Arial"/>
          <w:sz w:val="24"/>
          <w:szCs w:val="24"/>
        </w:rPr>
      </w:pPr>
    </w:p>
    <w:p w:rsidR="00BC429D" w:rsidRPr="0024314E" w:rsidRDefault="00D06FAF" w:rsidP="00D63644">
      <w:pPr>
        <w:widowControl w:val="0"/>
        <w:spacing w:after="0" w:line="360" w:lineRule="auto"/>
        <w:jc w:val="both"/>
        <w:rPr>
          <w:rFonts w:ascii="Arial" w:hAnsi="Arial" w:cs="Arial"/>
          <w:sz w:val="24"/>
          <w:szCs w:val="24"/>
        </w:rPr>
      </w:pPr>
      <w:r w:rsidRPr="0024314E">
        <w:rPr>
          <w:rFonts w:ascii="Arial" w:hAnsi="Arial" w:cs="Arial"/>
          <w:sz w:val="24"/>
          <w:szCs w:val="24"/>
        </w:rPr>
        <w:t xml:space="preserve">Que, en tal sentido, si bien el derecho a reclamar las prestaciones sociales derivadas de un contrato realidad </w:t>
      </w:r>
      <w:r w:rsidR="00E50976" w:rsidRPr="0024314E">
        <w:rPr>
          <w:rFonts w:ascii="Arial" w:hAnsi="Arial" w:cs="Arial"/>
          <w:sz w:val="24"/>
          <w:szCs w:val="24"/>
        </w:rPr>
        <w:t xml:space="preserve">se configura a partir de la sentencia que declara la existencia de la relación laboral, lo cierto es que la demandante dejó transcurrir más de tres años entre la terminación de los contratos anteriores al 6 de agosto de 2010 y la presentación del reclamo ante la administración. </w:t>
      </w:r>
    </w:p>
    <w:p w:rsidR="00D06FAF" w:rsidRPr="0024314E" w:rsidRDefault="00D06FAF" w:rsidP="00D63644">
      <w:pPr>
        <w:widowControl w:val="0"/>
        <w:spacing w:after="0" w:line="360" w:lineRule="auto"/>
        <w:jc w:val="both"/>
        <w:rPr>
          <w:rFonts w:ascii="Arial" w:hAnsi="Arial" w:cs="Arial"/>
          <w:sz w:val="24"/>
          <w:szCs w:val="24"/>
        </w:rPr>
      </w:pPr>
    </w:p>
    <w:p w:rsidR="00BC429D" w:rsidRPr="0024314E" w:rsidRDefault="00E50976" w:rsidP="00D63644">
      <w:pPr>
        <w:widowControl w:val="0"/>
        <w:spacing w:after="0" w:line="360" w:lineRule="auto"/>
        <w:jc w:val="both"/>
        <w:rPr>
          <w:rFonts w:ascii="Arial" w:hAnsi="Arial" w:cs="Arial"/>
          <w:sz w:val="24"/>
          <w:szCs w:val="24"/>
        </w:rPr>
      </w:pPr>
      <w:r w:rsidRPr="0024314E">
        <w:rPr>
          <w:rFonts w:ascii="Arial" w:hAnsi="Arial" w:cs="Arial"/>
          <w:sz w:val="24"/>
          <w:szCs w:val="24"/>
        </w:rPr>
        <w:t>Que, por último, las providencias que se cuestionan no desconocieron el precedente invocado por la demandante</w:t>
      </w:r>
      <w:r w:rsidRPr="0024314E">
        <w:rPr>
          <w:rStyle w:val="Refdenotaalpie"/>
          <w:rFonts w:ascii="Arial" w:hAnsi="Arial" w:cs="Arial"/>
          <w:sz w:val="24"/>
          <w:szCs w:val="24"/>
        </w:rPr>
        <w:footnoteReference w:id="5"/>
      </w:r>
      <w:r w:rsidRPr="0024314E">
        <w:rPr>
          <w:rFonts w:ascii="Arial" w:hAnsi="Arial" w:cs="Arial"/>
          <w:sz w:val="24"/>
          <w:szCs w:val="24"/>
        </w:rPr>
        <w:t xml:space="preserve">, porque los presupuestos fácticos que se estudiaron en esa oportunidad difieren del </w:t>
      </w:r>
      <w:r w:rsidRPr="0024314E">
        <w:rPr>
          <w:rFonts w:ascii="Arial" w:hAnsi="Arial" w:cs="Arial"/>
          <w:i/>
          <w:sz w:val="24"/>
          <w:szCs w:val="24"/>
        </w:rPr>
        <w:t>sub lite</w:t>
      </w:r>
      <w:r w:rsidRPr="0024314E">
        <w:rPr>
          <w:rFonts w:ascii="Arial" w:hAnsi="Arial" w:cs="Arial"/>
          <w:sz w:val="24"/>
          <w:szCs w:val="24"/>
        </w:rPr>
        <w:t>. Que, en todo caso, ese criterio fue rebatido en la sentencia del 9 de abril de 2014</w:t>
      </w:r>
      <w:r w:rsidR="00780863" w:rsidRPr="0024314E">
        <w:rPr>
          <w:rStyle w:val="Refdenotaalpie"/>
          <w:rFonts w:ascii="Arial" w:hAnsi="Arial" w:cs="Arial"/>
          <w:sz w:val="24"/>
          <w:szCs w:val="24"/>
        </w:rPr>
        <w:footnoteReference w:id="6"/>
      </w:r>
      <w:r w:rsidRPr="0024314E">
        <w:rPr>
          <w:rFonts w:ascii="Arial" w:hAnsi="Arial" w:cs="Arial"/>
          <w:sz w:val="24"/>
          <w:szCs w:val="24"/>
        </w:rPr>
        <w:t xml:space="preserve">. </w:t>
      </w:r>
    </w:p>
    <w:p w:rsidR="00E50976" w:rsidRPr="0024314E" w:rsidRDefault="00E50976" w:rsidP="00D63644">
      <w:pPr>
        <w:widowControl w:val="0"/>
        <w:spacing w:after="0" w:line="360" w:lineRule="auto"/>
        <w:jc w:val="both"/>
        <w:rPr>
          <w:rFonts w:ascii="Arial" w:hAnsi="Arial" w:cs="Arial"/>
          <w:sz w:val="24"/>
          <w:szCs w:val="24"/>
        </w:rPr>
      </w:pPr>
    </w:p>
    <w:p w:rsidR="00BB0D3E" w:rsidRPr="0024314E" w:rsidRDefault="00E50976" w:rsidP="00D63644">
      <w:pPr>
        <w:widowControl w:val="0"/>
        <w:spacing w:after="0" w:line="360" w:lineRule="auto"/>
        <w:jc w:val="both"/>
        <w:rPr>
          <w:rFonts w:ascii="Arial" w:hAnsi="Arial" w:cs="Arial"/>
          <w:sz w:val="24"/>
          <w:szCs w:val="24"/>
        </w:rPr>
      </w:pPr>
      <w:r w:rsidRPr="0024314E">
        <w:rPr>
          <w:rFonts w:ascii="Arial" w:hAnsi="Arial" w:cs="Arial"/>
          <w:sz w:val="24"/>
          <w:szCs w:val="24"/>
        </w:rPr>
        <w:lastRenderedPageBreak/>
        <w:t xml:space="preserve">Los </w:t>
      </w:r>
      <w:r w:rsidR="00F40D39" w:rsidRPr="0024314E">
        <w:rPr>
          <w:rFonts w:ascii="Arial" w:hAnsi="Arial" w:cs="Arial"/>
          <w:sz w:val="24"/>
          <w:szCs w:val="24"/>
        </w:rPr>
        <w:t>magistrados del</w:t>
      </w:r>
      <w:r w:rsidR="00BB0D3E" w:rsidRPr="0024314E">
        <w:rPr>
          <w:rFonts w:ascii="Arial" w:hAnsi="Arial" w:cs="Arial"/>
          <w:sz w:val="24"/>
          <w:szCs w:val="24"/>
        </w:rPr>
        <w:t xml:space="preserve"> </w:t>
      </w:r>
      <w:r w:rsidR="00507BDE" w:rsidRPr="0024314E">
        <w:rPr>
          <w:rFonts w:ascii="Arial" w:hAnsi="Arial" w:cs="Arial"/>
          <w:b/>
          <w:sz w:val="24"/>
          <w:szCs w:val="24"/>
        </w:rPr>
        <w:t>Tribunal Administrativo de Cundinamarca, Sección Segunda, Subsección A</w:t>
      </w:r>
      <w:r w:rsidR="00F40D39" w:rsidRPr="0024314E">
        <w:rPr>
          <w:rFonts w:ascii="Arial" w:hAnsi="Arial" w:cs="Arial"/>
          <w:sz w:val="24"/>
          <w:szCs w:val="24"/>
        </w:rPr>
        <w:t>, guardaron silencio, a pesar de que fueron notificados de la tutela</w:t>
      </w:r>
      <w:r w:rsidR="00596224" w:rsidRPr="0024314E">
        <w:rPr>
          <w:rStyle w:val="Refdenotaalpie"/>
          <w:rFonts w:ascii="Arial" w:hAnsi="Arial" w:cs="Arial"/>
          <w:sz w:val="24"/>
          <w:szCs w:val="24"/>
        </w:rPr>
        <w:footnoteReference w:id="7"/>
      </w:r>
      <w:r w:rsidR="00F40D39" w:rsidRPr="0024314E">
        <w:rPr>
          <w:rFonts w:ascii="Arial" w:hAnsi="Arial" w:cs="Arial"/>
          <w:sz w:val="24"/>
          <w:szCs w:val="24"/>
        </w:rPr>
        <w:t xml:space="preserve">. </w:t>
      </w:r>
    </w:p>
    <w:p w:rsidR="00D63644" w:rsidRPr="0024314E" w:rsidRDefault="00D63644" w:rsidP="00D63644">
      <w:pPr>
        <w:widowControl w:val="0"/>
        <w:spacing w:after="0" w:line="360" w:lineRule="auto"/>
        <w:jc w:val="both"/>
        <w:rPr>
          <w:rFonts w:ascii="Arial" w:hAnsi="Arial" w:cs="Arial"/>
          <w:sz w:val="24"/>
          <w:szCs w:val="24"/>
        </w:rPr>
      </w:pPr>
    </w:p>
    <w:p w:rsidR="0085526E" w:rsidRPr="0024314E" w:rsidRDefault="00B10E7C" w:rsidP="00D63644">
      <w:pPr>
        <w:widowControl w:val="0"/>
        <w:numPr>
          <w:ilvl w:val="0"/>
          <w:numId w:val="2"/>
        </w:numPr>
        <w:spacing w:after="0" w:line="360" w:lineRule="auto"/>
        <w:jc w:val="both"/>
        <w:rPr>
          <w:rFonts w:ascii="Arial" w:hAnsi="Arial" w:cs="Arial"/>
          <w:b/>
          <w:sz w:val="24"/>
          <w:szCs w:val="24"/>
          <w:lang w:val="es-ES_tradnl"/>
        </w:rPr>
      </w:pPr>
      <w:r w:rsidRPr="0024314E">
        <w:rPr>
          <w:rFonts w:ascii="Arial" w:hAnsi="Arial" w:cs="Arial"/>
          <w:b/>
          <w:sz w:val="24"/>
          <w:szCs w:val="24"/>
          <w:lang w:val="es-ES_tradnl"/>
        </w:rPr>
        <w:t>Intervención de t</w:t>
      </w:r>
      <w:r w:rsidR="0085526E" w:rsidRPr="0024314E">
        <w:rPr>
          <w:rFonts w:ascii="Arial" w:hAnsi="Arial" w:cs="Arial"/>
          <w:b/>
          <w:sz w:val="24"/>
          <w:szCs w:val="24"/>
          <w:lang w:val="es-ES_tradnl"/>
        </w:rPr>
        <w:t>erceros</w:t>
      </w:r>
    </w:p>
    <w:p w:rsidR="0085526E" w:rsidRPr="0024314E" w:rsidRDefault="0085526E" w:rsidP="00D63644">
      <w:pPr>
        <w:widowControl w:val="0"/>
        <w:spacing w:after="0" w:line="360" w:lineRule="auto"/>
        <w:jc w:val="both"/>
        <w:rPr>
          <w:rFonts w:ascii="Arial" w:hAnsi="Arial" w:cs="Arial"/>
          <w:sz w:val="24"/>
          <w:szCs w:val="24"/>
        </w:rPr>
      </w:pPr>
    </w:p>
    <w:p w:rsidR="00A53F57" w:rsidRPr="0024314E" w:rsidRDefault="00E50976" w:rsidP="00D63644">
      <w:pPr>
        <w:widowControl w:val="0"/>
        <w:spacing w:after="0" w:line="360" w:lineRule="auto"/>
        <w:jc w:val="both"/>
        <w:rPr>
          <w:rFonts w:ascii="Arial" w:hAnsi="Arial" w:cs="Arial"/>
          <w:sz w:val="24"/>
          <w:szCs w:val="24"/>
        </w:rPr>
      </w:pPr>
      <w:r w:rsidRPr="0024314E">
        <w:rPr>
          <w:rFonts w:ascii="Arial" w:hAnsi="Arial" w:cs="Arial"/>
          <w:sz w:val="24"/>
          <w:szCs w:val="24"/>
        </w:rPr>
        <w:t xml:space="preserve">El </w:t>
      </w:r>
      <w:r w:rsidRPr="0024314E">
        <w:rPr>
          <w:rFonts w:ascii="Arial" w:hAnsi="Arial" w:cs="Arial"/>
          <w:b/>
          <w:sz w:val="24"/>
          <w:szCs w:val="24"/>
        </w:rPr>
        <w:t>Sena</w:t>
      </w:r>
      <w:r w:rsidRPr="0024314E">
        <w:rPr>
          <w:rFonts w:ascii="Arial" w:hAnsi="Arial" w:cs="Arial"/>
          <w:sz w:val="24"/>
          <w:szCs w:val="24"/>
        </w:rPr>
        <w:t xml:space="preserve"> (</w:t>
      </w:r>
      <w:r w:rsidR="00780863" w:rsidRPr="0024314E">
        <w:rPr>
          <w:rFonts w:ascii="Arial" w:hAnsi="Arial" w:cs="Arial"/>
          <w:sz w:val="24"/>
          <w:szCs w:val="24"/>
        </w:rPr>
        <w:t>demandado</w:t>
      </w:r>
      <w:r w:rsidRPr="0024314E">
        <w:rPr>
          <w:rFonts w:ascii="Arial" w:hAnsi="Arial" w:cs="Arial"/>
          <w:sz w:val="24"/>
          <w:szCs w:val="24"/>
        </w:rPr>
        <w:t xml:space="preserve"> en el proceso </w:t>
      </w:r>
      <w:r w:rsidR="00780863" w:rsidRPr="0024314E">
        <w:rPr>
          <w:rFonts w:ascii="Arial" w:hAnsi="Arial" w:cs="Arial"/>
          <w:sz w:val="24"/>
          <w:szCs w:val="24"/>
        </w:rPr>
        <w:t>ordinario</w:t>
      </w:r>
      <w:r w:rsidRPr="0024314E">
        <w:rPr>
          <w:rFonts w:ascii="Arial" w:hAnsi="Arial" w:cs="Arial"/>
          <w:sz w:val="24"/>
          <w:szCs w:val="24"/>
        </w:rPr>
        <w:t>) guardó silencio, a pesar de que fue notificado de la tutela</w:t>
      </w:r>
      <w:r w:rsidRPr="0024314E">
        <w:rPr>
          <w:rStyle w:val="Refdenotaalpie"/>
          <w:rFonts w:ascii="Arial" w:hAnsi="Arial" w:cs="Arial"/>
          <w:sz w:val="24"/>
          <w:szCs w:val="24"/>
        </w:rPr>
        <w:footnoteReference w:id="8"/>
      </w:r>
      <w:r w:rsidR="00780863" w:rsidRPr="0024314E">
        <w:rPr>
          <w:rFonts w:ascii="Arial" w:hAnsi="Arial" w:cs="Arial"/>
          <w:sz w:val="24"/>
          <w:szCs w:val="24"/>
        </w:rPr>
        <w:t xml:space="preserve">. </w:t>
      </w:r>
    </w:p>
    <w:p w:rsidR="00E40DA3" w:rsidRPr="0024314E" w:rsidRDefault="00E40DA3" w:rsidP="00D63644">
      <w:pPr>
        <w:widowControl w:val="0"/>
        <w:spacing w:after="0" w:line="360" w:lineRule="auto"/>
        <w:jc w:val="both"/>
        <w:rPr>
          <w:rFonts w:ascii="Arial" w:hAnsi="Arial" w:cs="Arial"/>
          <w:sz w:val="24"/>
          <w:szCs w:val="24"/>
        </w:rPr>
      </w:pPr>
    </w:p>
    <w:p w:rsidR="009F7FC6" w:rsidRPr="0024314E" w:rsidRDefault="009F7FC6" w:rsidP="00D63644">
      <w:pPr>
        <w:pStyle w:val="BodyText31"/>
        <w:widowControl w:val="0"/>
        <w:numPr>
          <w:ilvl w:val="0"/>
          <w:numId w:val="2"/>
        </w:numPr>
        <w:overflowPunct/>
        <w:autoSpaceDE/>
        <w:autoSpaceDN/>
        <w:adjustRightInd/>
        <w:textAlignment w:val="auto"/>
        <w:rPr>
          <w:b/>
          <w:bCs/>
          <w:sz w:val="24"/>
          <w:szCs w:val="24"/>
        </w:rPr>
      </w:pPr>
      <w:r w:rsidRPr="0024314E">
        <w:rPr>
          <w:b/>
          <w:bCs/>
          <w:sz w:val="24"/>
          <w:szCs w:val="24"/>
        </w:rPr>
        <w:t>Sentencia impugnada</w:t>
      </w:r>
    </w:p>
    <w:p w:rsidR="009F7FC6" w:rsidRPr="0024314E" w:rsidRDefault="009F7FC6" w:rsidP="00D63644">
      <w:pPr>
        <w:pStyle w:val="BodyText31"/>
        <w:widowControl w:val="0"/>
        <w:overflowPunct/>
        <w:autoSpaceDE/>
        <w:autoSpaceDN/>
        <w:adjustRightInd/>
        <w:textAlignment w:val="auto"/>
        <w:rPr>
          <w:b/>
          <w:bCs/>
          <w:sz w:val="24"/>
          <w:szCs w:val="24"/>
        </w:rPr>
      </w:pPr>
    </w:p>
    <w:p w:rsidR="00780863" w:rsidRPr="0024314E" w:rsidRDefault="00F46A60" w:rsidP="00D63644">
      <w:pPr>
        <w:widowControl w:val="0"/>
        <w:spacing w:after="0" w:line="360" w:lineRule="auto"/>
        <w:jc w:val="both"/>
        <w:rPr>
          <w:rFonts w:ascii="Arial" w:hAnsi="Arial" w:cs="Arial"/>
          <w:sz w:val="24"/>
          <w:szCs w:val="24"/>
        </w:rPr>
      </w:pPr>
      <w:r w:rsidRPr="0024314E">
        <w:rPr>
          <w:rFonts w:ascii="Arial" w:hAnsi="Arial" w:cs="Arial"/>
          <w:sz w:val="24"/>
          <w:szCs w:val="24"/>
        </w:rPr>
        <w:t xml:space="preserve">El </w:t>
      </w:r>
      <w:r w:rsidR="0079555C" w:rsidRPr="0024314E">
        <w:rPr>
          <w:rFonts w:ascii="Arial" w:hAnsi="Arial" w:cs="Arial"/>
          <w:sz w:val="24"/>
          <w:szCs w:val="24"/>
        </w:rPr>
        <w:t>Consejo de Estado, Sección Segunda, Subsección A</w:t>
      </w:r>
      <w:r w:rsidR="009F7FC6" w:rsidRPr="0024314E">
        <w:rPr>
          <w:rFonts w:ascii="Arial" w:hAnsi="Arial" w:cs="Arial"/>
          <w:sz w:val="24"/>
          <w:szCs w:val="24"/>
        </w:rPr>
        <w:t xml:space="preserve">, mediante </w:t>
      </w:r>
      <w:r w:rsidR="008963D1" w:rsidRPr="0024314E">
        <w:rPr>
          <w:rFonts w:ascii="Arial" w:hAnsi="Arial" w:cs="Arial"/>
          <w:sz w:val="24"/>
          <w:szCs w:val="24"/>
        </w:rPr>
        <w:t xml:space="preserve">sentencia del </w:t>
      </w:r>
      <w:r w:rsidR="0079555C" w:rsidRPr="0024314E">
        <w:rPr>
          <w:rFonts w:ascii="Arial" w:hAnsi="Arial" w:cs="Arial"/>
          <w:sz w:val="24"/>
          <w:szCs w:val="24"/>
        </w:rPr>
        <w:t>16 de enero de 2017</w:t>
      </w:r>
      <w:r w:rsidR="009F7FC6" w:rsidRPr="0024314E">
        <w:rPr>
          <w:rFonts w:ascii="Arial" w:hAnsi="Arial" w:cs="Arial"/>
          <w:sz w:val="24"/>
          <w:szCs w:val="24"/>
        </w:rPr>
        <w:t xml:space="preserve">, </w:t>
      </w:r>
      <w:r w:rsidR="00FC5805" w:rsidRPr="0024314E">
        <w:rPr>
          <w:rFonts w:ascii="Arial" w:hAnsi="Arial" w:cs="Arial"/>
          <w:sz w:val="24"/>
          <w:szCs w:val="24"/>
        </w:rPr>
        <w:t>deneg</w:t>
      </w:r>
      <w:r w:rsidR="00147477" w:rsidRPr="0024314E">
        <w:rPr>
          <w:rFonts w:ascii="Arial" w:hAnsi="Arial" w:cs="Arial"/>
          <w:sz w:val="24"/>
          <w:szCs w:val="24"/>
        </w:rPr>
        <w:t>ó las pretensiones de la tutela,</w:t>
      </w:r>
      <w:r w:rsidR="00FC5805" w:rsidRPr="0024314E">
        <w:rPr>
          <w:rFonts w:ascii="Arial" w:hAnsi="Arial" w:cs="Arial"/>
          <w:sz w:val="24"/>
          <w:szCs w:val="24"/>
        </w:rPr>
        <w:t xml:space="preserve"> </w:t>
      </w:r>
      <w:r w:rsidR="00A927C0" w:rsidRPr="0024314E">
        <w:rPr>
          <w:rFonts w:ascii="Arial" w:hAnsi="Arial" w:cs="Arial"/>
          <w:sz w:val="24"/>
          <w:szCs w:val="24"/>
        </w:rPr>
        <w:t xml:space="preserve">al estimar que la </w:t>
      </w:r>
      <w:r w:rsidR="008537AF" w:rsidRPr="0024314E">
        <w:rPr>
          <w:rFonts w:ascii="Arial" w:hAnsi="Arial" w:cs="Arial"/>
          <w:sz w:val="24"/>
          <w:szCs w:val="24"/>
        </w:rPr>
        <w:t xml:space="preserve">sentencia del </w:t>
      </w:r>
      <w:r w:rsidR="008537AF" w:rsidRPr="0024314E">
        <w:rPr>
          <w:rFonts w:ascii="Arial" w:hAnsi="Arial" w:cs="Arial"/>
          <w:sz w:val="24"/>
          <w:szCs w:val="24"/>
          <w:lang w:val="es-ES_tradnl"/>
        </w:rPr>
        <w:t xml:space="preserve">5 de mayo de 2016 </w:t>
      </w:r>
      <w:r w:rsidR="00A927C0" w:rsidRPr="0024314E">
        <w:rPr>
          <w:rFonts w:ascii="Arial" w:hAnsi="Arial" w:cs="Arial"/>
          <w:sz w:val="24"/>
          <w:szCs w:val="24"/>
        </w:rPr>
        <w:t>no desconoció el precedente del Consejo de Estado</w:t>
      </w:r>
      <w:r w:rsidR="00780863" w:rsidRPr="0024314E">
        <w:rPr>
          <w:rFonts w:ascii="Arial" w:hAnsi="Arial" w:cs="Arial"/>
          <w:sz w:val="24"/>
          <w:szCs w:val="24"/>
        </w:rPr>
        <w:t xml:space="preserve">. </w:t>
      </w:r>
    </w:p>
    <w:p w:rsidR="00780863" w:rsidRPr="0024314E" w:rsidRDefault="00780863" w:rsidP="00D63644">
      <w:pPr>
        <w:widowControl w:val="0"/>
        <w:spacing w:after="0" w:line="360" w:lineRule="auto"/>
        <w:jc w:val="both"/>
        <w:rPr>
          <w:rFonts w:ascii="Arial" w:hAnsi="Arial" w:cs="Arial"/>
          <w:sz w:val="24"/>
          <w:szCs w:val="24"/>
        </w:rPr>
      </w:pPr>
    </w:p>
    <w:p w:rsidR="00147477" w:rsidRPr="0024314E" w:rsidRDefault="00780863" w:rsidP="00D63644">
      <w:pPr>
        <w:widowControl w:val="0"/>
        <w:spacing w:after="0" w:line="360" w:lineRule="auto"/>
        <w:jc w:val="both"/>
        <w:rPr>
          <w:rFonts w:ascii="Arial" w:hAnsi="Arial" w:cs="Arial"/>
          <w:sz w:val="24"/>
          <w:szCs w:val="24"/>
        </w:rPr>
      </w:pPr>
      <w:r w:rsidRPr="0024314E">
        <w:rPr>
          <w:rFonts w:ascii="Arial" w:hAnsi="Arial" w:cs="Arial"/>
          <w:sz w:val="24"/>
          <w:szCs w:val="24"/>
        </w:rPr>
        <w:t>Señaló que</w:t>
      </w:r>
      <w:r w:rsidR="008537AF" w:rsidRPr="0024314E">
        <w:rPr>
          <w:rFonts w:ascii="Arial" w:hAnsi="Arial" w:cs="Arial"/>
          <w:sz w:val="24"/>
          <w:szCs w:val="24"/>
        </w:rPr>
        <w:t xml:space="preserve"> la providencia cuestionada </w:t>
      </w:r>
      <w:r w:rsidR="00A927C0" w:rsidRPr="0024314E">
        <w:rPr>
          <w:rFonts w:ascii="Arial" w:hAnsi="Arial" w:cs="Arial"/>
          <w:sz w:val="24"/>
          <w:szCs w:val="24"/>
        </w:rPr>
        <w:t>se fundamentó en numerosos pronunciamientos relacionados con el contrato realidad, que, aunque no unificaron criterio, pondera</w:t>
      </w:r>
      <w:r w:rsidRPr="0024314E">
        <w:rPr>
          <w:rFonts w:ascii="Arial" w:hAnsi="Arial" w:cs="Arial"/>
          <w:sz w:val="24"/>
          <w:szCs w:val="24"/>
        </w:rPr>
        <w:t>ron</w:t>
      </w:r>
      <w:r w:rsidR="00A927C0" w:rsidRPr="0024314E">
        <w:rPr>
          <w:rFonts w:ascii="Arial" w:hAnsi="Arial" w:cs="Arial"/>
          <w:sz w:val="24"/>
          <w:szCs w:val="24"/>
        </w:rPr>
        <w:t xml:space="preserve"> </w:t>
      </w:r>
      <w:r w:rsidR="0012600B" w:rsidRPr="0024314E">
        <w:rPr>
          <w:rFonts w:ascii="Arial" w:hAnsi="Arial" w:cs="Arial"/>
          <w:sz w:val="24"/>
          <w:szCs w:val="24"/>
        </w:rPr>
        <w:t>los derechos del trabajador con</w:t>
      </w:r>
      <w:r w:rsidR="00A927C0" w:rsidRPr="0024314E">
        <w:rPr>
          <w:rFonts w:ascii="Arial" w:hAnsi="Arial" w:cs="Arial"/>
          <w:sz w:val="24"/>
          <w:szCs w:val="24"/>
        </w:rPr>
        <w:t xml:space="preserve"> </w:t>
      </w:r>
      <w:r w:rsidR="00A927C0" w:rsidRPr="0024314E">
        <w:rPr>
          <w:rFonts w:ascii="Arial" w:hAnsi="Arial" w:cs="Arial"/>
          <w:i/>
          <w:sz w:val="24"/>
          <w:szCs w:val="24"/>
        </w:rPr>
        <w:t>«los términos razonables y proporcionados en que se debe presentar la reclamación ante la entidad</w:t>
      </w:r>
      <w:r w:rsidR="0012600B" w:rsidRPr="0024314E">
        <w:rPr>
          <w:rFonts w:ascii="Arial" w:hAnsi="Arial" w:cs="Arial"/>
          <w:i/>
          <w:sz w:val="24"/>
          <w:szCs w:val="24"/>
        </w:rPr>
        <w:t>»</w:t>
      </w:r>
      <w:r w:rsidR="00A927C0" w:rsidRPr="0024314E">
        <w:rPr>
          <w:rFonts w:ascii="Arial" w:hAnsi="Arial" w:cs="Arial"/>
          <w:sz w:val="24"/>
          <w:szCs w:val="24"/>
        </w:rPr>
        <w:t xml:space="preserve">. </w:t>
      </w:r>
    </w:p>
    <w:p w:rsidR="00A927C0" w:rsidRPr="0024314E" w:rsidRDefault="00A927C0" w:rsidP="00D63644">
      <w:pPr>
        <w:widowControl w:val="0"/>
        <w:spacing w:after="0" w:line="360" w:lineRule="auto"/>
        <w:jc w:val="both"/>
        <w:rPr>
          <w:rFonts w:ascii="Arial" w:hAnsi="Arial" w:cs="Arial"/>
          <w:sz w:val="24"/>
          <w:szCs w:val="24"/>
        </w:rPr>
      </w:pPr>
    </w:p>
    <w:p w:rsidR="00A927C0" w:rsidRPr="0024314E" w:rsidRDefault="0012600B" w:rsidP="00D63644">
      <w:pPr>
        <w:widowControl w:val="0"/>
        <w:spacing w:after="0" w:line="360" w:lineRule="auto"/>
        <w:jc w:val="both"/>
        <w:rPr>
          <w:rFonts w:ascii="Arial" w:hAnsi="Arial" w:cs="Arial"/>
          <w:sz w:val="24"/>
          <w:szCs w:val="24"/>
        </w:rPr>
      </w:pPr>
      <w:r w:rsidRPr="0024314E">
        <w:rPr>
          <w:rFonts w:ascii="Arial" w:hAnsi="Arial" w:cs="Arial"/>
          <w:sz w:val="24"/>
          <w:szCs w:val="24"/>
        </w:rPr>
        <w:t xml:space="preserve">Que </w:t>
      </w:r>
      <w:r w:rsidR="00CA7A2A" w:rsidRPr="0024314E">
        <w:rPr>
          <w:rFonts w:ascii="Arial" w:hAnsi="Arial" w:cs="Arial"/>
          <w:sz w:val="24"/>
          <w:szCs w:val="24"/>
        </w:rPr>
        <w:t xml:space="preserve">la Sección Segunda del Consejo de Estado unificó </w:t>
      </w:r>
      <w:r w:rsidRPr="0024314E">
        <w:rPr>
          <w:rFonts w:ascii="Arial" w:hAnsi="Arial" w:cs="Arial"/>
          <w:sz w:val="24"/>
          <w:szCs w:val="24"/>
        </w:rPr>
        <w:t>el criterio sobre la materia</w:t>
      </w:r>
      <w:r w:rsidR="00CA7A2A" w:rsidRPr="0024314E">
        <w:rPr>
          <w:rFonts w:ascii="Arial" w:hAnsi="Arial" w:cs="Arial"/>
          <w:sz w:val="24"/>
          <w:szCs w:val="24"/>
        </w:rPr>
        <w:t xml:space="preserve"> a través de </w:t>
      </w:r>
      <w:r w:rsidRPr="0024314E">
        <w:rPr>
          <w:rFonts w:ascii="Arial" w:hAnsi="Arial" w:cs="Arial"/>
          <w:sz w:val="24"/>
          <w:szCs w:val="24"/>
        </w:rPr>
        <w:t>la sentencia del 25 de agosto de 2016</w:t>
      </w:r>
      <w:r w:rsidRPr="0024314E">
        <w:rPr>
          <w:rStyle w:val="Refdenotaalpie"/>
          <w:rFonts w:ascii="Arial" w:hAnsi="Arial" w:cs="Arial"/>
          <w:sz w:val="24"/>
          <w:szCs w:val="24"/>
        </w:rPr>
        <w:footnoteReference w:id="9"/>
      </w:r>
      <w:r w:rsidR="00CA7A2A" w:rsidRPr="0024314E">
        <w:rPr>
          <w:rFonts w:ascii="Arial" w:hAnsi="Arial" w:cs="Arial"/>
          <w:sz w:val="24"/>
          <w:szCs w:val="24"/>
        </w:rPr>
        <w:t>. Que</w:t>
      </w:r>
      <w:r w:rsidR="00535E98" w:rsidRPr="0024314E">
        <w:rPr>
          <w:rFonts w:ascii="Arial" w:hAnsi="Arial" w:cs="Arial"/>
          <w:sz w:val="24"/>
          <w:szCs w:val="24"/>
        </w:rPr>
        <w:t>, aunque</w:t>
      </w:r>
      <w:r w:rsidR="004817A0" w:rsidRPr="0024314E">
        <w:rPr>
          <w:rFonts w:ascii="Arial" w:hAnsi="Arial" w:cs="Arial"/>
          <w:sz w:val="24"/>
          <w:szCs w:val="24"/>
        </w:rPr>
        <w:t xml:space="preserve"> la providencia del 5 de mayo de 2016</w:t>
      </w:r>
      <w:r w:rsidR="00CA7A2A" w:rsidRPr="0024314E">
        <w:rPr>
          <w:rFonts w:ascii="Arial" w:hAnsi="Arial" w:cs="Arial"/>
          <w:sz w:val="24"/>
          <w:szCs w:val="24"/>
        </w:rPr>
        <w:t xml:space="preserve"> </w:t>
      </w:r>
      <w:r w:rsidR="00535E98" w:rsidRPr="0024314E">
        <w:rPr>
          <w:rFonts w:ascii="Arial" w:hAnsi="Arial" w:cs="Arial"/>
          <w:sz w:val="24"/>
          <w:szCs w:val="24"/>
        </w:rPr>
        <w:t xml:space="preserve">es anterior, lo cierto es que es concordante con lo resuelto en </w:t>
      </w:r>
      <w:r w:rsidR="00CA7A2A" w:rsidRPr="0024314E">
        <w:rPr>
          <w:rFonts w:ascii="Arial" w:hAnsi="Arial" w:cs="Arial"/>
          <w:sz w:val="24"/>
          <w:szCs w:val="24"/>
        </w:rPr>
        <w:t>ese fallo de unificación,</w:t>
      </w:r>
      <w:r w:rsidR="004817A0" w:rsidRPr="0024314E">
        <w:rPr>
          <w:rFonts w:ascii="Arial" w:hAnsi="Arial" w:cs="Arial"/>
          <w:sz w:val="24"/>
          <w:szCs w:val="24"/>
        </w:rPr>
        <w:t xml:space="preserve"> </w:t>
      </w:r>
      <w:r w:rsidR="00535E98" w:rsidRPr="0024314E">
        <w:rPr>
          <w:rFonts w:ascii="Arial" w:hAnsi="Arial" w:cs="Arial"/>
          <w:sz w:val="24"/>
          <w:szCs w:val="24"/>
        </w:rPr>
        <w:t>en cuanto</w:t>
      </w:r>
      <w:r w:rsidR="00CA7A2A" w:rsidRPr="0024314E">
        <w:rPr>
          <w:rFonts w:ascii="Arial" w:hAnsi="Arial" w:cs="Arial"/>
          <w:sz w:val="24"/>
          <w:szCs w:val="24"/>
        </w:rPr>
        <w:t xml:space="preserve"> declaró </w:t>
      </w:r>
      <w:r w:rsidR="004817A0" w:rsidRPr="0024314E">
        <w:rPr>
          <w:rFonts w:ascii="Arial" w:hAnsi="Arial" w:cs="Arial"/>
          <w:sz w:val="24"/>
          <w:szCs w:val="24"/>
        </w:rPr>
        <w:t xml:space="preserve">la prescripción únicamente respecto de las prestaciones </w:t>
      </w:r>
      <w:r w:rsidR="00CA7A2A" w:rsidRPr="0024314E">
        <w:rPr>
          <w:rFonts w:ascii="Arial" w:hAnsi="Arial" w:cs="Arial"/>
          <w:sz w:val="24"/>
          <w:szCs w:val="24"/>
        </w:rPr>
        <w:t xml:space="preserve">sociales </w:t>
      </w:r>
      <w:r w:rsidR="004817A0" w:rsidRPr="0024314E">
        <w:rPr>
          <w:rFonts w:ascii="Arial" w:hAnsi="Arial" w:cs="Arial"/>
          <w:sz w:val="24"/>
          <w:szCs w:val="24"/>
        </w:rPr>
        <w:t xml:space="preserve">causadas por la relación laboral, </w:t>
      </w:r>
      <w:r w:rsidR="00CA7A2A" w:rsidRPr="0024314E">
        <w:rPr>
          <w:rFonts w:ascii="Arial" w:hAnsi="Arial" w:cs="Arial"/>
          <w:sz w:val="24"/>
          <w:szCs w:val="24"/>
        </w:rPr>
        <w:t xml:space="preserve">mas no </w:t>
      </w:r>
      <w:r w:rsidR="004817A0" w:rsidRPr="0024314E">
        <w:rPr>
          <w:rFonts w:ascii="Arial" w:hAnsi="Arial" w:cs="Arial"/>
          <w:sz w:val="24"/>
          <w:szCs w:val="24"/>
        </w:rPr>
        <w:t xml:space="preserve">respecto de los aportes a la seguridad social que se efectuaron durante toda la ejecución contractual. </w:t>
      </w:r>
    </w:p>
    <w:p w:rsidR="00AB6A5B" w:rsidRPr="0024314E" w:rsidRDefault="00AB6A5B" w:rsidP="00D63644">
      <w:pPr>
        <w:widowControl w:val="0"/>
        <w:spacing w:after="0" w:line="360" w:lineRule="auto"/>
        <w:jc w:val="both"/>
        <w:rPr>
          <w:rFonts w:ascii="Arial" w:hAnsi="Arial" w:cs="Arial"/>
          <w:sz w:val="24"/>
          <w:szCs w:val="24"/>
        </w:rPr>
      </w:pPr>
    </w:p>
    <w:p w:rsidR="009F7FC6" w:rsidRPr="0024314E" w:rsidRDefault="009F7FC6" w:rsidP="00D63644">
      <w:pPr>
        <w:pStyle w:val="Textoindependiente"/>
        <w:widowControl w:val="0"/>
        <w:numPr>
          <w:ilvl w:val="0"/>
          <w:numId w:val="2"/>
        </w:numPr>
        <w:rPr>
          <w:b/>
          <w:bCs/>
          <w:sz w:val="24"/>
          <w:lang w:val="es-CO"/>
        </w:rPr>
      </w:pPr>
      <w:r w:rsidRPr="0024314E">
        <w:rPr>
          <w:b/>
          <w:bCs/>
          <w:sz w:val="24"/>
          <w:lang w:val="es-CO"/>
        </w:rPr>
        <w:t>Impugnaci</w:t>
      </w:r>
      <w:r w:rsidR="000B1459" w:rsidRPr="0024314E">
        <w:rPr>
          <w:b/>
          <w:bCs/>
          <w:sz w:val="24"/>
          <w:lang w:val="es-CO"/>
        </w:rPr>
        <w:t>ón</w:t>
      </w:r>
    </w:p>
    <w:p w:rsidR="001E4C54" w:rsidRPr="0024314E" w:rsidRDefault="001E4C54" w:rsidP="00D63644">
      <w:pPr>
        <w:pStyle w:val="Textoindependiente"/>
        <w:widowControl w:val="0"/>
        <w:rPr>
          <w:bCs/>
          <w:sz w:val="24"/>
          <w:lang w:val="es-CO"/>
        </w:rPr>
      </w:pPr>
    </w:p>
    <w:p w:rsidR="00492AD4" w:rsidRPr="0024314E" w:rsidRDefault="00535E98" w:rsidP="00D63644">
      <w:pPr>
        <w:pStyle w:val="Textoindependiente"/>
        <w:widowControl w:val="0"/>
        <w:rPr>
          <w:sz w:val="24"/>
        </w:rPr>
      </w:pPr>
      <w:r w:rsidRPr="0024314E">
        <w:rPr>
          <w:bCs/>
          <w:sz w:val="24"/>
          <w:lang w:val="es-CO"/>
        </w:rPr>
        <w:t xml:space="preserve">La señora </w:t>
      </w:r>
      <w:r w:rsidR="00507BDE" w:rsidRPr="0024314E">
        <w:rPr>
          <w:bCs/>
          <w:sz w:val="24"/>
          <w:lang w:val="es-CO"/>
        </w:rPr>
        <w:t>Elsa Samira Montañez Vargas</w:t>
      </w:r>
      <w:r w:rsidR="00A66B1E" w:rsidRPr="0024314E">
        <w:rPr>
          <w:bCs/>
          <w:sz w:val="24"/>
          <w:lang w:val="es-CO"/>
        </w:rPr>
        <w:t xml:space="preserve"> </w:t>
      </w:r>
      <w:r w:rsidR="00C51CFF" w:rsidRPr="0024314E">
        <w:rPr>
          <w:bCs/>
          <w:sz w:val="24"/>
          <w:lang w:val="es-CO"/>
        </w:rPr>
        <w:t xml:space="preserve">impugnó la sentencia de primera instancia. </w:t>
      </w:r>
      <w:r w:rsidR="00B134A0" w:rsidRPr="0024314E">
        <w:rPr>
          <w:bCs/>
          <w:sz w:val="24"/>
          <w:lang w:val="es-CO"/>
        </w:rPr>
        <w:t xml:space="preserve">Sostuvo que </w:t>
      </w:r>
      <w:r w:rsidR="00CA7A2A" w:rsidRPr="0024314E">
        <w:rPr>
          <w:bCs/>
          <w:sz w:val="24"/>
          <w:lang w:val="es-CO"/>
        </w:rPr>
        <w:t>el fallo de unificación d</w:t>
      </w:r>
      <w:r w:rsidR="00B134A0" w:rsidRPr="0024314E">
        <w:rPr>
          <w:sz w:val="24"/>
        </w:rPr>
        <w:t xml:space="preserve">el 25 de agosto de 2016, al señalar que la prescripción debe analizarse a partir de las fechas de finalización de los contratos de prestación de servicios, sustenta la tesis expuesta en la </w:t>
      </w:r>
      <w:r w:rsidR="00066111" w:rsidRPr="0024314E">
        <w:rPr>
          <w:sz w:val="24"/>
        </w:rPr>
        <w:t>tutela</w:t>
      </w:r>
      <w:r w:rsidR="00492AD4" w:rsidRPr="0024314E">
        <w:rPr>
          <w:sz w:val="24"/>
        </w:rPr>
        <w:t xml:space="preserve">. </w:t>
      </w:r>
    </w:p>
    <w:p w:rsidR="00492AD4" w:rsidRPr="0024314E" w:rsidRDefault="00492AD4" w:rsidP="00D63644">
      <w:pPr>
        <w:pStyle w:val="Textoindependiente"/>
        <w:widowControl w:val="0"/>
        <w:rPr>
          <w:sz w:val="24"/>
        </w:rPr>
      </w:pPr>
    </w:p>
    <w:p w:rsidR="00E40DA3" w:rsidRPr="0024314E" w:rsidRDefault="00492AD4" w:rsidP="00D63644">
      <w:pPr>
        <w:pStyle w:val="Textoindependiente"/>
        <w:widowControl w:val="0"/>
        <w:rPr>
          <w:sz w:val="24"/>
        </w:rPr>
      </w:pPr>
      <w:r w:rsidRPr="0024314E">
        <w:rPr>
          <w:sz w:val="24"/>
        </w:rPr>
        <w:t xml:space="preserve">Al respecto, insistió en que </w:t>
      </w:r>
      <w:r w:rsidR="00B134A0" w:rsidRPr="0024314E">
        <w:rPr>
          <w:sz w:val="24"/>
        </w:rPr>
        <w:t xml:space="preserve">la demandante prestó los servicios al Sena por más de 15 años, </w:t>
      </w:r>
      <w:r w:rsidRPr="0024314E">
        <w:rPr>
          <w:sz w:val="24"/>
        </w:rPr>
        <w:t xml:space="preserve">durante los que ejerció funciones de instructora, no labores administrativas, por lo que </w:t>
      </w:r>
      <w:r w:rsidR="00B134A0" w:rsidRPr="0024314E">
        <w:rPr>
          <w:sz w:val="24"/>
        </w:rPr>
        <w:t>si bien entre un contrato y otro había interrupciones</w:t>
      </w:r>
      <w:r w:rsidRPr="0024314E">
        <w:rPr>
          <w:sz w:val="24"/>
        </w:rPr>
        <w:t xml:space="preserve"> (que</w:t>
      </w:r>
      <w:r w:rsidR="00B134A0" w:rsidRPr="0024314E">
        <w:rPr>
          <w:sz w:val="24"/>
        </w:rPr>
        <w:t xml:space="preserve"> no eran superiores a 30 días</w:t>
      </w:r>
      <w:r w:rsidRPr="0024314E">
        <w:rPr>
          <w:sz w:val="24"/>
        </w:rPr>
        <w:t>)</w:t>
      </w:r>
      <w:r w:rsidR="00B134A0" w:rsidRPr="0024314E">
        <w:rPr>
          <w:sz w:val="24"/>
        </w:rPr>
        <w:t xml:space="preserve">, </w:t>
      </w:r>
      <w:r w:rsidRPr="0024314E">
        <w:rPr>
          <w:sz w:val="24"/>
        </w:rPr>
        <w:t xml:space="preserve">éstas no desvirtúan la </w:t>
      </w:r>
      <w:r w:rsidR="00B134A0" w:rsidRPr="0024314E">
        <w:rPr>
          <w:sz w:val="24"/>
        </w:rPr>
        <w:t xml:space="preserve">vocación de permanencia </w:t>
      </w:r>
      <w:r w:rsidRPr="0024314E">
        <w:rPr>
          <w:sz w:val="24"/>
        </w:rPr>
        <w:t>del vínculo. Que</w:t>
      </w:r>
      <w:r w:rsidR="0075029A" w:rsidRPr="0024314E">
        <w:rPr>
          <w:sz w:val="24"/>
        </w:rPr>
        <w:t>, por ende, la prescripción debía contabilizarse desde la terminación del último contrato</w:t>
      </w:r>
      <w:r w:rsidRPr="0024314E">
        <w:rPr>
          <w:sz w:val="24"/>
        </w:rPr>
        <w:t xml:space="preserve"> (31 de diciembre de 2012)</w:t>
      </w:r>
      <w:r w:rsidR="00B134A0" w:rsidRPr="0024314E">
        <w:rPr>
          <w:sz w:val="24"/>
        </w:rPr>
        <w:t xml:space="preserve">. </w:t>
      </w:r>
    </w:p>
    <w:p w:rsidR="00E40DA3" w:rsidRPr="0024314E" w:rsidRDefault="00E40DA3" w:rsidP="00D63644">
      <w:pPr>
        <w:pStyle w:val="Textoindependiente"/>
        <w:widowControl w:val="0"/>
        <w:rPr>
          <w:bCs/>
          <w:sz w:val="24"/>
          <w:lang w:val="es-CO"/>
        </w:rPr>
      </w:pPr>
    </w:p>
    <w:p w:rsidR="009F7FC6" w:rsidRPr="0024314E" w:rsidRDefault="005E6422" w:rsidP="00D63644">
      <w:pPr>
        <w:pStyle w:val="Sangradetextonormal"/>
        <w:widowControl w:val="0"/>
        <w:jc w:val="center"/>
        <w:rPr>
          <w:sz w:val="24"/>
          <w:szCs w:val="24"/>
        </w:rPr>
      </w:pPr>
      <w:r w:rsidRPr="0024314E">
        <w:rPr>
          <w:sz w:val="24"/>
          <w:szCs w:val="24"/>
        </w:rPr>
        <w:t xml:space="preserve">II. </w:t>
      </w:r>
      <w:r w:rsidR="009F7FC6" w:rsidRPr="0024314E">
        <w:rPr>
          <w:sz w:val="24"/>
          <w:szCs w:val="24"/>
        </w:rPr>
        <w:t xml:space="preserve">CONSIDERACIONES </w:t>
      </w:r>
    </w:p>
    <w:p w:rsidR="00C85551" w:rsidRPr="0024314E" w:rsidRDefault="00C85551" w:rsidP="00D63644">
      <w:pPr>
        <w:pStyle w:val="Sangradetextonormal"/>
        <w:widowControl w:val="0"/>
        <w:rPr>
          <w:sz w:val="24"/>
          <w:szCs w:val="24"/>
        </w:rPr>
      </w:pPr>
    </w:p>
    <w:p w:rsidR="00A91D2D" w:rsidRPr="0024314E" w:rsidRDefault="00A91D2D" w:rsidP="00D63644">
      <w:pPr>
        <w:pStyle w:val="Sangradetextonormal"/>
        <w:widowControl w:val="0"/>
        <w:numPr>
          <w:ilvl w:val="0"/>
          <w:numId w:val="33"/>
        </w:numPr>
        <w:ind w:hanging="294"/>
        <w:rPr>
          <w:color w:val="000000"/>
          <w:sz w:val="24"/>
          <w:szCs w:val="24"/>
        </w:rPr>
      </w:pPr>
      <w:r w:rsidRPr="0024314E">
        <w:rPr>
          <w:color w:val="000000"/>
          <w:sz w:val="24"/>
          <w:szCs w:val="24"/>
        </w:rPr>
        <w:t>De la acción de tutela contra providencias judiciales</w:t>
      </w:r>
    </w:p>
    <w:p w:rsidR="00A91D2D" w:rsidRPr="0024314E" w:rsidRDefault="00A91D2D" w:rsidP="00D63644">
      <w:pPr>
        <w:pStyle w:val="Encabezado"/>
        <w:tabs>
          <w:tab w:val="clear" w:pos="4419"/>
          <w:tab w:val="center" w:pos="567"/>
        </w:tabs>
        <w:spacing w:line="360" w:lineRule="auto"/>
        <w:jc w:val="both"/>
        <w:rPr>
          <w:rFonts w:ascii="Arial" w:hAnsi="Arial" w:cs="Arial"/>
          <w:b/>
        </w:rPr>
      </w:pPr>
    </w:p>
    <w:p w:rsidR="002E4F35" w:rsidRPr="0024314E" w:rsidRDefault="002E4F35" w:rsidP="00D63644">
      <w:pPr>
        <w:pStyle w:val="Sangradetextonormal"/>
        <w:rPr>
          <w:b w:val="0"/>
          <w:bCs w:val="0"/>
          <w:sz w:val="24"/>
          <w:szCs w:val="24"/>
          <w:lang w:val="es-CO"/>
        </w:rPr>
      </w:pPr>
      <w:r w:rsidRPr="0024314E">
        <w:rPr>
          <w:b w:val="0"/>
          <w:bCs w:val="0"/>
          <w:sz w:val="24"/>
          <w:szCs w:val="24"/>
          <w:lang w:val="es-CO"/>
        </w:rPr>
        <w:t>La acción de tutela es un mecanismo judicial cuyo objeto es la protección de los derechos fundamentales amenazados o vulnerados por la acción u omisión de cualquier autoridad pública o por un particular, en el último caso, cuando así lo permita expresamente la ley.</w:t>
      </w:r>
    </w:p>
    <w:p w:rsidR="002E4F35" w:rsidRPr="0024314E" w:rsidRDefault="002E4F35" w:rsidP="00D63644">
      <w:pPr>
        <w:pStyle w:val="Sangradetextonormal"/>
        <w:rPr>
          <w:b w:val="0"/>
          <w:bCs w:val="0"/>
          <w:sz w:val="24"/>
          <w:szCs w:val="24"/>
          <w:lang w:val="es-CO"/>
        </w:rPr>
      </w:pPr>
      <w:r w:rsidRPr="0024314E">
        <w:rPr>
          <w:b w:val="0"/>
          <w:bCs w:val="0"/>
          <w:sz w:val="24"/>
          <w:szCs w:val="24"/>
          <w:lang w:val="es-CO"/>
        </w:rPr>
        <w:t xml:space="preserve"> </w:t>
      </w:r>
    </w:p>
    <w:p w:rsidR="002E4F35" w:rsidRPr="0024314E" w:rsidRDefault="002E4F35" w:rsidP="00D63644">
      <w:pPr>
        <w:pStyle w:val="Sangradetextonormal"/>
        <w:rPr>
          <w:b w:val="0"/>
          <w:bCs w:val="0"/>
          <w:sz w:val="24"/>
          <w:szCs w:val="24"/>
          <w:lang w:val="es-CO"/>
        </w:rPr>
      </w:pPr>
      <w:r w:rsidRPr="0024314E">
        <w:rPr>
          <w:b w:val="0"/>
          <w:bCs w:val="0"/>
          <w:sz w:val="24"/>
          <w:szCs w:val="24"/>
          <w:lang w:val="es-CO"/>
        </w:rPr>
        <w:t>La tutela procede cuando el interesado no dispone de otro medio de defensa, salvo que se utilice como mecanismo transitorio para evitar un perjuicio irremediable. En todo caso, el otro mecanismo de defensa debe ser eficaz para proteger el derecho fundamental vulnerado o amenazado, pues, de lo contrario, el juez de tutela deberá examinar si existe perjuicio irremediable y, de existir, concederá el amparo impetrado como mecanismo transitorio, siempre que esté plenamente acreditada la razón para conceder la tutela.</w:t>
      </w:r>
    </w:p>
    <w:p w:rsidR="002E4F35" w:rsidRPr="0024314E" w:rsidRDefault="002E4F35" w:rsidP="00D63644">
      <w:pPr>
        <w:pStyle w:val="Sangradetextonormal"/>
        <w:rPr>
          <w:b w:val="0"/>
          <w:bCs w:val="0"/>
          <w:sz w:val="24"/>
          <w:szCs w:val="24"/>
          <w:lang w:val="es-CO"/>
        </w:rPr>
      </w:pPr>
      <w:r w:rsidRPr="0024314E">
        <w:rPr>
          <w:b w:val="0"/>
          <w:bCs w:val="0"/>
          <w:sz w:val="24"/>
          <w:szCs w:val="24"/>
          <w:lang w:val="es-CO"/>
        </w:rPr>
        <w:t xml:space="preserve">   </w:t>
      </w:r>
    </w:p>
    <w:p w:rsidR="002E4F35" w:rsidRPr="0024314E" w:rsidRDefault="005E4DBA" w:rsidP="00D63644">
      <w:pPr>
        <w:pStyle w:val="Sangradetextonormal"/>
        <w:rPr>
          <w:b w:val="0"/>
          <w:bCs w:val="0"/>
          <w:sz w:val="24"/>
          <w:szCs w:val="24"/>
          <w:lang w:val="es-CO"/>
        </w:rPr>
      </w:pPr>
      <w:r w:rsidRPr="0024314E">
        <w:rPr>
          <w:b w:val="0"/>
          <w:bCs w:val="0"/>
          <w:sz w:val="24"/>
          <w:szCs w:val="24"/>
          <w:lang w:val="es-CO"/>
        </w:rPr>
        <w:t>A partir del año 2012</w:t>
      </w:r>
      <w:r w:rsidRPr="0024314E">
        <w:rPr>
          <w:rStyle w:val="Refdenotaalpie"/>
          <w:b w:val="0"/>
          <w:bCs w:val="0"/>
          <w:sz w:val="24"/>
          <w:szCs w:val="24"/>
          <w:lang w:val="es-CO"/>
        </w:rPr>
        <w:footnoteReference w:id="10"/>
      </w:r>
      <w:r w:rsidR="002E4F35" w:rsidRPr="0024314E">
        <w:rPr>
          <w:b w:val="0"/>
          <w:bCs w:val="0"/>
          <w:sz w:val="24"/>
          <w:szCs w:val="24"/>
          <w:lang w:val="es-CO"/>
        </w:rPr>
        <w:t>, la Sala Plena de lo Contencioso Administrativo de esta Corporación aceptó la procedencia de la acción de tutela contra providencias judiciales. De hecho, en la sentencia de unif</w:t>
      </w:r>
      <w:r w:rsidRPr="0024314E">
        <w:rPr>
          <w:b w:val="0"/>
          <w:bCs w:val="0"/>
          <w:sz w:val="24"/>
          <w:szCs w:val="24"/>
          <w:lang w:val="es-CO"/>
        </w:rPr>
        <w:t>icación del 5 de agosto de 2014</w:t>
      </w:r>
      <w:r w:rsidRPr="0024314E">
        <w:rPr>
          <w:rStyle w:val="Refdenotaalpie"/>
          <w:b w:val="0"/>
          <w:bCs w:val="0"/>
          <w:sz w:val="24"/>
          <w:szCs w:val="24"/>
          <w:lang w:val="es-CO"/>
        </w:rPr>
        <w:footnoteReference w:id="11"/>
      </w:r>
      <w:r w:rsidR="002E4F35" w:rsidRPr="0024314E">
        <w:rPr>
          <w:b w:val="0"/>
          <w:bCs w:val="0"/>
          <w:sz w:val="24"/>
          <w:szCs w:val="24"/>
          <w:lang w:val="es-CO"/>
        </w:rPr>
        <w:t>, se precisó que la acción de tutela, incluso, es procedente para cuestionar providencias judiciales dictadas por el Consejo de Estado, pues, de conformidad con el artículo 86 de la Constitución Política, ese mecanismo puede ejercerse contra cualquier autoridad pública.</w:t>
      </w:r>
    </w:p>
    <w:p w:rsidR="002E4F35" w:rsidRPr="0024314E" w:rsidRDefault="002E4F35" w:rsidP="00D63644">
      <w:pPr>
        <w:pStyle w:val="Sangradetextonormal"/>
        <w:rPr>
          <w:b w:val="0"/>
          <w:bCs w:val="0"/>
          <w:sz w:val="24"/>
          <w:szCs w:val="24"/>
          <w:lang w:val="es-CO"/>
        </w:rPr>
      </w:pPr>
    </w:p>
    <w:p w:rsidR="002E4F35" w:rsidRPr="0024314E" w:rsidRDefault="002E4F35" w:rsidP="00D63644">
      <w:pPr>
        <w:pStyle w:val="Sangradetextonormal"/>
        <w:rPr>
          <w:b w:val="0"/>
          <w:bCs w:val="0"/>
          <w:sz w:val="24"/>
          <w:szCs w:val="24"/>
          <w:lang w:val="es-CO"/>
        </w:rPr>
      </w:pPr>
      <w:r w:rsidRPr="0024314E">
        <w:rPr>
          <w:b w:val="0"/>
          <w:bCs w:val="0"/>
          <w:sz w:val="24"/>
          <w:szCs w:val="24"/>
          <w:lang w:val="es-CO"/>
        </w:rPr>
        <w:t xml:space="preserve">Para tal efecto, el juez de tutela debe verificar el cumplimiento de los requisitos generales (procesales o de procedibilidad) que fijó la Corte Constitucional, en la </w:t>
      </w:r>
      <w:r w:rsidRPr="0024314E">
        <w:rPr>
          <w:b w:val="0"/>
          <w:bCs w:val="0"/>
          <w:sz w:val="24"/>
          <w:szCs w:val="24"/>
          <w:lang w:val="es-CO"/>
        </w:rPr>
        <w:lastRenderedPageBreak/>
        <w:t>sentencia C-590 de 2005. Esto es, la relevancia constitucional, el agotamiento de los medios ordinarios de defensa, la inmediatez y que no se esté cuestionando una sentencia de tutela. Además, debe examinar si el demandante identificó y sustentó la causal específica de procedibilidad y expuso las razones que sustentan la violación o amenaza de los derechos fundamentales. No son suficientes las simples inconformidades frente a las decisiones tomadas por los jueces de instancia, sino que el interesado debe demostrar que la pro</w:t>
      </w:r>
      <w:r w:rsidR="00D32CFB" w:rsidRPr="0024314E">
        <w:rPr>
          <w:b w:val="0"/>
          <w:bCs w:val="0"/>
          <w:sz w:val="24"/>
          <w:szCs w:val="24"/>
          <w:lang w:val="es-CO"/>
        </w:rPr>
        <w:t>v</w:t>
      </w:r>
      <w:r w:rsidRPr="0024314E">
        <w:rPr>
          <w:b w:val="0"/>
          <w:bCs w:val="0"/>
          <w:sz w:val="24"/>
          <w:szCs w:val="24"/>
          <w:lang w:val="es-CO"/>
        </w:rPr>
        <w:t>idencia cuestionada vulneró o dejó en situación de amenaza derechos fundamentales.</w:t>
      </w:r>
    </w:p>
    <w:p w:rsidR="002E4F35" w:rsidRPr="0024314E" w:rsidRDefault="002E4F35" w:rsidP="00D63644">
      <w:pPr>
        <w:pStyle w:val="Sangradetextonormal"/>
        <w:rPr>
          <w:b w:val="0"/>
          <w:bCs w:val="0"/>
          <w:sz w:val="24"/>
          <w:szCs w:val="24"/>
          <w:lang w:val="es-CO"/>
        </w:rPr>
      </w:pPr>
    </w:p>
    <w:p w:rsidR="002E4F35" w:rsidRPr="0024314E" w:rsidRDefault="002E4F35" w:rsidP="00D63644">
      <w:pPr>
        <w:pStyle w:val="Sangradetextonormal"/>
        <w:rPr>
          <w:b w:val="0"/>
          <w:bCs w:val="0"/>
          <w:sz w:val="24"/>
          <w:szCs w:val="24"/>
          <w:lang w:val="es-CO"/>
        </w:rPr>
      </w:pPr>
      <w:r w:rsidRPr="0024314E">
        <w:rPr>
          <w:b w:val="0"/>
          <w:bCs w:val="0"/>
          <w:sz w:val="24"/>
          <w:szCs w:val="24"/>
          <w:lang w:val="es-CO"/>
        </w:rPr>
        <w:t xml:space="preserve">Una vez la acción de tutela supere el estudio de las causales procesales, el juez puede conceder la protección, siempre que advierta la presencia de alguno de los siguientes defectos o vicios de fondo, que miran más hacia la prosperidad de la tutela: </w:t>
      </w:r>
      <w:r w:rsidRPr="0024314E">
        <w:rPr>
          <w:bCs w:val="0"/>
          <w:sz w:val="24"/>
          <w:szCs w:val="24"/>
          <w:lang w:val="es-CO"/>
        </w:rPr>
        <w:t>(i)</w:t>
      </w:r>
      <w:r w:rsidRPr="0024314E">
        <w:rPr>
          <w:b w:val="0"/>
          <w:bCs w:val="0"/>
          <w:sz w:val="24"/>
          <w:szCs w:val="24"/>
          <w:lang w:val="es-CO"/>
        </w:rPr>
        <w:t xml:space="preserve"> defecto sustantivo, </w:t>
      </w:r>
      <w:r w:rsidRPr="0024314E">
        <w:rPr>
          <w:bCs w:val="0"/>
          <w:sz w:val="24"/>
          <w:szCs w:val="24"/>
          <w:lang w:val="es-CO"/>
        </w:rPr>
        <w:t>(ii)</w:t>
      </w:r>
      <w:r w:rsidR="00363965" w:rsidRPr="0024314E">
        <w:rPr>
          <w:b w:val="0"/>
          <w:bCs w:val="0"/>
          <w:sz w:val="24"/>
          <w:szCs w:val="24"/>
          <w:lang w:val="es-CO"/>
        </w:rPr>
        <w:t xml:space="preserve"> defecto fáctico, </w:t>
      </w:r>
      <w:r w:rsidR="00363965" w:rsidRPr="0024314E">
        <w:rPr>
          <w:bCs w:val="0"/>
          <w:sz w:val="24"/>
          <w:szCs w:val="24"/>
          <w:lang w:val="es-CO"/>
        </w:rPr>
        <w:t>(iii)</w:t>
      </w:r>
      <w:r w:rsidR="00363965" w:rsidRPr="0024314E">
        <w:rPr>
          <w:b w:val="0"/>
          <w:bCs w:val="0"/>
          <w:sz w:val="24"/>
          <w:szCs w:val="24"/>
          <w:lang w:val="es-CO"/>
        </w:rPr>
        <w:t xml:space="preserve"> </w:t>
      </w:r>
      <w:r w:rsidRPr="0024314E">
        <w:rPr>
          <w:b w:val="0"/>
          <w:bCs w:val="0"/>
          <w:sz w:val="24"/>
          <w:szCs w:val="24"/>
          <w:lang w:val="es-CO"/>
        </w:rPr>
        <w:t xml:space="preserve">defecto procedimental absoluto, </w:t>
      </w:r>
      <w:r w:rsidRPr="0024314E">
        <w:rPr>
          <w:bCs w:val="0"/>
          <w:sz w:val="24"/>
          <w:szCs w:val="24"/>
          <w:lang w:val="es-CO"/>
        </w:rPr>
        <w:t>(iv)</w:t>
      </w:r>
      <w:r w:rsidRPr="0024314E">
        <w:rPr>
          <w:b w:val="0"/>
          <w:bCs w:val="0"/>
          <w:sz w:val="24"/>
          <w:szCs w:val="24"/>
          <w:lang w:val="es-CO"/>
        </w:rPr>
        <w:t xml:space="preserve"> defecto orgánico, </w:t>
      </w:r>
      <w:r w:rsidRPr="0024314E">
        <w:rPr>
          <w:bCs w:val="0"/>
          <w:sz w:val="24"/>
          <w:szCs w:val="24"/>
          <w:lang w:val="es-CO"/>
        </w:rPr>
        <w:t>(v)</w:t>
      </w:r>
      <w:r w:rsidRPr="0024314E">
        <w:rPr>
          <w:b w:val="0"/>
          <w:bCs w:val="0"/>
          <w:sz w:val="24"/>
          <w:szCs w:val="24"/>
          <w:lang w:val="es-CO"/>
        </w:rPr>
        <w:t xml:space="preserve"> error inducido, </w:t>
      </w:r>
      <w:r w:rsidRPr="0024314E">
        <w:rPr>
          <w:bCs w:val="0"/>
          <w:sz w:val="24"/>
          <w:szCs w:val="24"/>
          <w:lang w:val="es-CO"/>
        </w:rPr>
        <w:t>(vi)</w:t>
      </w:r>
      <w:r w:rsidRPr="0024314E">
        <w:rPr>
          <w:b w:val="0"/>
          <w:bCs w:val="0"/>
          <w:sz w:val="24"/>
          <w:szCs w:val="24"/>
          <w:lang w:val="es-CO"/>
        </w:rPr>
        <w:t xml:space="preserve"> decisión sin motivación, </w:t>
      </w:r>
      <w:r w:rsidRPr="0024314E">
        <w:rPr>
          <w:bCs w:val="0"/>
          <w:sz w:val="24"/>
          <w:szCs w:val="24"/>
          <w:lang w:val="es-CO"/>
        </w:rPr>
        <w:t>(vii)</w:t>
      </w:r>
      <w:r w:rsidRPr="0024314E">
        <w:rPr>
          <w:b w:val="0"/>
          <w:bCs w:val="0"/>
          <w:sz w:val="24"/>
          <w:szCs w:val="24"/>
          <w:lang w:val="es-CO"/>
        </w:rPr>
        <w:t xml:space="preserve"> desconocimiento del precedente y </w:t>
      </w:r>
      <w:r w:rsidRPr="0024314E">
        <w:rPr>
          <w:bCs w:val="0"/>
          <w:sz w:val="24"/>
          <w:szCs w:val="24"/>
          <w:lang w:val="es-CO"/>
        </w:rPr>
        <w:t>(viii)</w:t>
      </w:r>
      <w:r w:rsidRPr="0024314E">
        <w:rPr>
          <w:b w:val="0"/>
          <w:bCs w:val="0"/>
          <w:sz w:val="24"/>
          <w:szCs w:val="24"/>
          <w:lang w:val="es-CO"/>
        </w:rPr>
        <w:t xml:space="preserve"> violación directa de la Constitución.</w:t>
      </w:r>
    </w:p>
    <w:p w:rsidR="002E4F35" w:rsidRPr="0024314E" w:rsidRDefault="002E4F35" w:rsidP="00D63644">
      <w:pPr>
        <w:pStyle w:val="Sangradetextonormal"/>
        <w:rPr>
          <w:b w:val="0"/>
          <w:bCs w:val="0"/>
          <w:sz w:val="24"/>
          <w:szCs w:val="24"/>
          <w:lang w:val="es-CO"/>
        </w:rPr>
      </w:pPr>
    </w:p>
    <w:p w:rsidR="002E4F35" w:rsidRPr="0024314E" w:rsidRDefault="002E4F35" w:rsidP="00D63644">
      <w:pPr>
        <w:pStyle w:val="Sangradetextonormal"/>
        <w:rPr>
          <w:b w:val="0"/>
          <w:bCs w:val="0"/>
          <w:sz w:val="24"/>
          <w:szCs w:val="24"/>
          <w:lang w:val="es-CO"/>
        </w:rPr>
      </w:pPr>
      <w:r w:rsidRPr="0024314E">
        <w:rPr>
          <w:b w:val="0"/>
          <w:bCs w:val="0"/>
          <w:sz w:val="24"/>
          <w:szCs w:val="24"/>
          <w:lang w:val="es-CO"/>
        </w:rPr>
        <w:t>Las causales específicas que ha decantado la Corte Constitucional (y que han venido aplicando la mayoría de las autoridades judiciales) buscan que la tutela no se convierta en una instancia adicional para que las partes reabran discusiones jurídicas que son propias de los procesos ordinarios o expongan los argumentos que, por negligencia o decisión propia, dejaron de proponer oportunamente.</w:t>
      </w:r>
      <w:r w:rsidR="003B43EC" w:rsidRPr="0024314E">
        <w:rPr>
          <w:b w:val="0"/>
          <w:bCs w:val="0"/>
          <w:sz w:val="24"/>
          <w:szCs w:val="24"/>
          <w:lang w:val="es-CO"/>
        </w:rPr>
        <w:t xml:space="preserve"> </w:t>
      </w:r>
    </w:p>
    <w:p w:rsidR="002E4F35" w:rsidRPr="0024314E" w:rsidRDefault="002E4F35" w:rsidP="00D63644">
      <w:pPr>
        <w:pStyle w:val="Sangradetextonormal"/>
        <w:rPr>
          <w:b w:val="0"/>
          <w:bCs w:val="0"/>
          <w:sz w:val="24"/>
          <w:szCs w:val="24"/>
          <w:lang w:val="es-CO"/>
        </w:rPr>
      </w:pPr>
    </w:p>
    <w:p w:rsidR="002E4F35" w:rsidRPr="0024314E" w:rsidRDefault="002E4F35" w:rsidP="00D63644">
      <w:pPr>
        <w:pStyle w:val="Sangradetextonormal"/>
        <w:rPr>
          <w:b w:val="0"/>
          <w:bCs w:val="0"/>
          <w:sz w:val="24"/>
          <w:szCs w:val="24"/>
          <w:lang w:val="es-CO"/>
        </w:rPr>
      </w:pPr>
      <w:r w:rsidRPr="0024314E">
        <w:rPr>
          <w:b w:val="0"/>
          <w:bCs w:val="0"/>
          <w:sz w:val="24"/>
          <w:szCs w:val="24"/>
          <w:lang w:val="es-CO"/>
        </w:rPr>
        <w:t>La tutela no puede convertirse en la instancia adicional de los procesos judiciales, pues los principios de seguridad jurídica y de coherencia del ordenamiento jurídico no permiten la revisión permanente y a perpetuidad de las decisiones de los jueces y, por tanto, no puede admitirse, sin mayores excepciones, la procedencia de la tutela contra providencias judiciales</w:t>
      </w:r>
      <w:r w:rsidR="003B43EC" w:rsidRPr="0024314E">
        <w:rPr>
          <w:b w:val="0"/>
          <w:bCs w:val="0"/>
          <w:sz w:val="24"/>
          <w:szCs w:val="24"/>
          <w:lang w:val="es-CO"/>
        </w:rPr>
        <w:t xml:space="preserve">. </w:t>
      </w:r>
    </w:p>
    <w:p w:rsidR="002E4F35" w:rsidRPr="0024314E" w:rsidRDefault="002E4F35" w:rsidP="00D63644">
      <w:pPr>
        <w:pStyle w:val="Sangradetextonormal"/>
        <w:rPr>
          <w:b w:val="0"/>
          <w:bCs w:val="0"/>
          <w:sz w:val="24"/>
          <w:szCs w:val="24"/>
          <w:lang w:val="es-CO"/>
        </w:rPr>
      </w:pPr>
    </w:p>
    <w:p w:rsidR="002E4F35" w:rsidRPr="0024314E" w:rsidRDefault="002E4F35" w:rsidP="00D63644">
      <w:pPr>
        <w:pStyle w:val="Sangradetextonormal"/>
        <w:rPr>
          <w:b w:val="0"/>
          <w:bCs w:val="0"/>
          <w:sz w:val="24"/>
          <w:szCs w:val="24"/>
          <w:lang w:val="es-CO"/>
        </w:rPr>
      </w:pPr>
      <w:r w:rsidRPr="0024314E">
        <w:rPr>
          <w:b w:val="0"/>
          <w:bCs w:val="0"/>
          <w:sz w:val="24"/>
          <w:szCs w:val="24"/>
          <w:lang w:val="es-CO"/>
        </w:rPr>
        <w:t>Es de esa manera que se estudia una providencia judicial mediante el mecanismo excepcional de la acción de tutela.</w:t>
      </w:r>
      <w:r w:rsidR="003B43EC" w:rsidRPr="0024314E">
        <w:rPr>
          <w:b w:val="0"/>
          <w:bCs w:val="0"/>
          <w:sz w:val="24"/>
          <w:szCs w:val="24"/>
          <w:lang w:val="es-CO"/>
        </w:rPr>
        <w:t xml:space="preserve"> </w:t>
      </w:r>
    </w:p>
    <w:p w:rsidR="00FE5614" w:rsidRPr="0024314E" w:rsidRDefault="00FE5614" w:rsidP="00D63644">
      <w:pPr>
        <w:pStyle w:val="Sangradetextonormal"/>
        <w:rPr>
          <w:b w:val="0"/>
          <w:bCs w:val="0"/>
          <w:sz w:val="24"/>
          <w:szCs w:val="24"/>
          <w:lang w:val="es-CO"/>
        </w:rPr>
      </w:pPr>
    </w:p>
    <w:p w:rsidR="00C4569A" w:rsidRPr="0024314E" w:rsidRDefault="00C4569A" w:rsidP="00D63644">
      <w:pPr>
        <w:pStyle w:val="Sangradetextonormal"/>
        <w:widowControl w:val="0"/>
        <w:numPr>
          <w:ilvl w:val="0"/>
          <w:numId w:val="33"/>
        </w:numPr>
        <w:ind w:hanging="294"/>
        <w:rPr>
          <w:bCs w:val="0"/>
          <w:color w:val="000000"/>
          <w:sz w:val="24"/>
          <w:szCs w:val="24"/>
        </w:rPr>
      </w:pPr>
      <w:r w:rsidRPr="0024314E">
        <w:rPr>
          <w:color w:val="000000"/>
          <w:sz w:val="24"/>
          <w:szCs w:val="24"/>
        </w:rPr>
        <w:t>Planteamiento</w:t>
      </w:r>
      <w:r w:rsidRPr="0024314E">
        <w:rPr>
          <w:bCs w:val="0"/>
          <w:color w:val="000000"/>
          <w:sz w:val="24"/>
          <w:szCs w:val="24"/>
        </w:rPr>
        <w:t xml:space="preserve"> </w:t>
      </w:r>
      <w:r w:rsidR="0012600B" w:rsidRPr="0024314E">
        <w:rPr>
          <w:bCs w:val="0"/>
          <w:color w:val="000000"/>
          <w:sz w:val="24"/>
          <w:szCs w:val="24"/>
        </w:rPr>
        <w:t xml:space="preserve">y solución </w:t>
      </w:r>
      <w:r w:rsidRPr="0024314E">
        <w:rPr>
          <w:bCs w:val="0"/>
          <w:color w:val="000000"/>
          <w:sz w:val="24"/>
          <w:szCs w:val="24"/>
        </w:rPr>
        <w:t xml:space="preserve">del problema jurídico </w:t>
      </w:r>
    </w:p>
    <w:p w:rsidR="00C4569A" w:rsidRPr="0024314E" w:rsidRDefault="00C4569A" w:rsidP="00D63644">
      <w:pPr>
        <w:pStyle w:val="Sangradetextonormal"/>
        <w:rPr>
          <w:b w:val="0"/>
          <w:bCs w:val="0"/>
          <w:sz w:val="24"/>
          <w:szCs w:val="24"/>
          <w:lang w:val="es-CO"/>
        </w:rPr>
      </w:pPr>
    </w:p>
    <w:p w:rsidR="00C4569A" w:rsidRPr="0024314E" w:rsidRDefault="00C4569A" w:rsidP="00D63644">
      <w:pPr>
        <w:pStyle w:val="Sangradetextonormal"/>
        <w:rPr>
          <w:b w:val="0"/>
          <w:bCs w:val="0"/>
          <w:sz w:val="24"/>
          <w:szCs w:val="24"/>
          <w:lang w:val="es-CO"/>
        </w:rPr>
      </w:pPr>
      <w:r w:rsidRPr="0024314E">
        <w:rPr>
          <w:b w:val="0"/>
          <w:sz w:val="24"/>
          <w:szCs w:val="24"/>
        </w:rPr>
        <w:t xml:space="preserve">Verificado el cumplimiento de los requisitos generales, la Sala pasa a estudiar los </w:t>
      </w:r>
      <w:r w:rsidRPr="0024314E">
        <w:rPr>
          <w:b w:val="0"/>
          <w:bCs w:val="0"/>
          <w:sz w:val="24"/>
          <w:szCs w:val="24"/>
          <w:lang w:val="es-CO"/>
        </w:rPr>
        <w:t xml:space="preserve">requisitos especiales para la prosperidad de la tutela contra providencias judiciales. </w:t>
      </w:r>
    </w:p>
    <w:p w:rsidR="00C4569A" w:rsidRPr="0024314E" w:rsidRDefault="00C4569A" w:rsidP="00D63644">
      <w:pPr>
        <w:pStyle w:val="Sangradetextonormal"/>
        <w:rPr>
          <w:b w:val="0"/>
          <w:bCs w:val="0"/>
          <w:sz w:val="24"/>
          <w:szCs w:val="24"/>
          <w:lang w:val="es-CO"/>
        </w:rPr>
      </w:pPr>
    </w:p>
    <w:p w:rsidR="00995948" w:rsidRPr="0024314E" w:rsidRDefault="00480226" w:rsidP="00D63644">
      <w:pPr>
        <w:pStyle w:val="Sangradetextonormal"/>
        <w:rPr>
          <w:b w:val="0"/>
          <w:bCs w:val="0"/>
          <w:sz w:val="24"/>
          <w:szCs w:val="24"/>
          <w:lang w:val="es-CO"/>
        </w:rPr>
      </w:pPr>
      <w:r w:rsidRPr="0024314E">
        <w:rPr>
          <w:b w:val="0"/>
          <w:bCs w:val="0"/>
          <w:sz w:val="24"/>
          <w:szCs w:val="24"/>
          <w:lang w:val="es-CO"/>
        </w:rPr>
        <w:lastRenderedPageBreak/>
        <w:t xml:space="preserve">Aunque el demandante cuestionó </w:t>
      </w:r>
      <w:r w:rsidR="006C5B81" w:rsidRPr="0024314E">
        <w:rPr>
          <w:b w:val="0"/>
          <w:bCs w:val="0"/>
          <w:sz w:val="24"/>
          <w:szCs w:val="24"/>
          <w:lang w:val="es-CO"/>
        </w:rPr>
        <w:t xml:space="preserve">el fallo </w:t>
      </w:r>
      <w:r w:rsidR="00EB20E8" w:rsidRPr="0024314E">
        <w:rPr>
          <w:b w:val="0"/>
          <w:bCs w:val="0"/>
          <w:sz w:val="24"/>
          <w:szCs w:val="24"/>
          <w:lang w:val="es-CO"/>
        </w:rPr>
        <w:t xml:space="preserve">del 30 de junio de 2015, </w:t>
      </w:r>
      <w:r w:rsidR="006C5B81" w:rsidRPr="0024314E">
        <w:rPr>
          <w:b w:val="0"/>
          <w:bCs w:val="0"/>
          <w:sz w:val="24"/>
          <w:szCs w:val="24"/>
          <w:lang w:val="es-CO"/>
        </w:rPr>
        <w:t xml:space="preserve">proferido </w:t>
      </w:r>
      <w:r w:rsidR="00EB20E8" w:rsidRPr="0024314E">
        <w:rPr>
          <w:b w:val="0"/>
          <w:bCs w:val="0"/>
          <w:sz w:val="24"/>
          <w:szCs w:val="24"/>
          <w:lang w:val="es-CO"/>
        </w:rPr>
        <w:t xml:space="preserve">por el Juzgado 18 Administrativo de Descongestión de Bogotá, y </w:t>
      </w:r>
      <w:r w:rsidR="006C5B81" w:rsidRPr="0024314E">
        <w:rPr>
          <w:b w:val="0"/>
          <w:bCs w:val="0"/>
          <w:sz w:val="24"/>
          <w:szCs w:val="24"/>
          <w:lang w:val="es-CO"/>
        </w:rPr>
        <w:t xml:space="preserve">la sentencia </w:t>
      </w:r>
      <w:r w:rsidR="00EB20E8" w:rsidRPr="0024314E">
        <w:rPr>
          <w:b w:val="0"/>
          <w:bCs w:val="0"/>
          <w:sz w:val="24"/>
          <w:szCs w:val="24"/>
          <w:lang w:val="es-CO"/>
        </w:rPr>
        <w:t xml:space="preserve">del 5 de mayo de 2016, </w:t>
      </w:r>
      <w:r w:rsidR="006C5B81" w:rsidRPr="0024314E">
        <w:rPr>
          <w:b w:val="0"/>
          <w:bCs w:val="0"/>
          <w:sz w:val="24"/>
          <w:szCs w:val="24"/>
          <w:lang w:val="es-CO"/>
        </w:rPr>
        <w:t xml:space="preserve">dictada </w:t>
      </w:r>
      <w:r w:rsidR="00EB20E8" w:rsidRPr="0024314E">
        <w:rPr>
          <w:b w:val="0"/>
          <w:bCs w:val="0"/>
          <w:sz w:val="24"/>
          <w:szCs w:val="24"/>
          <w:lang w:val="es-CO"/>
        </w:rPr>
        <w:t xml:space="preserve">por el Tribunal Administrativo de Cundinamarca, Sección Segunda, Subsección A, </w:t>
      </w:r>
      <w:r w:rsidRPr="0024314E">
        <w:rPr>
          <w:b w:val="0"/>
          <w:bCs w:val="0"/>
          <w:sz w:val="24"/>
          <w:szCs w:val="24"/>
          <w:lang w:val="es-CO"/>
        </w:rPr>
        <w:t>la Sala se referirá únicamente a</w:t>
      </w:r>
      <w:r w:rsidR="00EB20E8" w:rsidRPr="0024314E">
        <w:rPr>
          <w:b w:val="0"/>
          <w:bCs w:val="0"/>
          <w:sz w:val="24"/>
          <w:szCs w:val="24"/>
          <w:lang w:val="es-CO"/>
        </w:rPr>
        <w:t xml:space="preserve"> esta última</w:t>
      </w:r>
      <w:r w:rsidRPr="0024314E">
        <w:rPr>
          <w:b w:val="0"/>
          <w:bCs w:val="0"/>
          <w:sz w:val="24"/>
          <w:szCs w:val="24"/>
          <w:lang w:val="es-CO"/>
        </w:rPr>
        <w:t xml:space="preserve">, </w:t>
      </w:r>
      <w:r w:rsidR="00995948" w:rsidRPr="0024314E">
        <w:rPr>
          <w:b w:val="0"/>
          <w:bCs w:val="0"/>
          <w:sz w:val="24"/>
          <w:szCs w:val="24"/>
          <w:lang w:val="es-CO"/>
        </w:rPr>
        <w:t xml:space="preserve">que fue la que resolvió el </w:t>
      </w:r>
      <w:r w:rsidR="00EB20E8" w:rsidRPr="0024314E">
        <w:rPr>
          <w:b w:val="0"/>
          <w:bCs w:val="0"/>
          <w:sz w:val="24"/>
          <w:szCs w:val="24"/>
          <w:lang w:val="es-CO"/>
        </w:rPr>
        <w:t>asunto en segunda instancia</w:t>
      </w:r>
      <w:r w:rsidR="00995948" w:rsidRPr="0024314E">
        <w:rPr>
          <w:b w:val="0"/>
          <w:bCs w:val="0"/>
          <w:sz w:val="24"/>
          <w:szCs w:val="24"/>
          <w:lang w:val="es-CO"/>
        </w:rPr>
        <w:t xml:space="preserve">. </w:t>
      </w:r>
    </w:p>
    <w:p w:rsidR="00480226" w:rsidRPr="0024314E" w:rsidRDefault="00480226" w:rsidP="00D63644">
      <w:pPr>
        <w:pStyle w:val="Sangradetextonormal"/>
        <w:rPr>
          <w:b w:val="0"/>
          <w:bCs w:val="0"/>
          <w:sz w:val="24"/>
          <w:szCs w:val="24"/>
          <w:lang w:val="es-CO"/>
        </w:rPr>
      </w:pPr>
    </w:p>
    <w:p w:rsidR="00C4569A" w:rsidRPr="0024314E" w:rsidRDefault="00C4569A" w:rsidP="00D63644">
      <w:pPr>
        <w:pStyle w:val="Sangradetextonormal"/>
        <w:rPr>
          <w:b w:val="0"/>
          <w:bCs w:val="0"/>
          <w:sz w:val="24"/>
          <w:szCs w:val="24"/>
          <w:lang w:val="es-CO"/>
        </w:rPr>
      </w:pPr>
      <w:r w:rsidRPr="0024314E">
        <w:rPr>
          <w:b w:val="0"/>
          <w:bCs w:val="0"/>
          <w:sz w:val="24"/>
          <w:szCs w:val="24"/>
          <w:lang w:val="es-CO"/>
        </w:rPr>
        <w:t xml:space="preserve">En los términos de la impugnación, </w:t>
      </w:r>
      <w:r w:rsidR="00491718" w:rsidRPr="0024314E">
        <w:rPr>
          <w:b w:val="0"/>
          <w:bCs w:val="0"/>
          <w:sz w:val="24"/>
          <w:szCs w:val="24"/>
          <w:lang w:val="es-CO"/>
        </w:rPr>
        <w:t xml:space="preserve">el problema jurídico consiste en </w:t>
      </w:r>
      <w:r w:rsidRPr="0024314E">
        <w:rPr>
          <w:b w:val="0"/>
          <w:bCs w:val="0"/>
          <w:sz w:val="24"/>
          <w:szCs w:val="24"/>
          <w:lang w:val="es-CO"/>
        </w:rPr>
        <w:t xml:space="preserve">determinar si </w:t>
      </w:r>
      <w:r w:rsidR="00480226" w:rsidRPr="0024314E">
        <w:rPr>
          <w:b w:val="0"/>
          <w:bCs w:val="0"/>
          <w:sz w:val="24"/>
          <w:szCs w:val="24"/>
          <w:lang w:val="es-CO"/>
        </w:rPr>
        <w:t>la sentencia del 5 de mayo de 2016 incurrió en desconocimiento d</w:t>
      </w:r>
      <w:r w:rsidR="00491718" w:rsidRPr="0024314E">
        <w:rPr>
          <w:b w:val="0"/>
          <w:bCs w:val="0"/>
          <w:sz w:val="24"/>
          <w:szCs w:val="24"/>
          <w:lang w:val="es-CO"/>
        </w:rPr>
        <w:t>el precedente de la Sección Segunda del Consejo de Estado, relacionado con la contabilización del término de prescripción</w:t>
      </w:r>
      <w:r w:rsidR="00480226" w:rsidRPr="0024314E">
        <w:rPr>
          <w:b w:val="0"/>
          <w:bCs w:val="0"/>
          <w:sz w:val="24"/>
          <w:szCs w:val="24"/>
          <w:lang w:val="es-CO"/>
        </w:rPr>
        <w:t>,</w:t>
      </w:r>
      <w:r w:rsidR="00491718" w:rsidRPr="0024314E">
        <w:rPr>
          <w:b w:val="0"/>
          <w:bCs w:val="0"/>
          <w:sz w:val="24"/>
          <w:szCs w:val="24"/>
          <w:lang w:val="es-CO"/>
        </w:rPr>
        <w:t xml:space="preserve"> en los casos en los que se declara la existencia de una relación laboral, generada en virtud de contratos de prestación de servicios. </w:t>
      </w:r>
    </w:p>
    <w:p w:rsidR="00C4569A" w:rsidRPr="0024314E" w:rsidRDefault="00C4569A" w:rsidP="00D63644">
      <w:pPr>
        <w:pStyle w:val="Sangradetextonormal"/>
        <w:rPr>
          <w:b w:val="0"/>
          <w:bCs w:val="0"/>
          <w:sz w:val="24"/>
          <w:szCs w:val="24"/>
          <w:lang w:val="es-CO"/>
        </w:rPr>
      </w:pPr>
    </w:p>
    <w:p w:rsidR="0012600B" w:rsidRPr="0024314E" w:rsidRDefault="00A916A9" w:rsidP="00D63644">
      <w:pPr>
        <w:pStyle w:val="Sangradetextonormal"/>
        <w:rPr>
          <w:b w:val="0"/>
          <w:bCs w:val="0"/>
          <w:sz w:val="24"/>
          <w:szCs w:val="24"/>
          <w:lang w:val="es-CO"/>
        </w:rPr>
      </w:pPr>
      <w:r w:rsidRPr="0024314E">
        <w:rPr>
          <w:b w:val="0"/>
          <w:bCs w:val="0"/>
          <w:sz w:val="24"/>
          <w:szCs w:val="24"/>
          <w:lang w:val="es-CO"/>
        </w:rPr>
        <w:t xml:space="preserve">Para resolver el problema jurídico, </w:t>
      </w:r>
      <w:r w:rsidR="00D324CB" w:rsidRPr="0024314E">
        <w:rPr>
          <w:b w:val="0"/>
          <w:bCs w:val="0"/>
          <w:sz w:val="24"/>
          <w:szCs w:val="24"/>
          <w:lang w:val="es-CO"/>
        </w:rPr>
        <w:t xml:space="preserve">vale </w:t>
      </w:r>
      <w:r w:rsidRPr="0024314E">
        <w:rPr>
          <w:b w:val="0"/>
          <w:bCs w:val="0"/>
          <w:sz w:val="24"/>
          <w:szCs w:val="24"/>
          <w:lang w:val="es-CO"/>
        </w:rPr>
        <w:t>citar</w:t>
      </w:r>
      <w:r w:rsidR="00D324CB" w:rsidRPr="0024314E">
        <w:rPr>
          <w:b w:val="0"/>
          <w:bCs w:val="0"/>
          <w:sz w:val="24"/>
          <w:szCs w:val="24"/>
          <w:lang w:val="es-CO"/>
        </w:rPr>
        <w:t xml:space="preserve"> </w:t>
      </w:r>
      <w:r w:rsidRPr="0024314E">
        <w:rPr>
          <w:b w:val="0"/>
          <w:bCs w:val="0"/>
          <w:sz w:val="24"/>
          <w:szCs w:val="24"/>
          <w:lang w:val="es-CO"/>
        </w:rPr>
        <w:t>las consideraciones de la sentencia cuestionada</w:t>
      </w:r>
      <w:r w:rsidR="00995948" w:rsidRPr="0024314E">
        <w:rPr>
          <w:b w:val="0"/>
          <w:bCs w:val="0"/>
          <w:sz w:val="24"/>
          <w:szCs w:val="24"/>
          <w:lang w:val="es-CO"/>
        </w:rPr>
        <w:t xml:space="preserve">, </w:t>
      </w:r>
      <w:r w:rsidR="006C5B81" w:rsidRPr="0024314E">
        <w:rPr>
          <w:b w:val="0"/>
          <w:bCs w:val="0"/>
          <w:sz w:val="24"/>
          <w:szCs w:val="24"/>
          <w:lang w:val="es-CO"/>
        </w:rPr>
        <w:t>en lo atinente a</w:t>
      </w:r>
      <w:r w:rsidR="00995948" w:rsidRPr="0024314E">
        <w:rPr>
          <w:b w:val="0"/>
          <w:bCs w:val="0"/>
          <w:sz w:val="24"/>
          <w:szCs w:val="24"/>
          <w:lang w:val="es-CO"/>
        </w:rPr>
        <w:t xml:space="preserve"> la declaratoria de prescripción</w:t>
      </w:r>
      <w:r w:rsidRPr="0024314E">
        <w:rPr>
          <w:b w:val="0"/>
          <w:bCs w:val="0"/>
          <w:sz w:val="24"/>
          <w:szCs w:val="24"/>
          <w:lang w:val="es-CO"/>
        </w:rPr>
        <w:t xml:space="preserve"> </w:t>
      </w:r>
      <w:r w:rsidR="00995948" w:rsidRPr="0024314E">
        <w:rPr>
          <w:b w:val="0"/>
          <w:bCs w:val="0"/>
          <w:sz w:val="24"/>
          <w:szCs w:val="24"/>
          <w:lang w:val="es-CO"/>
        </w:rPr>
        <w:t xml:space="preserve">de los derechos causados en virtud de los contratos </w:t>
      </w:r>
      <w:r w:rsidR="00D324CB" w:rsidRPr="0024314E">
        <w:rPr>
          <w:b w:val="0"/>
          <w:bCs w:val="0"/>
          <w:sz w:val="24"/>
          <w:szCs w:val="24"/>
          <w:lang w:val="es-CO"/>
        </w:rPr>
        <w:t xml:space="preserve">suscritos por la demandante, </w:t>
      </w:r>
      <w:r w:rsidR="00995948" w:rsidRPr="0024314E">
        <w:rPr>
          <w:b w:val="0"/>
          <w:bCs w:val="0"/>
          <w:sz w:val="24"/>
          <w:szCs w:val="24"/>
          <w:lang w:val="es-CO"/>
        </w:rPr>
        <w:t>que culminaron antes del 6 de agosto de 2010</w:t>
      </w:r>
      <w:r w:rsidR="0012600B" w:rsidRPr="0024314E">
        <w:rPr>
          <w:b w:val="0"/>
          <w:bCs w:val="0"/>
          <w:sz w:val="24"/>
          <w:szCs w:val="24"/>
          <w:lang w:val="es-CO"/>
        </w:rPr>
        <w:t xml:space="preserve">: </w:t>
      </w:r>
    </w:p>
    <w:p w:rsidR="00A916A9" w:rsidRPr="0024314E" w:rsidRDefault="00A916A9" w:rsidP="00D63644">
      <w:pPr>
        <w:autoSpaceDE w:val="0"/>
        <w:autoSpaceDN w:val="0"/>
        <w:adjustRightInd w:val="0"/>
        <w:spacing w:after="0" w:line="276" w:lineRule="auto"/>
        <w:ind w:left="284"/>
        <w:jc w:val="both"/>
        <w:rPr>
          <w:rFonts w:ascii="Arial" w:hAnsi="Arial" w:cs="Arial"/>
          <w:sz w:val="24"/>
          <w:szCs w:val="24"/>
        </w:rPr>
      </w:pPr>
    </w:p>
    <w:p w:rsidR="0072608E" w:rsidRPr="0024314E" w:rsidRDefault="0072608E" w:rsidP="00D63644">
      <w:pPr>
        <w:autoSpaceDE w:val="0"/>
        <w:autoSpaceDN w:val="0"/>
        <w:adjustRightInd w:val="0"/>
        <w:spacing w:after="0" w:line="276" w:lineRule="auto"/>
        <w:ind w:left="284"/>
        <w:jc w:val="both"/>
        <w:rPr>
          <w:rFonts w:ascii="Arial" w:hAnsi="Arial" w:cs="Arial"/>
          <w:sz w:val="24"/>
          <w:szCs w:val="24"/>
        </w:rPr>
      </w:pPr>
      <w:r w:rsidRPr="0024314E">
        <w:rPr>
          <w:rFonts w:ascii="Arial" w:hAnsi="Arial" w:cs="Arial"/>
          <w:sz w:val="24"/>
          <w:szCs w:val="24"/>
        </w:rPr>
        <w:t xml:space="preserve">El Consejo de Estado, en su momento dio aplicación al término de prescripción trienal establecido en la anterior normativa para los derechos que surgen de la declaratoria del contrato realidad. Sin embargo, dicha posición fue replanteada mediante sentencia de la Sección Segunda del 19 de febrero de 2009, a través de la cual dicha Corporación estableció que en los casos relativos a los derechos que surgen como consecuencia de la declaratoria </w:t>
      </w:r>
      <w:r w:rsidR="00D324CB" w:rsidRPr="0024314E">
        <w:rPr>
          <w:rFonts w:ascii="Arial" w:hAnsi="Arial" w:cs="Arial"/>
          <w:sz w:val="24"/>
          <w:szCs w:val="24"/>
        </w:rPr>
        <w:t>del contrato realidad, se debe plantear una excepción a dicha regla como quiera que la prescripción empieza a contabilizarse a partir de la sentencia constitutiva que declara la primacía de la realidad sobre las formas, así:</w:t>
      </w:r>
    </w:p>
    <w:p w:rsidR="00D324CB" w:rsidRPr="0024314E" w:rsidRDefault="00D324CB" w:rsidP="00D63644">
      <w:pPr>
        <w:autoSpaceDE w:val="0"/>
        <w:autoSpaceDN w:val="0"/>
        <w:adjustRightInd w:val="0"/>
        <w:spacing w:after="0" w:line="276" w:lineRule="auto"/>
        <w:ind w:left="284"/>
        <w:jc w:val="both"/>
        <w:rPr>
          <w:rFonts w:ascii="Arial" w:hAnsi="Arial" w:cs="Arial"/>
          <w:sz w:val="24"/>
          <w:szCs w:val="24"/>
        </w:rPr>
      </w:pPr>
      <w:r w:rsidRPr="0024314E">
        <w:rPr>
          <w:rFonts w:ascii="Arial" w:hAnsi="Arial" w:cs="Arial"/>
          <w:sz w:val="24"/>
          <w:szCs w:val="24"/>
        </w:rPr>
        <w:t>(…)</w:t>
      </w:r>
    </w:p>
    <w:p w:rsidR="00D324CB" w:rsidRPr="0024314E" w:rsidRDefault="00D324CB" w:rsidP="00D63644">
      <w:pPr>
        <w:autoSpaceDE w:val="0"/>
        <w:autoSpaceDN w:val="0"/>
        <w:adjustRightInd w:val="0"/>
        <w:spacing w:after="0" w:line="276" w:lineRule="auto"/>
        <w:ind w:left="284"/>
        <w:jc w:val="both"/>
        <w:rPr>
          <w:rFonts w:ascii="Arial" w:hAnsi="Arial" w:cs="Arial"/>
          <w:sz w:val="24"/>
          <w:szCs w:val="24"/>
        </w:rPr>
      </w:pPr>
      <w:r w:rsidRPr="0024314E">
        <w:rPr>
          <w:rFonts w:ascii="Arial" w:hAnsi="Arial" w:cs="Arial"/>
          <w:sz w:val="24"/>
          <w:szCs w:val="24"/>
        </w:rPr>
        <w:t xml:space="preserve">No obstante lo anterior, en reciente pronunciamiento, el órgano de cierre de la Jurisdicción de lo Contencioso Administrativo señaló: </w:t>
      </w:r>
    </w:p>
    <w:p w:rsidR="006B7DD8" w:rsidRPr="0024314E" w:rsidRDefault="006B7DD8" w:rsidP="00D63644">
      <w:pPr>
        <w:autoSpaceDE w:val="0"/>
        <w:autoSpaceDN w:val="0"/>
        <w:adjustRightInd w:val="0"/>
        <w:spacing w:after="0" w:line="276" w:lineRule="auto"/>
        <w:ind w:left="567"/>
        <w:jc w:val="both"/>
        <w:rPr>
          <w:rFonts w:ascii="Arial" w:hAnsi="Arial" w:cs="Arial"/>
          <w:sz w:val="24"/>
          <w:szCs w:val="24"/>
        </w:rPr>
      </w:pPr>
    </w:p>
    <w:p w:rsidR="00D324CB" w:rsidRPr="0024314E" w:rsidRDefault="00D324CB" w:rsidP="00D63644">
      <w:pPr>
        <w:autoSpaceDE w:val="0"/>
        <w:autoSpaceDN w:val="0"/>
        <w:adjustRightInd w:val="0"/>
        <w:spacing w:after="0" w:line="276" w:lineRule="auto"/>
        <w:ind w:left="567"/>
        <w:jc w:val="both"/>
        <w:rPr>
          <w:rFonts w:ascii="Arial" w:hAnsi="Arial" w:cs="Arial"/>
          <w:b/>
          <w:sz w:val="24"/>
          <w:szCs w:val="24"/>
        </w:rPr>
      </w:pPr>
      <w:r w:rsidRPr="0024314E">
        <w:rPr>
          <w:rFonts w:ascii="Arial" w:hAnsi="Arial" w:cs="Arial"/>
          <w:sz w:val="24"/>
          <w:szCs w:val="24"/>
        </w:rPr>
        <w:t>En esta oportunidad, la Sala debe precisar que si bien la anterior es la tesis que se aplica en la actualidad y, en efecto, se reitera que el derecho a reclamar las prestaciones derivadas de un contrato realidad solo se hace exigible a partir de la sentencia que declara la existencia de la relación laboral; también lo es que el particular debe reclamar de la administración y del juez el reconocimiento de su relación laboral,</w:t>
      </w:r>
      <w:r w:rsidRPr="0024314E">
        <w:rPr>
          <w:rFonts w:ascii="Arial" w:hAnsi="Arial" w:cs="Arial"/>
          <w:b/>
          <w:sz w:val="24"/>
          <w:szCs w:val="24"/>
        </w:rPr>
        <w:t xml:space="preserve"> dentro de un término prudencial que no exceda la prescripción de los derechos que reclama. </w:t>
      </w:r>
    </w:p>
    <w:p w:rsidR="00D324CB" w:rsidRPr="0024314E" w:rsidRDefault="00D324CB" w:rsidP="00D63644">
      <w:pPr>
        <w:autoSpaceDE w:val="0"/>
        <w:autoSpaceDN w:val="0"/>
        <w:adjustRightInd w:val="0"/>
        <w:spacing w:after="0" w:line="276" w:lineRule="auto"/>
        <w:ind w:left="567"/>
        <w:jc w:val="both"/>
        <w:rPr>
          <w:rFonts w:ascii="Arial" w:hAnsi="Arial" w:cs="Arial"/>
          <w:b/>
          <w:sz w:val="24"/>
          <w:szCs w:val="24"/>
        </w:rPr>
      </w:pPr>
    </w:p>
    <w:p w:rsidR="00B44CF0" w:rsidRPr="0024314E" w:rsidRDefault="00D324CB" w:rsidP="00D63644">
      <w:pPr>
        <w:autoSpaceDE w:val="0"/>
        <w:autoSpaceDN w:val="0"/>
        <w:adjustRightInd w:val="0"/>
        <w:spacing w:after="0" w:line="276" w:lineRule="auto"/>
        <w:ind w:left="567"/>
        <w:jc w:val="both"/>
        <w:rPr>
          <w:rFonts w:ascii="Arial" w:hAnsi="Arial" w:cs="Arial"/>
          <w:sz w:val="24"/>
          <w:szCs w:val="24"/>
        </w:rPr>
      </w:pPr>
      <w:r w:rsidRPr="0024314E">
        <w:rPr>
          <w:rFonts w:ascii="Arial" w:hAnsi="Arial" w:cs="Arial"/>
          <w:sz w:val="24"/>
          <w:szCs w:val="24"/>
        </w:rPr>
        <w:t>Lo anterior quiere decir que</w:t>
      </w:r>
      <w:r w:rsidRPr="0024314E">
        <w:rPr>
          <w:rFonts w:ascii="Arial" w:hAnsi="Arial" w:cs="Arial"/>
          <w:b/>
          <w:sz w:val="24"/>
          <w:szCs w:val="24"/>
        </w:rPr>
        <w:t xml:space="preserve"> si finiquitó la relación que inicialmente se pactó como contractual, el interesado debe reclamar la declaración de la existencia de la relación laboral, en un término no mayor de 3 años, so pena de que prescriba el derecho</w:t>
      </w:r>
      <w:r w:rsidRPr="0024314E">
        <w:rPr>
          <w:rFonts w:ascii="Arial" w:hAnsi="Arial" w:cs="Arial"/>
          <w:sz w:val="24"/>
          <w:szCs w:val="24"/>
        </w:rPr>
        <w:t xml:space="preserve"> a reclamar la existencia de la misma y el consecuente pago de las prestaciones que de ella se derivan. </w:t>
      </w:r>
    </w:p>
    <w:p w:rsidR="00B44CF0" w:rsidRPr="0024314E" w:rsidRDefault="00B44CF0" w:rsidP="00D63644">
      <w:pPr>
        <w:autoSpaceDE w:val="0"/>
        <w:autoSpaceDN w:val="0"/>
        <w:adjustRightInd w:val="0"/>
        <w:spacing w:after="0" w:line="276" w:lineRule="auto"/>
        <w:ind w:left="284"/>
        <w:jc w:val="both"/>
        <w:rPr>
          <w:rFonts w:ascii="Arial" w:hAnsi="Arial" w:cs="Arial"/>
          <w:sz w:val="24"/>
          <w:szCs w:val="24"/>
        </w:rPr>
      </w:pPr>
      <w:r w:rsidRPr="0024314E">
        <w:rPr>
          <w:rFonts w:ascii="Arial" w:hAnsi="Arial" w:cs="Arial"/>
          <w:sz w:val="24"/>
          <w:szCs w:val="24"/>
        </w:rPr>
        <w:lastRenderedPageBreak/>
        <w:t>(…)</w:t>
      </w:r>
    </w:p>
    <w:p w:rsidR="0012600B" w:rsidRPr="0024314E" w:rsidRDefault="0012600B" w:rsidP="00D63644">
      <w:pPr>
        <w:autoSpaceDE w:val="0"/>
        <w:autoSpaceDN w:val="0"/>
        <w:adjustRightInd w:val="0"/>
        <w:spacing w:after="0" w:line="276" w:lineRule="auto"/>
        <w:ind w:left="284"/>
        <w:jc w:val="both"/>
        <w:rPr>
          <w:rFonts w:ascii="Arial" w:hAnsi="Arial" w:cs="Arial"/>
          <w:sz w:val="24"/>
          <w:szCs w:val="24"/>
        </w:rPr>
      </w:pPr>
      <w:r w:rsidRPr="0024314E">
        <w:rPr>
          <w:rFonts w:ascii="Arial" w:hAnsi="Arial" w:cs="Arial"/>
          <w:sz w:val="24"/>
          <w:szCs w:val="24"/>
        </w:rPr>
        <w:t xml:space="preserve">En ese orden de ideas, el término para contar la prescripción trienal, en cuanto a la reclamación de derecho tendiente al reconocimiento de la indemnización a título de reparación del daño, empieza a correr a partir del día siguiente a la terminación de plazo fijado en la orden de prestación de servicios, so pena, de que opere dicho fenómeno. </w:t>
      </w:r>
    </w:p>
    <w:p w:rsidR="0012600B" w:rsidRPr="0024314E" w:rsidRDefault="0012600B" w:rsidP="00D63644">
      <w:pPr>
        <w:autoSpaceDE w:val="0"/>
        <w:autoSpaceDN w:val="0"/>
        <w:adjustRightInd w:val="0"/>
        <w:spacing w:after="0" w:line="276" w:lineRule="auto"/>
        <w:ind w:left="284"/>
        <w:jc w:val="both"/>
        <w:rPr>
          <w:rFonts w:ascii="Arial" w:hAnsi="Arial" w:cs="Arial"/>
          <w:sz w:val="24"/>
          <w:szCs w:val="24"/>
        </w:rPr>
      </w:pPr>
      <w:r w:rsidRPr="0024314E">
        <w:rPr>
          <w:rFonts w:ascii="Arial" w:hAnsi="Arial" w:cs="Arial"/>
          <w:sz w:val="24"/>
          <w:szCs w:val="24"/>
        </w:rPr>
        <w:t xml:space="preserve">En el presente caso, la demandante elevó la reclamación administrativa el 6 de agosto de 2013, y </w:t>
      </w:r>
      <w:r w:rsidRPr="0024314E">
        <w:rPr>
          <w:rFonts w:ascii="Arial" w:hAnsi="Arial" w:cs="Arial"/>
          <w:b/>
          <w:sz w:val="24"/>
          <w:szCs w:val="24"/>
        </w:rPr>
        <w:t>se encuentra que en la mayoría de las vinculaciones hubo interrupción del servicio por más de 15 días hábiles</w:t>
      </w:r>
      <w:r w:rsidRPr="0024314E">
        <w:rPr>
          <w:rFonts w:ascii="Arial" w:hAnsi="Arial" w:cs="Arial"/>
          <w:sz w:val="24"/>
          <w:szCs w:val="24"/>
        </w:rPr>
        <w:t xml:space="preserve"> (art. 10 Dcto. 1045 de 1978), </w:t>
      </w:r>
      <w:r w:rsidRPr="0024314E">
        <w:rPr>
          <w:rFonts w:ascii="Arial" w:hAnsi="Arial" w:cs="Arial"/>
          <w:b/>
          <w:sz w:val="24"/>
          <w:szCs w:val="24"/>
        </w:rPr>
        <w:t>es decir, con solución de continuidad</w:t>
      </w:r>
      <w:r w:rsidRPr="0024314E">
        <w:rPr>
          <w:rFonts w:ascii="Arial" w:hAnsi="Arial" w:cs="Arial"/>
          <w:sz w:val="24"/>
          <w:szCs w:val="24"/>
        </w:rPr>
        <w:t xml:space="preserve">, por lo que tales tiempos no se pueden tomar en su integridad sino cada uno en </w:t>
      </w:r>
      <w:r w:rsidR="00F30EED" w:rsidRPr="0024314E">
        <w:rPr>
          <w:rFonts w:ascii="Arial" w:hAnsi="Arial" w:cs="Arial"/>
          <w:sz w:val="24"/>
          <w:szCs w:val="24"/>
        </w:rPr>
        <w:t xml:space="preserve">forma independiente, razón por </w:t>
      </w:r>
      <w:r w:rsidRPr="0024314E">
        <w:rPr>
          <w:rFonts w:ascii="Arial" w:hAnsi="Arial" w:cs="Arial"/>
          <w:sz w:val="24"/>
          <w:szCs w:val="24"/>
        </w:rPr>
        <w:t>l</w:t>
      </w:r>
      <w:r w:rsidR="00F30EED" w:rsidRPr="0024314E">
        <w:rPr>
          <w:rFonts w:ascii="Arial" w:hAnsi="Arial" w:cs="Arial"/>
          <w:sz w:val="24"/>
          <w:szCs w:val="24"/>
        </w:rPr>
        <w:t>a</w:t>
      </w:r>
      <w:r w:rsidRPr="0024314E">
        <w:rPr>
          <w:rFonts w:ascii="Arial" w:hAnsi="Arial" w:cs="Arial"/>
          <w:sz w:val="24"/>
          <w:szCs w:val="24"/>
        </w:rPr>
        <w:t xml:space="preserve"> cual se declarará </w:t>
      </w:r>
      <w:r w:rsidRPr="0024314E">
        <w:rPr>
          <w:rFonts w:ascii="Arial" w:hAnsi="Arial" w:cs="Arial"/>
          <w:sz w:val="24"/>
          <w:szCs w:val="24"/>
          <w:u w:val="single"/>
        </w:rPr>
        <w:t>la prescripción del derecho a que se declare la existencia de la relación laboral respecto al pago de las prestaciones sociales</w:t>
      </w:r>
      <w:r w:rsidRPr="0024314E">
        <w:rPr>
          <w:rFonts w:ascii="Arial" w:hAnsi="Arial" w:cs="Arial"/>
          <w:sz w:val="24"/>
          <w:szCs w:val="24"/>
        </w:rPr>
        <w:t xml:space="preserve"> en cuanto a las vinculaciones contractuales que culminaron antes del 6 de agosto de 2010, por lo que para el presente caso hay lugar a declarar la existencia de la relación laboral para los siguientes contratos de prestación de servicios (adición al contrato 00307 del 12 de noviembre de 2010, 00280 de 14 de febrero de 2011, 000723 del 12 de julio de 2011, 00325 del 31 de enero de 2012 y 001149 del 9 de julio de 2012 y su adición), puesto que culminaron con posterioridad a la anterior fecha, y entre su culminación y la reclamación administrativa no transcurrieron más de tres años. </w:t>
      </w:r>
      <w:r w:rsidR="00C62C94" w:rsidRPr="0024314E">
        <w:rPr>
          <w:rFonts w:ascii="Arial" w:hAnsi="Arial" w:cs="Arial"/>
          <w:sz w:val="24"/>
          <w:szCs w:val="24"/>
        </w:rPr>
        <w:t xml:space="preserve">(Subrayado del texto original). </w:t>
      </w:r>
    </w:p>
    <w:p w:rsidR="006C460D" w:rsidRPr="0024314E" w:rsidRDefault="00C62C94" w:rsidP="00D63644">
      <w:pPr>
        <w:pStyle w:val="Sangradetextonormal"/>
        <w:rPr>
          <w:b w:val="0"/>
          <w:bCs w:val="0"/>
          <w:sz w:val="24"/>
          <w:szCs w:val="24"/>
          <w:lang w:val="es-CO"/>
        </w:rPr>
      </w:pPr>
      <w:r w:rsidRPr="0024314E">
        <w:rPr>
          <w:b w:val="0"/>
          <w:bCs w:val="0"/>
          <w:sz w:val="24"/>
          <w:szCs w:val="24"/>
          <w:lang w:val="es-CO"/>
        </w:rPr>
        <w:t>Entonces, el tribunal</w:t>
      </w:r>
      <w:r w:rsidR="00880C36" w:rsidRPr="0024314E">
        <w:rPr>
          <w:b w:val="0"/>
          <w:bCs w:val="0"/>
          <w:sz w:val="24"/>
          <w:szCs w:val="24"/>
          <w:lang w:val="es-CO"/>
        </w:rPr>
        <w:t xml:space="preserve"> demandado citó la jurisprudencia de la Sección Segunda de la Corporación, que indica que la prescripción</w:t>
      </w:r>
      <w:r w:rsidR="001B177C" w:rsidRPr="0024314E">
        <w:rPr>
          <w:b w:val="0"/>
          <w:bCs w:val="0"/>
          <w:sz w:val="24"/>
          <w:szCs w:val="24"/>
          <w:lang w:val="es-CO"/>
        </w:rPr>
        <w:t>,</w:t>
      </w:r>
      <w:r w:rsidR="00880C36" w:rsidRPr="0024314E">
        <w:rPr>
          <w:b w:val="0"/>
          <w:bCs w:val="0"/>
          <w:sz w:val="24"/>
          <w:szCs w:val="24"/>
          <w:lang w:val="es-CO"/>
        </w:rPr>
        <w:t xml:space="preserve"> </w:t>
      </w:r>
      <w:r w:rsidR="001B177C" w:rsidRPr="0024314E">
        <w:rPr>
          <w:b w:val="0"/>
          <w:bCs w:val="0"/>
          <w:sz w:val="24"/>
          <w:szCs w:val="24"/>
          <w:lang w:val="es-CO"/>
        </w:rPr>
        <w:t xml:space="preserve">en los casos de contrato realidad, </w:t>
      </w:r>
      <w:r w:rsidR="00880C36" w:rsidRPr="0024314E">
        <w:rPr>
          <w:b w:val="0"/>
          <w:bCs w:val="0"/>
          <w:sz w:val="24"/>
          <w:szCs w:val="24"/>
          <w:lang w:val="es-CO"/>
        </w:rPr>
        <w:t>empieza a correr desde la sentencia constitutiva</w:t>
      </w:r>
      <w:r w:rsidR="001B177C" w:rsidRPr="0024314E">
        <w:rPr>
          <w:b w:val="0"/>
          <w:bCs w:val="0"/>
          <w:sz w:val="24"/>
          <w:szCs w:val="24"/>
          <w:lang w:val="es-CO"/>
        </w:rPr>
        <w:t>, esto es, desde el fallo que declara la existencia de la relación laboral</w:t>
      </w:r>
      <w:r w:rsidR="00880C36" w:rsidRPr="0024314E">
        <w:rPr>
          <w:b w:val="0"/>
          <w:bCs w:val="0"/>
          <w:sz w:val="24"/>
          <w:szCs w:val="24"/>
          <w:lang w:val="es-CO"/>
        </w:rPr>
        <w:t xml:space="preserve">. Empero, </w:t>
      </w:r>
      <w:r w:rsidR="00535E98" w:rsidRPr="0024314E">
        <w:rPr>
          <w:b w:val="0"/>
          <w:bCs w:val="0"/>
          <w:sz w:val="24"/>
          <w:szCs w:val="24"/>
          <w:lang w:val="es-CO"/>
        </w:rPr>
        <w:t xml:space="preserve">manifestó </w:t>
      </w:r>
      <w:r w:rsidR="00880C36" w:rsidRPr="0024314E">
        <w:rPr>
          <w:b w:val="0"/>
          <w:bCs w:val="0"/>
          <w:sz w:val="24"/>
          <w:szCs w:val="24"/>
          <w:lang w:val="es-CO"/>
        </w:rPr>
        <w:t xml:space="preserve">que ese criterio había sido aclarado, mediante pronunciamiento posterior, en el sentido de indicar que si bien debía tenerse en cuenta la sentencia constitutiva, eso no relevaba al demandante </w:t>
      </w:r>
      <w:r w:rsidR="001B177C" w:rsidRPr="0024314E">
        <w:rPr>
          <w:b w:val="0"/>
          <w:bCs w:val="0"/>
          <w:sz w:val="24"/>
          <w:szCs w:val="24"/>
          <w:lang w:val="es-CO"/>
        </w:rPr>
        <w:t xml:space="preserve">del deber </w:t>
      </w:r>
      <w:r w:rsidR="00880C36" w:rsidRPr="0024314E">
        <w:rPr>
          <w:b w:val="0"/>
          <w:bCs w:val="0"/>
          <w:sz w:val="24"/>
          <w:szCs w:val="24"/>
          <w:lang w:val="es-CO"/>
        </w:rPr>
        <w:t xml:space="preserve">de </w:t>
      </w:r>
      <w:r w:rsidR="00E71A14" w:rsidRPr="0024314E">
        <w:rPr>
          <w:b w:val="0"/>
          <w:bCs w:val="0"/>
          <w:sz w:val="24"/>
          <w:szCs w:val="24"/>
          <w:lang w:val="es-CO"/>
        </w:rPr>
        <w:t xml:space="preserve">presentar </w:t>
      </w:r>
      <w:r w:rsidR="00880C36" w:rsidRPr="0024314E">
        <w:rPr>
          <w:b w:val="0"/>
          <w:bCs w:val="0"/>
          <w:sz w:val="24"/>
          <w:szCs w:val="24"/>
          <w:lang w:val="es-CO"/>
        </w:rPr>
        <w:t xml:space="preserve">la solicitud, </w:t>
      </w:r>
      <w:r w:rsidR="00535E98" w:rsidRPr="0024314E">
        <w:rPr>
          <w:b w:val="0"/>
          <w:bCs w:val="0"/>
          <w:sz w:val="24"/>
          <w:szCs w:val="24"/>
          <w:lang w:val="es-CO"/>
        </w:rPr>
        <w:t xml:space="preserve">al vencimiento </w:t>
      </w:r>
      <w:r w:rsidR="00880C36" w:rsidRPr="0024314E">
        <w:rPr>
          <w:b w:val="0"/>
          <w:bCs w:val="0"/>
          <w:sz w:val="24"/>
          <w:szCs w:val="24"/>
          <w:lang w:val="es-CO"/>
        </w:rPr>
        <w:t xml:space="preserve">de cada contrato. </w:t>
      </w:r>
    </w:p>
    <w:p w:rsidR="006B7DD8" w:rsidRPr="0024314E" w:rsidRDefault="006B7DD8" w:rsidP="00D63644">
      <w:pPr>
        <w:pStyle w:val="Sangradetextonormal"/>
        <w:rPr>
          <w:b w:val="0"/>
          <w:bCs w:val="0"/>
          <w:sz w:val="24"/>
          <w:szCs w:val="24"/>
          <w:lang w:val="es-CO"/>
        </w:rPr>
      </w:pPr>
    </w:p>
    <w:p w:rsidR="006B7DD8" w:rsidRPr="0024314E" w:rsidRDefault="00880C36" w:rsidP="00D63644">
      <w:pPr>
        <w:pStyle w:val="Sangradetextonormal"/>
        <w:rPr>
          <w:b w:val="0"/>
          <w:bCs w:val="0"/>
          <w:sz w:val="24"/>
          <w:szCs w:val="24"/>
          <w:lang w:val="es-CO"/>
        </w:rPr>
      </w:pPr>
      <w:r w:rsidRPr="0024314E">
        <w:rPr>
          <w:b w:val="0"/>
          <w:bCs w:val="0"/>
          <w:sz w:val="24"/>
          <w:szCs w:val="24"/>
          <w:lang w:val="es-CO"/>
        </w:rPr>
        <w:t xml:space="preserve">Luego, la autoridad demandada concluyó que </w:t>
      </w:r>
      <w:r w:rsidR="00E71A14" w:rsidRPr="0024314E">
        <w:rPr>
          <w:b w:val="0"/>
          <w:bCs w:val="0"/>
          <w:sz w:val="24"/>
          <w:szCs w:val="24"/>
          <w:lang w:val="es-CO"/>
        </w:rPr>
        <w:t>entre los contratos que suscribió la señora Montañez Vargas hubo interrupciones superiores a 15 días hábiles, lo que, a su juicio, implica</w:t>
      </w:r>
      <w:r w:rsidR="00535E98" w:rsidRPr="0024314E">
        <w:rPr>
          <w:b w:val="0"/>
          <w:bCs w:val="0"/>
          <w:sz w:val="24"/>
          <w:szCs w:val="24"/>
          <w:lang w:val="es-CO"/>
        </w:rPr>
        <w:t>ba</w:t>
      </w:r>
      <w:r w:rsidR="00E71A14" w:rsidRPr="0024314E">
        <w:rPr>
          <w:b w:val="0"/>
          <w:bCs w:val="0"/>
          <w:sz w:val="24"/>
          <w:szCs w:val="24"/>
          <w:lang w:val="es-CO"/>
        </w:rPr>
        <w:t xml:space="preserve"> que hubo solución de continuidad, por lo que la actora </w:t>
      </w:r>
      <w:r w:rsidRPr="0024314E">
        <w:rPr>
          <w:b w:val="0"/>
          <w:bCs w:val="0"/>
          <w:sz w:val="24"/>
          <w:szCs w:val="24"/>
          <w:lang w:val="es-CO"/>
        </w:rPr>
        <w:t>debió solicitar</w:t>
      </w:r>
      <w:r w:rsidR="00E71A14" w:rsidRPr="0024314E">
        <w:rPr>
          <w:b w:val="0"/>
          <w:bCs w:val="0"/>
          <w:sz w:val="24"/>
          <w:szCs w:val="24"/>
          <w:lang w:val="es-CO"/>
        </w:rPr>
        <w:t>, dentro del término de prescripción de cada uno,</w:t>
      </w:r>
      <w:r w:rsidRPr="0024314E">
        <w:rPr>
          <w:b w:val="0"/>
          <w:bCs w:val="0"/>
          <w:sz w:val="24"/>
          <w:szCs w:val="24"/>
          <w:lang w:val="es-CO"/>
        </w:rPr>
        <w:t xml:space="preserve"> el reconocimiento de </w:t>
      </w:r>
      <w:r w:rsidR="00E71A14" w:rsidRPr="0024314E">
        <w:rPr>
          <w:b w:val="0"/>
          <w:bCs w:val="0"/>
          <w:sz w:val="24"/>
          <w:szCs w:val="24"/>
          <w:lang w:val="es-CO"/>
        </w:rPr>
        <w:t xml:space="preserve">la relación laboral y de </w:t>
      </w:r>
      <w:r w:rsidRPr="0024314E">
        <w:rPr>
          <w:b w:val="0"/>
          <w:bCs w:val="0"/>
          <w:sz w:val="24"/>
          <w:szCs w:val="24"/>
          <w:lang w:val="es-CO"/>
        </w:rPr>
        <w:t>las prestaciones sociales</w:t>
      </w:r>
      <w:r w:rsidR="00E71A14" w:rsidRPr="0024314E">
        <w:rPr>
          <w:b w:val="0"/>
          <w:bCs w:val="0"/>
          <w:sz w:val="24"/>
          <w:szCs w:val="24"/>
          <w:lang w:val="es-CO"/>
        </w:rPr>
        <w:t xml:space="preserve">. </w:t>
      </w:r>
    </w:p>
    <w:p w:rsidR="007C06CF" w:rsidRPr="0024314E" w:rsidRDefault="007C06CF" w:rsidP="00D63644">
      <w:pPr>
        <w:pStyle w:val="Sangradetextonormal"/>
        <w:rPr>
          <w:b w:val="0"/>
          <w:bCs w:val="0"/>
          <w:sz w:val="24"/>
          <w:szCs w:val="24"/>
          <w:lang w:val="es-CO"/>
        </w:rPr>
      </w:pPr>
    </w:p>
    <w:p w:rsidR="00945F19" w:rsidRPr="0024314E" w:rsidRDefault="008C2DEF" w:rsidP="00D63644">
      <w:pPr>
        <w:pStyle w:val="Sangradetextonormal"/>
        <w:rPr>
          <w:b w:val="0"/>
          <w:sz w:val="24"/>
          <w:szCs w:val="24"/>
        </w:rPr>
      </w:pPr>
      <w:r w:rsidRPr="0024314E">
        <w:rPr>
          <w:b w:val="0"/>
          <w:bCs w:val="0"/>
          <w:sz w:val="24"/>
          <w:szCs w:val="24"/>
          <w:lang w:val="es-CO"/>
        </w:rPr>
        <w:t xml:space="preserve">Respecto </w:t>
      </w:r>
      <w:r w:rsidR="00E95B54" w:rsidRPr="0024314E">
        <w:rPr>
          <w:b w:val="0"/>
          <w:bCs w:val="0"/>
          <w:sz w:val="24"/>
          <w:szCs w:val="24"/>
          <w:lang w:val="es-CO"/>
        </w:rPr>
        <w:t>de la solución de conti</w:t>
      </w:r>
      <w:r w:rsidR="00945F19" w:rsidRPr="0024314E">
        <w:rPr>
          <w:b w:val="0"/>
          <w:bCs w:val="0"/>
          <w:sz w:val="24"/>
          <w:szCs w:val="24"/>
          <w:lang w:val="es-CO"/>
        </w:rPr>
        <w:t xml:space="preserve">nuidad, la demandante alegó que, </w:t>
      </w:r>
      <w:r w:rsidR="00945F19" w:rsidRPr="0024314E">
        <w:rPr>
          <w:b w:val="0"/>
          <w:sz w:val="24"/>
          <w:szCs w:val="24"/>
        </w:rPr>
        <w:t xml:space="preserve">durante la vinculación al Sena, se desempeñó como instructora, por lo que </w:t>
      </w:r>
      <w:r w:rsidR="00A82806" w:rsidRPr="0024314E">
        <w:rPr>
          <w:b w:val="0"/>
          <w:sz w:val="24"/>
          <w:szCs w:val="24"/>
        </w:rPr>
        <w:t xml:space="preserve">la vinculación con la entidad dependía de los periodos académicos y, por contera, las </w:t>
      </w:r>
      <w:r w:rsidR="00945F19" w:rsidRPr="0024314E">
        <w:rPr>
          <w:b w:val="0"/>
          <w:sz w:val="24"/>
          <w:szCs w:val="24"/>
        </w:rPr>
        <w:t>interrupciones</w:t>
      </w:r>
      <w:r w:rsidR="00A82806" w:rsidRPr="0024314E">
        <w:rPr>
          <w:b w:val="0"/>
          <w:sz w:val="24"/>
          <w:szCs w:val="24"/>
        </w:rPr>
        <w:t xml:space="preserve"> que se presentaron entre los contratos </w:t>
      </w:r>
      <w:r w:rsidR="00945F19" w:rsidRPr="0024314E">
        <w:rPr>
          <w:b w:val="0"/>
          <w:sz w:val="24"/>
          <w:szCs w:val="24"/>
        </w:rPr>
        <w:t xml:space="preserve">no desvirtúan la vocación de permanencia del vínculo. Que, por ende, la prescripción debía contabilizarse desde la terminación del último contrato (31 de diciembre de 2012). </w:t>
      </w:r>
    </w:p>
    <w:p w:rsidR="007C06CF" w:rsidRPr="0024314E" w:rsidRDefault="007C06CF" w:rsidP="00D63644">
      <w:pPr>
        <w:pStyle w:val="Sangradetextonormal"/>
        <w:rPr>
          <w:b w:val="0"/>
          <w:bCs w:val="0"/>
          <w:sz w:val="24"/>
          <w:szCs w:val="24"/>
          <w:lang w:val="es-CO"/>
        </w:rPr>
      </w:pPr>
    </w:p>
    <w:p w:rsidR="00B44CF0" w:rsidRPr="0024314E" w:rsidRDefault="007C06CF" w:rsidP="00D63644">
      <w:pPr>
        <w:pStyle w:val="Sangradetextonormal"/>
        <w:rPr>
          <w:b w:val="0"/>
          <w:bCs w:val="0"/>
          <w:sz w:val="24"/>
          <w:szCs w:val="24"/>
          <w:lang w:val="es-CO"/>
        </w:rPr>
      </w:pPr>
      <w:r w:rsidRPr="0024314E">
        <w:rPr>
          <w:b w:val="0"/>
          <w:bCs w:val="0"/>
          <w:sz w:val="24"/>
          <w:szCs w:val="24"/>
          <w:lang w:val="es-CO"/>
        </w:rPr>
        <w:lastRenderedPageBreak/>
        <w:t>Recientemente, l</w:t>
      </w:r>
      <w:r w:rsidR="00B44CF0" w:rsidRPr="0024314E">
        <w:rPr>
          <w:b w:val="0"/>
          <w:bCs w:val="0"/>
          <w:sz w:val="24"/>
          <w:szCs w:val="24"/>
          <w:lang w:val="es-CO"/>
        </w:rPr>
        <w:t xml:space="preserve">a Sección Segunda </w:t>
      </w:r>
      <w:r w:rsidRPr="0024314E">
        <w:rPr>
          <w:b w:val="0"/>
          <w:bCs w:val="0"/>
          <w:sz w:val="24"/>
          <w:szCs w:val="24"/>
          <w:lang w:val="es-CO"/>
        </w:rPr>
        <w:t xml:space="preserve">del Consejo de Estado </w:t>
      </w:r>
      <w:r w:rsidR="00B44CF0" w:rsidRPr="0024314E">
        <w:rPr>
          <w:b w:val="0"/>
          <w:bCs w:val="0"/>
          <w:sz w:val="24"/>
          <w:szCs w:val="24"/>
          <w:lang w:val="es-CO"/>
        </w:rPr>
        <w:t xml:space="preserve">explicó </w:t>
      </w:r>
      <w:r w:rsidR="00A82806" w:rsidRPr="0024314E">
        <w:rPr>
          <w:b w:val="0"/>
          <w:bCs w:val="0"/>
          <w:sz w:val="24"/>
          <w:szCs w:val="24"/>
          <w:lang w:val="es-CO"/>
        </w:rPr>
        <w:t xml:space="preserve">que la jurisprudencia de </w:t>
      </w:r>
      <w:r w:rsidRPr="0024314E">
        <w:rPr>
          <w:b w:val="0"/>
          <w:bCs w:val="0"/>
          <w:sz w:val="24"/>
          <w:szCs w:val="24"/>
          <w:lang w:val="es-CO"/>
        </w:rPr>
        <w:t xml:space="preserve">esa Sala </w:t>
      </w:r>
      <w:r w:rsidR="00D37284" w:rsidRPr="0024314E">
        <w:rPr>
          <w:b w:val="0"/>
          <w:bCs w:val="0"/>
          <w:sz w:val="24"/>
          <w:szCs w:val="24"/>
          <w:lang w:val="es-CO"/>
        </w:rPr>
        <w:t xml:space="preserve">no ha precisado el lapso que debe transcurrir para </w:t>
      </w:r>
      <w:r w:rsidR="00041D5E" w:rsidRPr="0024314E">
        <w:rPr>
          <w:b w:val="0"/>
          <w:bCs w:val="0"/>
          <w:sz w:val="24"/>
          <w:szCs w:val="24"/>
          <w:lang w:val="es-CO"/>
        </w:rPr>
        <w:t>que se entienda que ha habido</w:t>
      </w:r>
      <w:r w:rsidR="00D37284" w:rsidRPr="0024314E">
        <w:rPr>
          <w:b w:val="0"/>
          <w:bCs w:val="0"/>
          <w:sz w:val="24"/>
          <w:szCs w:val="24"/>
          <w:lang w:val="es-CO"/>
        </w:rPr>
        <w:t xml:space="preserve"> solución de continuidad en el vínculo del contratista con la entidad. Que, en algunos casos</w:t>
      </w:r>
      <w:r w:rsidR="008E5EB8" w:rsidRPr="0024314E">
        <w:rPr>
          <w:b w:val="0"/>
          <w:bCs w:val="0"/>
          <w:sz w:val="24"/>
          <w:szCs w:val="24"/>
          <w:lang w:val="es-CO"/>
        </w:rPr>
        <w:t>,</w:t>
      </w:r>
      <w:r w:rsidR="00D37284" w:rsidRPr="0024314E">
        <w:rPr>
          <w:b w:val="0"/>
          <w:bCs w:val="0"/>
          <w:sz w:val="24"/>
          <w:szCs w:val="24"/>
          <w:lang w:val="es-CO"/>
        </w:rPr>
        <w:t xml:space="preserve"> la Corporación </w:t>
      </w:r>
      <w:r w:rsidR="00041D5E" w:rsidRPr="0024314E">
        <w:rPr>
          <w:b w:val="0"/>
          <w:bCs w:val="0"/>
          <w:sz w:val="24"/>
          <w:szCs w:val="24"/>
          <w:lang w:val="es-CO"/>
        </w:rPr>
        <w:t xml:space="preserve">simplemente </w:t>
      </w:r>
      <w:r w:rsidR="00D37284" w:rsidRPr="0024314E">
        <w:rPr>
          <w:b w:val="0"/>
          <w:bCs w:val="0"/>
          <w:sz w:val="24"/>
          <w:szCs w:val="24"/>
          <w:lang w:val="es-CO"/>
        </w:rPr>
        <w:t xml:space="preserve">sostuvo que no había solución de continuidad cuando entre un contrato y otro se presentara un término razonable. </w:t>
      </w:r>
      <w:r w:rsidR="008E5EB8" w:rsidRPr="0024314E">
        <w:rPr>
          <w:b w:val="0"/>
          <w:bCs w:val="0"/>
          <w:sz w:val="24"/>
          <w:szCs w:val="24"/>
          <w:lang w:val="es-CO"/>
        </w:rPr>
        <w:t>Que</w:t>
      </w:r>
      <w:r w:rsidR="00D37284" w:rsidRPr="0024314E">
        <w:rPr>
          <w:b w:val="0"/>
          <w:bCs w:val="0"/>
          <w:sz w:val="24"/>
          <w:szCs w:val="24"/>
          <w:lang w:val="es-CO"/>
        </w:rPr>
        <w:t xml:space="preserve">, </w:t>
      </w:r>
      <w:r w:rsidR="008E5EB8" w:rsidRPr="0024314E">
        <w:rPr>
          <w:b w:val="0"/>
          <w:bCs w:val="0"/>
          <w:sz w:val="24"/>
          <w:szCs w:val="24"/>
          <w:lang w:val="es-CO"/>
        </w:rPr>
        <w:t xml:space="preserve">no obstante, </w:t>
      </w:r>
      <w:r w:rsidR="00D37284" w:rsidRPr="0024314E">
        <w:rPr>
          <w:b w:val="0"/>
          <w:bCs w:val="0"/>
          <w:sz w:val="24"/>
          <w:szCs w:val="24"/>
          <w:lang w:val="es-CO"/>
        </w:rPr>
        <w:t xml:space="preserve">en un pronunciamiento </w:t>
      </w:r>
      <w:r w:rsidR="00041D5E" w:rsidRPr="0024314E">
        <w:rPr>
          <w:b w:val="0"/>
          <w:bCs w:val="0"/>
          <w:sz w:val="24"/>
          <w:szCs w:val="24"/>
          <w:lang w:val="es-CO"/>
        </w:rPr>
        <w:t xml:space="preserve">del 26 de junio de 2016, </w:t>
      </w:r>
      <w:r w:rsidR="00D37284" w:rsidRPr="0024314E">
        <w:rPr>
          <w:b w:val="0"/>
          <w:bCs w:val="0"/>
          <w:sz w:val="24"/>
          <w:szCs w:val="24"/>
          <w:lang w:val="es-CO"/>
        </w:rPr>
        <w:t>señaló que la interrupción no podía ser superior a 15 días</w:t>
      </w:r>
      <w:r w:rsidR="00B44CF0" w:rsidRPr="0024314E">
        <w:rPr>
          <w:rStyle w:val="Refdenotaalpie"/>
          <w:b w:val="0"/>
          <w:bCs w:val="0"/>
          <w:sz w:val="24"/>
          <w:szCs w:val="24"/>
          <w:lang w:val="es-CO"/>
        </w:rPr>
        <w:footnoteReference w:id="12"/>
      </w:r>
      <w:r w:rsidR="00B44CF0" w:rsidRPr="0024314E">
        <w:rPr>
          <w:b w:val="0"/>
          <w:bCs w:val="0"/>
          <w:sz w:val="24"/>
          <w:szCs w:val="24"/>
          <w:lang w:val="es-CO"/>
        </w:rPr>
        <w:t xml:space="preserve">: </w:t>
      </w:r>
    </w:p>
    <w:p w:rsidR="00B44CF0" w:rsidRPr="0024314E" w:rsidRDefault="00B44CF0" w:rsidP="00D63644">
      <w:pPr>
        <w:autoSpaceDE w:val="0"/>
        <w:autoSpaceDN w:val="0"/>
        <w:adjustRightInd w:val="0"/>
        <w:spacing w:after="0" w:line="276" w:lineRule="auto"/>
        <w:ind w:left="284"/>
        <w:jc w:val="both"/>
        <w:rPr>
          <w:rFonts w:ascii="Arial" w:eastAsia="Times New Roman" w:hAnsi="Arial" w:cs="Arial"/>
          <w:sz w:val="24"/>
          <w:szCs w:val="24"/>
          <w:lang w:eastAsia="es-ES"/>
        </w:rPr>
      </w:pPr>
    </w:p>
    <w:p w:rsidR="00A91C2A" w:rsidRPr="0024314E" w:rsidRDefault="00A91C2A" w:rsidP="00D63644">
      <w:pPr>
        <w:autoSpaceDE w:val="0"/>
        <w:autoSpaceDN w:val="0"/>
        <w:adjustRightInd w:val="0"/>
        <w:spacing w:after="0" w:line="276" w:lineRule="auto"/>
        <w:ind w:left="284"/>
        <w:jc w:val="both"/>
        <w:rPr>
          <w:rFonts w:ascii="Arial" w:eastAsia="Times New Roman" w:hAnsi="Arial" w:cs="Arial"/>
          <w:sz w:val="24"/>
          <w:szCs w:val="24"/>
          <w:lang w:eastAsia="es-ES"/>
        </w:rPr>
      </w:pPr>
      <w:r w:rsidRPr="0024314E">
        <w:rPr>
          <w:rFonts w:ascii="Arial" w:eastAsia="Times New Roman" w:hAnsi="Arial" w:cs="Arial"/>
          <w:sz w:val="24"/>
          <w:szCs w:val="24"/>
          <w:lang w:eastAsia="es-ES"/>
        </w:rPr>
        <w:t xml:space="preserve">Así las cosas, la línea jurisprudencial en materia de la aplicación de la primacía de la realidad sobre las formas, en los que se debate la existencia de una relación laboral regida en principio bajo la modalidad de contratos de prestación de servicio, </w:t>
      </w:r>
      <w:r w:rsidRPr="0024314E">
        <w:rPr>
          <w:rFonts w:ascii="Arial" w:eastAsia="Times New Roman" w:hAnsi="Arial" w:cs="Arial"/>
          <w:b/>
          <w:sz w:val="24"/>
          <w:szCs w:val="24"/>
          <w:lang w:eastAsia="es-ES"/>
        </w:rPr>
        <w:t>no se ha encargado de definir  o  precisar el término que se debe tener en cuenta para determinar la pérdida de la solución de continuidad</w:t>
      </w:r>
      <w:r w:rsidRPr="0024314E">
        <w:rPr>
          <w:rFonts w:ascii="Arial" w:eastAsia="Times New Roman" w:hAnsi="Arial" w:cs="Arial"/>
          <w:sz w:val="24"/>
          <w:szCs w:val="24"/>
          <w:lang w:eastAsia="es-ES"/>
        </w:rPr>
        <w:t>, en aquellos contratos de prestación de servicios que se pactan en forma continua y por un tiempo determinado, pero que presentan interrupción en la celebración de uno y otro.</w:t>
      </w:r>
    </w:p>
    <w:p w:rsidR="00A91C2A" w:rsidRPr="0024314E" w:rsidRDefault="00A91C2A" w:rsidP="00D63644">
      <w:pPr>
        <w:autoSpaceDE w:val="0"/>
        <w:autoSpaceDN w:val="0"/>
        <w:adjustRightInd w:val="0"/>
        <w:spacing w:after="0" w:line="276" w:lineRule="auto"/>
        <w:ind w:left="284"/>
        <w:jc w:val="both"/>
        <w:rPr>
          <w:rFonts w:ascii="Arial" w:eastAsia="Times New Roman" w:hAnsi="Arial" w:cs="Arial"/>
          <w:sz w:val="24"/>
          <w:szCs w:val="24"/>
          <w:lang w:eastAsia="es-ES"/>
        </w:rPr>
      </w:pPr>
    </w:p>
    <w:p w:rsidR="00A91C2A" w:rsidRPr="0024314E" w:rsidRDefault="00A91C2A" w:rsidP="00D63644">
      <w:pPr>
        <w:autoSpaceDE w:val="0"/>
        <w:autoSpaceDN w:val="0"/>
        <w:adjustRightInd w:val="0"/>
        <w:spacing w:after="0" w:line="276" w:lineRule="auto"/>
        <w:ind w:left="284"/>
        <w:jc w:val="both"/>
        <w:rPr>
          <w:rFonts w:ascii="Arial" w:eastAsia="Times New Roman" w:hAnsi="Arial" w:cs="Arial"/>
          <w:iCs/>
          <w:sz w:val="24"/>
          <w:szCs w:val="24"/>
          <w:lang w:eastAsia="es-ES"/>
        </w:rPr>
      </w:pPr>
      <w:r w:rsidRPr="0024314E">
        <w:rPr>
          <w:rFonts w:ascii="Arial" w:eastAsia="Times New Roman" w:hAnsi="Arial" w:cs="Arial"/>
          <w:sz w:val="24"/>
          <w:szCs w:val="24"/>
          <w:lang w:eastAsia="es-ES"/>
        </w:rPr>
        <w:t xml:space="preserve">En ese orden, ha considerado la jurisprudencia para algunos casos que, </w:t>
      </w:r>
      <w:r w:rsidRPr="0024314E">
        <w:rPr>
          <w:rFonts w:ascii="Arial" w:eastAsia="Times New Roman" w:hAnsi="Arial" w:cs="Arial"/>
          <w:iCs/>
          <w:sz w:val="24"/>
          <w:szCs w:val="24"/>
          <w:lang w:eastAsia="es-ES"/>
        </w:rPr>
        <w:t xml:space="preserve">en los eventos donde se presentan interrupciones contractuales en virtud del cual, queda cesante el contratista, habrá lugar al reconocimiento de las prestaciones sociales sin solución de continuidad siempre y cuando entre la terminación de una orden de servicio y el inicio de la siguiente haya trascurrido un término razonable, sin definir de manera concreta límite temporal alguno. </w:t>
      </w:r>
      <w:r w:rsidRPr="0024314E">
        <w:rPr>
          <w:rFonts w:ascii="Arial" w:eastAsia="Times New Roman" w:hAnsi="Arial" w:cs="Arial"/>
          <w:b/>
          <w:iCs/>
          <w:sz w:val="24"/>
          <w:szCs w:val="24"/>
          <w:lang w:eastAsia="es-ES"/>
        </w:rPr>
        <w:t>En otra decisión, se estimó que la interrupción presentada no podía ser superior a 15 días</w:t>
      </w:r>
      <w:r w:rsidRPr="0024314E">
        <w:rPr>
          <w:rStyle w:val="Refdenotaalpie"/>
          <w:rFonts w:ascii="Arial" w:eastAsia="Times New Roman" w:hAnsi="Arial" w:cs="Arial"/>
          <w:iCs/>
          <w:sz w:val="24"/>
          <w:szCs w:val="24"/>
          <w:lang w:eastAsia="es-ES"/>
        </w:rPr>
        <w:footnoteReference w:id="13"/>
      </w:r>
      <w:r w:rsidRPr="0024314E">
        <w:rPr>
          <w:rFonts w:ascii="Arial" w:eastAsia="Times New Roman" w:hAnsi="Arial" w:cs="Arial"/>
          <w:iCs/>
          <w:sz w:val="24"/>
          <w:szCs w:val="24"/>
          <w:lang w:eastAsia="es-ES"/>
        </w:rPr>
        <w:t xml:space="preserve">. </w:t>
      </w:r>
    </w:p>
    <w:p w:rsidR="00A91C2A" w:rsidRPr="0024314E" w:rsidRDefault="00A91C2A" w:rsidP="00D63644">
      <w:pPr>
        <w:pStyle w:val="Sangradetextonormal"/>
        <w:rPr>
          <w:b w:val="0"/>
          <w:bCs w:val="0"/>
          <w:sz w:val="24"/>
          <w:szCs w:val="24"/>
          <w:lang w:val="es-CO"/>
        </w:rPr>
      </w:pPr>
    </w:p>
    <w:p w:rsidR="008E5EB8" w:rsidRPr="0024314E" w:rsidRDefault="008E5EB8" w:rsidP="00D63644">
      <w:pPr>
        <w:pStyle w:val="Sangradetextonormal"/>
        <w:rPr>
          <w:b w:val="0"/>
          <w:bCs w:val="0"/>
          <w:sz w:val="24"/>
          <w:szCs w:val="24"/>
          <w:lang w:val="es-CO"/>
        </w:rPr>
      </w:pPr>
      <w:r w:rsidRPr="0024314E">
        <w:rPr>
          <w:b w:val="0"/>
          <w:bCs w:val="0"/>
          <w:sz w:val="24"/>
          <w:szCs w:val="24"/>
          <w:lang w:val="es-CO"/>
        </w:rPr>
        <w:t xml:space="preserve">Conforme con lo expuesto, es evidente que, respecto de la prescripción en los casos de contrato realidad, han existido criterios dispares en la Sección Segunda de la Corporación, por lo que, al no existir un criterio uniforme, no puede afirmarse que la sentencia el 5 de mayo de 2016 haya incurrido en el desconocimiento del precedente alegado en la tutela. De hecho, la sentencia de unificación sobre la materia fue expedida el 25 de agosto de 2016, esto es, más de tres meses después </w:t>
      </w:r>
      <w:r w:rsidR="00535E98" w:rsidRPr="0024314E">
        <w:rPr>
          <w:b w:val="0"/>
          <w:bCs w:val="0"/>
          <w:sz w:val="24"/>
          <w:szCs w:val="24"/>
          <w:lang w:val="es-CO"/>
        </w:rPr>
        <w:t xml:space="preserve">de </w:t>
      </w:r>
      <w:r w:rsidRPr="0024314E">
        <w:rPr>
          <w:b w:val="0"/>
          <w:bCs w:val="0"/>
          <w:sz w:val="24"/>
          <w:szCs w:val="24"/>
          <w:lang w:val="es-CO"/>
        </w:rPr>
        <w:t xml:space="preserve">la providencia </w:t>
      </w:r>
      <w:r w:rsidR="00535E98" w:rsidRPr="0024314E">
        <w:rPr>
          <w:b w:val="0"/>
          <w:bCs w:val="0"/>
          <w:sz w:val="24"/>
          <w:szCs w:val="24"/>
          <w:lang w:val="es-CO"/>
        </w:rPr>
        <w:t xml:space="preserve">que </w:t>
      </w:r>
      <w:r w:rsidRPr="0024314E">
        <w:rPr>
          <w:b w:val="0"/>
          <w:bCs w:val="0"/>
          <w:sz w:val="24"/>
          <w:szCs w:val="24"/>
          <w:lang w:val="es-CO"/>
        </w:rPr>
        <w:t xml:space="preserve">aquí se cuestiona. </w:t>
      </w:r>
    </w:p>
    <w:p w:rsidR="008E5EB8" w:rsidRPr="0024314E" w:rsidRDefault="008E5EB8" w:rsidP="00D63644">
      <w:pPr>
        <w:pStyle w:val="Sangradetextonormal"/>
        <w:rPr>
          <w:b w:val="0"/>
          <w:bCs w:val="0"/>
          <w:sz w:val="24"/>
          <w:szCs w:val="24"/>
          <w:lang w:val="es-CO"/>
        </w:rPr>
      </w:pPr>
    </w:p>
    <w:p w:rsidR="001379B8" w:rsidRPr="0024314E" w:rsidRDefault="00E51564" w:rsidP="00D63644">
      <w:pPr>
        <w:pStyle w:val="Sangradetextonormal"/>
        <w:rPr>
          <w:b w:val="0"/>
          <w:bCs w:val="0"/>
          <w:sz w:val="24"/>
          <w:szCs w:val="24"/>
          <w:lang w:val="es-CO"/>
        </w:rPr>
      </w:pPr>
      <w:r w:rsidRPr="0024314E">
        <w:rPr>
          <w:b w:val="0"/>
          <w:sz w:val="24"/>
          <w:szCs w:val="24"/>
        </w:rPr>
        <w:lastRenderedPageBreak/>
        <w:t xml:space="preserve">Queda resuelto el problema jurídico: </w:t>
      </w:r>
      <w:r w:rsidR="001379B8" w:rsidRPr="0024314E">
        <w:rPr>
          <w:b w:val="0"/>
          <w:bCs w:val="0"/>
          <w:sz w:val="24"/>
          <w:szCs w:val="24"/>
          <w:lang w:val="es-CO"/>
        </w:rPr>
        <w:t xml:space="preserve">la sentencia del 5 de mayo de 2016 no </w:t>
      </w:r>
      <w:r w:rsidR="0056186A" w:rsidRPr="0024314E">
        <w:rPr>
          <w:b w:val="0"/>
          <w:bCs w:val="0"/>
          <w:sz w:val="24"/>
          <w:szCs w:val="24"/>
          <w:lang w:val="es-CO"/>
        </w:rPr>
        <w:t xml:space="preserve">desconoció </w:t>
      </w:r>
      <w:r w:rsidR="001379B8" w:rsidRPr="0024314E">
        <w:rPr>
          <w:b w:val="0"/>
          <w:bCs w:val="0"/>
          <w:sz w:val="24"/>
          <w:szCs w:val="24"/>
          <w:lang w:val="es-CO"/>
        </w:rPr>
        <w:t xml:space="preserve">el precedente de la Sección Segunda del Consejo de Estado, relacionado con la contabilización del término de prescripción, en los casos en los que se declara la existencia de una relación laboral, generada en virtud de contratos de prestación de servicios. </w:t>
      </w:r>
    </w:p>
    <w:p w:rsidR="001379B8" w:rsidRPr="0024314E" w:rsidRDefault="001379B8" w:rsidP="00D63644">
      <w:pPr>
        <w:pStyle w:val="Sangradetextonormal"/>
        <w:rPr>
          <w:b w:val="0"/>
          <w:bCs w:val="0"/>
          <w:sz w:val="24"/>
          <w:szCs w:val="24"/>
          <w:lang w:val="es-CO"/>
        </w:rPr>
      </w:pPr>
    </w:p>
    <w:p w:rsidR="00C4569A" w:rsidRPr="0024314E" w:rsidRDefault="00C4569A" w:rsidP="00D63644">
      <w:pPr>
        <w:pStyle w:val="Sangradetextonormal"/>
        <w:rPr>
          <w:b w:val="0"/>
          <w:sz w:val="24"/>
          <w:szCs w:val="24"/>
        </w:rPr>
      </w:pPr>
      <w:r w:rsidRPr="0024314E">
        <w:rPr>
          <w:b w:val="0"/>
          <w:sz w:val="24"/>
          <w:szCs w:val="24"/>
        </w:rPr>
        <w:t xml:space="preserve">Todo lo dicho en precedencia lleva a </w:t>
      </w:r>
      <w:r w:rsidR="00FE020A" w:rsidRPr="0024314E">
        <w:rPr>
          <w:b w:val="0"/>
          <w:sz w:val="24"/>
          <w:szCs w:val="24"/>
        </w:rPr>
        <w:t xml:space="preserve">la Sala a </w:t>
      </w:r>
      <w:r w:rsidRPr="0024314E">
        <w:rPr>
          <w:b w:val="0"/>
          <w:sz w:val="24"/>
          <w:szCs w:val="24"/>
        </w:rPr>
        <w:t xml:space="preserve">confirmar la sentencia impugnada, que denegó las pretensiones de la tutela interpuesta por </w:t>
      </w:r>
      <w:r w:rsidR="00507BDE" w:rsidRPr="0024314E">
        <w:rPr>
          <w:b w:val="0"/>
          <w:sz w:val="24"/>
          <w:szCs w:val="24"/>
        </w:rPr>
        <w:t>Elsa Samira Montañez Vargas</w:t>
      </w:r>
      <w:r w:rsidRPr="0024314E">
        <w:rPr>
          <w:b w:val="0"/>
          <w:sz w:val="24"/>
          <w:szCs w:val="24"/>
        </w:rPr>
        <w:t>.</w:t>
      </w:r>
    </w:p>
    <w:p w:rsidR="00B62D04" w:rsidRPr="0024314E" w:rsidRDefault="00B62D04" w:rsidP="00D63644">
      <w:pPr>
        <w:pStyle w:val="Sangradetextonormal"/>
        <w:rPr>
          <w:b w:val="0"/>
          <w:sz w:val="24"/>
          <w:szCs w:val="24"/>
        </w:rPr>
      </w:pPr>
    </w:p>
    <w:p w:rsidR="00FB3C27" w:rsidRPr="0024314E" w:rsidRDefault="004B5DA6" w:rsidP="00D63644">
      <w:pPr>
        <w:pStyle w:val="Sangradetextonormal"/>
        <w:tabs>
          <w:tab w:val="left" w:pos="2655"/>
        </w:tabs>
        <w:rPr>
          <w:b w:val="0"/>
          <w:sz w:val="24"/>
          <w:szCs w:val="24"/>
        </w:rPr>
      </w:pPr>
      <w:r w:rsidRPr="0024314E">
        <w:rPr>
          <w:b w:val="0"/>
          <w:sz w:val="24"/>
          <w:szCs w:val="24"/>
        </w:rPr>
        <w:t>Por lo expuesto, el Consejo de Estado, Sala de lo Contencioso Administrativo, Sección Cuarta, administrando justicia en nombre de la República y por autoridad de la ley,</w:t>
      </w:r>
    </w:p>
    <w:p w:rsidR="00080409" w:rsidRPr="0024314E" w:rsidRDefault="00080409" w:rsidP="00D63644">
      <w:pPr>
        <w:pStyle w:val="Sangradetextonormal"/>
        <w:tabs>
          <w:tab w:val="left" w:pos="2655"/>
        </w:tabs>
        <w:rPr>
          <w:b w:val="0"/>
          <w:sz w:val="24"/>
          <w:szCs w:val="24"/>
        </w:rPr>
      </w:pPr>
    </w:p>
    <w:p w:rsidR="004B5DA6" w:rsidRPr="0024314E" w:rsidRDefault="005E6422" w:rsidP="00D63644">
      <w:pPr>
        <w:spacing w:after="0" w:line="360" w:lineRule="auto"/>
        <w:jc w:val="center"/>
        <w:rPr>
          <w:rFonts w:ascii="Arial" w:hAnsi="Arial" w:cs="Arial"/>
          <w:b/>
          <w:bCs/>
          <w:sz w:val="24"/>
          <w:szCs w:val="24"/>
        </w:rPr>
      </w:pPr>
      <w:r w:rsidRPr="0024314E">
        <w:rPr>
          <w:rFonts w:ascii="Arial" w:hAnsi="Arial" w:cs="Arial"/>
          <w:b/>
          <w:bCs/>
          <w:sz w:val="24"/>
          <w:szCs w:val="24"/>
        </w:rPr>
        <w:t xml:space="preserve">III. </w:t>
      </w:r>
      <w:r w:rsidR="004B5DA6" w:rsidRPr="0024314E">
        <w:rPr>
          <w:rFonts w:ascii="Arial" w:hAnsi="Arial" w:cs="Arial"/>
          <w:b/>
          <w:bCs/>
          <w:sz w:val="24"/>
          <w:szCs w:val="24"/>
        </w:rPr>
        <w:t>FALLA</w:t>
      </w:r>
    </w:p>
    <w:p w:rsidR="00CC79AC" w:rsidRPr="0024314E" w:rsidRDefault="00CC79AC" w:rsidP="00D63644">
      <w:pPr>
        <w:pStyle w:val="Sangradetextonormal"/>
        <w:tabs>
          <w:tab w:val="left" w:pos="2655"/>
        </w:tabs>
        <w:rPr>
          <w:b w:val="0"/>
          <w:sz w:val="24"/>
          <w:szCs w:val="24"/>
        </w:rPr>
      </w:pPr>
    </w:p>
    <w:p w:rsidR="00EE7A4F" w:rsidRPr="0024314E" w:rsidRDefault="00CC79AC" w:rsidP="00D63644">
      <w:pPr>
        <w:pStyle w:val="Sangradetextonormal"/>
        <w:widowControl w:val="0"/>
        <w:rPr>
          <w:b w:val="0"/>
          <w:sz w:val="24"/>
          <w:szCs w:val="24"/>
        </w:rPr>
      </w:pPr>
      <w:r w:rsidRPr="0024314E">
        <w:rPr>
          <w:sz w:val="24"/>
          <w:szCs w:val="24"/>
        </w:rPr>
        <w:t xml:space="preserve">1. </w:t>
      </w:r>
      <w:r w:rsidR="00EE7A4F" w:rsidRPr="0024314E">
        <w:rPr>
          <w:sz w:val="24"/>
          <w:szCs w:val="24"/>
        </w:rPr>
        <w:t xml:space="preserve">Confirmar </w:t>
      </w:r>
      <w:r w:rsidR="00EE7A4F" w:rsidRPr="0024314E">
        <w:rPr>
          <w:b w:val="0"/>
          <w:sz w:val="24"/>
          <w:szCs w:val="24"/>
        </w:rPr>
        <w:t xml:space="preserve">la sentencia </w:t>
      </w:r>
      <w:r w:rsidR="00C9069A" w:rsidRPr="0024314E">
        <w:rPr>
          <w:b w:val="0"/>
          <w:sz w:val="24"/>
          <w:szCs w:val="24"/>
        </w:rPr>
        <w:t>impugnada</w:t>
      </w:r>
      <w:r w:rsidR="00EA4CAC" w:rsidRPr="0024314E">
        <w:rPr>
          <w:b w:val="0"/>
          <w:sz w:val="24"/>
          <w:szCs w:val="24"/>
        </w:rPr>
        <w:t>, por las razones expuestas.</w:t>
      </w:r>
    </w:p>
    <w:p w:rsidR="00EE7A4F" w:rsidRPr="0024314E" w:rsidRDefault="00EE7A4F" w:rsidP="00D63644">
      <w:pPr>
        <w:pStyle w:val="Sangradetextonormal"/>
        <w:widowControl w:val="0"/>
        <w:rPr>
          <w:b w:val="0"/>
          <w:sz w:val="24"/>
          <w:szCs w:val="24"/>
        </w:rPr>
      </w:pPr>
    </w:p>
    <w:p w:rsidR="00BD438B" w:rsidRPr="0024314E" w:rsidRDefault="00BD438B" w:rsidP="00D63644">
      <w:pPr>
        <w:pStyle w:val="Sangradetextonormal"/>
        <w:widowControl w:val="0"/>
        <w:rPr>
          <w:b w:val="0"/>
          <w:bCs w:val="0"/>
          <w:color w:val="000000"/>
          <w:sz w:val="24"/>
          <w:szCs w:val="24"/>
          <w:lang w:val="es-CO" w:eastAsia="es-CO"/>
        </w:rPr>
      </w:pPr>
      <w:r w:rsidRPr="0024314E">
        <w:rPr>
          <w:color w:val="000000"/>
          <w:sz w:val="24"/>
          <w:szCs w:val="24"/>
          <w:lang w:val="es-CO" w:eastAsia="es-CO"/>
        </w:rPr>
        <w:t xml:space="preserve">2. Notificar </w:t>
      </w:r>
      <w:r w:rsidRPr="0024314E">
        <w:rPr>
          <w:b w:val="0"/>
          <w:color w:val="000000"/>
          <w:sz w:val="24"/>
          <w:szCs w:val="24"/>
          <w:lang w:val="es-CO" w:eastAsia="es-CO"/>
        </w:rPr>
        <w:t>a las partes por el medio más expedito.</w:t>
      </w:r>
    </w:p>
    <w:p w:rsidR="00BD438B" w:rsidRPr="0024314E" w:rsidRDefault="00BD438B" w:rsidP="00D63644">
      <w:pPr>
        <w:pStyle w:val="Sangradetextonormal"/>
        <w:widowControl w:val="0"/>
        <w:rPr>
          <w:color w:val="000000"/>
          <w:sz w:val="24"/>
          <w:szCs w:val="24"/>
          <w:lang w:val="es-CO" w:eastAsia="es-CO"/>
        </w:rPr>
      </w:pPr>
    </w:p>
    <w:p w:rsidR="00BD438B" w:rsidRPr="0024314E" w:rsidRDefault="00BD438B" w:rsidP="00D63644">
      <w:pPr>
        <w:pStyle w:val="Sangradetextonormal"/>
        <w:widowControl w:val="0"/>
        <w:rPr>
          <w:b w:val="0"/>
          <w:color w:val="000000"/>
          <w:sz w:val="24"/>
          <w:szCs w:val="24"/>
          <w:lang w:val="es-CO" w:eastAsia="es-CO"/>
        </w:rPr>
      </w:pPr>
      <w:r w:rsidRPr="0024314E">
        <w:rPr>
          <w:color w:val="000000"/>
          <w:sz w:val="24"/>
          <w:szCs w:val="24"/>
          <w:lang w:val="es-CO" w:eastAsia="es-CO"/>
        </w:rPr>
        <w:t>3</w:t>
      </w:r>
      <w:r w:rsidRPr="0024314E">
        <w:rPr>
          <w:b w:val="0"/>
          <w:color w:val="000000"/>
          <w:sz w:val="24"/>
          <w:szCs w:val="24"/>
          <w:lang w:val="es-CO" w:eastAsia="es-CO"/>
        </w:rPr>
        <w:t xml:space="preserve">. </w:t>
      </w:r>
      <w:r w:rsidR="009F099C" w:rsidRPr="0024314E">
        <w:rPr>
          <w:color w:val="000000"/>
          <w:sz w:val="24"/>
          <w:szCs w:val="24"/>
          <w:lang w:val="es-CO" w:eastAsia="es-CO"/>
        </w:rPr>
        <w:t>E</w:t>
      </w:r>
      <w:r w:rsidRPr="0024314E">
        <w:rPr>
          <w:color w:val="000000"/>
          <w:sz w:val="24"/>
          <w:szCs w:val="24"/>
          <w:lang w:val="es-CO" w:eastAsia="es-CO"/>
        </w:rPr>
        <w:t>nviar</w:t>
      </w:r>
      <w:r w:rsidRPr="0024314E">
        <w:rPr>
          <w:b w:val="0"/>
          <w:color w:val="000000"/>
          <w:sz w:val="24"/>
          <w:szCs w:val="24"/>
          <w:lang w:val="es-CO" w:eastAsia="es-CO"/>
        </w:rPr>
        <w:t xml:space="preserve"> el expediente a la Corte Constitucional para lo de su cargo. </w:t>
      </w:r>
    </w:p>
    <w:p w:rsidR="007143A8" w:rsidRPr="0024314E" w:rsidRDefault="007143A8" w:rsidP="00D63644">
      <w:pPr>
        <w:pStyle w:val="Sangradetextonormal"/>
        <w:widowControl w:val="0"/>
        <w:rPr>
          <w:color w:val="000000"/>
          <w:sz w:val="24"/>
          <w:szCs w:val="24"/>
          <w:lang w:val="es-CO" w:eastAsia="es-CO"/>
        </w:rPr>
      </w:pPr>
    </w:p>
    <w:p w:rsidR="004B5DA6" w:rsidRPr="0024314E" w:rsidRDefault="004B5DA6" w:rsidP="00D63644">
      <w:pPr>
        <w:pStyle w:val="Sangradetextonormal"/>
        <w:tabs>
          <w:tab w:val="left" w:pos="2655"/>
        </w:tabs>
        <w:rPr>
          <w:b w:val="0"/>
          <w:sz w:val="24"/>
          <w:szCs w:val="24"/>
        </w:rPr>
      </w:pPr>
      <w:r w:rsidRPr="0024314E">
        <w:rPr>
          <w:b w:val="0"/>
          <w:sz w:val="24"/>
          <w:szCs w:val="24"/>
        </w:rPr>
        <w:t>Cópiese, notifíquese y cúmplase.</w:t>
      </w:r>
      <w:r w:rsidR="00227735" w:rsidRPr="0024314E">
        <w:rPr>
          <w:b w:val="0"/>
          <w:sz w:val="24"/>
          <w:szCs w:val="24"/>
        </w:rPr>
        <w:t xml:space="preserve"> </w:t>
      </w:r>
    </w:p>
    <w:p w:rsidR="004B5DA6" w:rsidRPr="0024314E" w:rsidRDefault="004B5DA6" w:rsidP="00D63644">
      <w:pPr>
        <w:pStyle w:val="Sangradetextonormal"/>
        <w:tabs>
          <w:tab w:val="left" w:pos="2655"/>
        </w:tabs>
        <w:rPr>
          <w:b w:val="0"/>
          <w:sz w:val="24"/>
          <w:szCs w:val="24"/>
        </w:rPr>
      </w:pPr>
    </w:p>
    <w:p w:rsidR="004B5DA6" w:rsidRPr="0024314E" w:rsidRDefault="004B5DA6" w:rsidP="00D63644">
      <w:pPr>
        <w:pStyle w:val="Sangradetextonormal"/>
        <w:tabs>
          <w:tab w:val="left" w:pos="2655"/>
        </w:tabs>
        <w:rPr>
          <w:b w:val="0"/>
          <w:sz w:val="24"/>
          <w:szCs w:val="24"/>
        </w:rPr>
      </w:pPr>
      <w:r w:rsidRPr="0024314E">
        <w:rPr>
          <w:b w:val="0"/>
          <w:sz w:val="24"/>
          <w:szCs w:val="24"/>
        </w:rPr>
        <w:t>La anterior providencia fue discutida y aprobada en sesión de la fecha.</w:t>
      </w:r>
    </w:p>
    <w:p w:rsidR="00EC581C" w:rsidRPr="0024314E" w:rsidRDefault="00EC581C" w:rsidP="00D63644">
      <w:pPr>
        <w:spacing w:after="0" w:line="360" w:lineRule="auto"/>
        <w:rPr>
          <w:rFonts w:ascii="Arial" w:eastAsia="Times New Roman" w:hAnsi="Arial" w:cs="Arial"/>
          <w:bCs/>
          <w:sz w:val="24"/>
          <w:szCs w:val="24"/>
          <w:lang w:val="es-ES" w:eastAsia="es-ES"/>
        </w:rPr>
      </w:pPr>
    </w:p>
    <w:p w:rsidR="008D1143" w:rsidRPr="0024314E" w:rsidRDefault="008D1143" w:rsidP="00D63644">
      <w:pPr>
        <w:spacing w:after="0" w:line="360" w:lineRule="auto"/>
        <w:rPr>
          <w:rFonts w:ascii="Arial" w:eastAsia="Times New Roman" w:hAnsi="Arial" w:cs="Arial"/>
          <w:bCs/>
          <w:sz w:val="24"/>
          <w:szCs w:val="24"/>
          <w:lang w:val="es-ES" w:eastAsia="es-ES"/>
        </w:rPr>
      </w:pPr>
    </w:p>
    <w:p w:rsidR="00D63644" w:rsidRPr="0024314E" w:rsidRDefault="00D63644" w:rsidP="00D63644">
      <w:pPr>
        <w:spacing w:after="0" w:line="360" w:lineRule="auto"/>
        <w:rPr>
          <w:rFonts w:ascii="Arial" w:eastAsia="Times New Roman" w:hAnsi="Arial" w:cs="Arial"/>
          <w:bCs/>
          <w:sz w:val="24"/>
          <w:szCs w:val="24"/>
          <w:lang w:val="es-ES" w:eastAsia="es-ES"/>
        </w:rPr>
      </w:pPr>
    </w:p>
    <w:p w:rsidR="00CB14E9" w:rsidRPr="0024314E" w:rsidRDefault="00CB14E9" w:rsidP="00D63644">
      <w:pPr>
        <w:pStyle w:val="Sangradetextonormal"/>
        <w:tabs>
          <w:tab w:val="left" w:pos="2655"/>
        </w:tabs>
        <w:spacing w:line="240" w:lineRule="auto"/>
        <w:jc w:val="center"/>
        <w:rPr>
          <w:sz w:val="24"/>
          <w:szCs w:val="24"/>
          <w:lang w:val="es-CO"/>
        </w:rPr>
      </w:pPr>
      <w:r w:rsidRPr="0024314E">
        <w:rPr>
          <w:sz w:val="24"/>
          <w:szCs w:val="24"/>
          <w:lang w:val="es-CO"/>
        </w:rPr>
        <w:t>STELLA JEANNETTE CARVAJAL BASTO</w:t>
      </w:r>
    </w:p>
    <w:p w:rsidR="00CB14E9" w:rsidRPr="0024314E" w:rsidRDefault="00CB14E9" w:rsidP="00D63644">
      <w:pPr>
        <w:pStyle w:val="Sangradetextonormal"/>
        <w:tabs>
          <w:tab w:val="left" w:pos="2655"/>
        </w:tabs>
        <w:spacing w:line="240" w:lineRule="auto"/>
        <w:jc w:val="center"/>
        <w:rPr>
          <w:b w:val="0"/>
          <w:sz w:val="24"/>
          <w:szCs w:val="24"/>
          <w:lang w:val="es-CO"/>
        </w:rPr>
      </w:pPr>
      <w:r w:rsidRPr="0024314E">
        <w:rPr>
          <w:b w:val="0"/>
          <w:sz w:val="24"/>
          <w:szCs w:val="24"/>
          <w:lang w:val="es-CO"/>
        </w:rPr>
        <w:t>Presidenta de la Sección</w:t>
      </w:r>
    </w:p>
    <w:p w:rsidR="00CB14E9" w:rsidRPr="0024314E" w:rsidRDefault="00CB14E9" w:rsidP="00D63644">
      <w:pPr>
        <w:pStyle w:val="Sangradetextonormal"/>
        <w:tabs>
          <w:tab w:val="left" w:pos="2655"/>
        </w:tabs>
        <w:rPr>
          <w:b w:val="0"/>
          <w:sz w:val="24"/>
          <w:szCs w:val="24"/>
          <w:lang w:val="es-CO"/>
        </w:rPr>
      </w:pPr>
    </w:p>
    <w:p w:rsidR="00CB14E9" w:rsidRPr="0024314E" w:rsidRDefault="00CB14E9" w:rsidP="00D63644">
      <w:pPr>
        <w:pStyle w:val="Sangradetextonormal"/>
        <w:tabs>
          <w:tab w:val="left" w:pos="2655"/>
        </w:tabs>
        <w:rPr>
          <w:b w:val="0"/>
          <w:sz w:val="24"/>
          <w:szCs w:val="24"/>
          <w:lang w:val="es-CO"/>
        </w:rPr>
      </w:pPr>
    </w:p>
    <w:p w:rsidR="00CB14E9" w:rsidRPr="0024314E" w:rsidRDefault="00CB14E9" w:rsidP="00D63644">
      <w:pPr>
        <w:pStyle w:val="Sangradetextonormal"/>
        <w:tabs>
          <w:tab w:val="left" w:pos="2655"/>
        </w:tabs>
        <w:jc w:val="center"/>
        <w:rPr>
          <w:sz w:val="24"/>
          <w:szCs w:val="24"/>
          <w:lang w:val="es-CO"/>
        </w:rPr>
      </w:pPr>
      <w:r w:rsidRPr="0024314E">
        <w:rPr>
          <w:sz w:val="24"/>
          <w:szCs w:val="24"/>
          <w:lang w:val="es-CO"/>
        </w:rPr>
        <w:t xml:space="preserve">MILTON </w:t>
      </w:r>
      <w:r w:rsidR="007143A8" w:rsidRPr="0024314E">
        <w:rPr>
          <w:sz w:val="24"/>
          <w:szCs w:val="24"/>
          <w:lang w:val="es-CO"/>
        </w:rPr>
        <w:t xml:space="preserve">CHAVES </w:t>
      </w:r>
      <w:r w:rsidRPr="0024314E">
        <w:rPr>
          <w:sz w:val="24"/>
          <w:szCs w:val="24"/>
          <w:lang w:val="es-CO"/>
        </w:rPr>
        <w:t>GARCÍA</w:t>
      </w:r>
    </w:p>
    <w:p w:rsidR="00233BC6" w:rsidRPr="0024314E" w:rsidRDefault="00233BC6" w:rsidP="00D63644">
      <w:pPr>
        <w:pStyle w:val="Sangradetextonormal"/>
        <w:tabs>
          <w:tab w:val="left" w:pos="2655"/>
        </w:tabs>
        <w:rPr>
          <w:b w:val="0"/>
          <w:sz w:val="24"/>
          <w:szCs w:val="24"/>
          <w:lang w:val="es-CO"/>
        </w:rPr>
      </w:pPr>
    </w:p>
    <w:p w:rsidR="009E18DC" w:rsidRPr="0024314E" w:rsidRDefault="009E18DC" w:rsidP="00D63644">
      <w:pPr>
        <w:pStyle w:val="Sangradetextonormal"/>
        <w:tabs>
          <w:tab w:val="left" w:pos="2655"/>
        </w:tabs>
        <w:rPr>
          <w:b w:val="0"/>
          <w:sz w:val="24"/>
          <w:szCs w:val="24"/>
          <w:lang w:val="es-CO"/>
        </w:rPr>
      </w:pPr>
    </w:p>
    <w:p w:rsidR="009E18DC" w:rsidRPr="0024314E" w:rsidRDefault="009E18DC" w:rsidP="00D63644">
      <w:pPr>
        <w:pStyle w:val="Sangradetextonormal"/>
        <w:tabs>
          <w:tab w:val="left" w:pos="2655"/>
        </w:tabs>
        <w:jc w:val="center"/>
        <w:rPr>
          <w:b w:val="0"/>
          <w:sz w:val="24"/>
          <w:szCs w:val="24"/>
          <w:lang w:val="es-CO"/>
        </w:rPr>
      </w:pPr>
      <w:r w:rsidRPr="0024314E">
        <w:rPr>
          <w:bCs w:val="0"/>
          <w:sz w:val="24"/>
          <w:szCs w:val="24"/>
          <w:lang w:val="es-CO" w:eastAsia="en-US"/>
        </w:rPr>
        <w:t xml:space="preserve">JULIO </w:t>
      </w:r>
      <w:r w:rsidRPr="0024314E">
        <w:rPr>
          <w:sz w:val="24"/>
          <w:szCs w:val="24"/>
          <w:lang w:val="es-CO"/>
        </w:rPr>
        <w:t>ROBERTO</w:t>
      </w:r>
      <w:r w:rsidRPr="0024314E">
        <w:rPr>
          <w:bCs w:val="0"/>
          <w:sz w:val="24"/>
          <w:szCs w:val="24"/>
          <w:lang w:val="es-CO" w:eastAsia="en-US"/>
        </w:rPr>
        <w:t xml:space="preserve"> PIZA RODRÍGUEZ</w:t>
      </w:r>
    </w:p>
    <w:p w:rsidR="009E18DC" w:rsidRPr="0024314E" w:rsidRDefault="009E18DC" w:rsidP="00D63644">
      <w:pPr>
        <w:pStyle w:val="Sangradetextonormal"/>
        <w:tabs>
          <w:tab w:val="left" w:pos="2655"/>
        </w:tabs>
        <w:rPr>
          <w:b w:val="0"/>
          <w:sz w:val="24"/>
          <w:szCs w:val="24"/>
          <w:lang w:val="es-CO"/>
        </w:rPr>
      </w:pPr>
    </w:p>
    <w:p w:rsidR="00EC581C" w:rsidRPr="0024314E" w:rsidRDefault="00EC581C" w:rsidP="00D63644">
      <w:pPr>
        <w:pStyle w:val="Sangradetextonormal"/>
        <w:tabs>
          <w:tab w:val="left" w:pos="2655"/>
        </w:tabs>
        <w:rPr>
          <w:b w:val="0"/>
          <w:sz w:val="24"/>
          <w:szCs w:val="24"/>
          <w:lang w:val="es-CO"/>
        </w:rPr>
      </w:pPr>
    </w:p>
    <w:p w:rsidR="00A8622F" w:rsidRPr="0024314E" w:rsidRDefault="00CB14E9" w:rsidP="00D63644">
      <w:pPr>
        <w:pStyle w:val="Sangradetextonormal"/>
        <w:tabs>
          <w:tab w:val="left" w:pos="2655"/>
        </w:tabs>
        <w:spacing w:line="240" w:lineRule="auto"/>
        <w:jc w:val="center"/>
        <w:rPr>
          <w:sz w:val="24"/>
          <w:szCs w:val="24"/>
          <w:lang w:val="es-CO"/>
        </w:rPr>
      </w:pPr>
      <w:r w:rsidRPr="0024314E">
        <w:rPr>
          <w:sz w:val="24"/>
          <w:szCs w:val="24"/>
          <w:lang w:val="es-CO"/>
        </w:rPr>
        <w:lastRenderedPageBreak/>
        <w:t>JORGE OCTAVIO RAMÍREZ RAMÍREZ</w:t>
      </w:r>
    </w:p>
    <w:p w:rsidR="00D63644" w:rsidRPr="0024314E" w:rsidRDefault="00D63644" w:rsidP="00D63644">
      <w:pPr>
        <w:pStyle w:val="Sangradetextonormal"/>
        <w:tabs>
          <w:tab w:val="left" w:pos="2655"/>
        </w:tabs>
        <w:spacing w:line="240" w:lineRule="auto"/>
        <w:jc w:val="center"/>
        <w:rPr>
          <w:sz w:val="24"/>
          <w:szCs w:val="24"/>
          <w:lang w:val="es-CO"/>
        </w:rPr>
      </w:pPr>
    </w:p>
    <w:p w:rsidR="00D63644" w:rsidRPr="0024314E" w:rsidRDefault="00D63644" w:rsidP="00D63644">
      <w:pPr>
        <w:pStyle w:val="Sangradetextonormal"/>
        <w:tabs>
          <w:tab w:val="left" w:pos="2655"/>
        </w:tabs>
        <w:spacing w:line="240" w:lineRule="auto"/>
        <w:jc w:val="center"/>
        <w:rPr>
          <w:sz w:val="24"/>
          <w:szCs w:val="24"/>
          <w:lang w:val="es-CO"/>
        </w:rPr>
      </w:pPr>
    </w:p>
    <w:p w:rsidR="00D63644" w:rsidRPr="0024314E" w:rsidRDefault="00D63644" w:rsidP="00D63644">
      <w:pPr>
        <w:pStyle w:val="Encabezado"/>
        <w:tabs>
          <w:tab w:val="clear" w:pos="8838"/>
          <w:tab w:val="right" w:pos="8840"/>
        </w:tabs>
        <w:jc w:val="both"/>
        <w:rPr>
          <w:rFonts w:ascii="Arial" w:hAnsi="Arial" w:cs="Arial"/>
          <w:color w:val="7F7F7F"/>
        </w:rPr>
      </w:pPr>
      <w:r w:rsidRPr="0024314E">
        <w:rPr>
          <w:rFonts w:ascii="Arial" w:hAnsi="Arial" w:cs="Arial"/>
          <w:color w:val="7F7F7F"/>
        </w:rPr>
        <w:t>Folio de firmas de la sentencia dictada en el expediente N°: 11001-03-15-000-2016-03242-01</w:t>
      </w:r>
    </w:p>
    <w:p w:rsidR="00D63644" w:rsidRPr="0024314E" w:rsidRDefault="00D63644" w:rsidP="00D63644">
      <w:pPr>
        <w:pStyle w:val="Sangradetextonormal"/>
        <w:tabs>
          <w:tab w:val="left" w:pos="2655"/>
        </w:tabs>
        <w:spacing w:line="240" w:lineRule="auto"/>
        <w:rPr>
          <w:b w:val="0"/>
          <w:sz w:val="24"/>
          <w:szCs w:val="24"/>
          <w:lang w:val="es-CO"/>
        </w:rPr>
      </w:pPr>
      <w:r w:rsidRPr="0024314E">
        <w:rPr>
          <w:b w:val="0"/>
          <w:color w:val="7F7F7F"/>
          <w:sz w:val="24"/>
          <w:szCs w:val="24"/>
        </w:rPr>
        <w:t>Demandante: Elsa Samira Montañez Vargas</w:t>
      </w:r>
    </w:p>
    <w:sectPr w:rsidR="00D63644" w:rsidRPr="0024314E" w:rsidSect="0024314E">
      <w:headerReference w:type="even" r:id="rId11"/>
      <w:headerReference w:type="default" r:id="rId12"/>
      <w:pgSz w:w="12242" w:h="18722" w:code="14"/>
      <w:pgMar w:top="1701" w:right="1701" w:bottom="1701" w:left="1701"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0761" w:rsidRDefault="00DA0761" w:rsidP="009F7FC6">
      <w:pPr>
        <w:spacing w:after="0" w:line="240" w:lineRule="auto"/>
      </w:pPr>
      <w:r>
        <w:separator/>
      </w:r>
    </w:p>
  </w:endnote>
  <w:endnote w:type="continuationSeparator" w:id="0">
    <w:p w:rsidR="00DA0761" w:rsidRDefault="00DA0761" w:rsidP="009F7F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0761" w:rsidRDefault="00DA0761" w:rsidP="009F7FC6">
      <w:pPr>
        <w:spacing w:after="0" w:line="240" w:lineRule="auto"/>
      </w:pPr>
      <w:r>
        <w:separator/>
      </w:r>
    </w:p>
  </w:footnote>
  <w:footnote w:type="continuationSeparator" w:id="0">
    <w:p w:rsidR="00DA0761" w:rsidRDefault="00DA0761" w:rsidP="009F7FC6">
      <w:pPr>
        <w:spacing w:after="0" w:line="240" w:lineRule="auto"/>
      </w:pPr>
      <w:r>
        <w:continuationSeparator/>
      </w:r>
    </w:p>
  </w:footnote>
  <w:footnote w:id="1">
    <w:p w:rsidR="00430FA6" w:rsidRPr="00B44CF0" w:rsidRDefault="00430FA6" w:rsidP="00941427">
      <w:pPr>
        <w:pStyle w:val="Sinespaciado"/>
        <w:rPr>
          <w:rFonts w:cs="Arial"/>
          <w:szCs w:val="18"/>
        </w:rPr>
      </w:pPr>
      <w:r w:rsidRPr="00B44CF0">
        <w:rPr>
          <w:rStyle w:val="Refdenotaalpie"/>
          <w:rFonts w:cs="Arial"/>
          <w:szCs w:val="18"/>
        </w:rPr>
        <w:footnoteRef/>
      </w:r>
      <w:r w:rsidRPr="00B44CF0">
        <w:rPr>
          <w:rFonts w:cs="Arial"/>
          <w:szCs w:val="18"/>
        </w:rPr>
        <w:t xml:space="preserve"> Folio</w:t>
      </w:r>
      <w:r w:rsidR="00E50976" w:rsidRPr="00B44CF0">
        <w:rPr>
          <w:rFonts w:cs="Arial"/>
          <w:szCs w:val="18"/>
        </w:rPr>
        <w:t>s</w:t>
      </w:r>
      <w:r w:rsidRPr="00B44CF0">
        <w:rPr>
          <w:rFonts w:cs="Arial"/>
          <w:szCs w:val="18"/>
        </w:rPr>
        <w:t xml:space="preserve"> </w:t>
      </w:r>
      <w:r w:rsidR="00E50976" w:rsidRPr="00B44CF0">
        <w:rPr>
          <w:rFonts w:cs="Arial"/>
          <w:szCs w:val="18"/>
        </w:rPr>
        <w:t>30 (reverso) y 31</w:t>
      </w:r>
      <w:r w:rsidR="00CA3C7B" w:rsidRPr="00B44CF0">
        <w:rPr>
          <w:rFonts w:cs="Arial"/>
          <w:szCs w:val="18"/>
        </w:rPr>
        <w:t xml:space="preserve">. </w:t>
      </w:r>
    </w:p>
  </w:footnote>
  <w:footnote w:id="2">
    <w:p w:rsidR="006A7A09" w:rsidRPr="00B44CF0" w:rsidRDefault="006A7A09" w:rsidP="00142E80">
      <w:pPr>
        <w:pStyle w:val="Sinespaciado"/>
        <w:rPr>
          <w:rFonts w:cs="Arial"/>
        </w:rPr>
      </w:pPr>
      <w:r w:rsidRPr="00B44CF0">
        <w:rPr>
          <w:rStyle w:val="Refdenotaalpie"/>
          <w:rFonts w:cs="Arial"/>
        </w:rPr>
        <w:footnoteRef/>
      </w:r>
      <w:r w:rsidRPr="00B44CF0">
        <w:rPr>
          <w:rFonts w:cs="Arial"/>
        </w:rPr>
        <w:t xml:space="preserve"> </w:t>
      </w:r>
      <w:r w:rsidR="00973262" w:rsidRPr="00B44CF0">
        <w:rPr>
          <w:rFonts w:cs="Arial"/>
          <w:szCs w:val="18"/>
        </w:rPr>
        <w:t>Consejo de Estado,</w:t>
      </w:r>
      <w:r w:rsidR="00973262" w:rsidRPr="00B44CF0">
        <w:rPr>
          <w:rFonts w:cs="Arial"/>
        </w:rPr>
        <w:t xml:space="preserve"> Sección Segunda, Subsección A, radicación 47001-23-33-000-2012-00016-01. </w:t>
      </w:r>
    </w:p>
  </w:footnote>
  <w:footnote w:id="3">
    <w:p w:rsidR="00BC429D" w:rsidRPr="00B44CF0" w:rsidRDefault="00BC429D" w:rsidP="00BC429D">
      <w:pPr>
        <w:pStyle w:val="Sinespaciado"/>
        <w:rPr>
          <w:rFonts w:cs="Arial"/>
        </w:rPr>
      </w:pPr>
      <w:r w:rsidRPr="00B44CF0">
        <w:rPr>
          <w:rStyle w:val="Refdenotaalpie"/>
          <w:rFonts w:cs="Arial"/>
        </w:rPr>
        <w:footnoteRef/>
      </w:r>
      <w:r w:rsidRPr="00B44CF0">
        <w:rPr>
          <w:rFonts w:cs="Arial"/>
        </w:rPr>
        <w:t xml:space="preserve"> Autoridad judicial </w:t>
      </w:r>
      <w:r w:rsidRPr="00B44CF0">
        <w:rPr>
          <w:rFonts w:cs="Arial"/>
          <w:szCs w:val="18"/>
        </w:rPr>
        <w:t>que</w:t>
      </w:r>
      <w:r w:rsidRPr="00B44CF0">
        <w:rPr>
          <w:rFonts w:cs="Arial"/>
        </w:rPr>
        <w:t xml:space="preserve"> asumió el conocimiento del proceso, luego de la extinción del Juzgado 18 Administrativo de Descongestión de Bogotá. </w:t>
      </w:r>
    </w:p>
  </w:footnote>
  <w:footnote w:id="4">
    <w:p w:rsidR="00E50976" w:rsidRPr="00B44CF0" w:rsidRDefault="00E50976">
      <w:pPr>
        <w:pStyle w:val="Textonotapie"/>
        <w:rPr>
          <w:rFonts w:cs="Arial"/>
        </w:rPr>
      </w:pPr>
      <w:r w:rsidRPr="00B44CF0">
        <w:rPr>
          <w:rStyle w:val="Refdenotaalpie"/>
          <w:rFonts w:cs="Arial"/>
        </w:rPr>
        <w:footnoteRef/>
      </w:r>
      <w:r w:rsidRPr="00B44CF0">
        <w:rPr>
          <w:rFonts w:cs="Arial"/>
        </w:rPr>
        <w:t xml:space="preserve"> Radicación 20001233100020110014201. </w:t>
      </w:r>
    </w:p>
  </w:footnote>
  <w:footnote w:id="5">
    <w:p w:rsidR="00E50976" w:rsidRPr="00B44CF0" w:rsidRDefault="00E50976" w:rsidP="00E50976">
      <w:pPr>
        <w:pStyle w:val="Sinespaciado"/>
        <w:rPr>
          <w:rFonts w:cs="Arial"/>
        </w:rPr>
      </w:pPr>
      <w:r w:rsidRPr="00B44CF0">
        <w:rPr>
          <w:rStyle w:val="Refdenotaalpie"/>
          <w:rFonts w:cs="Arial"/>
        </w:rPr>
        <w:footnoteRef/>
      </w:r>
      <w:r w:rsidRPr="00B44CF0">
        <w:rPr>
          <w:rFonts w:cs="Arial"/>
        </w:rPr>
        <w:t xml:space="preserve"> Se </w:t>
      </w:r>
      <w:r w:rsidRPr="00B44CF0">
        <w:rPr>
          <w:rFonts w:cs="Arial"/>
          <w:szCs w:val="18"/>
        </w:rPr>
        <w:t>refiere</w:t>
      </w:r>
      <w:r w:rsidRPr="00B44CF0">
        <w:rPr>
          <w:rFonts w:cs="Arial"/>
        </w:rPr>
        <w:t xml:space="preserve"> a la sentencia del 6 de marzo de 2008, radicación 23001-23-31-000-2002-00244-01. </w:t>
      </w:r>
    </w:p>
  </w:footnote>
  <w:footnote w:id="6">
    <w:p w:rsidR="00780863" w:rsidRPr="00B44CF0" w:rsidRDefault="00780863" w:rsidP="00780863">
      <w:pPr>
        <w:pStyle w:val="Sinespaciado"/>
        <w:rPr>
          <w:rFonts w:cs="Arial"/>
        </w:rPr>
      </w:pPr>
      <w:r w:rsidRPr="00B44CF0">
        <w:rPr>
          <w:rStyle w:val="Refdenotaalpie"/>
          <w:rFonts w:cs="Arial"/>
        </w:rPr>
        <w:footnoteRef/>
      </w:r>
      <w:r w:rsidRPr="00B44CF0">
        <w:rPr>
          <w:rFonts w:cs="Arial"/>
        </w:rPr>
        <w:t xml:space="preserve"> </w:t>
      </w:r>
      <w:r w:rsidRPr="00B44CF0">
        <w:rPr>
          <w:rFonts w:cs="Arial"/>
          <w:szCs w:val="18"/>
        </w:rPr>
        <w:t>Sección</w:t>
      </w:r>
      <w:r w:rsidRPr="00B44CF0">
        <w:rPr>
          <w:rFonts w:cs="Arial"/>
        </w:rPr>
        <w:t xml:space="preserve"> Segunda, Sub</w:t>
      </w:r>
      <w:r w:rsidR="00535E98">
        <w:rPr>
          <w:rFonts w:cs="Arial"/>
        </w:rPr>
        <w:t>s</w:t>
      </w:r>
      <w:r w:rsidRPr="00B44CF0">
        <w:rPr>
          <w:rFonts w:cs="Arial"/>
        </w:rPr>
        <w:t xml:space="preserve">ección A, radicación 20001 23 31 000 2011 00142 01 (0131-13). </w:t>
      </w:r>
    </w:p>
  </w:footnote>
  <w:footnote w:id="7">
    <w:p w:rsidR="00596224" w:rsidRPr="00B44CF0" w:rsidRDefault="00596224" w:rsidP="00596224">
      <w:pPr>
        <w:pStyle w:val="Sinespaciado"/>
        <w:rPr>
          <w:rFonts w:cs="Arial"/>
          <w:szCs w:val="18"/>
        </w:rPr>
      </w:pPr>
      <w:r w:rsidRPr="00B44CF0">
        <w:rPr>
          <w:rStyle w:val="Refdenotaalpie"/>
          <w:rFonts w:cs="Arial"/>
          <w:szCs w:val="18"/>
        </w:rPr>
        <w:footnoteRef/>
      </w:r>
      <w:r w:rsidRPr="00B44CF0">
        <w:rPr>
          <w:rFonts w:cs="Arial"/>
          <w:szCs w:val="18"/>
        </w:rPr>
        <w:t xml:space="preserve"> Folios </w:t>
      </w:r>
      <w:r w:rsidR="00E50976" w:rsidRPr="00B44CF0">
        <w:rPr>
          <w:rFonts w:cs="Arial"/>
          <w:szCs w:val="18"/>
        </w:rPr>
        <w:t>41 (reverso)</w:t>
      </w:r>
      <w:r w:rsidRPr="00B44CF0">
        <w:rPr>
          <w:rFonts w:cs="Arial"/>
          <w:szCs w:val="18"/>
        </w:rPr>
        <w:t>.</w:t>
      </w:r>
      <w:r w:rsidR="00E50976" w:rsidRPr="00B44CF0">
        <w:rPr>
          <w:rFonts w:cs="Arial"/>
          <w:szCs w:val="18"/>
        </w:rPr>
        <w:t xml:space="preserve"> </w:t>
      </w:r>
    </w:p>
  </w:footnote>
  <w:footnote w:id="8">
    <w:p w:rsidR="00E50976" w:rsidRPr="00B44CF0" w:rsidRDefault="00E50976" w:rsidP="00E50976">
      <w:pPr>
        <w:pStyle w:val="Sinespaciado"/>
        <w:rPr>
          <w:rFonts w:cs="Arial"/>
        </w:rPr>
      </w:pPr>
      <w:r w:rsidRPr="00B44CF0">
        <w:rPr>
          <w:rStyle w:val="Refdenotaalpie"/>
          <w:rFonts w:cs="Arial"/>
        </w:rPr>
        <w:footnoteRef/>
      </w:r>
      <w:r w:rsidRPr="00B44CF0">
        <w:rPr>
          <w:rFonts w:cs="Arial"/>
        </w:rPr>
        <w:t xml:space="preserve"> </w:t>
      </w:r>
      <w:r w:rsidRPr="00B44CF0">
        <w:rPr>
          <w:rFonts w:cs="Arial"/>
          <w:szCs w:val="18"/>
        </w:rPr>
        <w:t>Folios 42 (reverso).</w:t>
      </w:r>
      <w:r w:rsidR="00CA7A2A" w:rsidRPr="00B44CF0">
        <w:rPr>
          <w:rFonts w:cs="Arial"/>
          <w:szCs w:val="18"/>
        </w:rPr>
        <w:t xml:space="preserve"> </w:t>
      </w:r>
    </w:p>
  </w:footnote>
  <w:footnote w:id="9">
    <w:p w:rsidR="0012600B" w:rsidRPr="00B44CF0" w:rsidRDefault="0012600B">
      <w:pPr>
        <w:pStyle w:val="Textonotapie"/>
        <w:rPr>
          <w:rFonts w:cs="Arial"/>
        </w:rPr>
      </w:pPr>
      <w:r w:rsidRPr="00B44CF0">
        <w:rPr>
          <w:rStyle w:val="Refdenotaalpie"/>
          <w:rFonts w:cs="Arial"/>
        </w:rPr>
        <w:footnoteRef/>
      </w:r>
      <w:r w:rsidRPr="00B44CF0">
        <w:rPr>
          <w:rFonts w:cs="Arial"/>
        </w:rPr>
        <w:t xml:space="preserve"> Radicación 23001-23-33-000-2013-00260-01(0088-15)</w:t>
      </w:r>
      <w:r w:rsidR="00780863" w:rsidRPr="00B44CF0">
        <w:rPr>
          <w:rFonts w:cs="Arial"/>
        </w:rPr>
        <w:t xml:space="preserve"> </w:t>
      </w:r>
      <w:r w:rsidRPr="00B44CF0">
        <w:rPr>
          <w:rFonts w:cs="Arial"/>
        </w:rPr>
        <w:t xml:space="preserve">CE-SUJ2-005-16. </w:t>
      </w:r>
    </w:p>
  </w:footnote>
  <w:footnote w:id="10">
    <w:p w:rsidR="00430FA6" w:rsidRPr="00B44CF0" w:rsidRDefault="00430FA6" w:rsidP="00941427">
      <w:pPr>
        <w:pStyle w:val="Sinespaciado"/>
        <w:rPr>
          <w:rFonts w:cs="Arial"/>
          <w:szCs w:val="18"/>
        </w:rPr>
      </w:pPr>
      <w:r w:rsidRPr="00B44CF0">
        <w:rPr>
          <w:rStyle w:val="Refdenotaalpie"/>
          <w:rFonts w:cs="Arial"/>
          <w:szCs w:val="18"/>
        </w:rPr>
        <w:footnoteRef/>
      </w:r>
      <w:r w:rsidRPr="00B44CF0">
        <w:rPr>
          <w:rFonts w:cs="Arial"/>
          <w:szCs w:val="18"/>
        </w:rPr>
        <w:t xml:space="preserve"> Ver sentencia del 31 de julio de 2012.</w:t>
      </w:r>
    </w:p>
  </w:footnote>
  <w:footnote w:id="11">
    <w:p w:rsidR="00430FA6" w:rsidRPr="00B44CF0" w:rsidRDefault="00430FA6" w:rsidP="00941427">
      <w:pPr>
        <w:pStyle w:val="Sinespaciado"/>
        <w:rPr>
          <w:rFonts w:cs="Arial"/>
          <w:szCs w:val="18"/>
          <w:lang w:val="es-ES_tradnl"/>
        </w:rPr>
      </w:pPr>
      <w:r w:rsidRPr="00B44CF0">
        <w:rPr>
          <w:rFonts w:cs="Arial"/>
          <w:szCs w:val="18"/>
          <w:vertAlign w:val="superscript"/>
        </w:rPr>
        <w:footnoteRef/>
      </w:r>
      <w:r w:rsidRPr="00B44CF0">
        <w:rPr>
          <w:rFonts w:cs="Arial"/>
          <w:szCs w:val="18"/>
          <w:vertAlign w:val="superscript"/>
        </w:rPr>
        <w:t xml:space="preserve"> </w:t>
      </w:r>
      <w:r w:rsidRPr="00B44CF0">
        <w:rPr>
          <w:rFonts w:cs="Arial"/>
          <w:szCs w:val="18"/>
        </w:rPr>
        <w:t>Expediente (IJ) 11001-03-15-000-2012-02201-01.</w:t>
      </w:r>
    </w:p>
  </w:footnote>
  <w:footnote w:id="12">
    <w:p w:rsidR="00B44CF0" w:rsidRPr="00B44CF0" w:rsidRDefault="00B44CF0" w:rsidP="00B44CF0">
      <w:pPr>
        <w:pStyle w:val="Sinespaciado"/>
        <w:rPr>
          <w:rFonts w:cs="Arial"/>
        </w:rPr>
      </w:pPr>
      <w:r w:rsidRPr="00B44CF0">
        <w:rPr>
          <w:rStyle w:val="Refdenotaalpie"/>
          <w:rFonts w:cs="Arial"/>
        </w:rPr>
        <w:footnoteRef/>
      </w:r>
      <w:r w:rsidRPr="00B44CF0">
        <w:rPr>
          <w:rFonts w:cs="Arial"/>
        </w:rPr>
        <w:t xml:space="preserve"> </w:t>
      </w:r>
      <w:r w:rsidRPr="00B44CF0">
        <w:rPr>
          <w:rFonts w:cs="Arial"/>
          <w:szCs w:val="18"/>
        </w:rPr>
        <w:t>Sección</w:t>
      </w:r>
      <w:r w:rsidRPr="00B44CF0">
        <w:rPr>
          <w:rFonts w:cs="Arial"/>
        </w:rPr>
        <w:t xml:space="preserve"> Segunda, </w:t>
      </w:r>
      <w:r w:rsidRPr="00B44CF0">
        <w:rPr>
          <w:rFonts w:cs="Arial"/>
          <w:szCs w:val="18"/>
        </w:rPr>
        <w:t xml:space="preserve">Subsección B, sentencia del 4 de mayo de 2017, radicación </w:t>
      </w:r>
      <w:r w:rsidRPr="00B44CF0">
        <w:rPr>
          <w:rFonts w:cs="Arial"/>
        </w:rPr>
        <w:t xml:space="preserve">08001-23-31-000-2007-00062-01(1736-15). </w:t>
      </w:r>
    </w:p>
  </w:footnote>
  <w:footnote w:id="13">
    <w:p w:rsidR="00A91C2A" w:rsidRPr="00B44CF0" w:rsidRDefault="00A91C2A" w:rsidP="00B44CF0">
      <w:pPr>
        <w:pStyle w:val="Sinespaciado"/>
        <w:rPr>
          <w:rFonts w:cs="Arial"/>
          <w:bCs/>
          <w:iCs/>
          <w:szCs w:val="18"/>
        </w:rPr>
      </w:pPr>
      <w:r w:rsidRPr="00B44CF0">
        <w:rPr>
          <w:rStyle w:val="Refdenotaalpie"/>
          <w:rFonts w:cs="Arial"/>
          <w:szCs w:val="18"/>
        </w:rPr>
        <w:footnoteRef/>
      </w:r>
      <w:r w:rsidRPr="00B44CF0">
        <w:rPr>
          <w:rFonts w:cs="Arial"/>
          <w:szCs w:val="18"/>
        </w:rPr>
        <w:t xml:space="preserve"> </w:t>
      </w:r>
      <w:r w:rsidR="00B44CF0" w:rsidRPr="00B44CF0">
        <w:rPr>
          <w:rFonts w:cs="Arial"/>
          <w:szCs w:val="18"/>
        </w:rPr>
        <w:t xml:space="preserve">Cita original: </w:t>
      </w:r>
      <w:r w:rsidR="00B44CF0" w:rsidRPr="00B44CF0">
        <w:rPr>
          <w:rFonts w:cs="Arial"/>
          <w:i/>
          <w:szCs w:val="18"/>
        </w:rPr>
        <w:t>«</w:t>
      </w:r>
      <w:r w:rsidRPr="00B44CF0">
        <w:rPr>
          <w:rFonts w:cs="Arial"/>
          <w:i/>
          <w:szCs w:val="18"/>
        </w:rPr>
        <w:t xml:space="preserve">Ver sentencia de fecha 26 de junio de 2016, proferida por la Sección Segunda Subsección A, radicado No </w:t>
      </w:r>
      <w:r w:rsidRPr="00B44CF0">
        <w:rPr>
          <w:rFonts w:cs="Arial"/>
          <w:bCs/>
          <w:i/>
          <w:szCs w:val="18"/>
          <w:lang w:val="es-ES_tradnl"/>
        </w:rPr>
        <w:t>68001-23-33-000-2013-00174-01(0881-14) en la cual, se sostuvo lo siguiente: «…</w:t>
      </w:r>
      <w:r w:rsidRPr="00B44CF0">
        <w:rPr>
          <w:rFonts w:cs="Arial"/>
          <w:i/>
          <w:iCs/>
          <w:szCs w:val="18"/>
        </w:rPr>
        <w:t xml:space="preserve"> </w:t>
      </w:r>
      <w:r w:rsidRPr="00B44CF0">
        <w:rPr>
          <w:rFonts w:cs="Arial"/>
          <w:bCs/>
          <w:i/>
          <w:iCs/>
          <w:szCs w:val="18"/>
        </w:rPr>
        <w:t>No sucede lo mismo con los contratos 070 de 2005, 020 de 2006 y 029 de 2007, por cuanto entre la finalización de este último (8 de enero de 2008) y la celebración del siguiente, identificado con el No. 25 de 2008 (1 de febrero de 2008), hubo solución de continuidad</w:t>
      </w:r>
      <w:r w:rsidRPr="00B44CF0">
        <w:rPr>
          <w:rFonts w:cs="Arial"/>
          <w:bCs/>
          <w:i/>
          <w:iCs/>
          <w:szCs w:val="18"/>
          <w:vertAlign w:val="superscript"/>
        </w:rPr>
        <w:footnoteRef/>
      </w:r>
      <w:r w:rsidRPr="00B44CF0">
        <w:rPr>
          <w:rFonts w:cs="Arial"/>
          <w:bCs/>
          <w:i/>
          <w:iCs/>
          <w:szCs w:val="18"/>
        </w:rPr>
        <w:t xml:space="preserve"> por presentarse una interrupción del servicio superior a 15 días hábiles, circunstancia que implicaba que el actor dentro del término de prescripción trienal (hasta el 8 de enero de 2011) debía agotar la vía gubernativa para efectos de reclamar el reconocimiento de los derechos prestacionales generados de los contratos previamente citados y así evitar la prescripción trienal del derecho</w:t>
      </w:r>
      <w:r w:rsidR="00B44CF0" w:rsidRPr="00B44CF0">
        <w:rPr>
          <w:rFonts w:cs="Arial"/>
          <w:bCs/>
          <w:i/>
          <w:iCs/>
          <w:szCs w:val="18"/>
        </w:rPr>
        <w:t>»</w:t>
      </w:r>
      <w:r w:rsidRPr="00B44CF0">
        <w:rPr>
          <w:rFonts w:cs="Arial"/>
          <w:bCs/>
          <w:iCs/>
          <w:szCs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0FA6" w:rsidRDefault="00430FA6" w:rsidP="004B3DB4">
    <w:pPr>
      <w:pStyle w:val="Encabezado"/>
      <w:framePr w:wrap="around" w:vAnchor="text" w:hAnchor="margin" w:xAlign="right" w:y="1"/>
      <w:rPr>
        <w:rStyle w:val="Nmerodepgina"/>
        <w:rFonts w:eastAsia="Calibri"/>
      </w:rPr>
    </w:pPr>
    <w:r>
      <w:rPr>
        <w:rStyle w:val="Nmerodepgina"/>
        <w:rFonts w:eastAsia="Calibri"/>
      </w:rPr>
      <w:fldChar w:fldCharType="begin"/>
    </w:r>
    <w:r>
      <w:rPr>
        <w:rStyle w:val="Nmerodepgina"/>
        <w:rFonts w:eastAsia="Calibri"/>
      </w:rPr>
      <w:instrText xml:space="preserve">PAGE  </w:instrText>
    </w:r>
    <w:r>
      <w:rPr>
        <w:rStyle w:val="Nmerodepgina"/>
        <w:rFonts w:eastAsia="Calibri"/>
      </w:rPr>
      <w:fldChar w:fldCharType="end"/>
    </w:r>
  </w:p>
  <w:p w:rsidR="00430FA6" w:rsidRDefault="00430FA6" w:rsidP="004B3DB4">
    <w:pPr>
      <w:pStyle w:val="Encabezado"/>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BDE" w:rsidRPr="00507BDE" w:rsidRDefault="00507BDE" w:rsidP="004342F0">
    <w:pPr>
      <w:pStyle w:val="Encabezado"/>
      <w:tabs>
        <w:tab w:val="clear" w:pos="8838"/>
        <w:tab w:val="right" w:pos="8840"/>
      </w:tabs>
      <w:jc w:val="both"/>
      <w:rPr>
        <w:rFonts w:ascii="Arial" w:hAnsi="Arial" w:cs="Arial"/>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856268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3F7E5A"/>
    <w:multiLevelType w:val="hybridMultilevel"/>
    <w:tmpl w:val="9154DEE4"/>
    <w:lvl w:ilvl="0" w:tplc="7402E9A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20F235D"/>
    <w:multiLevelType w:val="hybridMultilevel"/>
    <w:tmpl w:val="1722D43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6AB06F5"/>
    <w:multiLevelType w:val="hybridMultilevel"/>
    <w:tmpl w:val="A5FE99B0"/>
    <w:lvl w:ilvl="0" w:tplc="7402E9A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19B1561"/>
    <w:multiLevelType w:val="multilevel"/>
    <w:tmpl w:val="02FCF3C8"/>
    <w:lvl w:ilvl="0">
      <w:start w:val="1"/>
      <w:numFmt w:val="decimal"/>
      <w:lvlText w:val="%1."/>
      <w:lvlJc w:val="left"/>
      <w:pPr>
        <w:ind w:left="1070" w:hanging="360"/>
      </w:pPr>
      <w:rPr>
        <w:rFonts w:hint="default"/>
        <w:b/>
      </w:rPr>
    </w:lvl>
    <w:lvl w:ilvl="1">
      <w:start w:val="1"/>
      <w:numFmt w:val="decimal"/>
      <w:isLgl/>
      <w:lvlText w:val="%1.%2."/>
      <w:lvlJc w:val="left"/>
      <w:pPr>
        <w:ind w:left="1430" w:hanging="720"/>
      </w:pPr>
      <w:rPr>
        <w:rFonts w:hint="default"/>
        <w:b/>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5" w15:restartNumberingAfterBreak="0">
    <w:nsid w:val="134200FC"/>
    <w:multiLevelType w:val="multilevel"/>
    <w:tmpl w:val="F2FAF91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1B15377C"/>
    <w:multiLevelType w:val="multilevel"/>
    <w:tmpl w:val="F7284696"/>
    <w:lvl w:ilvl="0">
      <w:start w:val="1"/>
      <w:numFmt w:val="decimal"/>
      <w:lvlText w:val="%1."/>
      <w:lvlJc w:val="left"/>
      <w:pPr>
        <w:tabs>
          <w:tab w:val="num" w:pos="927"/>
        </w:tabs>
        <w:ind w:left="927" w:hanging="360"/>
      </w:pPr>
    </w:lvl>
    <w:lvl w:ilvl="1">
      <w:start w:val="1"/>
      <w:numFmt w:val="decimal"/>
      <w:isLgl/>
      <w:lvlText w:val="%1.%2."/>
      <w:lvlJc w:val="left"/>
      <w:pPr>
        <w:ind w:left="1287" w:hanging="720"/>
      </w:pPr>
    </w:lvl>
    <w:lvl w:ilvl="2">
      <w:start w:val="1"/>
      <w:numFmt w:val="decimal"/>
      <w:isLgl/>
      <w:lvlText w:val="%1.%2.%3."/>
      <w:lvlJc w:val="left"/>
      <w:pPr>
        <w:ind w:left="1287" w:hanging="720"/>
      </w:pPr>
    </w:lvl>
    <w:lvl w:ilvl="3">
      <w:start w:val="1"/>
      <w:numFmt w:val="decimal"/>
      <w:isLgl/>
      <w:lvlText w:val="%1.%2.%3.%4."/>
      <w:lvlJc w:val="left"/>
      <w:pPr>
        <w:ind w:left="1647" w:hanging="1080"/>
      </w:pPr>
    </w:lvl>
    <w:lvl w:ilvl="4">
      <w:start w:val="1"/>
      <w:numFmt w:val="decimal"/>
      <w:isLgl/>
      <w:lvlText w:val="%1.%2.%3.%4.%5."/>
      <w:lvlJc w:val="left"/>
      <w:pPr>
        <w:ind w:left="1647" w:hanging="1080"/>
      </w:pPr>
    </w:lvl>
    <w:lvl w:ilvl="5">
      <w:start w:val="1"/>
      <w:numFmt w:val="decimal"/>
      <w:isLgl/>
      <w:lvlText w:val="%1.%2.%3.%4.%5.%6."/>
      <w:lvlJc w:val="left"/>
      <w:pPr>
        <w:ind w:left="2007" w:hanging="1440"/>
      </w:pPr>
    </w:lvl>
    <w:lvl w:ilvl="6">
      <w:start w:val="1"/>
      <w:numFmt w:val="decimal"/>
      <w:isLgl/>
      <w:lvlText w:val="%1.%2.%3.%4.%5.%6.%7."/>
      <w:lvlJc w:val="left"/>
      <w:pPr>
        <w:ind w:left="2007" w:hanging="1440"/>
      </w:pPr>
    </w:lvl>
    <w:lvl w:ilvl="7">
      <w:start w:val="1"/>
      <w:numFmt w:val="decimal"/>
      <w:isLgl/>
      <w:lvlText w:val="%1.%2.%3.%4.%5.%6.%7.%8."/>
      <w:lvlJc w:val="left"/>
      <w:pPr>
        <w:ind w:left="2367" w:hanging="1800"/>
      </w:pPr>
    </w:lvl>
    <w:lvl w:ilvl="8">
      <w:start w:val="1"/>
      <w:numFmt w:val="decimal"/>
      <w:isLgl/>
      <w:lvlText w:val="%1.%2.%3.%4.%5.%6.%7.%8.%9."/>
      <w:lvlJc w:val="left"/>
      <w:pPr>
        <w:ind w:left="2727" w:hanging="2160"/>
      </w:pPr>
    </w:lvl>
  </w:abstractNum>
  <w:abstractNum w:abstractNumId="7" w15:restartNumberingAfterBreak="0">
    <w:nsid w:val="1CE356F8"/>
    <w:multiLevelType w:val="hybridMultilevel"/>
    <w:tmpl w:val="0100D3D8"/>
    <w:lvl w:ilvl="0" w:tplc="A2169468">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1DBD2008"/>
    <w:multiLevelType w:val="hybridMultilevel"/>
    <w:tmpl w:val="2C7C1D4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9B7035C"/>
    <w:multiLevelType w:val="hybridMultilevel"/>
    <w:tmpl w:val="F3A49074"/>
    <w:lvl w:ilvl="0" w:tplc="4FCE1EA0">
      <w:start w:val="1"/>
      <w:numFmt w:val="decimal"/>
      <w:lvlText w:val="%1."/>
      <w:lvlJc w:val="left"/>
      <w:pPr>
        <w:ind w:left="1070" w:hanging="360"/>
      </w:pPr>
      <w:rPr>
        <w:rFonts w:hint="default"/>
        <w:b/>
        <w:sz w:val="24"/>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2A024A93"/>
    <w:multiLevelType w:val="hybridMultilevel"/>
    <w:tmpl w:val="7DE073C2"/>
    <w:lvl w:ilvl="0" w:tplc="4F40A94C">
      <w:start w:val="3"/>
      <w:numFmt w:val="decimal"/>
      <w:lvlText w:val="%1."/>
      <w:lvlJc w:val="left"/>
      <w:pPr>
        <w:tabs>
          <w:tab w:val="num" w:pos="927"/>
        </w:tabs>
        <w:ind w:left="927" w:hanging="360"/>
      </w:pPr>
      <w:rPr>
        <w:rFonts w:ascii="Arial" w:hAnsi="Arial" w:cs="Arial" w:hint="default"/>
        <w:b/>
        <w:sz w:val="24"/>
        <w:szCs w:val="24"/>
      </w:rPr>
    </w:lvl>
    <w:lvl w:ilvl="1" w:tplc="0C0A0019">
      <w:start w:val="1"/>
      <w:numFmt w:val="lowerLetter"/>
      <w:lvlText w:val="%2."/>
      <w:lvlJc w:val="left"/>
      <w:pPr>
        <w:tabs>
          <w:tab w:val="num" w:pos="1647"/>
        </w:tabs>
        <w:ind w:left="1647" w:hanging="360"/>
      </w:pPr>
    </w:lvl>
    <w:lvl w:ilvl="2" w:tplc="0C0A001B" w:tentative="1">
      <w:start w:val="1"/>
      <w:numFmt w:val="lowerRoman"/>
      <w:lvlText w:val="%3."/>
      <w:lvlJc w:val="right"/>
      <w:pPr>
        <w:tabs>
          <w:tab w:val="num" w:pos="2367"/>
        </w:tabs>
        <w:ind w:left="2367" w:hanging="180"/>
      </w:pPr>
    </w:lvl>
    <w:lvl w:ilvl="3" w:tplc="0C0A000F" w:tentative="1">
      <w:start w:val="1"/>
      <w:numFmt w:val="decimal"/>
      <w:lvlText w:val="%4."/>
      <w:lvlJc w:val="left"/>
      <w:pPr>
        <w:tabs>
          <w:tab w:val="num" w:pos="3087"/>
        </w:tabs>
        <w:ind w:left="3087" w:hanging="360"/>
      </w:pPr>
    </w:lvl>
    <w:lvl w:ilvl="4" w:tplc="0C0A0019" w:tentative="1">
      <w:start w:val="1"/>
      <w:numFmt w:val="lowerLetter"/>
      <w:lvlText w:val="%5."/>
      <w:lvlJc w:val="left"/>
      <w:pPr>
        <w:tabs>
          <w:tab w:val="num" w:pos="3807"/>
        </w:tabs>
        <w:ind w:left="3807" w:hanging="360"/>
      </w:pPr>
    </w:lvl>
    <w:lvl w:ilvl="5" w:tplc="0C0A001B" w:tentative="1">
      <w:start w:val="1"/>
      <w:numFmt w:val="lowerRoman"/>
      <w:lvlText w:val="%6."/>
      <w:lvlJc w:val="right"/>
      <w:pPr>
        <w:tabs>
          <w:tab w:val="num" w:pos="4527"/>
        </w:tabs>
        <w:ind w:left="4527" w:hanging="180"/>
      </w:pPr>
    </w:lvl>
    <w:lvl w:ilvl="6" w:tplc="0C0A000F" w:tentative="1">
      <w:start w:val="1"/>
      <w:numFmt w:val="decimal"/>
      <w:lvlText w:val="%7."/>
      <w:lvlJc w:val="left"/>
      <w:pPr>
        <w:tabs>
          <w:tab w:val="num" w:pos="5247"/>
        </w:tabs>
        <w:ind w:left="5247" w:hanging="360"/>
      </w:pPr>
    </w:lvl>
    <w:lvl w:ilvl="7" w:tplc="0C0A0019" w:tentative="1">
      <w:start w:val="1"/>
      <w:numFmt w:val="lowerLetter"/>
      <w:lvlText w:val="%8."/>
      <w:lvlJc w:val="left"/>
      <w:pPr>
        <w:tabs>
          <w:tab w:val="num" w:pos="5967"/>
        </w:tabs>
        <w:ind w:left="5967" w:hanging="360"/>
      </w:pPr>
    </w:lvl>
    <w:lvl w:ilvl="8" w:tplc="0C0A001B" w:tentative="1">
      <w:start w:val="1"/>
      <w:numFmt w:val="lowerRoman"/>
      <w:lvlText w:val="%9."/>
      <w:lvlJc w:val="right"/>
      <w:pPr>
        <w:tabs>
          <w:tab w:val="num" w:pos="6687"/>
        </w:tabs>
        <w:ind w:left="6687" w:hanging="180"/>
      </w:pPr>
    </w:lvl>
  </w:abstractNum>
  <w:abstractNum w:abstractNumId="11" w15:restartNumberingAfterBreak="0">
    <w:nsid w:val="34CA5977"/>
    <w:multiLevelType w:val="hybridMultilevel"/>
    <w:tmpl w:val="43CEC3C6"/>
    <w:lvl w:ilvl="0" w:tplc="7402E9A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992C57"/>
    <w:multiLevelType w:val="hybridMultilevel"/>
    <w:tmpl w:val="9D6E29CA"/>
    <w:lvl w:ilvl="0" w:tplc="7402E9A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BA17DB"/>
    <w:multiLevelType w:val="multilevel"/>
    <w:tmpl w:val="35FC83C6"/>
    <w:lvl w:ilvl="0">
      <w:start w:val="1"/>
      <w:numFmt w:val="decimal"/>
      <w:lvlText w:val="%1."/>
      <w:lvlJc w:val="left"/>
      <w:pPr>
        <w:ind w:left="1070" w:hanging="360"/>
      </w:pPr>
      <w:rPr>
        <w:rFonts w:hint="default"/>
        <w:b/>
      </w:rPr>
    </w:lvl>
    <w:lvl w:ilvl="1">
      <w:start w:val="1"/>
      <w:numFmt w:val="decimal"/>
      <w:isLgl/>
      <w:lvlText w:val="%1.%2."/>
      <w:lvlJc w:val="left"/>
      <w:pPr>
        <w:ind w:left="1430" w:hanging="72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14" w15:restartNumberingAfterBreak="0">
    <w:nsid w:val="39187DB7"/>
    <w:multiLevelType w:val="hybridMultilevel"/>
    <w:tmpl w:val="34BC816C"/>
    <w:lvl w:ilvl="0" w:tplc="0C0A0013">
      <w:start w:val="1"/>
      <w:numFmt w:val="upperRoman"/>
      <w:lvlText w:val="%1."/>
      <w:lvlJc w:val="right"/>
      <w:pPr>
        <w:tabs>
          <w:tab w:val="num" w:pos="540"/>
        </w:tabs>
        <w:ind w:left="540" w:hanging="18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9651613"/>
    <w:multiLevelType w:val="multilevel"/>
    <w:tmpl w:val="11182A2C"/>
    <w:lvl w:ilvl="0">
      <w:start w:val="4"/>
      <w:numFmt w:val="decimal"/>
      <w:lvlText w:val="%1"/>
      <w:lvlJc w:val="left"/>
      <w:pPr>
        <w:ind w:left="360" w:hanging="360"/>
      </w:pPr>
      <w:rPr>
        <w:rFonts w:ascii="Arial" w:hAnsi="Arial" w:cs="Arial" w:hint="default"/>
        <w:b/>
      </w:rPr>
    </w:lvl>
    <w:lvl w:ilvl="1">
      <w:start w:val="1"/>
      <w:numFmt w:val="decimal"/>
      <w:lvlText w:val="%1.%2"/>
      <w:lvlJc w:val="left"/>
      <w:pPr>
        <w:ind w:left="360" w:hanging="360"/>
      </w:pPr>
      <w:rPr>
        <w:rFonts w:ascii="Arial" w:hAnsi="Arial" w:cs="Arial" w:hint="default"/>
        <w:b/>
      </w:rPr>
    </w:lvl>
    <w:lvl w:ilvl="2">
      <w:start w:val="1"/>
      <w:numFmt w:val="decimal"/>
      <w:lvlText w:val="%1.%2.%3"/>
      <w:lvlJc w:val="left"/>
      <w:pPr>
        <w:ind w:left="720" w:hanging="720"/>
      </w:pPr>
      <w:rPr>
        <w:rFonts w:ascii="Arial" w:hAnsi="Arial" w:cs="Arial" w:hint="default"/>
        <w:b/>
      </w:rPr>
    </w:lvl>
    <w:lvl w:ilvl="3">
      <w:start w:val="1"/>
      <w:numFmt w:val="decimal"/>
      <w:lvlText w:val="%1.%2.%3.%4"/>
      <w:lvlJc w:val="left"/>
      <w:pPr>
        <w:ind w:left="720" w:hanging="720"/>
      </w:pPr>
      <w:rPr>
        <w:rFonts w:ascii="Arial" w:hAnsi="Arial" w:cs="Arial" w:hint="default"/>
        <w:b/>
      </w:rPr>
    </w:lvl>
    <w:lvl w:ilvl="4">
      <w:start w:val="1"/>
      <w:numFmt w:val="decimal"/>
      <w:lvlText w:val="%1.%2.%3.%4.%5"/>
      <w:lvlJc w:val="left"/>
      <w:pPr>
        <w:ind w:left="1080" w:hanging="1080"/>
      </w:pPr>
      <w:rPr>
        <w:rFonts w:ascii="Arial" w:hAnsi="Arial" w:cs="Arial" w:hint="default"/>
        <w:b/>
      </w:rPr>
    </w:lvl>
    <w:lvl w:ilvl="5">
      <w:start w:val="1"/>
      <w:numFmt w:val="decimal"/>
      <w:lvlText w:val="%1.%2.%3.%4.%5.%6"/>
      <w:lvlJc w:val="left"/>
      <w:pPr>
        <w:ind w:left="1080" w:hanging="1080"/>
      </w:pPr>
      <w:rPr>
        <w:rFonts w:ascii="Arial" w:hAnsi="Arial" w:cs="Arial" w:hint="default"/>
        <w:b/>
      </w:rPr>
    </w:lvl>
    <w:lvl w:ilvl="6">
      <w:start w:val="1"/>
      <w:numFmt w:val="decimal"/>
      <w:lvlText w:val="%1.%2.%3.%4.%5.%6.%7"/>
      <w:lvlJc w:val="left"/>
      <w:pPr>
        <w:ind w:left="1440" w:hanging="1440"/>
      </w:pPr>
      <w:rPr>
        <w:rFonts w:ascii="Arial" w:hAnsi="Arial" w:cs="Arial" w:hint="default"/>
        <w:b/>
      </w:rPr>
    </w:lvl>
    <w:lvl w:ilvl="7">
      <w:start w:val="1"/>
      <w:numFmt w:val="decimal"/>
      <w:lvlText w:val="%1.%2.%3.%4.%5.%6.%7.%8"/>
      <w:lvlJc w:val="left"/>
      <w:pPr>
        <w:ind w:left="1440" w:hanging="1440"/>
      </w:pPr>
      <w:rPr>
        <w:rFonts w:ascii="Arial" w:hAnsi="Arial" w:cs="Arial" w:hint="default"/>
        <w:b/>
      </w:rPr>
    </w:lvl>
    <w:lvl w:ilvl="8">
      <w:start w:val="1"/>
      <w:numFmt w:val="decimal"/>
      <w:lvlText w:val="%1.%2.%3.%4.%5.%6.%7.%8.%9"/>
      <w:lvlJc w:val="left"/>
      <w:pPr>
        <w:ind w:left="1800" w:hanging="1800"/>
      </w:pPr>
      <w:rPr>
        <w:rFonts w:ascii="Arial" w:hAnsi="Arial" w:cs="Arial" w:hint="default"/>
        <w:b/>
      </w:rPr>
    </w:lvl>
  </w:abstractNum>
  <w:abstractNum w:abstractNumId="16" w15:restartNumberingAfterBreak="0">
    <w:nsid w:val="418B2146"/>
    <w:multiLevelType w:val="hybridMultilevel"/>
    <w:tmpl w:val="AC48D04A"/>
    <w:lvl w:ilvl="0" w:tplc="8786954A">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7" w15:restartNumberingAfterBreak="0">
    <w:nsid w:val="419B1172"/>
    <w:multiLevelType w:val="multilevel"/>
    <w:tmpl w:val="6F48910C"/>
    <w:lvl w:ilvl="0">
      <w:start w:val="1"/>
      <w:numFmt w:val="decimal"/>
      <w:lvlText w:val="%1."/>
      <w:lvlJc w:val="left"/>
      <w:pPr>
        <w:tabs>
          <w:tab w:val="num" w:pos="1068"/>
        </w:tabs>
        <w:ind w:left="1068" w:hanging="360"/>
      </w:pPr>
      <w:rPr>
        <w:b/>
      </w:rPr>
    </w:lvl>
    <w:lvl w:ilvl="1">
      <w:start w:val="2"/>
      <w:numFmt w:val="decimal"/>
      <w:isLgl/>
      <w:lvlText w:val="%1.%2"/>
      <w:lvlJc w:val="left"/>
      <w:pPr>
        <w:tabs>
          <w:tab w:val="num" w:pos="1158"/>
        </w:tabs>
        <w:ind w:left="1158" w:hanging="450"/>
      </w:pPr>
    </w:lvl>
    <w:lvl w:ilvl="2">
      <w:start w:val="1"/>
      <w:numFmt w:val="decimal"/>
      <w:isLgl/>
      <w:lvlText w:val="%1.%2.%3"/>
      <w:lvlJc w:val="left"/>
      <w:pPr>
        <w:tabs>
          <w:tab w:val="num" w:pos="1428"/>
        </w:tabs>
        <w:ind w:left="1428" w:hanging="720"/>
      </w:pPr>
    </w:lvl>
    <w:lvl w:ilvl="3">
      <w:start w:val="1"/>
      <w:numFmt w:val="decimal"/>
      <w:isLgl/>
      <w:lvlText w:val="%1.%2.%3.%4"/>
      <w:lvlJc w:val="left"/>
      <w:pPr>
        <w:tabs>
          <w:tab w:val="num" w:pos="1788"/>
        </w:tabs>
        <w:ind w:left="1788" w:hanging="1080"/>
      </w:pPr>
    </w:lvl>
    <w:lvl w:ilvl="4">
      <w:start w:val="1"/>
      <w:numFmt w:val="decimal"/>
      <w:isLgl/>
      <w:lvlText w:val="%1.%2.%3.%4.%5"/>
      <w:lvlJc w:val="left"/>
      <w:pPr>
        <w:tabs>
          <w:tab w:val="num" w:pos="1788"/>
        </w:tabs>
        <w:ind w:left="1788" w:hanging="1080"/>
      </w:pPr>
    </w:lvl>
    <w:lvl w:ilvl="5">
      <w:start w:val="1"/>
      <w:numFmt w:val="decimal"/>
      <w:isLgl/>
      <w:lvlText w:val="%1.%2.%3.%4.%5.%6"/>
      <w:lvlJc w:val="left"/>
      <w:pPr>
        <w:tabs>
          <w:tab w:val="num" w:pos="2148"/>
        </w:tabs>
        <w:ind w:left="2148" w:hanging="1440"/>
      </w:pPr>
    </w:lvl>
    <w:lvl w:ilvl="6">
      <w:start w:val="1"/>
      <w:numFmt w:val="decimal"/>
      <w:isLgl/>
      <w:lvlText w:val="%1.%2.%3.%4.%5.%6.%7"/>
      <w:lvlJc w:val="left"/>
      <w:pPr>
        <w:tabs>
          <w:tab w:val="num" w:pos="2148"/>
        </w:tabs>
        <w:ind w:left="2148" w:hanging="1440"/>
      </w:pPr>
    </w:lvl>
    <w:lvl w:ilvl="7">
      <w:start w:val="1"/>
      <w:numFmt w:val="decimal"/>
      <w:isLgl/>
      <w:lvlText w:val="%1.%2.%3.%4.%5.%6.%7.%8"/>
      <w:lvlJc w:val="left"/>
      <w:pPr>
        <w:tabs>
          <w:tab w:val="num" w:pos="2508"/>
        </w:tabs>
        <w:ind w:left="2508" w:hanging="1800"/>
      </w:pPr>
    </w:lvl>
    <w:lvl w:ilvl="8">
      <w:start w:val="1"/>
      <w:numFmt w:val="decimal"/>
      <w:isLgl/>
      <w:lvlText w:val="%1.%2.%3.%4.%5.%6.%7.%8.%9"/>
      <w:lvlJc w:val="left"/>
      <w:pPr>
        <w:tabs>
          <w:tab w:val="num" w:pos="2508"/>
        </w:tabs>
        <w:ind w:left="2508" w:hanging="1800"/>
      </w:pPr>
    </w:lvl>
  </w:abstractNum>
  <w:abstractNum w:abstractNumId="18" w15:restartNumberingAfterBreak="0">
    <w:nsid w:val="45B73020"/>
    <w:multiLevelType w:val="multilevel"/>
    <w:tmpl w:val="6EC29734"/>
    <w:lvl w:ilvl="0">
      <w:start w:val="1"/>
      <w:numFmt w:val="decimal"/>
      <w:lvlText w:val="%1."/>
      <w:lvlJc w:val="left"/>
      <w:pPr>
        <w:ind w:left="720" w:hanging="360"/>
      </w:pPr>
      <w:rPr>
        <w:rFonts w:hint="default"/>
        <w:b/>
      </w:rPr>
    </w:lvl>
    <w:lvl w:ilvl="1">
      <w:start w:val="1"/>
      <w:numFmt w:val="bullet"/>
      <w:lvlText w:val=""/>
      <w:lvlJc w:val="left"/>
      <w:pPr>
        <w:ind w:left="1080" w:hanging="720"/>
      </w:pPr>
      <w:rPr>
        <w:rFonts w:ascii="Wingdings" w:hAnsi="Wingding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9" w15:restartNumberingAfterBreak="0">
    <w:nsid w:val="46352D45"/>
    <w:multiLevelType w:val="multilevel"/>
    <w:tmpl w:val="A8600B5A"/>
    <w:lvl w:ilvl="0">
      <w:start w:val="1"/>
      <w:numFmt w:val="decimal"/>
      <w:lvlText w:val="%1."/>
      <w:lvlJc w:val="left"/>
      <w:pPr>
        <w:ind w:left="927" w:hanging="360"/>
      </w:pPr>
      <w:rPr>
        <w:rFonts w:hint="default"/>
      </w:rPr>
    </w:lvl>
    <w:lvl w:ilvl="1">
      <w:start w:val="1"/>
      <w:numFmt w:val="decimal"/>
      <w:isLgl/>
      <w:lvlText w:val="%1.%2"/>
      <w:lvlJc w:val="left"/>
      <w:pPr>
        <w:ind w:left="967" w:hanging="40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20" w15:restartNumberingAfterBreak="0">
    <w:nsid w:val="472D5E85"/>
    <w:multiLevelType w:val="hybridMultilevel"/>
    <w:tmpl w:val="9FB4376E"/>
    <w:lvl w:ilvl="0" w:tplc="6D7A3AB4">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4BD910FF"/>
    <w:multiLevelType w:val="hybridMultilevel"/>
    <w:tmpl w:val="506CBF5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50231A7B"/>
    <w:multiLevelType w:val="hybridMultilevel"/>
    <w:tmpl w:val="9DFC55C0"/>
    <w:lvl w:ilvl="0" w:tplc="1428887A">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5A18176E"/>
    <w:multiLevelType w:val="multilevel"/>
    <w:tmpl w:val="FF8E8D3C"/>
    <w:lvl w:ilvl="0">
      <w:start w:val="2"/>
      <w:numFmt w:val="decimal"/>
      <w:lvlText w:val="%1."/>
      <w:lvlJc w:val="left"/>
      <w:pPr>
        <w:ind w:left="390" w:hanging="390"/>
      </w:pPr>
      <w:rPr>
        <w:rFonts w:hint="default"/>
      </w:rPr>
    </w:lvl>
    <w:lvl w:ilvl="1">
      <w:start w:val="1"/>
      <w:numFmt w:val="decimal"/>
      <w:lvlText w:val="%1.%2."/>
      <w:lvlJc w:val="left"/>
      <w:pPr>
        <w:ind w:left="2150" w:hanging="720"/>
      </w:pPr>
      <w:rPr>
        <w:rFonts w:hint="default"/>
      </w:rPr>
    </w:lvl>
    <w:lvl w:ilvl="2">
      <w:start w:val="1"/>
      <w:numFmt w:val="decimal"/>
      <w:lvlText w:val="%1.%2.%3."/>
      <w:lvlJc w:val="left"/>
      <w:pPr>
        <w:ind w:left="3580" w:hanging="720"/>
      </w:pPr>
      <w:rPr>
        <w:rFonts w:hint="default"/>
      </w:rPr>
    </w:lvl>
    <w:lvl w:ilvl="3">
      <w:start w:val="1"/>
      <w:numFmt w:val="decimal"/>
      <w:lvlText w:val="%1.%2.%3.%4."/>
      <w:lvlJc w:val="left"/>
      <w:pPr>
        <w:ind w:left="5370" w:hanging="1080"/>
      </w:pPr>
      <w:rPr>
        <w:rFonts w:hint="default"/>
      </w:rPr>
    </w:lvl>
    <w:lvl w:ilvl="4">
      <w:start w:val="1"/>
      <w:numFmt w:val="decimal"/>
      <w:lvlText w:val="%1.%2.%3.%4.%5."/>
      <w:lvlJc w:val="left"/>
      <w:pPr>
        <w:ind w:left="6800" w:hanging="1080"/>
      </w:pPr>
      <w:rPr>
        <w:rFonts w:hint="default"/>
      </w:rPr>
    </w:lvl>
    <w:lvl w:ilvl="5">
      <w:start w:val="1"/>
      <w:numFmt w:val="decimal"/>
      <w:lvlText w:val="%1.%2.%3.%4.%5.%6."/>
      <w:lvlJc w:val="left"/>
      <w:pPr>
        <w:ind w:left="8590" w:hanging="1440"/>
      </w:pPr>
      <w:rPr>
        <w:rFonts w:hint="default"/>
      </w:rPr>
    </w:lvl>
    <w:lvl w:ilvl="6">
      <w:start w:val="1"/>
      <w:numFmt w:val="decimal"/>
      <w:lvlText w:val="%1.%2.%3.%4.%5.%6.%7."/>
      <w:lvlJc w:val="left"/>
      <w:pPr>
        <w:ind w:left="10020" w:hanging="1440"/>
      </w:pPr>
      <w:rPr>
        <w:rFonts w:hint="default"/>
      </w:rPr>
    </w:lvl>
    <w:lvl w:ilvl="7">
      <w:start w:val="1"/>
      <w:numFmt w:val="decimal"/>
      <w:lvlText w:val="%1.%2.%3.%4.%5.%6.%7.%8."/>
      <w:lvlJc w:val="left"/>
      <w:pPr>
        <w:ind w:left="11810" w:hanging="1800"/>
      </w:pPr>
      <w:rPr>
        <w:rFonts w:hint="default"/>
      </w:rPr>
    </w:lvl>
    <w:lvl w:ilvl="8">
      <w:start w:val="1"/>
      <w:numFmt w:val="decimal"/>
      <w:lvlText w:val="%1.%2.%3.%4.%5.%6.%7.%8.%9."/>
      <w:lvlJc w:val="left"/>
      <w:pPr>
        <w:ind w:left="13600" w:hanging="2160"/>
      </w:pPr>
      <w:rPr>
        <w:rFonts w:hint="default"/>
      </w:rPr>
    </w:lvl>
  </w:abstractNum>
  <w:abstractNum w:abstractNumId="24" w15:restartNumberingAfterBreak="0">
    <w:nsid w:val="609C02B8"/>
    <w:multiLevelType w:val="hybridMultilevel"/>
    <w:tmpl w:val="0772E012"/>
    <w:lvl w:ilvl="0" w:tplc="7402E9A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2CD0E90"/>
    <w:multiLevelType w:val="multilevel"/>
    <w:tmpl w:val="35FC83C6"/>
    <w:lvl w:ilvl="0">
      <w:start w:val="1"/>
      <w:numFmt w:val="decimal"/>
      <w:lvlText w:val="%1."/>
      <w:lvlJc w:val="left"/>
      <w:pPr>
        <w:ind w:left="1070" w:hanging="360"/>
      </w:pPr>
      <w:rPr>
        <w:rFonts w:hint="default"/>
        <w:b/>
      </w:rPr>
    </w:lvl>
    <w:lvl w:ilvl="1">
      <w:start w:val="1"/>
      <w:numFmt w:val="decimal"/>
      <w:isLgl/>
      <w:lvlText w:val="%1.%2."/>
      <w:lvlJc w:val="left"/>
      <w:pPr>
        <w:ind w:left="1430" w:hanging="72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26" w15:restartNumberingAfterBreak="0">
    <w:nsid w:val="667B38F1"/>
    <w:multiLevelType w:val="hybridMultilevel"/>
    <w:tmpl w:val="7DE073C2"/>
    <w:lvl w:ilvl="0" w:tplc="4F40A94C">
      <w:start w:val="3"/>
      <w:numFmt w:val="decimal"/>
      <w:lvlText w:val="%1."/>
      <w:lvlJc w:val="left"/>
      <w:pPr>
        <w:tabs>
          <w:tab w:val="num" w:pos="927"/>
        </w:tabs>
        <w:ind w:left="927" w:hanging="360"/>
      </w:pPr>
      <w:rPr>
        <w:rFonts w:ascii="Arial" w:hAnsi="Arial" w:cs="Arial" w:hint="default"/>
        <w:b/>
        <w:sz w:val="24"/>
        <w:szCs w:val="24"/>
      </w:rPr>
    </w:lvl>
    <w:lvl w:ilvl="1" w:tplc="0C0A0019">
      <w:start w:val="1"/>
      <w:numFmt w:val="lowerLetter"/>
      <w:lvlText w:val="%2."/>
      <w:lvlJc w:val="left"/>
      <w:pPr>
        <w:tabs>
          <w:tab w:val="num" w:pos="1647"/>
        </w:tabs>
        <w:ind w:left="1647" w:hanging="360"/>
      </w:pPr>
    </w:lvl>
    <w:lvl w:ilvl="2" w:tplc="0C0A001B" w:tentative="1">
      <w:start w:val="1"/>
      <w:numFmt w:val="lowerRoman"/>
      <w:lvlText w:val="%3."/>
      <w:lvlJc w:val="right"/>
      <w:pPr>
        <w:tabs>
          <w:tab w:val="num" w:pos="2367"/>
        </w:tabs>
        <w:ind w:left="2367" w:hanging="180"/>
      </w:pPr>
    </w:lvl>
    <w:lvl w:ilvl="3" w:tplc="0C0A000F" w:tentative="1">
      <w:start w:val="1"/>
      <w:numFmt w:val="decimal"/>
      <w:lvlText w:val="%4."/>
      <w:lvlJc w:val="left"/>
      <w:pPr>
        <w:tabs>
          <w:tab w:val="num" w:pos="3087"/>
        </w:tabs>
        <w:ind w:left="3087" w:hanging="360"/>
      </w:pPr>
    </w:lvl>
    <w:lvl w:ilvl="4" w:tplc="0C0A0019" w:tentative="1">
      <w:start w:val="1"/>
      <w:numFmt w:val="lowerLetter"/>
      <w:lvlText w:val="%5."/>
      <w:lvlJc w:val="left"/>
      <w:pPr>
        <w:tabs>
          <w:tab w:val="num" w:pos="3807"/>
        </w:tabs>
        <w:ind w:left="3807" w:hanging="360"/>
      </w:pPr>
    </w:lvl>
    <w:lvl w:ilvl="5" w:tplc="0C0A001B" w:tentative="1">
      <w:start w:val="1"/>
      <w:numFmt w:val="lowerRoman"/>
      <w:lvlText w:val="%6."/>
      <w:lvlJc w:val="right"/>
      <w:pPr>
        <w:tabs>
          <w:tab w:val="num" w:pos="4527"/>
        </w:tabs>
        <w:ind w:left="4527" w:hanging="180"/>
      </w:pPr>
    </w:lvl>
    <w:lvl w:ilvl="6" w:tplc="0C0A000F" w:tentative="1">
      <w:start w:val="1"/>
      <w:numFmt w:val="decimal"/>
      <w:lvlText w:val="%7."/>
      <w:lvlJc w:val="left"/>
      <w:pPr>
        <w:tabs>
          <w:tab w:val="num" w:pos="5247"/>
        </w:tabs>
        <w:ind w:left="5247" w:hanging="360"/>
      </w:pPr>
    </w:lvl>
    <w:lvl w:ilvl="7" w:tplc="0C0A0019" w:tentative="1">
      <w:start w:val="1"/>
      <w:numFmt w:val="lowerLetter"/>
      <w:lvlText w:val="%8."/>
      <w:lvlJc w:val="left"/>
      <w:pPr>
        <w:tabs>
          <w:tab w:val="num" w:pos="5967"/>
        </w:tabs>
        <w:ind w:left="5967" w:hanging="360"/>
      </w:pPr>
    </w:lvl>
    <w:lvl w:ilvl="8" w:tplc="0C0A001B" w:tentative="1">
      <w:start w:val="1"/>
      <w:numFmt w:val="lowerRoman"/>
      <w:lvlText w:val="%9."/>
      <w:lvlJc w:val="right"/>
      <w:pPr>
        <w:tabs>
          <w:tab w:val="num" w:pos="6687"/>
        </w:tabs>
        <w:ind w:left="6687" w:hanging="180"/>
      </w:pPr>
    </w:lvl>
  </w:abstractNum>
  <w:abstractNum w:abstractNumId="27" w15:restartNumberingAfterBreak="0">
    <w:nsid w:val="66D53DA8"/>
    <w:multiLevelType w:val="hybridMultilevel"/>
    <w:tmpl w:val="9A5EA3B0"/>
    <w:lvl w:ilvl="0" w:tplc="EC6C7F56">
      <w:start w:val="3"/>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87943FA"/>
    <w:multiLevelType w:val="multilevel"/>
    <w:tmpl w:val="6EC29734"/>
    <w:lvl w:ilvl="0">
      <w:start w:val="1"/>
      <w:numFmt w:val="decimal"/>
      <w:lvlText w:val="%1."/>
      <w:lvlJc w:val="left"/>
      <w:pPr>
        <w:ind w:left="720" w:hanging="360"/>
      </w:pPr>
      <w:rPr>
        <w:rFonts w:hint="default"/>
        <w:b/>
      </w:rPr>
    </w:lvl>
    <w:lvl w:ilvl="1">
      <w:start w:val="1"/>
      <w:numFmt w:val="bullet"/>
      <w:lvlText w:val=""/>
      <w:lvlJc w:val="left"/>
      <w:pPr>
        <w:ind w:left="1080" w:hanging="720"/>
      </w:pPr>
      <w:rPr>
        <w:rFonts w:ascii="Wingdings" w:hAnsi="Wingding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9" w15:restartNumberingAfterBreak="0">
    <w:nsid w:val="73E32605"/>
    <w:multiLevelType w:val="multilevel"/>
    <w:tmpl w:val="02FCF3C8"/>
    <w:lvl w:ilvl="0">
      <w:start w:val="1"/>
      <w:numFmt w:val="decimal"/>
      <w:lvlText w:val="%1."/>
      <w:lvlJc w:val="left"/>
      <w:pPr>
        <w:ind w:left="1070" w:hanging="360"/>
      </w:pPr>
      <w:rPr>
        <w:rFonts w:hint="default"/>
        <w:b/>
      </w:rPr>
    </w:lvl>
    <w:lvl w:ilvl="1">
      <w:start w:val="1"/>
      <w:numFmt w:val="decimal"/>
      <w:isLgl/>
      <w:lvlText w:val="%1.%2."/>
      <w:lvlJc w:val="left"/>
      <w:pPr>
        <w:ind w:left="1430" w:hanging="720"/>
      </w:pPr>
      <w:rPr>
        <w:rFonts w:hint="default"/>
        <w:b/>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30" w15:restartNumberingAfterBreak="0">
    <w:nsid w:val="75BC75A9"/>
    <w:multiLevelType w:val="hybridMultilevel"/>
    <w:tmpl w:val="2B18B8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6CE0554"/>
    <w:multiLevelType w:val="hybridMultilevel"/>
    <w:tmpl w:val="C02CD5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7084341"/>
    <w:multiLevelType w:val="multilevel"/>
    <w:tmpl w:val="9DA41C1E"/>
    <w:lvl w:ilvl="0">
      <w:start w:val="4"/>
      <w:numFmt w:val="decimal"/>
      <w:lvlText w:val="%1."/>
      <w:lvlJc w:val="left"/>
      <w:pPr>
        <w:ind w:left="400" w:hanging="40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79C544B3"/>
    <w:multiLevelType w:val="hybridMultilevel"/>
    <w:tmpl w:val="B6CE91E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7C496211"/>
    <w:multiLevelType w:val="hybridMultilevel"/>
    <w:tmpl w:val="E0247B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D630D2C"/>
    <w:multiLevelType w:val="hybridMultilevel"/>
    <w:tmpl w:val="E780B0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7F4E2D1B"/>
    <w:multiLevelType w:val="hybridMultilevel"/>
    <w:tmpl w:val="4F223724"/>
    <w:lvl w:ilvl="0" w:tplc="15E8B278">
      <w:start w:val="3"/>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5"/>
  </w:num>
  <w:num w:numId="2">
    <w:abstractNumId w:val="26"/>
  </w:num>
  <w:num w:numId="3">
    <w:abstractNumId w:val="9"/>
  </w:num>
  <w:num w:numId="4">
    <w:abstractNumId w:val="35"/>
  </w:num>
  <w:num w:numId="5">
    <w:abstractNumId w:val="21"/>
  </w:num>
  <w:num w:numId="6">
    <w:abstractNumId w:val="22"/>
  </w:num>
  <w:num w:numId="7">
    <w:abstractNumId w:val="28"/>
  </w:num>
  <w:num w:numId="8">
    <w:abstractNumId w:val="8"/>
  </w:num>
  <w:num w:numId="9">
    <w:abstractNumId w:val="2"/>
  </w:num>
  <w:num w:numId="10">
    <w:abstractNumId w:val="31"/>
  </w:num>
  <w:num w:numId="11">
    <w:abstractNumId w:val="18"/>
  </w:num>
  <w:num w:numId="12">
    <w:abstractNumId w:val="33"/>
  </w:num>
  <w:num w:numId="13">
    <w:abstractNumId w:val="0"/>
  </w:num>
  <w:num w:numId="14">
    <w:abstractNumId w:val="15"/>
  </w:num>
  <w:num w:numId="15">
    <w:abstractNumId w:val="32"/>
  </w:num>
  <w:num w:numId="16">
    <w:abstractNumId w:val="19"/>
  </w:num>
  <w:num w:numId="17">
    <w:abstractNumId w:val="16"/>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num>
  <w:num w:numId="20">
    <w:abstractNumId w:val="36"/>
  </w:num>
  <w:num w:numId="21">
    <w:abstractNumId w:val="20"/>
  </w:num>
  <w:num w:numId="22">
    <w:abstractNumId w:val="3"/>
  </w:num>
  <w:num w:numId="23">
    <w:abstractNumId w:val="12"/>
  </w:num>
  <w:num w:numId="24">
    <w:abstractNumId w:val="11"/>
  </w:num>
  <w:num w:numId="25">
    <w:abstractNumId w:val="24"/>
  </w:num>
  <w:num w:numId="26">
    <w:abstractNumId w:val="1"/>
  </w:num>
  <w:num w:numId="27">
    <w:abstractNumId w:val="34"/>
  </w:num>
  <w:num w:numId="28">
    <w:abstractNumId w:val="10"/>
  </w:num>
  <w:num w:numId="29">
    <w:abstractNumId w:val="30"/>
  </w:num>
  <w:num w:numId="30">
    <w:abstractNumId w:val="4"/>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num>
  <w:num w:numId="33">
    <w:abstractNumId w:val="5"/>
  </w:num>
  <w:num w:numId="34">
    <w:abstractNumId w:val="23"/>
  </w:num>
  <w:num w:numId="35">
    <w:abstractNumId w:val="1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activeWritingStyle w:appName="MSWord" w:lang="es-CO"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fr-FR" w:vendorID="64" w:dllVersion="131078" w:nlCheck="1" w:checkStyle="1"/>
  <w:activeWritingStyle w:appName="MSWord" w:lang="es-CO" w:vendorID="64" w:dllVersion="0" w:nlCheck="1" w:checkStyle="0"/>
  <w:activeWritingStyle w:appName="MSWord" w:lang="es-ES" w:vendorID="64" w:dllVersion="0" w:nlCheck="1" w:checkStyle="0"/>
  <w:activeWritingStyle w:appName="MSWord" w:lang="es-ES_tradnl" w:vendorID="64" w:dllVersion="0" w:nlCheck="1" w:checkStyle="0"/>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FC6"/>
    <w:rsid w:val="0000115E"/>
    <w:rsid w:val="0000126B"/>
    <w:rsid w:val="0000182C"/>
    <w:rsid w:val="000033EB"/>
    <w:rsid w:val="0000365D"/>
    <w:rsid w:val="00004B26"/>
    <w:rsid w:val="00006362"/>
    <w:rsid w:val="000076BB"/>
    <w:rsid w:val="00010987"/>
    <w:rsid w:val="00011040"/>
    <w:rsid w:val="0001173C"/>
    <w:rsid w:val="000119ED"/>
    <w:rsid w:val="0001297B"/>
    <w:rsid w:val="000138D6"/>
    <w:rsid w:val="00013FCE"/>
    <w:rsid w:val="00014C5D"/>
    <w:rsid w:val="00015C75"/>
    <w:rsid w:val="00015F1B"/>
    <w:rsid w:val="000165D4"/>
    <w:rsid w:val="00022303"/>
    <w:rsid w:val="0002257F"/>
    <w:rsid w:val="000231A4"/>
    <w:rsid w:val="000236E0"/>
    <w:rsid w:val="0002452F"/>
    <w:rsid w:val="00024935"/>
    <w:rsid w:val="00030BF7"/>
    <w:rsid w:val="0003196D"/>
    <w:rsid w:val="00033571"/>
    <w:rsid w:val="000344CD"/>
    <w:rsid w:val="000368E6"/>
    <w:rsid w:val="00041D5E"/>
    <w:rsid w:val="00046243"/>
    <w:rsid w:val="0004724D"/>
    <w:rsid w:val="000476ED"/>
    <w:rsid w:val="00050315"/>
    <w:rsid w:val="0005060C"/>
    <w:rsid w:val="00051911"/>
    <w:rsid w:val="00051D98"/>
    <w:rsid w:val="00053DED"/>
    <w:rsid w:val="00056D09"/>
    <w:rsid w:val="0005787C"/>
    <w:rsid w:val="00057E36"/>
    <w:rsid w:val="00060165"/>
    <w:rsid w:val="00060667"/>
    <w:rsid w:val="00061511"/>
    <w:rsid w:val="00063521"/>
    <w:rsid w:val="00063822"/>
    <w:rsid w:val="000656DD"/>
    <w:rsid w:val="000660EF"/>
    <w:rsid w:val="00066111"/>
    <w:rsid w:val="0006751A"/>
    <w:rsid w:val="0007010B"/>
    <w:rsid w:val="00073EA1"/>
    <w:rsid w:val="000741ED"/>
    <w:rsid w:val="000759A4"/>
    <w:rsid w:val="00076ECF"/>
    <w:rsid w:val="00076FE3"/>
    <w:rsid w:val="00077256"/>
    <w:rsid w:val="00080409"/>
    <w:rsid w:val="00081C10"/>
    <w:rsid w:val="00084461"/>
    <w:rsid w:val="000876E4"/>
    <w:rsid w:val="00090476"/>
    <w:rsid w:val="00091898"/>
    <w:rsid w:val="0009244B"/>
    <w:rsid w:val="0009307D"/>
    <w:rsid w:val="00093F26"/>
    <w:rsid w:val="000962A4"/>
    <w:rsid w:val="000975C7"/>
    <w:rsid w:val="00097E5D"/>
    <w:rsid w:val="000A0311"/>
    <w:rsid w:val="000A0720"/>
    <w:rsid w:val="000A3756"/>
    <w:rsid w:val="000A4433"/>
    <w:rsid w:val="000A49EA"/>
    <w:rsid w:val="000A5185"/>
    <w:rsid w:val="000A54F1"/>
    <w:rsid w:val="000A6BBB"/>
    <w:rsid w:val="000B12EA"/>
    <w:rsid w:val="000B1459"/>
    <w:rsid w:val="000B20D1"/>
    <w:rsid w:val="000B2795"/>
    <w:rsid w:val="000B5EC6"/>
    <w:rsid w:val="000B61C6"/>
    <w:rsid w:val="000B7068"/>
    <w:rsid w:val="000C08B2"/>
    <w:rsid w:val="000C11FF"/>
    <w:rsid w:val="000C221D"/>
    <w:rsid w:val="000C3F3D"/>
    <w:rsid w:val="000C3FC6"/>
    <w:rsid w:val="000C4A6B"/>
    <w:rsid w:val="000C6770"/>
    <w:rsid w:val="000C739D"/>
    <w:rsid w:val="000D0132"/>
    <w:rsid w:val="000D07B4"/>
    <w:rsid w:val="000D2532"/>
    <w:rsid w:val="000D5B17"/>
    <w:rsid w:val="000D5B21"/>
    <w:rsid w:val="000E0AD4"/>
    <w:rsid w:val="000E26D4"/>
    <w:rsid w:val="000E3325"/>
    <w:rsid w:val="000E374D"/>
    <w:rsid w:val="000E3F2F"/>
    <w:rsid w:val="000E7B9A"/>
    <w:rsid w:val="000E7BF8"/>
    <w:rsid w:val="000F0C55"/>
    <w:rsid w:val="000F0DDD"/>
    <w:rsid w:val="000F161C"/>
    <w:rsid w:val="000F24D1"/>
    <w:rsid w:val="000F4E0F"/>
    <w:rsid w:val="000F500A"/>
    <w:rsid w:val="000F5FA0"/>
    <w:rsid w:val="0010081A"/>
    <w:rsid w:val="00101E01"/>
    <w:rsid w:val="00110EFF"/>
    <w:rsid w:val="0011134F"/>
    <w:rsid w:val="00115F55"/>
    <w:rsid w:val="001161F6"/>
    <w:rsid w:val="00121784"/>
    <w:rsid w:val="001218B2"/>
    <w:rsid w:val="00122E39"/>
    <w:rsid w:val="00124557"/>
    <w:rsid w:val="001245DE"/>
    <w:rsid w:val="00125884"/>
    <w:rsid w:val="0012600B"/>
    <w:rsid w:val="00126248"/>
    <w:rsid w:val="0012757C"/>
    <w:rsid w:val="00130AB5"/>
    <w:rsid w:val="00131192"/>
    <w:rsid w:val="00131F32"/>
    <w:rsid w:val="0013479E"/>
    <w:rsid w:val="00135076"/>
    <w:rsid w:val="001379B8"/>
    <w:rsid w:val="00141F02"/>
    <w:rsid w:val="00142E80"/>
    <w:rsid w:val="00143AFF"/>
    <w:rsid w:val="00143EA7"/>
    <w:rsid w:val="00143F6E"/>
    <w:rsid w:val="00145285"/>
    <w:rsid w:val="00147477"/>
    <w:rsid w:val="00147D0B"/>
    <w:rsid w:val="0015106E"/>
    <w:rsid w:val="00151787"/>
    <w:rsid w:val="00151AE1"/>
    <w:rsid w:val="001524F1"/>
    <w:rsid w:val="00152D30"/>
    <w:rsid w:val="00153CD3"/>
    <w:rsid w:val="001548BA"/>
    <w:rsid w:val="00154BAA"/>
    <w:rsid w:val="0015555C"/>
    <w:rsid w:val="001603A4"/>
    <w:rsid w:val="00160B93"/>
    <w:rsid w:val="0016109D"/>
    <w:rsid w:val="00165B9C"/>
    <w:rsid w:val="00166221"/>
    <w:rsid w:val="0017281C"/>
    <w:rsid w:val="001728B6"/>
    <w:rsid w:val="0017724F"/>
    <w:rsid w:val="001772CF"/>
    <w:rsid w:val="00182207"/>
    <w:rsid w:val="0018373A"/>
    <w:rsid w:val="001848C0"/>
    <w:rsid w:val="00186A39"/>
    <w:rsid w:val="001877BC"/>
    <w:rsid w:val="001920D6"/>
    <w:rsid w:val="0019238A"/>
    <w:rsid w:val="00194C9E"/>
    <w:rsid w:val="001A0BB0"/>
    <w:rsid w:val="001A20CD"/>
    <w:rsid w:val="001A3857"/>
    <w:rsid w:val="001A689A"/>
    <w:rsid w:val="001B0326"/>
    <w:rsid w:val="001B177C"/>
    <w:rsid w:val="001B1A94"/>
    <w:rsid w:val="001B1B63"/>
    <w:rsid w:val="001B1B7B"/>
    <w:rsid w:val="001B22F0"/>
    <w:rsid w:val="001B2BB8"/>
    <w:rsid w:val="001B3C9A"/>
    <w:rsid w:val="001B45E5"/>
    <w:rsid w:val="001B4A1C"/>
    <w:rsid w:val="001C18AC"/>
    <w:rsid w:val="001C2750"/>
    <w:rsid w:val="001C3F2E"/>
    <w:rsid w:val="001C4236"/>
    <w:rsid w:val="001C6700"/>
    <w:rsid w:val="001D1139"/>
    <w:rsid w:val="001D12AB"/>
    <w:rsid w:val="001D31A3"/>
    <w:rsid w:val="001D3E53"/>
    <w:rsid w:val="001D3F25"/>
    <w:rsid w:val="001D4017"/>
    <w:rsid w:val="001D5933"/>
    <w:rsid w:val="001D695A"/>
    <w:rsid w:val="001D6FC8"/>
    <w:rsid w:val="001D7271"/>
    <w:rsid w:val="001D749C"/>
    <w:rsid w:val="001E1D3A"/>
    <w:rsid w:val="001E2174"/>
    <w:rsid w:val="001E3511"/>
    <w:rsid w:val="001E4C54"/>
    <w:rsid w:val="001E52D4"/>
    <w:rsid w:val="001E7134"/>
    <w:rsid w:val="001E7405"/>
    <w:rsid w:val="001F4A90"/>
    <w:rsid w:val="001F65AE"/>
    <w:rsid w:val="001F76FB"/>
    <w:rsid w:val="00201AB3"/>
    <w:rsid w:val="00202614"/>
    <w:rsid w:val="00202907"/>
    <w:rsid w:val="00203B88"/>
    <w:rsid w:val="00206939"/>
    <w:rsid w:val="00206E7A"/>
    <w:rsid w:val="0021098A"/>
    <w:rsid w:val="00212BFB"/>
    <w:rsid w:val="00215946"/>
    <w:rsid w:val="002208D5"/>
    <w:rsid w:val="00220DE9"/>
    <w:rsid w:val="00221259"/>
    <w:rsid w:val="002224D2"/>
    <w:rsid w:val="00222780"/>
    <w:rsid w:val="002229FA"/>
    <w:rsid w:val="00222A9C"/>
    <w:rsid w:val="002235FD"/>
    <w:rsid w:val="00223E7F"/>
    <w:rsid w:val="00227735"/>
    <w:rsid w:val="002307DB"/>
    <w:rsid w:val="00232FE2"/>
    <w:rsid w:val="00233BC6"/>
    <w:rsid w:val="002357A5"/>
    <w:rsid w:val="00235A68"/>
    <w:rsid w:val="00235C54"/>
    <w:rsid w:val="00236D02"/>
    <w:rsid w:val="00240739"/>
    <w:rsid w:val="0024094D"/>
    <w:rsid w:val="00241371"/>
    <w:rsid w:val="002426BD"/>
    <w:rsid w:val="0024314E"/>
    <w:rsid w:val="00243AA1"/>
    <w:rsid w:val="00244952"/>
    <w:rsid w:val="00244BC6"/>
    <w:rsid w:val="00245592"/>
    <w:rsid w:val="00245C09"/>
    <w:rsid w:val="002525B2"/>
    <w:rsid w:val="002528FF"/>
    <w:rsid w:val="00252E9B"/>
    <w:rsid w:val="00256363"/>
    <w:rsid w:val="0025649E"/>
    <w:rsid w:val="00256B95"/>
    <w:rsid w:val="002577C3"/>
    <w:rsid w:val="00260C86"/>
    <w:rsid w:val="00262FA6"/>
    <w:rsid w:val="00263000"/>
    <w:rsid w:val="00265E4E"/>
    <w:rsid w:val="002668A2"/>
    <w:rsid w:val="00266C9B"/>
    <w:rsid w:val="002672D8"/>
    <w:rsid w:val="002707B7"/>
    <w:rsid w:val="00270CAA"/>
    <w:rsid w:val="00271D84"/>
    <w:rsid w:val="002754F4"/>
    <w:rsid w:val="002761A6"/>
    <w:rsid w:val="00280D23"/>
    <w:rsid w:val="00282DC7"/>
    <w:rsid w:val="00282F4F"/>
    <w:rsid w:val="00283365"/>
    <w:rsid w:val="00283465"/>
    <w:rsid w:val="00284C94"/>
    <w:rsid w:val="00285852"/>
    <w:rsid w:val="002865D4"/>
    <w:rsid w:val="00286A59"/>
    <w:rsid w:val="00290792"/>
    <w:rsid w:val="002907F7"/>
    <w:rsid w:val="0029198F"/>
    <w:rsid w:val="00292999"/>
    <w:rsid w:val="00293F7F"/>
    <w:rsid w:val="00294360"/>
    <w:rsid w:val="00295257"/>
    <w:rsid w:val="00296329"/>
    <w:rsid w:val="00296A74"/>
    <w:rsid w:val="00297DD2"/>
    <w:rsid w:val="002A1208"/>
    <w:rsid w:val="002A3262"/>
    <w:rsid w:val="002A32E4"/>
    <w:rsid w:val="002A5E74"/>
    <w:rsid w:val="002A608A"/>
    <w:rsid w:val="002A6EA5"/>
    <w:rsid w:val="002A7114"/>
    <w:rsid w:val="002A7B4E"/>
    <w:rsid w:val="002B04B9"/>
    <w:rsid w:val="002B0B4C"/>
    <w:rsid w:val="002B2679"/>
    <w:rsid w:val="002B4A04"/>
    <w:rsid w:val="002B4F66"/>
    <w:rsid w:val="002B61E8"/>
    <w:rsid w:val="002B6D4F"/>
    <w:rsid w:val="002C0254"/>
    <w:rsid w:val="002C19C3"/>
    <w:rsid w:val="002C2B04"/>
    <w:rsid w:val="002C44A6"/>
    <w:rsid w:val="002C6C1A"/>
    <w:rsid w:val="002C7429"/>
    <w:rsid w:val="002D0067"/>
    <w:rsid w:val="002D1201"/>
    <w:rsid w:val="002D1359"/>
    <w:rsid w:val="002D1E7C"/>
    <w:rsid w:val="002D2F54"/>
    <w:rsid w:val="002D3595"/>
    <w:rsid w:val="002D45B3"/>
    <w:rsid w:val="002D6A14"/>
    <w:rsid w:val="002D6CD4"/>
    <w:rsid w:val="002D7E8B"/>
    <w:rsid w:val="002D7F4B"/>
    <w:rsid w:val="002E1C0F"/>
    <w:rsid w:val="002E3511"/>
    <w:rsid w:val="002E443C"/>
    <w:rsid w:val="002E4F35"/>
    <w:rsid w:val="002E7570"/>
    <w:rsid w:val="002F269F"/>
    <w:rsid w:val="002F4C6B"/>
    <w:rsid w:val="002F50CA"/>
    <w:rsid w:val="002F6617"/>
    <w:rsid w:val="002F74A8"/>
    <w:rsid w:val="002F7F25"/>
    <w:rsid w:val="00303177"/>
    <w:rsid w:val="00305E89"/>
    <w:rsid w:val="00305F98"/>
    <w:rsid w:val="003123EB"/>
    <w:rsid w:val="003144F1"/>
    <w:rsid w:val="00317269"/>
    <w:rsid w:val="00323E66"/>
    <w:rsid w:val="00325BA8"/>
    <w:rsid w:val="00332F2C"/>
    <w:rsid w:val="003349AE"/>
    <w:rsid w:val="00336122"/>
    <w:rsid w:val="00336288"/>
    <w:rsid w:val="00340242"/>
    <w:rsid w:val="00340B6D"/>
    <w:rsid w:val="00340BA2"/>
    <w:rsid w:val="00340E0C"/>
    <w:rsid w:val="0034206E"/>
    <w:rsid w:val="00342203"/>
    <w:rsid w:val="00344B3E"/>
    <w:rsid w:val="00350C6F"/>
    <w:rsid w:val="00350EE8"/>
    <w:rsid w:val="00353503"/>
    <w:rsid w:val="003548C8"/>
    <w:rsid w:val="00357012"/>
    <w:rsid w:val="0036064A"/>
    <w:rsid w:val="00361F67"/>
    <w:rsid w:val="00362B2F"/>
    <w:rsid w:val="0036364C"/>
    <w:rsid w:val="00363965"/>
    <w:rsid w:val="00364C0D"/>
    <w:rsid w:val="00366DBB"/>
    <w:rsid w:val="0037088A"/>
    <w:rsid w:val="00371F7C"/>
    <w:rsid w:val="0037208E"/>
    <w:rsid w:val="00372139"/>
    <w:rsid w:val="003734F5"/>
    <w:rsid w:val="00373EE8"/>
    <w:rsid w:val="00375354"/>
    <w:rsid w:val="00375917"/>
    <w:rsid w:val="003803B0"/>
    <w:rsid w:val="003808D0"/>
    <w:rsid w:val="00380B24"/>
    <w:rsid w:val="00380C98"/>
    <w:rsid w:val="00385C09"/>
    <w:rsid w:val="00386CCC"/>
    <w:rsid w:val="00387E79"/>
    <w:rsid w:val="0039130D"/>
    <w:rsid w:val="00391830"/>
    <w:rsid w:val="00391EAD"/>
    <w:rsid w:val="00394AB2"/>
    <w:rsid w:val="00395B0A"/>
    <w:rsid w:val="003A03A3"/>
    <w:rsid w:val="003A1C5F"/>
    <w:rsid w:val="003A3CB7"/>
    <w:rsid w:val="003A3EA9"/>
    <w:rsid w:val="003A43E1"/>
    <w:rsid w:val="003A6273"/>
    <w:rsid w:val="003A7AEB"/>
    <w:rsid w:val="003B146D"/>
    <w:rsid w:val="003B27FF"/>
    <w:rsid w:val="003B2BFA"/>
    <w:rsid w:val="003B2C0E"/>
    <w:rsid w:val="003B43EC"/>
    <w:rsid w:val="003B731A"/>
    <w:rsid w:val="003B7798"/>
    <w:rsid w:val="003C218A"/>
    <w:rsid w:val="003C2640"/>
    <w:rsid w:val="003C3487"/>
    <w:rsid w:val="003C3EEB"/>
    <w:rsid w:val="003C4687"/>
    <w:rsid w:val="003C4854"/>
    <w:rsid w:val="003C526F"/>
    <w:rsid w:val="003C609B"/>
    <w:rsid w:val="003C67D1"/>
    <w:rsid w:val="003D04D0"/>
    <w:rsid w:val="003D1491"/>
    <w:rsid w:val="003D47D6"/>
    <w:rsid w:val="003D5606"/>
    <w:rsid w:val="003D5C49"/>
    <w:rsid w:val="003D67A3"/>
    <w:rsid w:val="003E2FBC"/>
    <w:rsid w:val="003E40DF"/>
    <w:rsid w:val="003E42D6"/>
    <w:rsid w:val="003E5B01"/>
    <w:rsid w:val="003E5BF4"/>
    <w:rsid w:val="003E5ED4"/>
    <w:rsid w:val="003F1F28"/>
    <w:rsid w:val="003F2076"/>
    <w:rsid w:val="003F79C2"/>
    <w:rsid w:val="004000F2"/>
    <w:rsid w:val="00400362"/>
    <w:rsid w:val="00401375"/>
    <w:rsid w:val="00402FEE"/>
    <w:rsid w:val="00411CAB"/>
    <w:rsid w:val="0041316C"/>
    <w:rsid w:val="004138D1"/>
    <w:rsid w:val="00415F6C"/>
    <w:rsid w:val="004166A6"/>
    <w:rsid w:val="00416BD6"/>
    <w:rsid w:val="00417343"/>
    <w:rsid w:val="00417CD1"/>
    <w:rsid w:val="0042139E"/>
    <w:rsid w:val="004217E7"/>
    <w:rsid w:val="00424879"/>
    <w:rsid w:val="00425E0C"/>
    <w:rsid w:val="00430FA6"/>
    <w:rsid w:val="004323DB"/>
    <w:rsid w:val="00432772"/>
    <w:rsid w:val="00433CF7"/>
    <w:rsid w:val="00433D26"/>
    <w:rsid w:val="004342F0"/>
    <w:rsid w:val="00434BA5"/>
    <w:rsid w:val="0043667E"/>
    <w:rsid w:val="0043778C"/>
    <w:rsid w:val="00440D0A"/>
    <w:rsid w:val="004416F3"/>
    <w:rsid w:val="00441AFB"/>
    <w:rsid w:val="004425A6"/>
    <w:rsid w:val="004441FD"/>
    <w:rsid w:val="00446011"/>
    <w:rsid w:val="004502DB"/>
    <w:rsid w:val="004516CF"/>
    <w:rsid w:val="0045383A"/>
    <w:rsid w:val="00455BB3"/>
    <w:rsid w:val="00456670"/>
    <w:rsid w:val="00456AAF"/>
    <w:rsid w:val="00461569"/>
    <w:rsid w:val="00462DE7"/>
    <w:rsid w:val="00467B31"/>
    <w:rsid w:val="0047047F"/>
    <w:rsid w:val="00471434"/>
    <w:rsid w:val="004729CE"/>
    <w:rsid w:val="00473FC1"/>
    <w:rsid w:val="0047435B"/>
    <w:rsid w:val="00474725"/>
    <w:rsid w:val="00474969"/>
    <w:rsid w:val="00475614"/>
    <w:rsid w:val="0047665D"/>
    <w:rsid w:val="0047689F"/>
    <w:rsid w:val="00476EDA"/>
    <w:rsid w:val="00477EA3"/>
    <w:rsid w:val="00480226"/>
    <w:rsid w:val="0048077C"/>
    <w:rsid w:val="00480C51"/>
    <w:rsid w:val="004817A0"/>
    <w:rsid w:val="00481E70"/>
    <w:rsid w:val="00483052"/>
    <w:rsid w:val="00483837"/>
    <w:rsid w:val="00485AA7"/>
    <w:rsid w:val="00485C9F"/>
    <w:rsid w:val="0048610F"/>
    <w:rsid w:val="00487497"/>
    <w:rsid w:val="00491718"/>
    <w:rsid w:val="00492AD4"/>
    <w:rsid w:val="0049556A"/>
    <w:rsid w:val="00497607"/>
    <w:rsid w:val="00497C5F"/>
    <w:rsid w:val="004A131F"/>
    <w:rsid w:val="004A51B2"/>
    <w:rsid w:val="004A5B71"/>
    <w:rsid w:val="004A6E23"/>
    <w:rsid w:val="004A7A39"/>
    <w:rsid w:val="004B2150"/>
    <w:rsid w:val="004B3DB4"/>
    <w:rsid w:val="004B5DA6"/>
    <w:rsid w:val="004B6340"/>
    <w:rsid w:val="004B6DD0"/>
    <w:rsid w:val="004B76B1"/>
    <w:rsid w:val="004C2CC6"/>
    <w:rsid w:val="004C2E12"/>
    <w:rsid w:val="004C4AC9"/>
    <w:rsid w:val="004C64BB"/>
    <w:rsid w:val="004C68A6"/>
    <w:rsid w:val="004C693D"/>
    <w:rsid w:val="004C7492"/>
    <w:rsid w:val="004D0622"/>
    <w:rsid w:val="004D093E"/>
    <w:rsid w:val="004D1E79"/>
    <w:rsid w:val="004D3026"/>
    <w:rsid w:val="004D354C"/>
    <w:rsid w:val="004D36E8"/>
    <w:rsid w:val="004D39E8"/>
    <w:rsid w:val="004D5E5A"/>
    <w:rsid w:val="004D6A23"/>
    <w:rsid w:val="004D6FB6"/>
    <w:rsid w:val="004D767C"/>
    <w:rsid w:val="004E0376"/>
    <w:rsid w:val="004E0E52"/>
    <w:rsid w:val="004E1217"/>
    <w:rsid w:val="004E21CE"/>
    <w:rsid w:val="004E4367"/>
    <w:rsid w:val="004E447A"/>
    <w:rsid w:val="004E517A"/>
    <w:rsid w:val="004E6525"/>
    <w:rsid w:val="004F09CD"/>
    <w:rsid w:val="004F434E"/>
    <w:rsid w:val="004F4D5C"/>
    <w:rsid w:val="00500D82"/>
    <w:rsid w:val="00500E0A"/>
    <w:rsid w:val="00501D67"/>
    <w:rsid w:val="00502C03"/>
    <w:rsid w:val="00502CB3"/>
    <w:rsid w:val="00503329"/>
    <w:rsid w:val="00505C1D"/>
    <w:rsid w:val="00506019"/>
    <w:rsid w:val="00507BDE"/>
    <w:rsid w:val="005132F6"/>
    <w:rsid w:val="0051443E"/>
    <w:rsid w:val="00514820"/>
    <w:rsid w:val="0051492B"/>
    <w:rsid w:val="00516278"/>
    <w:rsid w:val="00516632"/>
    <w:rsid w:val="00517029"/>
    <w:rsid w:val="00520762"/>
    <w:rsid w:val="00521DEA"/>
    <w:rsid w:val="00522968"/>
    <w:rsid w:val="00524D1E"/>
    <w:rsid w:val="00524D69"/>
    <w:rsid w:val="0052503B"/>
    <w:rsid w:val="00526366"/>
    <w:rsid w:val="0052653E"/>
    <w:rsid w:val="00527482"/>
    <w:rsid w:val="00530A85"/>
    <w:rsid w:val="005351EC"/>
    <w:rsid w:val="0053596F"/>
    <w:rsid w:val="00535E98"/>
    <w:rsid w:val="00536CC2"/>
    <w:rsid w:val="0054065A"/>
    <w:rsid w:val="005406ED"/>
    <w:rsid w:val="00542C20"/>
    <w:rsid w:val="00543B32"/>
    <w:rsid w:val="00544CC8"/>
    <w:rsid w:val="0054603C"/>
    <w:rsid w:val="0055216F"/>
    <w:rsid w:val="005533CF"/>
    <w:rsid w:val="00554E92"/>
    <w:rsid w:val="005553BD"/>
    <w:rsid w:val="00556595"/>
    <w:rsid w:val="0056186A"/>
    <w:rsid w:val="00561C37"/>
    <w:rsid w:val="0056302E"/>
    <w:rsid w:val="005636A9"/>
    <w:rsid w:val="00564856"/>
    <w:rsid w:val="0056508C"/>
    <w:rsid w:val="00565BC3"/>
    <w:rsid w:val="0057297A"/>
    <w:rsid w:val="00574661"/>
    <w:rsid w:val="00577794"/>
    <w:rsid w:val="00580218"/>
    <w:rsid w:val="00586EF8"/>
    <w:rsid w:val="005871CC"/>
    <w:rsid w:val="0059254A"/>
    <w:rsid w:val="00593030"/>
    <w:rsid w:val="005949B7"/>
    <w:rsid w:val="0059612E"/>
    <w:rsid w:val="00596224"/>
    <w:rsid w:val="00597CDB"/>
    <w:rsid w:val="005A0981"/>
    <w:rsid w:val="005A1BCA"/>
    <w:rsid w:val="005A31D2"/>
    <w:rsid w:val="005A571D"/>
    <w:rsid w:val="005A66BF"/>
    <w:rsid w:val="005A6714"/>
    <w:rsid w:val="005B32D6"/>
    <w:rsid w:val="005B3739"/>
    <w:rsid w:val="005B4CAA"/>
    <w:rsid w:val="005B52BA"/>
    <w:rsid w:val="005C0ED7"/>
    <w:rsid w:val="005C4B3C"/>
    <w:rsid w:val="005C655C"/>
    <w:rsid w:val="005C7203"/>
    <w:rsid w:val="005D4F49"/>
    <w:rsid w:val="005D53B0"/>
    <w:rsid w:val="005D60FB"/>
    <w:rsid w:val="005E0FAF"/>
    <w:rsid w:val="005E4641"/>
    <w:rsid w:val="005E4DBA"/>
    <w:rsid w:val="005E52BB"/>
    <w:rsid w:val="005E6422"/>
    <w:rsid w:val="005F105C"/>
    <w:rsid w:val="005F1F5B"/>
    <w:rsid w:val="005F2CC3"/>
    <w:rsid w:val="005F4CD9"/>
    <w:rsid w:val="005F63BE"/>
    <w:rsid w:val="00600D7C"/>
    <w:rsid w:val="006031E1"/>
    <w:rsid w:val="006032BD"/>
    <w:rsid w:val="00610569"/>
    <w:rsid w:val="00617936"/>
    <w:rsid w:val="00622074"/>
    <w:rsid w:val="006221A7"/>
    <w:rsid w:val="0062336B"/>
    <w:rsid w:val="00632EE9"/>
    <w:rsid w:val="006342E8"/>
    <w:rsid w:val="006348BF"/>
    <w:rsid w:val="006353F2"/>
    <w:rsid w:val="00637BBE"/>
    <w:rsid w:val="006414C9"/>
    <w:rsid w:val="00645AAF"/>
    <w:rsid w:val="006460BA"/>
    <w:rsid w:val="00646E5D"/>
    <w:rsid w:val="00647121"/>
    <w:rsid w:val="0065044C"/>
    <w:rsid w:val="00650845"/>
    <w:rsid w:val="00650A4E"/>
    <w:rsid w:val="00654F26"/>
    <w:rsid w:val="00655C9A"/>
    <w:rsid w:val="00656CD7"/>
    <w:rsid w:val="00660139"/>
    <w:rsid w:val="00660750"/>
    <w:rsid w:val="00661290"/>
    <w:rsid w:val="00661A7F"/>
    <w:rsid w:val="00661AB5"/>
    <w:rsid w:val="00661C48"/>
    <w:rsid w:val="0066228E"/>
    <w:rsid w:val="006633A7"/>
    <w:rsid w:val="006641A6"/>
    <w:rsid w:val="00664914"/>
    <w:rsid w:val="00664964"/>
    <w:rsid w:val="006666E7"/>
    <w:rsid w:val="00666D96"/>
    <w:rsid w:val="0066769B"/>
    <w:rsid w:val="00670E4F"/>
    <w:rsid w:val="00675353"/>
    <w:rsid w:val="0067540D"/>
    <w:rsid w:val="006776DE"/>
    <w:rsid w:val="00680BB2"/>
    <w:rsid w:val="006831A2"/>
    <w:rsid w:val="006845EB"/>
    <w:rsid w:val="006863F4"/>
    <w:rsid w:val="00691DE4"/>
    <w:rsid w:val="0069463E"/>
    <w:rsid w:val="006A026B"/>
    <w:rsid w:val="006A07A0"/>
    <w:rsid w:val="006A08CE"/>
    <w:rsid w:val="006A0926"/>
    <w:rsid w:val="006A120C"/>
    <w:rsid w:val="006A1760"/>
    <w:rsid w:val="006A2336"/>
    <w:rsid w:val="006A3246"/>
    <w:rsid w:val="006A508D"/>
    <w:rsid w:val="006A5C5A"/>
    <w:rsid w:val="006A5E13"/>
    <w:rsid w:val="006A626D"/>
    <w:rsid w:val="006A63B0"/>
    <w:rsid w:val="006A64BB"/>
    <w:rsid w:val="006A7A09"/>
    <w:rsid w:val="006B10C3"/>
    <w:rsid w:val="006B140B"/>
    <w:rsid w:val="006B1F54"/>
    <w:rsid w:val="006B1FB9"/>
    <w:rsid w:val="006B58BF"/>
    <w:rsid w:val="006B5D72"/>
    <w:rsid w:val="006B6C44"/>
    <w:rsid w:val="006B7DD8"/>
    <w:rsid w:val="006C14D9"/>
    <w:rsid w:val="006C2899"/>
    <w:rsid w:val="006C2C0B"/>
    <w:rsid w:val="006C460D"/>
    <w:rsid w:val="006C4E14"/>
    <w:rsid w:val="006C584D"/>
    <w:rsid w:val="006C5B81"/>
    <w:rsid w:val="006D2DA9"/>
    <w:rsid w:val="006D788A"/>
    <w:rsid w:val="006E07D6"/>
    <w:rsid w:val="006E0840"/>
    <w:rsid w:val="006E24DE"/>
    <w:rsid w:val="006E294B"/>
    <w:rsid w:val="006E421C"/>
    <w:rsid w:val="006E4444"/>
    <w:rsid w:val="006E4B1E"/>
    <w:rsid w:val="006E580A"/>
    <w:rsid w:val="006F1982"/>
    <w:rsid w:val="006F415B"/>
    <w:rsid w:val="006F6400"/>
    <w:rsid w:val="006F7A2A"/>
    <w:rsid w:val="00701AD4"/>
    <w:rsid w:val="007031B0"/>
    <w:rsid w:val="00703963"/>
    <w:rsid w:val="00703D32"/>
    <w:rsid w:val="00704D6C"/>
    <w:rsid w:val="0071334E"/>
    <w:rsid w:val="007143A8"/>
    <w:rsid w:val="00714DBA"/>
    <w:rsid w:val="00717236"/>
    <w:rsid w:val="007178AC"/>
    <w:rsid w:val="00720853"/>
    <w:rsid w:val="007208B9"/>
    <w:rsid w:val="007227B2"/>
    <w:rsid w:val="0072297D"/>
    <w:rsid w:val="00723990"/>
    <w:rsid w:val="0072434F"/>
    <w:rsid w:val="007256CB"/>
    <w:rsid w:val="00725BF7"/>
    <w:rsid w:val="0072608E"/>
    <w:rsid w:val="007262C9"/>
    <w:rsid w:val="00727A96"/>
    <w:rsid w:val="00727CD5"/>
    <w:rsid w:val="00727E89"/>
    <w:rsid w:val="007308A3"/>
    <w:rsid w:val="00730B1F"/>
    <w:rsid w:val="00730D6E"/>
    <w:rsid w:val="00731155"/>
    <w:rsid w:val="0073141C"/>
    <w:rsid w:val="00732913"/>
    <w:rsid w:val="00733ECD"/>
    <w:rsid w:val="007420FB"/>
    <w:rsid w:val="00742863"/>
    <w:rsid w:val="0074544F"/>
    <w:rsid w:val="007455AE"/>
    <w:rsid w:val="007457DB"/>
    <w:rsid w:val="007475D0"/>
    <w:rsid w:val="00747CB2"/>
    <w:rsid w:val="0075029A"/>
    <w:rsid w:val="00750543"/>
    <w:rsid w:val="00751102"/>
    <w:rsid w:val="007516C4"/>
    <w:rsid w:val="00751ADE"/>
    <w:rsid w:val="00752BFB"/>
    <w:rsid w:val="007535CF"/>
    <w:rsid w:val="00754C45"/>
    <w:rsid w:val="00755AD8"/>
    <w:rsid w:val="00756A74"/>
    <w:rsid w:val="00760078"/>
    <w:rsid w:val="00761396"/>
    <w:rsid w:val="007625C1"/>
    <w:rsid w:val="00762640"/>
    <w:rsid w:val="007663C8"/>
    <w:rsid w:val="007667E6"/>
    <w:rsid w:val="007722A4"/>
    <w:rsid w:val="0077634C"/>
    <w:rsid w:val="00780863"/>
    <w:rsid w:val="00780B2F"/>
    <w:rsid w:val="007825C5"/>
    <w:rsid w:val="00782CA8"/>
    <w:rsid w:val="0078447B"/>
    <w:rsid w:val="007851D7"/>
    <w:rsid w:val="007856ED"/>
    <w:rsid w:val="007858B9"/>
    <w:rsid w:val="007900CE"/>
    <w:rsid w:val="007935E5"/>
    <w:rsid w:val="0079555C"/>
    <w:rsid w:val="007966F4"/>
    <w:rsid w:val="007A0AB0"/>
    <w:rsid w:val="007A1C4E"/>
    <w:rsid w:val="007A216E"/>
    <w:rsid w:val="007A2395"/>
    <w:rsid w:val="007A3E04"/>
    <w:rsid w:val="007A40D2"/>
    <w:rsid w:val="007A4C74"/>
    <w:rsid w:val="007A61FA"/>
    <w:rsid w:val="007B045B"/>
    <w:rsid w:val="007B0831"/>
    <w:rsid w:val="007B17B7"/>
    <w:rsid w:val="007B1A4E"/>
    <w:rsid w:val="007B21B9"/>
    <w:rsid w:val="007B2D38"/>
    <w:rsid w:val="007B3B7F"/>
    <w:rsid w:val="007B555F"/>
    <w:rsid w:val="007B632B"/>
    <w:rsid w:val="007B69B0"/>
    <w:rsid w:val="007B6DF1"/>
    <w:rsid w:val="007C06CF"/>
    <w:rsid w:val="007C0B54"/>
    <w:rsid w:val="007C29C3"/>
    <w:rsid w:val="007C3500"/>
    <w:rsid w:val="007C44C8"/>
    <w:rsid w:val="007C4CBD"/>
    <w:rsid w:val="007D136E"/>
    <w:rsid w:val="007D24A1"/>
    <w:rsid w:val="007D2B4E"/>
    <w:rsid w:val="007D2FC0"/>
    <w:rsid w:val="007D5F2F"/>
    <w:rsid w:val="007D6E8B"/>
    <w:rsid w:val="007E0017"/>
    <w:rsid w:val="007E0AE0"/>
    <w:rsid w:val="007E10B3"/>
    <w:rsid w:val="007E36BD"/>
    <w:rsid w:val="007E3FCD"/>
    <w:rsid w:val="007F0363"/>
    <w:rsid w:val="007F0819"/>
    <w:rsid w:val="007F0842"/>
    <w:rsid w:val="007F0CCE"/>
    <w:rsid w:val="007F20F2"/>
    <w:rsid w:val="007F2D89"/>
    <w:rsid w:val="007F3758"/>
    <w:rsid w:val="007F3FBD"/>
    <w:rsid w:val="007F4276"/>
    <w:rsid w:val="007F5921"/>
    <w:rsid w:val="007F7B94"/>
    <w:rsid w:val="007F7C93"/>
    <w:rsid w:val="0080186C"/>
    <w:rsid w:val="00801992"/>
    <w:rsid w:val="00802D5D"/>
    <w:rsid w:val="00802F84"/>
    <w:rsid w:val="00812DA4"/>
    <w:rsid w:val="00814001"/>
    <w:rsid w:val="00815112"/>
    <w:rsid w:val="0081713D"/>
    <w:rsid w:val="00817151"/>
    <w:rsid w:val="00817BAF"/>
    <w:rsid w:val="008213DE"/>
    <w:rsid w:val="00821728"/>
    <w:rsid w:val="00822367"/>
    <w:rsid w:val="00825365"/>
    <w:rsid w:val="008256E4"/>
    <w:rsid w:val="00825E13"/>
    <w:rsid w:val="00826E56"/>
    <w:rsid w:val="00827E4C"/>
    <w:rsid w:val="00830E27"/>
    <w:rsid w:val="008321C7"/>
    <w:rsid w:val="00832ACF"/>
    <w:rsid w:val="008366AF"/>
    <w:rsid w:val="00837DFD"/>
    <w:rsid w:val="00837F34"/>
    <w:rsid w:val="0084005A"/>
    <w:rsid w:val="008402C0"/>
    <w:rsid w:val="00843582"/>
    <w:rsid w:val="008435FF"/>
    <w:rsid w:val="0084480B"/>
    <w:rsid w:val="00845127"/>
    <w:rsid w:val="00845BC9"/>
    <w:rsid w:val="00845E86"/>
    <w:rsid w:val="00846279"/>
    <w:rsid w:val="00850781"/>
    <w:rsid w:val="008508F9"/>
    <w:rsid w:val="008537AF"/>
    <w:rsid w:val="0085452C"/>
    <w:rsid w:val="0085526E"/>
    <w:rsid w:val="00860D37"/>
    <w:rsid w:val="0086145A"/>
    <w:rsid w:val="008645BA"/>
    <w:rsid w:val="00864F4D"/>
    <w:rsid w:val="00865AA3"/>
    <w:rsid w:val="00866C1C"/>
    <w:rsid w:val="00867470"/>
    <w:rsid w:val="008706E5"/>
    <w:rsid w:val="00870ED0"/>
    <w:rsid w:val="00873252"/>
    <w:rsid w:val="00875F27"/>
    <w:rsid w:val="008806DC"/>
    <w:rsid w:val="00880C36"/>
    <w:rsid w:val="00881866"/>
    <w:rsid w:val="00883925"/>
    <w:rsid w:val="00884D6A"/>
    <w:rsid w:val="0089075F"/>
    <w:rsid w:val="00891CA8"/>
    <w:rsid w:val="008930A4"/>
    <w:rsid w:val="008937D5"/>
    <w:rsid w:val="00893C65"/>
    <w:rsid w:val="00893D2D"/>
    <w:rsid w:val="00893E39"/>
    <w:rsid w:val="00893F66"/>
    <w:rsid w:val="00895932"/>
    <w:rsid w:val="008963D1"/>
    <w:rsid w:val="0089642C"/>
    <w:rsid w:val="00897A23"/>
    <w:rsid w:val="00897BFB"/>
    <w:rsid w:val="00897EC5"/>
    <w:rsid w:val="00897F79"/>
    <w:rsid w:val="008A020C"/>
    <w:rsid w:val="008A1EFB"/>
    <w:rsid w:val="008A21D4"/>
    <w:rsid w:val="008A5046"/>
    <w:rsid w:val="008A5228"/>
    <w:rsid w:val="008A578D"/>
    <w:rsid w:val="008A6932"/>
    <w:rsid w:val="008B15AC"/>
    <w:rsid w:val="008B26B0"/>
    <w:rsid w:val="008B3366"/>
    <w:rsid w:val="008B4DC9"/>
    <w:rsid w:val="008B58E3"/>
    <w:rsid w:val="008B5BCD"/>
    <w:rsid w:val="008B68A6"/>
    <w:rsid w:val="008C0CA5"/>
    <w:rsid w:val="008C2DEF"/>
    <w:rsid w:val="008C3A86"/>
    <w:rsid w:val="008C5A4D"/>
    <w:rsid w:val="008C613F"/>
    <w:rsid w:val="008C7B9C"/>
    <w:rsid w:val="008D04D8"/>
    <w:rsid w:val="008D0891"/>
    <w:rsid w:val="008D1143"/>
    <w:rsid w:val="008D2325"/>
    <w:rsid w:val="008D3BB7"/>
    <w:rsid w:val="008D62AC"/>
    <w:rsid w:val="008D7416"/>
    <w:rsid w:val="008E216B"/>
    <w:rsid w:val="008E2D37"/>
    <w:rsid w:val="008E2ED9"/>
    <w:rsid w:val="008E2F76"/>
    <w:rsid w:val="008E413A"/>
    <w:rsid w:val="008E5EB8"/>
    <w:rsid w:val="008E6076"/>
    <w:rsid w:val="008E691F"/>
    <w:rsid w:val="008F043F"/>
    <w:rsid w:val="008F0B4F"/>
    <w:rsid w:val="008F0C3E"/>
    <w:rsid w:val="008F131C"/>
    <w:rsid w:val="008F36B4"/>
    <w:rsid w:val="008F406B"/>
    <w:rsid w:val="008F4375"/>
    <w:rsid w:val="008F4714"/>
    <w:rsid w:val="008F4EA1"/>
    <w:rsid w:val="008F55FF"/>
    <w:rsid w:val="008F57EA"/>
    <w:rsid w:val="008F7F99"/>
    <w:rsid w:val="009000B7"/>
    <w:rsid w:val="009017DC"/>
    <w:rsid w:val="00901CA7"/>
    <w:rsid w:val="00901D36"/>
    <w:rsid w:val="009031C4"/>
    <w:rsid w:val="009042A3"/>
    <w:rsid w:val="00904954"/>
    <w:rsid w:val="009052C3"/>
    <w:rsid w:val="00905990"/>
    <w:rsid w:val="00906162"/>
    <w:rsid w:val="00906F34"/>
    <w:rsid w:val="009078BC"/>
    <w:rsid w:val="00907FA3"/>
    <w:rsid w:val="00910849"/>
    <w:rsid w:val="00910D25"/>
    <w:rsid w:val="009140E1"/>
    <w:rsid w:val="00914285"/>
    <w:rsid w:val="00914B55"/>
    <w:rsid w:val="00914CF3"/>
    <w:rsid w:val="00914DBE"/>
    <w:rsid w:val="00920CC9"/>
    <w:rsid w:val="009212EF"/>
    <w:rsid w:val="00921FF2"/>
    <w:rsid w:val="00922CAC"/>
    <w:rsid w:val="00922D6F"/>
    <w:rsid w:val="009250FD"/>
    <w:rsid w:val="00925255"/>
    <w:rsid w:val="00926DE6"/>
    <w:rsid w:val="009310FF"/>
    <w:rsid w:val="00931B50"/>
    <w:rsid w:val="00932C6F"/>
    <w:rsid w:val="0093485F"/>
    <w:rsid w:val="00935CF5"/>
    <w:rsid w:val="00936897"/>
    <w:rsid w:val="009404D4"/>
    <w:rsid w:val="00940DE3"/>
    <w:rsid w:val="00941427"/>
    <w:rsid w:val="00941CAE"/>
    <w:rsid w:val="009439D0"/>
    <w:rsid w:val="00945706"/>
    <w:rsid w:val="00945AB5"/>
    <w:rsid w:val="00945F19"/>
    <w:rsid w:val="00951C51"/>
    <w:rsid w:val="00953425"/>
    <w:rsid w:val="0095365A"/>
    <w:rsid w:val="0095491E"/>
    <w:rsid w:val="00955688"/>
    <w:rsid w:val="00956169"/>
    <w:rsid w:val="00956449"/>
    <w:rsid w:val="0095778C"/>
    <w:rsid w:val="009626F1"/>
    <w:rsid w:val="009660FE"/>
    <w:rsid w:val="00971012"/>
    <w:rsid w:val="0097126F"/>
    <w:rsid w:val="0097165F"/>
    <w:rsid w:val="0097230A"/>
    <w:rsid w:val="00973059"/>
    <w:rsid w:val="00973178"/>
    <w:rsid w:val="00973262"/>
    <w:rsid w:val="00973B75"/>
    <w:rsid w:val="00974DEF"/>
    <w:rsid w:val="0097575F"/>
    <w:rsid w:val="0097657D"/>
    <w:rsid w:val="00980095"/>
    <w:rsid w:val="009800B5"/>
    <w:rsid w:val="0098045A"/>
    <w:rsid w:val="009813F5"/>
    <w:rsid w:val="009829ED"/>
    <w:rsid w:val="00986053"/>
    <w:rsid w:val="00990835"/>
    <w:rsid w:val="00990C93"/>
    <w:rsid w:val="009937C6"/>
    <w:rsid w:val="00993A0C"/>
    <w:rsid w:val="00995948"/>
    <w:rsid w:val="00996686"/>
    <w:rsid w:val="00997286"/>
    <w:rsid w:val="009A413A"/>
    <w:rsid w:val="009A5863"/>
    <w:rsid w:val="009A5883"/>
    <w:rsid w:val="009A63EA"/>
    <w:rsid w:val="009A6D31"/>
    <w:rsid w:val="009A7804"/>
    <w:rsid w:val="009A7885"/>
    <w:rsid w:val="009B07BC"/>
    <w:rsid w:val="009B1723"/>
    <w:rsid w:val="009B2784"/>
    <w:rsid w:val="009B5C72"/>
    <w:rsid w:val="009B7B1B"/>
    <w:rsid w:val="009C10CF"/>
    <w:rsid w:val="009C1CEE"/>
    <w:rsid w:val="009C2495"/>
    <w:rsid w:val="009C2690"/>
    <w:rsid w:val="009C3814"/>
    <w:rsid w:val="009C4487"/>
    <w:rsid w:val="009D1184"/>
    <w:rsid w:val="009D1285"/>
    <w:rsid w:val="009D2E82"/>
    <w:rsid w:val="009D31B7"/>
    <w:rsid w:val="009D3ECA"/>
    <w:rsid w:val="009D42BD"/>
    <w:rsid w:val="009D4428"/>
    <w:rsid w:val="009D5169"/>
    <w:rsid w:val="009D5658"/>
    <w:rsid w:val="009D620E"/>
    <w:rsid w:val="009D725B"/>
    <w:rsid w:val="009E032F"/>
    <w:rsid w:val="009E0E78"/>
    <w:rsid w:val="009E18DC"/>
    <w:rsid w:val="009E2235"/>
    <w:rsid w:val="009E22C9"/>
    <w:rsid w:val="009E233C"/>
    <w:rsid w:val="009E509C"/>
    <w:rsid w:val="009E6DF1"/>
    <w:rsid w:val="009F0085"/>
    <w:rsid w:val="009F099C"/>
    <w:rsid w:val="009F2C8C"/>
    <w:rsid w:val="009F60DA"/>
    <w:rsid w:val="009F6301"/>
    <w:rsid w:val="009F7FC6"/>
    <w:rsid w:val="00A0299F"/>
    <w:rsid w:val="00A0447B"/>
    <w:rsid w:val="00A05112"/>
    <w:rsid w:val="00A06801"/>
    <w:rsid w:val="00A0799D"/>
    <w:rsid w:val="00A07F61"/>
    <w:rsid w:val="00A11018"/>
    <w:rsid w:val="00A117F7"/>
    <w:rsid w:val="00A13907"/>
    <w:rsid w:val="00A13E9C"/>
    <w:rsid w:val="00A1496E"/>
    <w:rsid w:val="00A158A8"/>
    <w:rsid w:val="00A159A3"/>
    <w:rsid w:val="00A16312"/>
    <w:rsid w:val="00A164D6"/>
    <w:rsid w:val="00A2039A"/>
    <w:rsid w:val="00A21412"/>
    <w:rsid w:val="00A218B4"/>
    <w:rsid w:val="00A2216C"/>
    <w:rsid w:val="00A2245B"/>
    <w:rsid w:val="00A22F77"/>
    <w:rsid w:val="00A2512F"/>
    <w:rsid w:val="00A27BF0"/>
    <w:rsid w:val="00A3163B"/>
    <w:rsid w:val="00A32AF8"/>
    <w:rsid w:val="00A33C17"/>
    <w:rsid w:val="00A37552"/>
    <w:rsid w:val="00A37798"/>
    <w:rsid w:val="00A37A45"/>
    <w:rsid w:val="00A41130"/>
    <w:rsid w:val="00A43915"/>
    <w:rsid w:val="00A45807"/>
    <w:rsid w:val="00A463AB"/>
    <w:rsid w:val="00A47A60"/>
    <w:rsid w:val="00A50148"/>
    <w:rsid w:val="00A53F57"/>
    <w:rsid w:val="00A54F4B"/>
    <w:rsid w:val="00A6017E"/>
    <w:rsid w:val="00A601E8"/>
    <w:rsid w:val="00A62885"/>
    <w:rsid w:val="00A64000"/>
    <w:rsid w:val="00A64748"/>
    <w:rsid w:val="00A6497A"/>
    <w:rsid w:val="00A65050"/>
    <w:rsid w:val="00A6506F"/>
    <w:rsid w:val="00A65433"/>
    <w:rsid w:val="00A66B1E"/>
    <w:rsid w:val="00A70D1C"/>
    <w:rsid w:val="00A71CCB"/>
    <w:rsid w:val="00A742E7"/>
    <w:rsid w:val="00A74955"/>
    <w:rsid w:val="00A756F7"/>
    <w:rsid w:val="00A75FEB"/>
    <w:rsid w:val="00A76840"/>
    <w:rsid w:val="00A76E28"/>
    <w:rsid w:val="00A82806"/>
    <w:rsid w:val="00A8622F"/>
    <w:rsid w:val="00A916A9"/>
    <w:rsid w:val="00A9196E"/>
    <w:rsid w:val="00A91C2A"/>
    <w:rsid w:val="00A91D2D"/>
    <w:rsid w:val="00A921BA"/>
    <w:rsid w:val="00A927C0"/>
    <w:rsid w:val="00A93600"/>
    <w:rsid w:val="00A946AE"/>
    <w:rsid w:val="00A94B51"/>
    <w:rsid w:val="00A94F5D"/>
    <w:rsid w:val="00A95C9A"/>
    <w:rsid w:val="00A960CD"/>
    <w:rsid w:val="00A97891"/>
    <w:rsid w:val="00AA24D1"/>
    <w:rsid w:val="00AA31F5"/>
    <w:rsid w:val="00AA413F"/>
    <w:rsid w:val="00AA7492"/>
    <w:rsid w:val="00AA7ECC"/>
    <w:rsid w:val="00AB019A"/>
    <w:rsid w:val="00AB08BB"/>
    <w:rsid w:val="00AB1088"/>
    <w:rsid w:val="00AB2F70"/>
    <w:rsid w:val="00AB3416"/>
    <w:rsid w:val="00AB3D5C"/>
    <w:rsid w:val="00AB433B"/>
    <w:rsid w:val="00AB6A5B"/>
    <w:rsid w:val="00AB7AC3"/>
    <w:rsid w:val="00AB7D4E"/>
    <w:rsid w:val="00AC0EA2"/>
    <w:rsid w:val="00AC10EE"/>
    <w:rsid w:val="00AC28C3"/>
    <w:rsid w:val="00AC2CEF"/>
    <w:rsid w:val="00AC4E33"/>
    <w:rsid w:val="00AD352B"/>
    <w:rsid w:val="00AD3920"/>
    <w:rsid w:val="00AD6E62"/>
    <w:rsid w:val="00AE0C93"/>
    <w:rsid w:val="00AE2690"/>
    <w:rsid w:val="00AE4A42"/>
    <w:rsid w:val="00AE6F59"/>
    <w:rsid w:val="00AF163B"/>
    <w:rsid w:val="00AF17C4"/>
    <w:rsid w:val="00AF24C8"/>
    <w:rsid w:val="00AF6078"/>
    <w:rsid w:val="00AF648E"/>
    <w:rsid w:val="00B007A2"/>
    <w:rsid w:val="00B0184D"/>
    <w:rsid w:val="00B019A7"/>
    <w:rsid w:val="00B028B4"/>
    <w:rsid w:val="00B03DB2"/>
    <w:rsid w:val="00B07028"/>
    <w:rsid w:val="00B10A48"/>
    <w:rsid w:val="00B10B4A"/>
    <w:rsid w:val="00B10BD8"/>
    <w:rsid w:val="00B10E60"/>
    <w:rsid w:val="00B10E7C"/>
    <w:rsid w:val="00B134A0"/>
    <w:rsid w:val="00B14F21"/>
    <w:rsid w:val="00B1530E"/>
    <w:rsid w:val="00B15BD6"/>
    <w:rsid w:val="00B16A73"/>
    <w:rsid w:val="00B22437"/>
    <w:rsid w:val="00B24011"/>
    <w:rsid w:val="00B314BA"/>
    <w:rsid w:val="00B32670"/>
    <w:rsid w:val="00B32990"/>
    <w:rsid w:val="00B34B6A"/>
    <w:rsid w:val="00B35DAA"/>
    <w:rsid w:val="00B373DE"/>
    <w:rsid w:val="00B41024"/>
    <w:rsid w:val="00B4332D"/>
    <w:rsid w:val="00B43FEE"/>
    <w:rsid w:val="00B441C3"/>
    <w:rsid w:val="00B44CF0"/>
    <w:rsid w:val="00B46763"/>
    <w:rsid w:val="00B4690B"/>
    <w:rsid w:val="00B46A33"/>
    <w:rsid w:val="00B50532"/>
    <w:rsid w:val="00B5054D"/>
    <w:rsid w:val="00B51048"/>
    <w:rsid w:val="00B54D37"/>
    <w:rsid w:val="00B56D07"/>
    <w:rsid w:val="00B57384"/>
    <w:rsid w:val="00B57635"/>
    <w:rsid w:val="00B61EE6"/>
    <w:rsid w:val="00B62217"/>
    <w:rsid w:val="00B62D04"/>
    <w:rsid w:val="00B67A34"/>
    <w:rsid w:val="00B67D42"/>
    <w:rsid w:val="00B70C74"/>
    <w:rsid w:val="00B7111C"/>
    <w:rsid w:val="00B72AFF"/>
    <w:rsid w:val="00B734B7"/>
    <w:rsid w:val="00B746DF"/>
    <w:rsid w:val="00B76F4B"/>
    <w:rsid w:val="00B772C9"/>
    <w:rsid w:val="00B773BC"/>
    <w:rsid w:val="00B80520"/>
    <w:rsid w:val="00B82647"/>
    <w:rsid w:val="00B83452"/>
    <w:rsid w:val="00B84476"/>
    <w:rsid w:val="00B87DB6"/>
    <w:rsid w:val="00B9331E"/>
    <w:rsid w:val="00B940CD"/>
    <w:rsid w:val="00B95616"/>
    <w:rsid w:val="00B95D45"/>
    <w:rsid w:val="00BA0121"/>
    <w:rsid w:val="00BA0126"/>
    <w:rsid w:val="00BA0A71"/>
    <w:rsid w:val="00BA1EEF"/>
    <w:rsid w:val="00BA668C"/>
    <w:rsid w:val="00BB0875"/>
    <w:rsid w:val="00BB0D3E"/>
    <w:rsid w:val="00BB41D5"/>
    <w:rsid w:val="00BB54B5"/>
    <w:rsid w:val="00BB5838"/>
    <w:rsid w:val="00BB6DCC"/>
    <w:rsid w:val="00BC0B3D"/>
    <w:rsid w:val="00BC0DEF"/>
    <w:rsid w:val="00BC2056"/>
    <w:rsid w:val="00BC429D"/>
    <w:rsid w:val="00BC5F02"/>
    <w:rsid w:val="00BC5FEB"/>
    <w:rsid w:val="00BC7185"/>
    <w:rsid w:val="00BC7613"/>
    <w:rsid w:val="00BD15F3"/>
    <w:rsid w:val="00BD1A6F"/>
    <w:rsid w:val="00BD1AE9"/>
    <w:rsid w:val="00BD27C3"/>
    <w:rsid w:val="00BD438B"/>
    <w:rsid w:val="00BD4CF1"/>
    <w:rsid w:val="00BD4FDF"/>
    <w:rsid w:val="00BD5180"/>
    <w:rsid w:val="00BD6029"/>
    <w:rsid w:val="00BD7AED"/>
    <w:rsid w:val="00BE08DB"/>
    <w:rsid w:val="00BE33EC"/>
    <w:rsid w:val="00BE4E49"/>
    <w:rsid w:val="00BE6E43"/>
    <w:rsid w:val="00BF0689"/>
    <w:rsid w:val="00BF0C67"/>
    <w:rsid w:val="00BF1415"/>
    <w:rsid w:val="00BF181B"/>
    <w:rsid w:val="00BF24B4"/>
    <w:rsid w:val="00BF430F"/>
    <w:rsid w:val="00BF52C2"/>
    <w:rsid w:val="00BF79B9"/>
    <w:rsid w:val="00BF7B72"/>
    <w:rsid w:val="00C00050"/>
    <w:rsid w:val="00C00C3B"/>
    <w:rsid w:val="00C01716"/>
    <w:rsid w:val="00C02787"/>
    <w:rsid w:val="00C0364C"/>
    <w:rsid w:val="00C03743"/>
    <w:rsid w:val="00C0653D"/>
    <w:rsid w:val="00C06574"/>
    <w:rsid w:val="00C07D09"/>
    <w:rsid w:val="00C07FEE"/>
    <w:rsid w:val="00C11DCA"/>
    <w:rsid w:val="00C12834"/>
    <w:rsid w:val="00C129E2"/>
    <w:rsid w:val="00C13CB4"/>
    <w:rsid w:val="00C1437A"/>
    <w:rsid w:val="00C14873"/>
    <w:rsid w:val="00C16558"/>
    <w:rsid w:val="00C17D48"/>
    <w:rsid w:val="00C2287F"/>
    <w:rsid w:val="00C242D3"/>
    <w:rsid w:val="00C24AF2"/>
    <w:rsid w:val="00C27AD5"/>
    <w:rsid w:val="00C27E51"/>
    <w:rsid w:val="00C31478"/>
    <w:rsid w:val="00C32121"/>
    <w:rsid w:val="00C33155"/>
    <w:rsid w:val="00C35648"/>
    <w:rsid w:val="00C36216"/>
    <w:rsid w:val="00C40084"/>
    <w:rsid w:val="00C40945"/>
    <w:rsid w:val="00C43486"/>
    <w:rsid w:val="00C44395"/>
    <w:rsid w:val="00C4569A"/>
    <w:rsid w:val="00C46091"/>
    <w:rsid w:val="00C4652E"/>
    <w:rsid w:val="00C468BB"/>
    <w:rsid w:val="00C5040B"/>
    <w:rsid w:val="00C51CFF"/>
    <w:rsid w:val="00C52D08"/>
    <w:rsid w:val="00C6014A"/>
    <w:rsid w:val="00C60AC2"/>
    <w:rsid w:val="00C60D33"/>
    <w:rsid w:val="00C62BBF"/>
    <w:rsid w:val="00C62C94"/>
    <w:rsid w:val="00C653FE"/>
    <w:rsid w:val="00C654E9"/>
    <w:rsid w:val="00C66340"/>
    <w:rsid w:val="00C665FA"/>
    <w:rsid w:val="00C67A3A"/>
    <w:rsid w:val="00C70DBD"/>
    <w:rsid w:val="00C726FF"/>
    <w:rsid w:val="00C7343F"/>
    <w:rsid w:val="00C7357C"/>
    <w:rsid w:val="00C739AD"/>
    <w:rsid w:val="00C766BF"/>
    <w:rsid w:val="00C83782"/>
    <w:rsid w:val="00C84116"/>
    <w:rsid w:val="00C84A7A"/>
    <w:rsid w:val="00C85551"/>
    <w:rsid w:val="00C857EF"/>
    <w:rsid w:val="00C87014"/>
    <w:rsid w:val="00C87F14"/>
    <w:rsid w:val="00C9060F"/>
    <w:rsid w:val="00C9069A"/>
    <w:rsid w:val="00C96823"/>
    <w:rsid w:val="00C97437"/>
    <w:rsid w:val="00CA0595"/>
    <w:rsid w:val="00CA238E"/>
    <w:rsid w:val="00CA2C3A"/>
    <w:rsid w:val="00CA360B"/>
    <w:rsid w:val="00CA3C7B"/>
    <w:rsid w:val="00CA42A2"/>
    <w:rsid w:val="00CA72C5"/>
    <w:rsid w:val="00CA75C3"/>
    <w:rsid w:val="00CA7614"/>
    <w:rsid w:val="00CA7A2A"/>
    <w:rsid w:val="00CB14E9"/>
    <w:rsid w:val="00CB25F4"/>
    <w:rsid w:val="00CB2BFF"/>
    <w:rsid w:val="00CB4154"/>
    <w:rsid w:val="00CB6433"/>
    <w:rsid w:val="00CB7CCD"/>
    <w:rsid w:val="00CC1276"/>
    <w:rsid w:val="00CC2620"/>
    <w:rsid w:val="00CC2F66"/>
    <w:rsid w:val="00CC3ABC"/>
    <w:rsid w:val="00CC3D29"/>
    <w:rsid w:val="00CC3EF4"/>
    <w:rsid w:val="00CC48F1"/>
    <w:rsid w:val="00CC57EB"/>
    <w:rsid w:val="00CC6387"/>
    <w:rsid w:val="00CC71F0"/>
    <w:rsid w:val="00CC79AC"/>
    <w:rsid w:val="00CC7EA8"/>
    <w:rsid w:val="00CD09C3"/>
    <w:rsid w:val="00CD103F"/>
    <w:rsid w:val="00CD1F75"/>
    <w:rsid w:val="00CD2A2B"/>
    <w:rsid w:val="00CD304C"/>
    <w:rsid w:val="00CD4231"/>
    <w:rsid w:val="00CD6FB1"/>
    <w:rsid w:val="00CE137C"/>
    <w:rsid w:val="00CE14C2"/>
    <w:rsid w:val="00CE1C64"/>
    <w:rsid w:val="00CE3490"/>
    <w:rsid w:val="00CE6DB7"/>
    <w:rsid w:val="00CF0070"/>
    <w:rsid w:val="00CF2129"/>
    <w:rsid w:val="00CF4427"/>
    <w:rsid w:val="00CF5428"/>
    <w:rsid w:val="00CF55D3"/>
    <w:rsid w:val="00CF680E"/>
    <w:rsid w:val="00CF6B2D"/>
    <w:rsid w:val="00CF72EE"/>
    <w:rsid w:val="00CF78D9"/>
    <w:rsid w:val="00D00979"/>
    <w:rsid w:val="00D022EC"/>
    <w:rsid w:val="00D030D1"/>
    <w:rsid w:val="00D033E7"/>
    <w:rsid w:val="00D05C19"/>
    <w:rsid w:val="00D068E9"/>
    <w:rsid w:val="00D06FAF"/>
    <w:rsid w:val="00D07AF3"/>
    <w:rsid w:val="00D11CA7"/>
    <w:rsid w:val="00D13E24"/>
    <w:rsid w:val="00D14CE1"/>
    <w:rsid w:val="00D158C7"/>
    <w:rsid w:val="00D1712B"/>
    <w:rsid w:val="00D1779D"/>
    <w:rsid w:val="00D21615"/>
    <w:rsid w:val="00D2175A"/>
    <w:rsid w:val="00D220DE"/>
    <w:rsid w:val="00D23E7C"/>
    <w:rsid w:val="00D24E47"/>
    <w:rsid w:val="00D30BA2"/>
    <w:rsid w:val="00D3239E"/>
    <w:rsid w:val="00D324CB"/>
    <w:rsid w:val="00D32CFB"/>
    <w:rsid w:val="00D353BF"/>
    <w:rsid w:val="00D37284"/>
    <w:rsid w:val="00D404F4"/>
    <w:rsid w:val="00D40C95"/>
    <w:rsid w:val="00D42B48"/>
    <w:rsid w:val="00D44323"/>
    <w:rsid w:val="00D45D6D"/>
    <w:rsid w:val="00D47F32"/>
    <w:rsid w:val="00D504F8"/>
    <w:rsid w:val="00D5297E"/>
    <w:rsid w:val="00D52CE6"/>
    <w:rsid w:val="00D52E27"/>
    <w:rsid w:val="00D54480"/>
    <w:rsid w:val="00D562DE"/>
    <w:rsid w:val="00D564A8"/>
    <w:rsid w:val="00D56E34"/>
    <w:rsid w:val="00D57780"/>
    <w:rsid w:val="00D600D3"/>
    <w:rsid w:val="00D60A9A"/>
    <w:rsid w:val="00D61FA1"/>
    <w:rsid w:val="00D62077"/>
    <w:rsid w:val="00D63644"/>
    <w:rsid w:val="00D64532"/>
    <w:rsid w:val="00D66AEC"/>
    <w:rsid w:val="00D6776B"/>
    <w:rsid w:val="00D679C4"/>
    <w:rsid w:val="00D67BAA"/>
    <w:rsid w:val="00D707F4"/>
    <w:rsid w:val="00D722FB"/>
    <w:rsid w:val="00D72579"/>
    <w:rsid w:val="00D72C87"/>
    <w:rsid w:val="00D7663B"/>
    <w:rsid w:val="00D771D0"/>
    <w:rsid w:val="00D774DA"/>
    <w:rsid w:val="00D80E8C"/>
    <w:rsid w:val="00D83201"/>
    <w:rsid w:val="00D84E8B"/>
    <w:rsid w:val="00D8573B"/>
    <w:rsid w:val="00D87032"/>
    <w:rsid w:val="00D87275"/>
    <w:rsid w:val="00D90692"/>
    <w:rsid w:val="00D91C70"/>
    <w:rsid w:val="00D929B3"/>
    <w:rsid w:val="00D9383E"/>
    <w:rsid w:val="00D959C3"/>
    <w:rsid w:val="00D95F3D"/>
    <w:rsid w:val="00D96E09"/>
    <w:rsid w:val="00D9751D"/>
    <w:rsid w:val="00D97E58"/>
    <w:rsid w:val="00DA00CE"/>
    <w:rsid w:val="00DA0761"/>
    <w:rsid w:val="00DA0FCE"/>
    <w:rsid w:val="00DA274C"/>
    <w:rsid w:val="00DA523E"/>
    <w:rsid w:val="00DA59A3"/>
    <w:rsid w:val="00DA6D4C"/>
    <w:rsid w:val="00DB009D"/>
    <w:rsid w:val="00DB387E"/>
    <w:rsid w:val="00DB4341"/>
    <w:rsid w:val="00DB4CC8"/>
    <w:rsid w:val="00DB4D66"/>
    <w:rsid w:val="00DB6DDB"/>
    <w:rsid w:val="00DB7F0B"/>
    <w:rsid w:val="00DC1CFA"/>
    <w:rsid w:val="00DC212B"/>
    <w:rsid w:val="00DC266E"/>
    <w:rsid w:val="00DC3273"/>
    <w:rsid w:val="00DC7003"/>
    <w:rsid w:val="00DC7DF8"/>
    <w:rsid w:val="00DC7F2A"/>
    <w:rsid w:val="00DD00D1"/>
    <w:rsid w:val="00DD12EE"/>
    <w:rsid w:val="00DD371D"/>
    <w:rsid w:val="00DE070B"/>
    <w:rsid w:val="00DE0DED"/>
    <w:rsid w:val="00DE2042"/>
    <w:rsid w:val="00DE500E"/>
    <w:rsid w:val="00DF0A60"/>
    <w:rsid w:val="00DF2B21"/>
    <w:rsid w:val="00DF3BA2"/>
    <w:rsid w:val="00DF7B6D"/>
    <w:rsid w:val="00E00549"/>
    <w:rsid w:val="00E01793"/>
    <w:rsid w:val="00E05FB0"/>
    <w:rsid w:val="00E1228A"/>
    <w:rsid w:val="00E1353A"/>
    <w:rsid w:val="00E136AD"/>
    <w:rsid w:val="00E15E07"/>
    <w:rsid w:val="00E17237"/>
    <w:rsid w:val="00E211F7"/>
    <w:rsid w:val="00E224B7"/>
    <w:rsid w:val="00E318A4"/>
    <w:rsid w:val="00E332E5"/>
    <w:rsid w:val="00E33705"/>
    <w:rsid w:val="00E34D11"/>
    <w:rsid w:val="00E34D5A"/>
    <w:rsid w:val="00E369A6"/>
    <w:rsid w:val="00E40DA3"/>
    <w:rsid w:val="00E4138F"/>
    <w:rsid w:val="00E41CF3"/>
    <w:rsid w:val="00E43DAD"/>
    <w:rsid w:val="00E46549"/>
    <w:rsid w:val="00E46E20"/>
    <w:rsid w:val="00E50701"/>
    <w:rsid w:val="00E50976"/>
    <w:rsid w:val="00E51564"/>
    <w:rsid w:val="00E526B2"/>
    <w:rsid w:val="00E60FF0"/>
    <w:rsid w:val="00E629F0"/>
    <w:rsid w:val="00E64ED8"/>
    <w:rsid w:val="00E65E1A"/>
    <w:rsid w:val="00E65EC3"/>
    <w:rsid w:val="00E65EE0"/>
    <w:rsid w:val="00E70821"/>
    <w:rsid w:val="00E71A14"/>
    <w:rsid w:val="00E732DC"/>
    <w:rsid w:val="00E73CE0"/>
    <w:rsid w:val="00E73D84"/>
    <w:rsid w:val="00E74334"/>
    <w:rsid w:val="00E74A61"/>
    <w:rsid w:val="00E75CA4"/>
    <w:rsid w:val="00E75E09"/>
    <w:rsid w:val="00E771F1"/>
    <w:rsid w:val="00E77249"/>
    <w:rsid w:val="00E77DA8"/>
    <w:rsid w:val="00E83439"/>
    <w:rsid w:val="00E84F9B"/>
    <w:rsid w:val="00E86425"/>
    <w:rsid w:val="00E872B7"/>
    <w:rsid w:val="00E93BC8"/>
    <w:rsid w:val="00E95B54"/>
    <w:rsid w:val="00E95CDC"/>
    <w:rsid w:val="00EA01B7"/>
    <w:rsid w:val="00EA1775"/>
    <w:rsid w:val="00EA17EB"/>
    <w:rsid w:val="00EA3A8E"/>
    <w:rsid w:val="00EA4CAC"/>
    <w:rsid w:val="00EA6D32"/>
    <w:rsid w:val="00EB11A7"/>
    <w:rsid w:val="00EB20E8"/>
    <w:rsid w:val="00EB3F58"/>
    <w:rsid w:val="00EB5D45"/>
    <w:rsid w:val="00EC11C0"/>
    <w:rsid w:val="00EC286C"/>
    <w:rsid w:val="00EC3814"/>
    <w:rsid w:val="00EC4926"/>
    <w:rsid w:val="00EC5593"/>
    <w:rsid w:val="00EC581C"/>
    <w:rsid w:val="00EC64A2"/>
    <w:rsid w:val="00EC68BC"/>
    <w:rsid w:val="00EC6D45"/>
    <w:rsid w:val="00ED3AAB"/>
    <w:rsid w:val="00ED5571"/>
    <w:rsid w:val="00EE0603"/>
    <w:rsid w:val="00EE0EE8"/>
    <w:rsid w:val="00EE2B37"/>
    <w:rsid w:val="00EE41FD"/>
    <w:rsid w:val="00EE4276"/>
    <w:rsid w:val="00EE44C4"/>
    <w:rsid w:val="00EE5D9D"/>
    <w:rsid w:val="00EE6905"/>
    <w:rsid w:val="00EE7A4F"/>
    <w:rsid w:val="00EF01A5"/>
    <w:rsid w:val="00EF0E70"/>
    <w:rsid w:val="00EF1A75"/>
    <w:rsid w:val="00EF34C8"/>
    <w:rsid w:val="00EF3846"/>
    <w:rsid w:val="00EF7508"/>
    <w:rsid w:val="00F0186F"/>
    <w:rsid w:val="00F04840"/>
    <w:rsid w:val="00F04C5D"/>
    <w:rsid w:val="00F04E47"/>
    <w:rsid w:val="00F0785A"/>
    <w:rsid w:val="00F1053E"/>
    <w:rsid w:val="00F10577"/>
    <w:rsid w:val="00F13ED2"/>
    <w:rsid w:val="00F149AF"/>
    <w:rsid w:val="00F14D10"/>
    <w:rsid w:val="00F1535D"/>
    <w:rsid w:val="00F174F4"/>
    <w:rsid w:val="00F2057E"/>
    <w:rsid w:val="00F205E6"/>
    <w:rsid w:val="00F2758A"/>
    <w:rsid w:val="00F27BDC"/>
    <w:rsid w:val="00F30EED"/>
    <w:rsid w:val="00F316C6"/>
    <w:rsid w:val="00F31C85"/>
    <w:rsid w:val="00F31CEB"/>
    <w:rsid w:val="00F32CE2"/>
    <w:rsid w:val="00F34309"/>
    <w:rsid w:val="00F3466F"/>
    <w:rsid w:val="00F40D39"/>
    <w:rsid w:val="00F45829"/>
    <w:rsid w:val="00F45DB7"/>
    <w:rsid w:val="00F45EBE"/>
    <w:rsid w:val="00F46607"/>
    <w:rsid w:val="00F46A60"/>
    <w:rsid w:val="00F46B5D"/>
    <w:rsid w:val="00F46CE2"/>
    <w:rsid w:val="00F47C58"/>
    <w:rsid w:val="00F5014E"/>
    <w:rsid w:val="00F50805"/>
    <w:rsid w:val="00F550B6"/>
    <w:rsid w:val="00F5557D"/>
    <w:rsid w:val="00F56893"/>
    <w:rsid w:val="00F57251"/>
    <w:rsid w:val="00F574B2"/>
    <w:rsid w:val="00F6179C"/>
    <w:rsid w:val="00F61D25"/>
    <w:rsid w:val="00F622E1"/>
    <w:rsid w:val="00F64EE0"/>
    <w:rsid w:val="00F65C57"/>
    <w:rsid w:val="00F665B3"/>
    <w:rsid w:val="00F673C0"/>
    <w:rsid w:val="00F67546"/>
    <w:rsid w:val="00F708C2"/>
    <w:rsid w:val="00F70E6A"/>
    <w:rsid w:val="00F71E7F"/>
    <w:rsid w:val="00F74BE6"/>
    <w:rsid w:val="00F750B4"/>
    <w:rsid w:val="00F767E6"/>
    <w:rsid w:val="00F81315"/>
    <w:rsid w:val="00F8151A"/>
    <w:rsid w:val="00F83528"/>
    <w:rsid w:val="00F85EC7"/>
    <w:rsid w:val="00F8682C"/>
    <w:rsid w:val="00F8684C"/>
    <w:rsid w:val="00F87C20"/>
    <w:rsid w:val="00F91896"/>
    <w:rsid w:val="00F91F84"/>
    <w:rsid w:val="00F92501"/>
    <w:rsid w:val="00F95331"/>
    <w:rsid w:val="00F95E86"/>
    <w:rsid w:val="00F97893"/>
    <w:rsid w:val="00F97957"/>
    <w:rsid w:val="00FA01F6"/>
    <w:rsid w:val="00FA0B54"/>
    <w:rsid w:val="00FA1647"/>
    <w:rsid w:val="00FA2416"/>
    <w:rsid w:val="00FA2BD3"/>
    <w:rsid w:val="00FA3686"/>
    <w:rsid w:val="00FA5611"/>
    <w:rsid w:val="00FB391B"/>
    <w:rsid w:val="00FB3C27"/>
    <w:rsid w:val="00FB4AEA"/>
    <w:rsid w:val="00FB6254"/>
    <w:rsid w:val="00FC43B3"/>
    <w:rsid w:val="00FC5805"/>
    <w:rsid w:val="00FC6392"/>
    <w:rsid w:val="00FD0D09"/>
    <w:rsid w:val="00FD0D82"/>
    <w:rsid w:val="00FD238B"/>
    <w:rsid w:val="00FD33EE"/>
    <w:rsid w:val="00FD5EA9"/>
    <w:rsid w:val="00FD7E36"/>
    <w:rsid w:val="00FE020A"/>
    <w:rsid w:val="00FE023E"/>
    <w:rsid w:val="00FE07BF"/>
    <w:rsid w:val="00FE1648"/>
    <w:rsid w:val="00FE37CE"/>
    <w:rsid w:val="00FE3ED3"/>
    <w:rsid w:val="00FE5614"/>
    <w:rsid w:val="00FE68C4"/>
    <w:rsid w:val="00FE716A"/>
    <w:rsid w:val="00FE7717"/>
    <w:rsid w:val="00FF14BB"/>
    <w:rsid w:val="00FF1A73"/>
    <w:rsid w:val="00FF23E8"/>
    <w:rsid w:val="00FF2645"/>
    <w:rsid w:val="00FF3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028F32"/>
  <w15:docId w15:val="{4425DB6C-3133-4144-AAFE-D9F1F21C2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29D"/>
    <w:pPr>
      <w:spacing w:after="160" w:line="259" w:lineRule="auto"/>
    </w:pPr>
    <w:rPr>
      <w:sz w:val="22"/>
      <w:szCs w:val="22"/>
      <w:lang w:val="es-CO"/>
    </w:rPr>
  </w:style>
  <w:style w:type="paragraph" w:styleId="Ttulo1">
    <w:name w:val="heading 1"/>
    <w:basedOn w:val="Normal"/>
    <w:next w:val="Normal"/>
    <w:link w:val="Ttulo1Car"/>
    <w:qFormat/>
    <w:rsid w:val="009F7FC6"/>
    <w:pPr>
      <w:keepNext/>
      <w:spacing w:after="0" w:line="360" w:lineRule="auto"/>
      <w:jc w:val="both"/>
      <w:outlineLvl w:val="0"/>
    </w:pPr>
    <w:rPr>
      <w:rFonts w:ascii="Arial" w:hAnsi="Arial" w:cs="Arial"/>
      <w:b/>
      <w:bCs/>
      <w:sz w:val="26"/>
      <w:szCs w:val="24"/>
      <w:u w:val="single"/>
      <w:lang w:val="es-ES" w:eastAsia="es-ES"/>
    </w:rPr>
  </w:style>
  <w:style w:type="paragraph" w:styleId="Ttulo3">
    <w:name w:val="heading 3"/>
    <w:basedOn w:val="Normal"/>
    <w:next w:val="Normal"/>
    <w:link w:val="Ttulo3Car"/>
    <w:qFormat/>
    <w:rsid w:val="009F7FC6"/>
    <w:pPr>
      <w:keepNext/>
      <w:spacing w:before="240" w:after="60" w:line="240" w:lineRule="auto"/>
      <w:outlineLvl w:val="2"/>
    </w:pPr>
    <w:rPr>
      <w:rFonts w:ascii="Arial" w:eastAsia="Times New Roman" w:hAnsi="Arial" w:cs="Arial"/>
      <w:b/>
      <w:bCs/>
      <w:sz w:val="26"/>
      <w:szCs w:val="26"/>
      <w:lang w:eastAsia="es-ES"/>
    </w:rPr>
  </w:style>
  <w:style w:type="paragraph" w:styleId="Ttulo9">
    <w:name w:val="heading 9"/>
    <w:basedOn w:val="Normal"/>
    <w:next w:val="Normal"/>
    <w:link w:val="Ttulo9Car"/>
    <w:uiPriority w:val="9"/>
    <w:qFormat/>
    <w:rsid w:val="009F7FC6"/>
    <w:pPr>
      <w:spacing w:before="240" w:after="60"/>
      <w:outlineLvl w:val="8"/>
    </w:pPr>
    <w:rPr>
      <w:rFonts w:ascii="Calibri Light" w:eastAsia="Times New Roman" w:hAnsi="Calibri Ligh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9F7FC6"/>
    <w:rPr>
      <w:rFonts w:ascii="Arial" w:hAnsi="Arial" w:cs="Arial"/>
      <w:b/>
      <w:bCs/>
      <w:sz w:val="26"/>
      <w:szCs w:val="24"/>
      <w:u w:val="single"/>
      <w:lang w:val="es-ES" w:eastAsia="es-ES"/>
    </w:rPr>
  </w:style>
  <w:style w:type="character" w:customStyle="1" w:styleId="Ttulo3Car">
    <w:name w:val="Título 3 Car"/>
    <w:link w:val="Ttulo3"/>
    <w:rsid w:val="009F7FC6"/>
    <w:rPr>
      <w:rFonts w:ascii="Arial" w:eastAsia="Times New Roman" w:hAnsi="Arial" w:cs="Arial"/>
      <w:b/>
      <w:bCs/>
      <w:sz w:val="26"/>
      <w:szCs w:val="26"/>
      <w:lang w:eastAsia="es-ES"/>
    </w:rPr>
  </w:style>
  <w:style w:type="character" w:customStyle="1" w:styleId="Ttulo9Car">
    <w:name w:val="Título 9 Car"/>
    <w:link w:val="Ttulo9"/>
    <w:uiPriority w:val="9"/>
    <w:rsid w:val="009F7FC6"/>
    <w:rPr>
      <w:rFonts w:ascii="Calibri Light" w:eastAsia="Times New Roman" w:hAnsi="Calibri Light"/>
      <w:sz w:val="22"/>
      <w:szCs w:val="22"/>
      <w:lang w:eastAsia="en-US"/>
    </w:rPr>
  </w:style>
  <w:style w:type="paragraph" w:styleId="Textoindependiente">
    <w:name w:val="Body Text"/>
    <w:aliases w:val=" Car Car, Car Car Car Car,Car Car,Car Car Car Car,Car"/>
    <w:basedOn w:val="Normal"/>
    <w:link w:val="TextoindependienteCar"/>
    <w:rsid w:val="009F7FC6"/>
    <w:pPr>
      <w:spacing w:after="0" w:line="360" w:lineRule="auto"/>
      <w:jc w:val="both"/>
    </w:pPr>
    <w:rPr>
      <w:rFonts w:ascii="Arial" w:hAnsi="Arial" w:cs="Arial"/>
      <w:sz w:val="26"/>
      <w:szCs w:val="24"/>
      <w:lang w:val="es-ES" w:eastAsia="es-ES"/>
    </w:rPr>
  </w:style>
  <w:style w:type="character" w:customStyle="1" w:styleId="TextoindependienteCar">
    <w:name w:val="Texto independiente Car"/>
    <w:aliases w:val=" Car Car Car, Car Car Car Car Car,Car Car Car,Car Car Car Car Car,Car Car1"/>
    <w:link w:val="Textoindependiente"/>
    <w:rsid w:val="009F7FC6"/>
    <w:rPr>
      <w:rFonts w:ascii="Arial" w:hAnsi="Arial" w:cs="Arial"/>
      <w:sz w:val="26"/>
      <w:szCs w:val="24"/>
      <w:lang w:val="es-ES" w:eastAsia="es-ES"/>
    </w:rPr>
  </w:style>
  <w:style w:type="paragraph" w:styleId="Encabezado">
    <w:name w:val="header"/>
    <w:basedOn w:val="Normal"/>
    <w:link w:val="EncabezadoCar"/>
    <w:rsid w:val="009F7FC6"/>
    <w:pPr>
      <w:tabs>
        <w:tab w:val="center" w:pos="4419"/>
        <w:tab w:val="right" w:pos="8838"/>
      </w:tabs>
      <w:spacing w:after="0" w:line="240" w:lineRule="auto"/>
    </w:pPr>
    <w:rPr>
      <w:rFonts w:ascii="Times New Roman" w:eastAsia="Times New Roman" w:hAnsi="Times New Roman"/>
      <w:sz w:val="24"/>
      <w:szCs w:val="24"/>
      <w:lang w:val="es-ES" w:eastAsia="es-ES"/>
    </w:rPr>
  </w:style>
  <w:style w:type="character" w:customStyle="1" w:styleId="EncabezadoCar">
    <w:name w:val="Encabezado Car"/>
    <w:link w:val="Encabezado"/>
    <w:rsid w:val="009F7FC6"/>
    <w:rPr>
      <w:rFonts w:ascii="Times New Roman" w:eastAsia="Times New Roman" w:hAnsi="Times New Roman"/>
      <w:sz w:val="24"/>
      <w:szCs w:val="24"/>
      <w:lang w:val="es-ES" w:eastAsia="es-ES"/>
    </w:rPr>
  </w:style>
  <w:style w:type="character" w:styleId="Nmerodepgina">
    <w:name w:val="page number"/>
    <w:rsid w:val="009F7FC6"/>
  </w:style>
  <w:style w:type="paragraph" w:styleId="Sangradetextonormal">
    <w:name w:val="Body Text Indent"/>
    <w:basedOn w:val="Normal"/>
    <w:link w:val="SangradetextonormalCar"/>
    <w:rsid w:val="009F7FC6"/>
    <w:pPr>
      <w:spacing w:after="0" w:line="360" w:lineRule="auto"/>
      <w:jc w:val="both"/>
    </w:pPr>
    <w:rPr>
      <w:rFonts w:ascii="Arial" w:eastAsia="Times New Roman" w:hAnsi="Arial" w:cs="Arial"/>
      <w:b/>
      <w:bCs/>
      <w:sz w:val="26"/>
      <w:szCs w:val="26"/>
      <w:lang w:val="es-ES" w:eastAsia="es-ES"/>
    </w:rPr>
  </w:style>
  <w:style w:type="character" w:customStyle="1" w:styleId="SangradetextonormalCar">
    <w:name w:val="Sangría de texto normal Car"/>
    <w:link w:val="Sangradetextonormal"/>
    <w:rsid w:val="009F7FC6"/>
    <w:rPr>
      <w:rFonts w:ascii="Arial" w:eastAsia="Times New Roman" w:hAnsi="Arial" w:cs="Arial"/>
      <w:b/>
      <w:bCs/>
      <w:sz w:val="26"/>
      <w:szCs w:val="26"/>
      <w:lang w:val="es-ES" w:eastAsia="es-ES"/>
    </w:rPr>
  </w:style>
  <w:style w:type="paragraph" w:styleId="Textoindependiente2">
    <w:name w:val="Body Text 2"/>
    <w:basedOn w:val="Normal"/>
    <w:link w:val="Textoindependiente2Car"/>
    <w:rsid w:val="009F7FC6"/>
    <w:pPr>
      <w:spacing w:after="120" w:line="480" w:lineRule="auto"/>
    </w:pPr>
    <w:rPr>
      <w:rFonts w:ascii="Times New Roman" w:eastAsia="Times New Roman" w:hAnsi="Times New Roman"/>
      <w:sz w:val="24"/>
      <w:szCs w:val="24"/>
      <w:lang w:eastAsia="es-ES"/>
    </w:rPr>
  </w:style>
  <w:style w:type="character" w:customStyle="1" w:styleId="Textoindependiente2Car">
    <w:name w:val="Texto independiente 2 Car"/>
    <w:link w:val="Textoindependiente2"/>
    <w:rsid w:val="009F7FC6"/>
    <w:rPr>
      <w:rFonts w:ascii="Times New Roman" w:eastAsia="Times New Roman" w:hAnsi="Times New Roman"/>
      <w:sz w:val="24"/>
      <w:szCs w:val="24"/>
      <w:lang w:eastAsia="es-ES"/>
    </w:rPr>
  </w:style>
  <w:style w:type="paragraph" w:customStyle="1" w:styleId="BodyText31">
    <w:name w:val="Body Text 31"/>
    <w:basedOn w:val="Normal"/>
    <w:rsid w:val="009F7FC6"/>
    <w:pPr>
      <w:overflowPunct w:val="0"/>
      <w:autoSpaceDE w:val="0"/>
      <w:autoSpaceDN w:val="0"/>
      <w:adjustRightInd w:val="0"/>
      <w:spacing w:after="0" w:line="360" w:lineRule="auto"/>
      <w:jc w:val="both"/>
      <w:textAlignment w:val="baseline"/>
    </w:pPr>
    <w:rPr>
      <w:rFonts w:ascii="Arial" w:eastAsia="Times New Roman" w:hAnsi="Arial" w:cs="Arial"/>
      <w:sz w:val="28"/>
      <w:szCs w:val="28"/>
      <w:lang w:val="es-ES_tradnl" w:eastAsia="es-ES"/>
    </w:rPr>
  </w:style>
  <w:style w:type="paragraph" w:styleId="Textonotapie">
    <w:name w:val="footnote text"/>
    <w:aliases w:val="Footnote Text Char Char Char Char Char,Footnote Text Char Char Char Char,Footnote reference,FA Fu,Footnote Text Char Char Char,Footnote Text Char Char Char Char Char Char Char Char,Footnote Text Char,texto de nota al pi,texto de nota al p"/>
    <w:basedOn w:val="Normal"/>
    <w:link w:val="TextonotapieCar1"/>
    <w:qFormat/>
    <w:rsid w:val="00BC429D"/>
    <w:pPr>
      <w:spacing w:after="200" w:line="240" w:lineRule="auto"/>
      <w:jc w:val="both"/>
    </w:pPr>
    <w:rPr>
      <w:rFonts w:ascii="Arial" w:hAnsi="Arial"/>
      <w:sz w:val="18"/>
      <w:szCs w:val="20"/>
    </w:rPr>
  </w:style>
  <w:style w:type="character" w:customStyle="1" w:styleId="TextonotapieCar">
    <w:name w:val="Texto nota pie Car"/>
    <w:aliases w:val="Footnote Text Char Char Char Char Char Car2,Footnote Text Char Char Char Char Car2,Footnote reference Car2,FA Fu Car2,Footnote Text Char Char Char Car2,Footnote Text Char Car2,Footnote Text Char Char Char Char Char Char Char Char Car2"/>
    <w:rsid w:val="009F7FC6"/>
    <w:rPr>
      <w:lang w:eastAsia="en-US"/>
    </w:rPr>
  </w:style>
  <w:style w:type="character" w:styleId="Refdenotaalpie">
    <w:name w:val="footnote reference"/>
    <w:aliases w:val="Texto de nota al pie,referencia nota al pie,Ref. de nota al pie 2,Pie de Página,FC,Texto de nota al pi,Appel note de bas de page,Footnotes refss,Footnote number,BVI fnr,f,4_G,16 Point,Superscript 6 Point,Texto nota al pie,Nota a pie"/>
    <w:qFormat/>
    <w:rsid w:val="009F7FC6"/>
    <w:rPr>
      <w:vertAlign w:val="superscript"/>
    </w:rPr>
  </w:style>
  <w:style w:type="character" w:customStyle="1" w:styleId="TextonotapieCar1">
    <w:name w:val="Texto nota pie Car1"/>
    <w:aliases w:val="Footnote Text Char Char Char Char Char Car,Footnote Text Char Char Char Char Car,Footnote reference Car,FA Fu Car,Footnote Text Char Char Char Car,Footnote Text Char Char Char Char Char Char Char Char Car,Footnote Text Char Car"/>
    <w:link w:val="Textonotapie"/>
    <w:uiPriority w:val="99"/>
    <w:rsid w:val="00BC429D"/>
    <w:rPr>
      <w:rFonts w:ascii="Arial" w:hAnsi="Arial"/>
      <w:sz w:val="18"/>
      <w:lang w:val="es-CO" w:eastAsia="en-US"/>
    </w:rPr>
  </w:style>
  <w:style w:type="character" w:customStyle="1" w:styleId="apple-converted-space">
    <w:name w:val="apple-converted-space"/>
    <w:rsid w:val="009F7FC6"/>
  </w:style>
  <w:style w:type="character" w:customStyle="1" w:styleId="textonavy">
    <w:name w:val="texto_navy"/>
    <w:rsid w:val="009F7FC6"/>
  </w:style>
  <w:style w:type="paragraph" w:styleId="Textoindependiente3">
    <w:name w:val="Body Text 3"/>
    <w:basedOn w:val="Normal"/>
    <w:link w:val="Textoindependiente3Car"/>
    <w:uiPriority w:val="99"/>
    <w:semiHidden/>
    <w:unhideWhenUsed/>
    <w:rsid w:val="009F7FC6"/>
    <w:pPr>
      <w:spacing w:after="120"/>
    </w:pPr>
    <w:rPr>
      <w:sz w:val="16"/>
      <w:szCs w:val="16"/>
    </w:rPr>
  </w:style>
  <w:style w:type="character" w:customStyle="1" w:styleId="Textoindependiente3Car">
    <w:name w:val="Texto independiente 3 Car"/>
    <w:link w:val="Textoindependiente3"/>
    <w:uiPriority w:val="99"/>
    <w:semiHidden/>
    <w:rsid w:val="009F7FC6"/>
    <w:rPr>
      <w:sz w:val="16"/>
      <w:szCs w:val="16"/>
      <w:lang w:eastAsia="en-US"/>
    </w:rPr>
  </w:style>
  <w:style w:type="paragraph" w:customStyle="1" w:styleId="Sangra3detindependiente1">
    <w:name w:val="Sangría 3 de t. independiente1"/>
    <w:basedOn w:val="Normal"/>
    <w:rsid w:val="009F7FC6"/>
    <w:pPr>
      <w:overflowPunct w:val="0"/>
      <w:autoSpaceDE w:val="0"/>
      <w:autoSpaceDN w:val="0"/>
      <w:adjustRightInd w:val="0"/>
      <w:spacing w:after="120" w:line="240" w:lineRule="auto"/>
      <w:ind w:left="283"/>
      <w:textAlignment w:val="baseline"/>
    </w:pPr>
    <w:rPr>
      <w:rFonts w:ascii="Times New Roman" w:eastAsia="Times New Roman" w:hAnsi="Times New Roman"/>
      <w:sz w:val="16"/>
      <w:szCs w:val="20"/>
      <w:lang w:val="es-ES" w:eastAsia="es-ES"/>
    </w:rPr>
  </w:style>
  <w:style w:type="paragraph" w:customStyle="1" w:styleId="Cuadrculamedia1-nfasis21">
    <w:name w:val="Cuadrícula media 1 - Énfasis 21"/>
    <w:basedOn w:val="Normal"/>
    <w:uiPriority w:val="34"/>
    <w:qFormat/>
    <w:rsid w:val="00FC6392"/>
    <w:pPr>
      <w:ind w:left="708"/>
    </w:pPr>
  </w:style>
  <w:style w:type="paragraph" w:styleId="Piedepgina">
    <w:name w:val="footer"/>
    <w:basedOn w:val="Normal"/>
    <w:link w:val="PiedepginaCar"/>
    <w:uiPriority w:val="99"/>
    <w:unhideWhenUsed/>
    <w:rsid w:val="00CF72EE"/>
    <w:pPr>
      <w:tabs>
        <w:tab w:val="center" w:pos="4419"/>
        <w:tab w:val="right" w:pos="8838"/>
      </w:tabs>
    </w:pPr>
  </w:style>
  <w:style w:type="character" w:customStyle="1" w:styleId="PiedepginaCar">
    <w:name w:val="Pie de página Car"/>
    <w:link w:val="Piedepgina"/>
    <w:uiPriority w:val="99"/>
    <w:rsid w:val="00CF72EE"/>
    <w:rPr>
      <w:sz w:val="22"/>
      <w:szCs w:val="22"/>
      <w:lang w:eastAsia="en-US"/>
    </w:rPr>
  </w:style>
  <w:style w:type="character" w:customStyle="1" w:styleId="textonavy1">
    <w:name w:val="texto_navy1"/>
    <w:rsid w:val="00AE2690"/>
    <w:rPr>
      <w:rFonts w:cs="Times New Roman"/>
      <w:color w:val="000080"/>
    </w:rPr>
  </w:style>
  <w:style w:type="paragraph" w:styleId="Textodeglobo">
    <w:name w:val="Balloon Text"/>
    <w:basedOn w:val="Normal"/>
    <w:link w:val="TextodegloboCar"/>
    <w:uiPriority w:val="99"/>
    <w:semiHidden/>
    <w:unhideWhenUsed/>
    <w:rsid w:val="003B7798"/>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3B7798"/>
    <w:rPr>
      <w:rFonts w:ascii="Segoe UI" w:hAnsi="Segoe UI" w:cs="Segoe UI"/>
      <w:sz w:val="18"/>
      <w:szCs w:val="18"/>
      <w:lang w:eastAsia="en-US"/>
    </w:rPr>
  </w:style>
  <w:style w:type="paragraph" w:styleId="Sangra2detindependiente">
    <w:name w:val="Body Text Indent 2"/>
    <w:basedOn w:val="Normal"/>
    <w:link w:val="Sangra2detindependienteCar"/>
    <w:uiPriority w:val="99"/>
    <w:unhideWhenUsed/>
    <w:rsid w:val="004B5DA6"/>
    <w:pPr>
      <w:spacing w:after="120" w:line="480" w:lineRule="auto"/>
      <w:ind w:left="283"/>
    </w:pPr>
  </w:style>
  <w:style w:type="character" w:customStyle="1" w:styleId="Sangra2detindependienteCar">
    <w:name w:val="Sangría 2 de t. independiente Car"/>
    <w:link w:val="Sangra2detindependiente"/>
    <w:uiPriority w:val="99"/>
    <w:rsid w:val="004B5DA6"/>
    <w:rPr>
      <w:sz w:val="22"/>
      <w:szCs w:val="22"/>
      <w:lang w:val="es-CO" w:eastAsia="en-US"/>
    </w:rPr>
  </w:style>
  <w:style w:type="paragraph" w:styleId="NormalWeb">
    <w:name w:val="Normal (Web)"/>
    <w:basedOn w:val="Normal"/>
    <w:uiPriority w:val="99"/>
    <w:semiHidden/>
    <w:unhideWhenUsed/>
    <w:rsid w:val="007966F4"/>
    <w:rPr>
      <w:rFonts w:ascii="Times New Roman" w:hAnsi="Times New Roman"/>
      <w:sz w:val="24"/>
      <w:szCs w:val="24"/>
    </w:rPr>
  </w:style>
  <w:style w:type="paragraph" w:styleId="Prrafodelista">
    <w:name w:val="List Paragraph"/>
    <w:basedOn w:val="Normal"/>
    <w:uiPriority w:val="34"/>
    <w:qFormat/>
    <w:rsid w:val="00CA360B"/>
    <w:pPr>
      <w:ind w:left="720"/>
      <w:contextualSpacing/>
    </w:pPr>
  </w:style>
  <w:style w:type="paragraph" w:customStyle="1" w:styleId="ecxmsonormal">
    <w:name w:val="ecxmsonormal"/>
    <w:basedOn w:val="Normal"/>
    <w:rsid w:val="00832ACF"/>
    <w:pPr>
      <w:spacing w:before="100" w:beforeAutospacing="1" w:after="100" w:afterAutospacing="1" w:line="240" w:lineRule="auto"/>
    </w:pPr>
    <w:rPr>
      <w:rFonts w:ascii="Times New Roman" w:eastAsia="Times New Roman" w:hAnsi="Times New Roman"/>
      <w:sz w:val="24"/>
      <w:szCs w:val="24"/>
      <w:lang w:eastAsia="es-CO"/>
    </w:rPr>
  </w:style>
  <w:style w:type="paragraph" w:styleId="Sinespaciado">
    <w:name w:val="No Spacing"/>
    <w:uiPriority w:val="1"/>
    <w:qFormat/>
    <w:rsid w:val="00DE070B"/>
    <w:pPr>
      <w:jc w:val="both"/>
    </w:pPr>
    <w:rPr>
      <w:rFonts w:ascii="Arial" w:hAnsi="Arial"/>
      <w:sz w:val="18"/>
      <w:szCs w:val="22"/>
      <w:lang w:val="es-CO"/>
    </w:rPr>
  </w:style>
  <w:style w:type="paragraph" w:customStyle="1" w:styleId="Listamulticolor-nfasis11">
    <w:name w:val="Lista multicolor - Énfasis 11"/>
    <w:basedOn w:val="Normal"/>
    <w:uiPriority w:val="34"/>
    <w:qFormat/>
    <w:rsid w:val="007B632B"/>
    <w:pPr>
      <w:ind w:left="708"/>
    </w:pPr>
  </w:style>
  <w:style w:type="paragraph" w:customStyle="1" w:styleId="Textodecuerpo21">
    <w:name w:val="Texto de cuerpo 21"/>
    <w:basedOn w:val="Normal"/>
    <w:rsid w:val="00C85551"/>
    <w:pPr>
      <w:spacing w:after="0" w:line="480" w:lineRule="auto"/>
      <w:jc w:val="both"/>
    </w:pPr>
    <w:rPr>
      <w:rFonts w:ascii="Arial" w:eastAsia="Times New Roman" w:hAnsi="Arial"/>
      <w:sz w:val="24"/>
      <w:szCs w:val="20"/>
      <w:lang w:val="es-ES" w:eastAsia="es-ES"/>
    </w:rPr>
  </w:style>
  <w:style w:type="character" w:styleId="Hipervnculo">
    <w:name w:val="Hyperlink"/>
    <w:uiPriority w:val="99"/>
    <w:unhideWhenUsed/>
    <w:rsid w:val="00893F66"/>
    <w:rPr>
      <w:color w:val="0563C1"/>
      <w:u w:val="single"/>
    </w:rPr>
  </w:style>
  <w:style w:type="character" w:customStyle="1" w:styleId="Textoindependiente2Car1">
    <w:name w:val="Texto independiente 2 Car1"/>
    <w:rsid w:val="006F1982"/>
    <w:rPr>
      <w:rFonts w:ascii="Times New Roman" w:eastAsia="Times New Roman" w:hAnsi="Times New Roman"/>
      <w:sz w:val="24"/>
      <w:szCs w:val="24"/>
      <w:lang w:val="x-none" w:eastAsia="es-ES"/>
    </w:rPr>
  </w:style>
  <w:style w:type="character" w:styleId="Refdecomentario">
    <w:name w:val="annotation reference"/>
    <w:uiPriority w:val="99"/>
    <w:semiHidden/>
    <w:unhideWhenUsed/>
    <w:rsid w:val="000C3F3D"/>
    <w:rPr>
      <w:sz w:val="16"/>
      <w:szCs w:val="16"/>
    </w:rPr>
  </w:style>
  <w:style w:type="paragraph" w:styleId="Textocomentario">
    <w:name w:val="annotation text"/>
    <w:basedOn w:val="Normal"/>
    <w:link w:val="TextocomentarioCar"/>
    <w:uiPriority w:val="99"/>
    <w:semiHidden/>
    <w:unhideWhenUsed/>
    <w:rsid w:val="000C3F3D"/>
    <w:pPr>
      <w:spacing w:line="240" w:lineRule="auto"/>
    </w:pPr>
    <w:rPr>
      <w:sz w:val="20"/>
      <w:szCs w:val="20"/>
    </w:rPr>
  </w:style>
  <w:style w:type="character" w:customStyle="1" w:styleId="TextocomentarioCar">
    <w:name w:val="Texto comentario Car"/>
    <w:link w:val="Textocomentario"/>
    <w:uiPriority w:val="99"/>
    <w:semiHidden/>
    <w:rsid w:val="000C3F3D"/>
    <w:rPr>
      <w:lang w:val="es-CO" w:eastAsia="en-US"/>
    </w:rPr>
  </w:style>
  <w:style w:type="paragraph" w:styleId="Asuntodelcomentario">
    <w:name w:val="annotation subject"/>
    <w:basedOn w:val="Textocomentario"/>
    <w:next w:val="Textocomentario"/>
    <w:link w:val="AsuntodelcomentarioCar"/>
    <w:uiPriority w:val="99"/>
    <w:semiHidden/>
    <w:unhideWhenUsed/>
    <w:rsid w:val="000C3F3D"/>
    <w:rPr>
      <w:b/>
      <w:bCs/>
    </w:rPr>
  </w:style>
  <w:style w:type="character" w:customStyle="1" w:styleId="AsuntodelcomentarioCar">
    <w:name w:val="Asunto del comentario Car"/>
    <w:link w:val="Asuntodelcomentario"/>
    <w:uiPriority w:val="99"/>
    <w:semiHidden/>
    <w:rsid w:val="000C3F3D"/>
    <w:rPr>
      <w:b/>
      <w:bCs/>
      <w:lang w:val="es-CO" w:eastAsia="en-US"/>
    </w:rPr>
  </w:style>
  <w:style w:type="character" w:styleId="Textoennegrita">
    <w:name w:val="Strong"/>
    <w:uiPriority w:val="22"/>
    <w:qFormat/>
    <w:rsid w:val="00C456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302599">
      <w:bodyDiv w:val="1"/>
      <w:marLeft w:val="0"/>
      <w:marRight w:val="0"/>
      <w:marTop w:val="0"/>
      <w:marBottom w:val="0"/>
      <w:divBdr>
        <w:top w:val="none" w:sz="0" w:space="0" w:color="auto"/>
        <w:left w:val="none" w:sz="0" w:space="0" w:color="auto"/>
        <w:bottom w:val="none" w:sz="0" w:space="0" w:color="auto"/>
        <w:right w:val="none" w:sz="0" w:space="0" w:color="auto"/>
      </w:divBdr>
      <w:divsChild>
        <w:div w:id="1295872485">
          <w:marLeft w:val="0"/>
          <w:marRight w:val="0"/>
          <w:marTop w:val="0"/>
          <w:marBottom w:val="0"/>
          <w:divBdr>
            <w:top w:val="none" w:sz="0" w:space="0" w:color="auto"/>
            <w:left w:val="none" w:sz="0" w:space="0" w:color="auto"/>
            <w:bottom w:val="none" w:sz="0" w:space="0" w:color="auto"/>
            <w:right w:val="none" w:sz="0" w:space="0" w:color="auto"/>
          </w:divBdr>
          <w:divsChild>
            <w:div w:id="870729021">
              <w:marLeft w:val="0"/>
              <w:marRight w:val="0"/>
              <w:marTop w:val="0"/>
              <w:marBottom w:val="0"/>
              <w:divBdr>
                <w:top w:val="none" w:sz="0" w:space="0" w:color="auto"/>
                <w:left w:val="none" w:sz="0" w:space="0" w:color="auto"/>
                <w:bottom w:val="none" w:sz="0" w:space="0" w:color="auto"/>
                <w:right w:val="none" w:sz="0" w:space="0" w:color="auto"/>
              </w:divBdr>
              <w:divsChild>
                <w:div w:id="214014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778965">
      <w:bodyDiv w:val="1"/>
      <w:marLeft w:val="0"/>
      <w:marRight w:val="0"/>
      <w:marTop w:val="0"/>
      <w:marBottom w:val="0"/>
      <w:divBdr>
        <w:top w:val="none" w:sz="0" w:space="0" w:color="auto"/>
        <w:left w:val="none" w:sz="0" w:space="0" w:color="auto"/>
        <w:bottom w:val="none" w:sz="0" w:space="0" w:color="auto"/>
        <w:right w:val="none" w:sz="0" w:space="0" w:color="auto"/>
      </w:divBdr>
      <w:divsChild>
        <w:div w:id="266158275">
          <w:marLeft w:val="0"/>
          <w:marRight w:val="0"/>
          <w:marTop w:val="0"/>
          <w:marBottom w:val="0"/>
          <w:divBdr>
            <w:top w:val="none" w:sz="0" w:space="0" w:color="auto"/>
            <w:left w:val="none" w:sz="0" w:space="0" w:color="auto"/>
            <w:bottom w:val="none" w:sz="0" w:space="0" w:color="auto"/>
            <w:right w:val="none" w:sz="0" w:space="0" w:color="auto"/>
          </w:divBdr>
          <w:divsChild>
            <w:div w:id="1744255424">
              <w:marLeft w:val="0"/>
              <w:marRight w:val="0"/>
              <w:marTop w:val="0"/>
              <w:marBottom w:val="0"/>
              <w:divBdr>
                <w:top w:val="none" w:sz="0" w:space="0" w:color="auto"/>
                <w:left w:val="none" w:sz="0" w:space="0" w:color="auto"/>
                <w:bottom w:val="none" w:sz="0" w:space="0" w:color="auto"/>
                <w:right w:val="none" w:sz="0" w:space="0" w:color="auto"/>
              </w:divBdr>
              <w:divsChild>
                <w:div w:id="196746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488914">
      <w:bodyDiv w:val="1"/>
      <w:marLeft w:val="0"/>
      <w:marRight w:val="0"/>
      <w:marTop w:val="0"/>
      <w:marBottom w:val="0"/>
      <w:divBdr>
        <w:top w:val="none" w:sz="0" w:space="0" w:color="auto"/>
        <w:left w:val="none" w:sz="0" w:space="0" w:color="auto"/>
        <w:bottom w:val="none" w:sz="0" w:space="0" w:color="auto"/>
        <w:right w:val="none" w:sz="0" w:space="0" w:color="auto"/>
      </w:divBdr>
    </w:div>
    <w:div w:id="1171139209">
      <w:bodyDiv w:val="1"/>
      <w:marLeft w:val="0"/>
      <w:marRight w:val="0"/>
      <w:marTop w:val="0"/>
      <w:marBottom w:val="0"/>
      <w:divBdr>
        <w:top w:val="none" w:sz="0" w:space="0" w:color="auto"/>
        <w:left w:val="none" w:sz="0" w:space="0" w:color="auto"/>
        <w:bottom w:val="none" w:sz="0" w:space="0" w:color="auto"/>
        <w:right w:val="none" w:sz="0" w:space="0" w:color="auto"/>
      </w:divBdr>
    </w:div>
    <w:div w:id="1403257896">
      <w:bodyDiv w:val="1"/>
      <w:marLeft w:val="0"/>
      <w:marRight w:val="0"/>
      <w:marTop w:val="0"/>
      <w:marBottom w:val="0"/>
      <w:divBdr>
        <w:top w:val="none" w:sz="0" w:space="0" w:color="auto"/>
        <w:left w:val="none" w:sz="0" w:space="0" w:color="auto"/>
        <w:bottom w:val="none" w:sz="0" w:space="0" w:color="auto"/>
        <w:right w:val="none" w:sz="0" w:space="0" w:color="auto"/>
      </w:divBdr>
    </w:div>
    <w:div w:id="1756627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C9ED5F-1BE7-4AD8-87B3-D54969945A8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4100246-8447-49CC-BD10-FC2875E646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204021-1CD1-48A1-96A7-5317C19326CA}">
  <ds:schemaRefs>
    <ds:schemaRef ds:uri="http://schemas.microsoft.com/sharepoint/v3/contenttype/forms"/>
  </ds:schemaRefs>
</ds:datastoreItem>
</file>

<file path=customXml/itemProps4.xml><?xml version="1.0" encoding="utf-8"?>
<ds:datastoreItem xmlns:ds="http://schemas.openxmlformats.org/officeDocument/2006/customXml" ds:itemID="{81E20194-1C77-42E1-A4B7-E7712B3A1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4076</Words>
  <Characters>23237</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MARTINEZ GALVIS</dc:creator>
  <cp:keywords/>
  <dc:description/>
  <cp:lastModifiedBy>Nina María Padrón</cp:lastModifiedBy>
  <cp:revision>2</cp:revision>
  <cp:lastPrinted>2017-10-09T18:03:00Z</cp:lastPrinted>
  <dcterms:created xsi:type="dcterms:W3CDTF">2020-06-15T01:28:00Z</dcterms:created>
  <dcterms:modified xsi:type="dcterms:W3CDTF">2020-06-15T01:28:00Z</dcterms:modified>
</cp:coreProperties>
</file>