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BB4" w:rsidRDefault="00057BB4" w:rsidP="001D1F1D">
      <w:pPr>
        <w:widowControl w:val="0"/>
        <w:spacing w:after="0" w:line="240" w:lineRule="auto"/>
        <w:jc w:val="both"/>
        <w:rPr>
          <w:rFonts w:ascii="Arial" w:hAnsi="Arial" w:cs="Arial"/>
        </w:rPr>
      </w:pPr>
    </w:p>
    <w:p w:rsidR="00057BB4" w:rsidRPr="006461D6" w:rsidRDefault="00153B9B" w:rsidP="001D1F1D">
      <w:pPr>
        <w:spacing w:line="240" w:lineRule="auto"/>
        <w:jc w:val="both"/>
        <w:rPr>
          <w:rFonts w:ascii="Arial" w:hAnsi="Arial" w:cs="Arial"/>
          <w:b/>
        </w:rPr>
      </w:pPr>
      <w:r>
        <w:rPr>
          <w:rFonts w:ascii="Arial" w:hAnsi="Arial" w:cs="Arial"/>
          <w:b/>
        </w:rPr>
        <w:t xml:space="preserve">ACCIÓN DE TUTELA – Contra providencia judicial – </w:t>
      </w:r>
      <w:r w:rsidR="00057BB4" w:rsidRPr="006461D6">
        <w:rPr>
          <w:rFonts w:ascii="Arial" w:hAnsi="Arial" w:cs="Arial"/>
          <w:b/>
        </w:rPr>
        <w:t>Requisitos generales de procedencia</w:t>
      </w:r>
    </w:p>
    <w:p w:rsidR="00057BB4" w:rsidRPr="00AC4179" w:rsidRDefault="00057BB4" w:rsidP="001D1F1D">
      <w:pPr>
        <w:spacing w:line="240" w:lineRule="auto"/>
        <w:jc w:val="both"/>
        <w:rPr>
          <w:rFonts w:ascii="Arial" w:hAnsi="Arial" w:cs="Arial"/>
        </w:rPr>
      </w:pPr>
      <w:r w:rsidRPr="00057BB4">
        <w:rPr>
          <w:rFonts w:ascii="Arial" w:hAnsi="Arial" w:cs="Arial"/>
        </w:rPr>
        <w:t xml:space="preserve">a. Que la cuestión que se discuta resulte de evidente relevancia constitucional. b. Que se hayan agotado todos los medios -ordinarios y extraordinarios- de defensa judicial al alcance de la persona afectada, salvo que se trate de evitar la consumación de un perjuicio </w:t>
      </w:r>
      <w:proofErr w:type="spellStart"/>
      <w:r w:rsidRPr="00057BB4">
        <w:rPr>
          <w:rFonts w:ascii="Arial" w:hAnsi="Arial" w:cs="Arial"/>
        </w:rPr>
        <w:t>iusfundamental</w:t>
      </w:r>
      <w:proofErr w:type="spellEnd"/>
      <w:r w:rsidRPr="00057BB4">
        <w:rPr>
          <w:rFonts w:ascii="Arial" w:hAnsi="Arial" w:cs="Arial"/>
        </w:rPr>
        <w:t xml:space="preserve"> irremediable.</w:t>
      </w:r>
      <w:r>
        <w:rPr>
          <w:rFonts w:ascii="Arial" w:hAnsi="Arial" w:cs="Arial"/>
        </w:rPr>
        <w:t xml:space="preserve"> </w:t>
      </w:r>
      <w:r w:rsidRPr="00057BB4">
        <w:rPr>
          <w:rFonts w:ascii="Arial" w:hAnsi="Arial" w:cs="Arial"/>
        </w:rPr>
        <w:t>c. Que se cumpla el requisito de la inmediatez.</w:t>
      </w:r>
      <w:r>
        <w:rPr>
          <w:rFonts w:ascii="Arial" w:hAnsi="Arial" w:cs="Arial"/>
        </w:rPr>
        <w:t xml:space="preserve"> </w:t>
      </w:r>
      <w:r w:rsidRPr="00057BB4">
        <w:rPr>
          <w:rFonts w:ascii="Arial" w:hAnsi="Arial" w:cs="Arial"/>
        </w:rPr>
        <w:t>d. Cuando se trate de una irregularidad procesal, debe quedar claro que la misma tiene un efecto decisivo o determinante en la sentencia que se impugna.</w:t>
      </w:r>
      <w:r>
        <w:rPr>
          <w:rFonts w:ascii="Arial" w:hAnsi="Arial" w:cs="Arial"/>
        </w:rPr>
        <w:t xml:space="preserve"> </w:t>
      </w:r>
      <w:r w:rsidRPr="00057BB4">
        <w:rPr>
          <w:rFonts w:ascii="Arial" w:hAnsi="Arial" w:cs="Arial"/>
        </w:rPr>
        <w:t>e. Que la parte actora identifique de manera razonable tanto los hechos que generaron la vulneración como los derechos vulnerados y que hubiere alegado tal vulneración en el proceso judicial siempre que esto hubiere sido posible.</w:t>
      </w:r>
      <w:r>
        <w:rPr>
          <w:rFonts w:ascii="Arial" w:hAnsi="Arial" w:cs="Arial"/>
        </w:rPr>
        <w:t xml:space="preserve"> </w:t>
      </w:r>
      <w:r w:rsidRPr="00057BB4">
        <w:rPr>
          <w:rFonts w:ascii="Arial" w:hAnsi="Arial" w:cs="Arial"/>
        </w:rPr>
        <w:t xml:space="preserve">f. Que no se trate de sentencias de tutela.”  </w:t>
      </w:r>
    </w:p>
    <w:p w:rsidR="00010DE2" w:rsidRPr="00AC4179" w:rsidRDefault="00153B9B" w:rsidP="001D1F1D">
      <w:pPr>
        <w:spacing w:line="240" w:lineRule="auto"/>
        <w:jc w:val="both"/>
        <w:rPr>
          <w:rFonts w:ascii="Arial" w:hAnsi="Arial" w:cs="Arial"/>
        </w:rPr>
      </w:pPr>
      <w:r>
        <w:rPr>
          <w:rFonts w:ascii="Arial" w:hAnsi="Arial" w:cs="Arial"/>
          <w:b/>
        </w:rPr>
        <w:t xml:space="preserve">ACCIÓN DE TUTELA – Contra providencia judicial – </w:t>
      </w:r>
      <w:r w:rsidR="00010DE2" w:rsidRPr="006461D6">
        <w:rPr>
          <w:rFonts w:ascii="Arial" w:hAnsi="Arial" w:cs="Arial"/>
          <w:b/>
        </w:rPr>
        <w:t>Requisitos específicos de procedencia</w:t>
      </w:r>
      <w:r w:rsidR="00010DE2" w:rsidRPr="00AC4179">
        <w:rPr>
          <w:rFonts w:ascii="Arial" w:hAnsi="Arial" w:cs="Arial"/>
        </w:rPr>
        <w:t xml:space="preserve"> </w:t>
      </w:r>
    </w:p>
    <w:p w:rsidR="00010DE2" w:rsidRPr="00010DE2" w:rsidRDefault="00010DE2" w:rsidP="001D1F1D">
      <w:pPr>
        <w:widowControl w:val="0"/>
        <w:spacing w:after="0" w:line="240" w:lineRule="auto"/>
        <w:jc w:val="both"/>
        <w:rPr>
          <w:rFonts w:ascii="Arial" w:hAnsi="Arial" w:cs="Arial"/>
        </w:rPr>
      </w:pPr>
      <w:r w:rsidRPr="00010DE2">
        <w:rPr>
          <w:rFonts w:ascii="Arial" w:hAnsi="Arial" w:cs="Arial"/>
        </w:rPr>
        <w:t>a. Defecto orgánico, que se presenta cuando el funcionario judicial que profirió la providencia impugnada, carece, absolutamente, de competencia para ello.</w:t>
      </w:r>
      <w:r>
        <w:rPr>
          <w:rFonts w:ascii="Arial" w:hAnsi="Arial" w:cs="Arial"/>
        </w:rPr>
        <w:t xml:space="preserve"> </w:t>
      </w:r>
      <w:r w:rsidRPr="00010DE2">
        <w:rPr>
          <w:rFonts w:ascii="Arial" w:hAnsi="Arial" w:cs="Arial"/>
        </w:rPr>
        <w:t xml:space="preserve">b. Defecto procedimental absoluto, que se origina cuando el juez actuó completamente al margen del procedimiento establecido. c. Defecto fáctico, que surge cuando el juez carece del apoyo probatorio que permita la aplicación del supuesto legal en el que se sustenta la decisión. </w:t>
      </w:r>
    </w:p>
    <w:p w:rsidR="00057BB4" w:rsidRPr="00057BB4" w:rsidRDefault="00010DE2" w:rsidP="001D1F1D">
      <w:pPr>
        <w:widowControl w:val="0"/>
        <w:spacing w:after="0" w:line="240" w:lineRule="auto"/>
        <w:jc w:val="both"/>
        <w:rPr>
          <w:rFonts w:ascii="Arial" w:hAnsi="Arial" w:cs="Arial"/>
        </w:rPr>
      </w:pPr>
      <w:r w:rsidRPr="00010DE2">
        <w:rPr>
          <w:rFonts w:ascii="Arial" w:hAnsi="Arial" w:cs="Arial"/>
        </w:rPr>
        <w:t>d. Defecto material o sustantivo, como son los casos en que se decide con base en normas inexistentes o inconstitucionales o que presentan una evidente y grosera contradicción entre los fundamentos y la decisión. f. Error inducido, que se presenta cuando el juez o tribunal fue víctima de un engaño por parte de terceros y ese engaño lo condujo a la toma de una decisión que afecta derechos fundamentales.</w:t>
      </w:r>
      <w:r>
        <w:rPr>
          <w:rFonts w:ascii="Arial" w:hAnsi="Arial" w:cs="Arial"/>
        </w:rPr>
        <w:t xml:space="preserve"> </w:t>
      </w:r>
      <w:r w:rsidRPr="00010DE2">
        <w:rPr>
          <w:rFonts w:ascii="Arial" w:hAnsi="Arial" w:cs="Arial"/>
        </w:rPr>
        <w:t>g. Decisión sin motivación, que implica el incumplimiento de los servidores judiciales de dar cuenta de los fundamentos fácticos y jurídicos de sus decisiones en el entendido que precisamente en esa motivación reposa la legitimidad de su órbita funcional.</w:t>
      </w:r>
      <w:r>
        <w:rPr>
          <w:rFonts w:ascii="Arial" w:hAnsi="Arial" w:cs="Arial"/>
        </w:rPr>
        <w:t xml:space="preserve"> </w:t>
      </w:r>
      <w:r w:rsidRPr="00010DE2">
        <w:rPr>
          <w:rFonts w:ascii="Arial" w:hAnsi="Arial" w:cs="Arial"/>
        </w:rPr>
        <w:t>h. Desconocimiento del precedente, hipótesis que se presenta, por ejemplo, cuando la Corte Constitucional establece el alcance de un derecho fundamental y el juez ordinario aplica una ley limitando sustancialmente dicho alcance. En estos casos la tutela procede como mecanismo para garantizar la eficacia jurídica del contenido constitucionalmente vinculante del derecho fundamental vulnerado.</w:t>
      </w:r>
      <w:r>
        <w:rPr>
          <w:rFonts w:ascii="Arial" w:hAnsi="Arial" w:cs="Arial"/>
        </w:rPr>
        <w:t xml:space="preserve"> </w:t>
      </w:r>
      <w:r w:rsidRPr="00010DE2">
        <w:rPr>
          <w:rFonts w:ascii="Arial" w:hAnsi="Arial" w:cs="Arial"/>
        </w:rPr>
        <w:t>i. Violación directa de la Constitución.”</w:t>
      </w:r>
    </w:p>
    <w:p w:rsidR="00057BB4" w:rsidRDefault="00057BB4" w:rsidP="001D1F1D">
      <w:pPr>
        <w:widowControl w:val="0"/>
        <w:spacing w:after="0" w:line="240" w:lineRule="auto"/>
        <w:jc w:val="both"/>
        <w:rPr>
          <w:rFonts w:ascii="Arial" w:hAnsi="Arial" w:cs="Arial"/>
          <w:b/>
        </w:rPr>
      </w:pPr>
    </w:p>
    <w:p w:rsidR="00EF2A37" w:rsidRPr="006461D6" w:rsidRDefault="003C2C17" w:rsidP="001D1F1D">
      <w:pPr>
        <w:widowControl w:val="0"/>
        <w:spacing w:after="0" w:line="240" w:lineRule="auto"/>
        <w:jc w:val="both"/>
        <w:rPr>
          <w:rFonts w:ascii="Arial" w:hAnsi="Arial" w:cs="Arial"/>
          <w:b/>
        </w:rPr>
      </w:pPr>
      <w:r w:rsidRPr="00EF2A37">
        <w:rPr>
          <w:rFonts w:ascii="Arial" w:hAnsi="Arial" w:cs="Arial"/>
          <w:b/>
        </w:rPr>
        <w:t xml:space="preserve">DEFECTO </w:t>
      </w:r>
      <w:r w:rsidR="00351AA8" w:rsidRPr="00EF2A37">
        <w:rPr>
          <w:rFonts w:ascii="Arial" w:hAnsi="Arial" w:cs="Arial"/>
          <w:b/>
        </w:rPr>
        <w:t xml:space="preserve">PROCEDIMENTAL </w:t>
      </w:r>
      <w:r w:rsidR="00153B9B">
        <w:rPr>
          <w:rFonts w:ascii="Arial" w:hAnsi="Arial" w:cs="Arial"/>
          <w:b/>
        </w:rPr>
        <w:t xml:space="preserve">– </w:t>
      </w:r>
      <w:r w:rsidR="00331515" w:rsidRPr="006461D6">
        <w:rPr>
          <w:rFonts w:ascii="Arial" w:hAnsi="Arial" w:cs="Arial"/>
          <w:b/>
        </w:rPr>
        <w:t>Alcance</w:t>
      </w:r>
      <w:r w:rsidR="00BB3A4D" w:rsidRPr="006461D6">
        <w:rPr>
          <w:rFonts w:ascii="Arial" w:hAnsi="Arial" w:cs="Arial"/>
          <w:b/>
        </w:rPr>
        <w:t xml:space="preserve"> </w:t>
      </w:r>
    </w:p>
    <w:p w:rsidR="00EF2A37" w:rsidRDefault="00EF2A37" w:rsidP="001D1F1D">
      <w:pPr>
        <w:widowControl w:val="0"/>
        <w:spacing w:after="0" w:line="240" w:lineRule="auto"/>
        <w:jc w:val="both"/>
        <w:rPr>
          <w:rFonts w:ascii="Arial" w:hAnsi="Arial" w:cs="Arial"/>
          <w:b/>
        </w:rPr>
      </w:pPr>
    </w:p>
    <w:p w:rsidR="00331515" w:rsidRDefault="00331515" w:rsidP="001D1F1D">
      <w:pPr>
        <w:widowControl w:val="0"/>
        <w:spacing w:after="0" w:line="240" w:lineRule="auto"/>
        <w:jc w:val="both"/>
        <w:rPr>
          <w:rFonts w:ascii="Arial" w:hAnsi="Arial" w:cs="Arial"/>
        </w:rPr>
      </w:pPr>
      <w:r w:rsidRPr="00331515">
        <w:rPr>
          <w:rFonts w:ascii="Arial" w:hAnsi="Arial" w:cs="Arial"/>
        </w:rPr>
        <w:t>La Corte Constitucional ha indicado que el defecto procedimental, como causal de procedencia de la acción de tutela contra providencias judiciales, encuentra fundamento normativo en los artículos 29 (debido proceso) y 228 (acceso a la Administración de Justicia) de la Constitución Política.</w:t>
      </w:r>
    </w:p>
    <w:p w:rsidR="000A7955" w:rsidRPr="00331515" w:rsidRDefault="000A7955" w:rsidP="001D1F1D">
      <w:pPr>
        <w:widowControl w:val="0"/>
        <w:spacing w:after="0" w:line="240" w:lineRule="auto"/>
        <w:jc w:val="both"/>
        <w:rPr>
          <w:rFonts w:ascii="Arial" w:hAnsi="Arial" w:cs="Arial"/>
        </w:rPr>
      </w:pPr>
    </w:p>
    <w:p w:rsidR="00331515" w:rsidRPr="00EF2A37" w:rsidRDefault="00331515" w:rsidP="001D1F1D">
      <w:pPr>
        <w:widowControl w:val="0"/>
        <w:spacing w:after="0" w:line="240" w:lineRule="auto"/>
        <w:jc w:val="both"/>
        <w:rPr>
          <w:rFonts w:ascii="Arial" w:hAnsi="Arial" w:cs="Arial"/>
          <w:b/>
        </w:rPr>
      </w:pPr>
    </w:p>
    <w:p w:rsidR="00331515" w:rsidRDefault="003C2C17" w:rsidP="001D1F1D">
      <w:pPr>
        <w:widowControl w:val="0"/>
        <w:spacing w:after="0" w:line="240" w:lineRule="auto"/>
        <w:jc w:val="both"/>
        <w:rPr>
          <w:rFonts w:ascii="Arial" w:hAnsi="Arial" w:cs="Arial"/>
        </w:rPr>
      </w:pPr>
      <w:r w:rsidRPr="00EF2A37">
        <w:rPr>
          <w:rFonts w:ascii="Arial" w:hAnsi="Arial" w:cs="Arial"/>
          <w:b/>
        </w:rPr>
        <w:t xml:space="preserve">DEFECTO SUSTANTIVO </w:t>
      </w:r>
      <w:r w:rsidR="00153B9B">
        <w:rPr>
          <w:rFonts w:ascii="Arial" w:hAnsi="Arial" w:cs="Arial"/>
          <w:b/>
        </w:rPr>
        <w:t xml:space="preserve">– </w:t>
      </w:r>
      <w:r w:rsidR="00331515" w:rsidRPr="006461D6">
        <w:rPr>
          <w:rFonts w:ascii="Arial" w:hAnsi="Arial" w:cs="Arial"/>
          <w:b/>
        </w:rPr>
        <w:t>Alcance</w:t>
      </w:r>
      <w:r w:rsidR="00341A54" w:rsidRPr="006461D6">
        <w:rPr>
          <w:rFonts w:ascii="Arial" w:hAnsi="Arial" w:cs="Arial"/>
          <w:b/>
        </w:rPr>
        <w:t xml:space="preserve"> </w:t>
      </w:r>
    </w:p>
    <w:p w:rsidR="000A7955" w:rsidRDefault="000A7955" w:rsidP="001D1F1D">
      <w:pPr>
        <w:widowControl w:val="0"/>
        <w:spacing w:after="0" w:line="240" w:lineRule="auto"/>
        <w:jc w:val="both"/>
        <w:rPr>
          <w:rFonts w:ascii="Arial" w:hAnsi="Arial" w:cs="Arial"/>
        </w:rPr>
      </w:pPr>
    </w:p>
    <w:p w:rsidR="00822D6D" w:rsidRDefault="00822D6D" w:rsidP="001D1F1D">
      <w:pPr>
        <w:widowControl w:val="0"/>
        <w:spacing w:after="0" w:line="240" w:lineRule="auto"/>
        <w:jc w:val="both"/>
        <w:rPr>
          <w:rFonts w:ascii="Arial" w:hAnsi="Arial" w:cs="Arial"/>
        </w:rPr>
      </w:pPr>
      <w:r w:rsidRPr="00822D6D">
        <w:rPr>
          <w:rFonts w:ascii="Arial" w:hAnsi="Arial" w:cs="Arial"/>
        </w:rPr>
        <w:t xml:space="preserve">El defecto sustantivo se entiende como aquel que se presenta cuando el Juez desconoce las normas aplicables en un caso determinado. Esta causal de </w:t>
      </w:r>
      <w:proofErr w:type="spellStart"/>
      <w:r w:rsidRPr="00822D6D">
        <w:rPr>
          <w:rFonts w:ascii="Arial" w:hAnsi="Arial" w:cs="Arial"/>
        </w:rPr>
        <w:t>procedibilidad</w:t>
      </w:r>
      <w:proofErr w:type="spellEnd"/>
      <w:r w:rsidRPr="00822D6D">
        <w:rPr>
          <w:rFonts w:ascii="Arial" w:hAnsi="Arial" w:cs="Arial"/>
        </w:rPr>
        <w:t xml:space="preserve"> de la acción de tutela ha sido objeto de un amplio desarrollo jurisprudencial. Así, por ejemplo, en la sentencia T-949 de 2009 de la Corte Constitucional, se enumeraron los siguientes eventos </w:t>
      </w:r>
      <w:r w:rsidRPr="00822D6D">
        <w:rPr>
          <w:rFonts w:ascii="Arial" w:hAnsi="Arial" w:cs="Arial"/>
        </w:rPr>
        <w:lastRenderedPageBreak/>
        <w:t>que dan lugar a conceder el amparo constitucional, por configurarse el aludido defecto</w:t>
      </w:r>
      <w:r w:rsidR="00297D10">
        <w:rPr>
          <w:rFonts w:ascii="Arial" w:hAnsi="Arial" w:cs="Arial"/>
        </w:rPr>
        <w:t xml:space="preserve">. </w:t>
      </w:r>
    </w:p>
    <w:p w:rsidR="00913A7A" w:rsidRDefault="00913A7A" w:rsidP="001D1F1D">
      <w:pPr>
        <w:widowControl w:val="0"/>
        <w:spacing w:after="0" w:line="240" w:lineRule="auto"/>
        <w:jc w:val="both"/>
        <w:rPr>
          <w:rFonts w:ascii="Arial" w:hAnsi="Arial" w:cs="Arial"/>
        </w:rPr>
      </w:pPr>
    </w:p>
    <w:p w:rsidR="00913A7A" w:rsidRPr="006461D6" w:rsidRDefault="00913A7A" w:rsidP="001D1F1D">
      <w:pPr>
        <w:widowControl w:val="0"/>
        <w:spacing w:after="0" w:line="240" w:lineRule="auto"/>
        <w:jc w:val="both"/>
        <w:rPr>
          <w:rFonts w:ascii="Arial" w:hAnsi="Arial" w:cs="Arial"/>
          <w:b/>
        </w:rPr>
      </w:pPr>
      <w:r w:rsidRPr="00913A7A">
        <w:rPr>
          <w:rFonts w:ascii="Arial" w:hAnsi="Arial" w:cs="Arial"/>
          <w:b/>
        </w:rPr>
        <w:t xml:space="preserve">NULIDAD </w:t>
      </w:r>
      <w:r w:rsidR="00153B9B">
        <w:rPr>
          <w:rFonts w:ascii="Arial" w:hAnsi="Arial" w:cs="Arial"/>
          <w:b/>
        </w:rPr>
        <w:t>Y RESTABLECIMIENTO DEL DERECHO –</w:t>
      </w:r>
      <w:r w:rsidRPr="00913A7A">
        <w:rPr>
          <w:rFonts w:ascii="Arial" w:hAnsi="Arial" w:cs="Arial"/>
        </w:rPr>
        <w:t xml:space="preserve"> </w:t>
      </w:r>
      <w:r w:rsidRPr="006461D6">
        <w:rPr>
          <w:rFonts w:ascii="Arial" w:hAnsi="Arial" w:cs="Arial"/>
          <w:b/>
        </w:rPr>
        <w:t xml:space="preserve">Declaratoria </w:t>
      </w:r>
      <w:r w:rsidR="00153B9B">
        <w:rPr>
          <w:rFonts w:ascii="Arial" w:hAnsi="Arial" w:cs="Arial"/>
          <w:b/>
        </w:rPr>
        <w:t>– E</w:t>
      </w:r>
      <w:r w:rsidRPr="006461D6">
        <w:rPr>
          <w:rFonts w:ascii="Arial" w:hAnsi="Arial" w:cs="Arial"/>
          <w:b/>
        </w:rPr>
        <w:t xml:space="preserve">xistencia del contrato realidad </w:t>
      </w:r>
      <w:r w:rsidR="00153B9B">
        <w:rPr>
          <w:rFonts w:ascii="Arial" w:hAnsi="Arial" w:cs="Arial"/>
          <w:b/>
        </w:rPr>
        <w:t>– Reconocimiento</w:t>
      </w:r>
      <w:r w:rsidRPr="006461D6">
        <w:rPr>
          <w:rFonts w:ascii="Arial" w:hAnsi="Arial" w:cs="Arial"/>
          <w:b/>
        </w:rPr>
        <w:t xml:space="preserve"> económico</w:t>
      </w:r>
    </w:p>
    <w:p w:rsidR="00822D6D" w:rsidRDefault="00822D6D" w:rsidP="001D1F1D">
      <w:pPr>
        <w:widowControl w:val="0"/>
        <w:spacing w:after="0" w:line="240" w:lineRule="auto"/>
        <w:jc w:val="both"/>
        <w:rPr>
          <w:rFonts w:ascii="Arial" w:hAnsi="Arial" w:cs="Arial"/>
        </w:rPr>
      </w:pPr>
    </w:p>
    <w:p w:rsidR="00913A7A" w:rsidRDefault="00913A7A" w:rsidP="001D1F1D">
      <w:pPr>
        <w:spacing w:line="240" w:lineRule="auto"/>
        <w:jc w:val="both"/>
        <w:rPr>
          <w:rFonts w:ascii="Arial" w:hAnsi="Arial" w:cs="Arial"/>
          <w:lang w:val="es-ES_tradnl"/>
        </w:rPr>
      </w:pPr>
      <w:r w:rsidRPr="00913A7A">
        <w:rPr>
          <w:rFonts w:ascii="Arial" w:hAnsi="Arial" w:cs="Arial"/>
          <w:lang w:val="es-ES_tradnl"/>
        </w:rPr>
        <w:t>En conclusión y de conformidad con lo sostenido por las Secciones Tercera y Segunda del Consejo de Estado, el medio de control adecuado en tratándose de asuntos que versen sobre la aplicación del principio de la realidad sobre las formas en una relación laboral con la Administración es la de nulidad y restablecimiento del derecho.</w:t>
      </w:r>
    </w:p>
    <w:p w:rsidR="006461D6" w:rsidRPr="006E1A42" w:rsidRDefault="006461D6" w:rsidP="001D1F1D">
      <w:pPr>
        <w:widowControl w:val="0"/>
        <w:spacing w:after="0" w:line="240" w:lineRule="auto"/>
        <w:jc w:val="both"/>
        <w:rPr>
          <w:rFonts w:ascii="Arial" w:hAnsi="Arial" w:cs="Arial"/>
          <w:lang w:val="es-MX"/>
        </w:rPr>
      </w:pPr>
      <w:bookmarkStart w:id="0" w:name="_GoBack"/>
      <w:bookmarkEnd w:id="0"/>
    </w:p>
    <w:p w:rsidR="006E1A42" w:rsidRPr="006E1A42" w:rsidRDefault="006E1A42" w:rsidP="006E1A42">
      <w:pPr>
        <w:widowControl w:val="0"/>
        <w:spacing w:after="0" w:line="240" w:lineRule="auto"/>
        <w:jc w:val="both"/>
        <w:rPr>
          <w:rFonts w:ascii="Arial" w:hAnsi="Arial" w:cs="Arial"/>
          <w:b/>
          <w:lang w:val="es-MX"/>
        </w:rPr>
      </w:pPr>
    </w:p>
    <w:p w:rsidR="00D14D69" w:rsidRPr="00D14D69" w:rsidRDefault="00D14D69" w:rsidP="00D14D69">
      <w:pPr>
        <w:spacing w:after="0" w:line="240" w:lineRule="auto"/>
        <w:jc w:val="center"/>
        <w:rPr>
          <w:rFonts w:ascii="Arial" w:hAnsi="Arial" w:cs="Arial"/>
          <w:b/>
          <w:sz w:val="24"/>
          <w:szCs w:val="24"/>
        </w:rPr>
      </w:pPr>
      <w:r w:rsidRPr="00D14D69">
        <w:rPr>
          <w:rFonts w:ascii="Arial" w:hAnsi="Arial" w:cs="Arial"/>
          <w:b/>
          <w:sz w:val="24"/>
          <w:szCs w:val="24"/>
        </w:rPr>
        <w:t>CONSEJO DE ESTADO</w:t>
      </w:r>
    </w:p>
    <w:p w:rsidR="00D14D69" w:rsidRPr="00D14D69" w:rsidRDefault="00D14D69" w:rsidP="00D14D69">
      <w:pPr>
        <w:spacing w:after="0" w:line="240" w:lineRule="auto"/>
        <w:jc w:val="center"/>
        <w:rPr>
          <w:rFonts w:ascii="Arial" w:hAnsi="Arial" w:cs="Arial"/>
          <w:b/>
          <w:sz w:val="24"/>
          <w:szCs w:val="24"/>
        </w:rPr>
      </w:pPr>
    </w:p>
    <w:p w:rsidR="00D14D69" w:rsidRPr="00D14D69" w:rsidRDefault="00D14D69" w:rsidP="00D14D69">
      <w:pPr>
        <w:spacing w:after="0" w:line="240" w:lineRule="auto"/>
        <w:jc w:val="center"/>
        <w:rPr>
          <w:rFonts w:ascii="Arial" w:hAnsi="Arial" w:cs="Arial"/>
          <w:b/>
          <w:sz w:val="24"/>
          <w:szCs w:val="24"/>
        </w:rPr>
      </w:pPr>
      <w:r w:rsidRPr="00D14D69">
        <w:rPr>
          <w:rFonts w:ascii="Arial" w:hAnsi="Arial" w:cs="Arial"/>
          <w:b/>
          <w:sz w:val="24"/>
          <w:szCs w:val="24"/>
        </w:rPr>
        <w:t>SALA DE LO CONTENCIOSO ADMINISTRATIVO</w:t>
      </w:r>
    </w:p>
    <w:p w:rsidR="00D14D69" w:rsidRPr="00D14D69" w:rsidRDefault="00D14D69" w:rsidP="00D14D69">
      <w:pPr>
        <w:spacing w:after="0" w:line="240" w:lineRule="auto"/>
        <w:jc w:val="center"/>
        <w:rPr>
          <w:rFonts w:ascii="Arial" w:hAnsi="Arial" w:cs="Arial"/>
          <w:b/>
          <w:sz w:val="24"/>
          <w:szCs w:val="24"/>
        </w:rPr>
      </w:pPr>
    </w:p>
    <w:p w:rsidR="00D14D69" w:rsidRPr="00D14D69" w:rsidRDefault="00D14D69" w:rsidP="00D14D69">
      <w:pPr>
        <w:spacing w:after="0" w:line="240" w:lineRule="auto"/>
        <w:jc w:val="center"/>
        <w:rPr>
          <w:rFonts w:ascii="Arial" w:hAnsi="Arial" w:cs="Arial"/>
          <w:b/>
          <w:sz w:val="24"/>
          <w:szCs w:val="24"/>
        </w:rPr>
      </w:pPr>
      <w:r w:rsidRPr="00D14D69">
        <w:rPr>
          <w:rFonts w:ascii="Arial" w:hAnsi="Arial" w:cs="Arial"/>
          <w:b/>
          <w:sz w:val="24"/>
          <w:szCs w:val="24"/>
        </w:rPr>
        <w:t>SECCIÓN PRIMERA</w:t>
      </w:r>
    </w:p>
    <w:p w:rsidR="00D14D69" w:rsidRPr="00D14D69" w:rsidRDefault="00D14D69" w:rsidP="00D14D69">
      <w:pPr>
        <w:spacing w:after="0" w:line="240" w:lineRule="auto"/>
        <w:jc w:val="center"/>
        <w:rPr>
          <w:rFonts w:ascii="Arial" w:hAnsi="Arial" w:cs="Arial"/>
          <w:b/>
          <w:sz w:val="24"/>
          <w:szCs w:val="24"/>
        </w:rPr>
      </w:pPr>
    </w:p>
    <w:p w:rsidR="00D14D69" w:rsidRPr="00D14D69" w:rsidRDefault="00D14D69" w:rsidP="00D14D69">
      <w:pPr>
        <w:spacing w:after="0" w:line="240" w:lineRule="auto"/>
        <w:jc w:val="center"/>
        <w:rPr>
          <w:rFonts w:ascii="Arial" w:hAnsi="Arial" w:cs="Arial"/>
          <w:b/>
          <w:sz w:val="24"/>
          <w:szCs w:val="24"/>
        </w:rPr>
      </w:pPr>
      <w:r w:rsidRPr="00D14D69">
        <w:rPr>
          <w:rFonts w:ascii="Arial" w:hAnsi="Arial" w:cs="Arial"/>
          <w:b/>
          <w:sz w:val="24"/>
          <w:szCs w:val="24"/>
        </w:rPr>
        <w:t>Consejera ponente: MARÍA ELIZABETH GARCÍA GONZÁLEZ</w:t>
      </w:r>
    </w:p>
    <w:p w:rsidR="00D14D69" w:rsidRPr="00D14D69" w:rsidRDefault="00D14D69" w:rsidP="00D14D69">
      <w:pPr>
        <w:spacing w:after="0" w:line="240" w:lineRule="auto"/>
        <w:jc w:val="both"/>
        <w:rPr>
          <w:rFonts w:ascii="Arial" w:hAnsi="Arial" w:cs="Arial"/>
          <w:sz w:val="24"/>
          <w:szCs w:val="24"/>
        </w:rPr>
      </w:pPr>
    </w:p>
    <w:p w:rsidR="00D14D69" w:rsidRPr="00D14D69" w:rsidRDefault="00D14D69" w:rsidP="00D14D69">
      <w:pPr>
        <w:spacing w:after="0" w:line="240" w:lineRule="auto"/>
        <w:rPr>
          <w:rFonts w:ascii="Arial" w:hAnsi="Arial" w:cs="Arial"/>
          <w:sz w:val="24"/>
          <w:szCs w:val="24"/>
        </w:rPr>
      </w:pPr>
      <w:r w:rsidRPr="00D14D69">
        <w:rPr>
          <w:rFonts w:ascii="Arial" w:hAnsi="Arial" w:cs="Arial"/>
          <w:sz w:val="24"/>
          <w:szCs w:val="24"/>
        </w:rPr>
        <w:t>Bogotá, D.C., nueve (9) de febrero de dos mil diecisiete (2017)</w:t>
      </w:r>
    </w:p>
    <w:p w:rsidR="00D14D69" w:rsidRPr="00D14D69" w:rsidRDefault="00D14D69" w:rsidP="00D14D69">
      <w:pPr>
        <w:spacing w:after="0" w:line="240" w:lineRule="auto"/>
        <w:jc w:val="both"/>
        <w:rPr>
          <w:rFonts w:ascii="Arial" w:hAnsi="Arial" w:cs="Arial"/>
          <w:b/>
          <w:sz w:val="24"/>
          <w:szCs w:val="24"/>
        </w:rPr>
      </w:pPr>
    </w:p>
    <w:p w:rsidR="00D14D69" w:rsidRPr="00D14D69" w:rsidRDefault="00D14D69" w:rsidP="00D14D69">
      <w:pPr>
        <w:spacing w:after="0" w:line="240" w:lineRule="auto"/>
        <w:rPr>
          <w:rFonts w:ascii="Arial" w:hAnsi="Arial" w:cs="Arial"/>
          <w:b/>
          <w:sz w:val="24"/>
          <w:szCs w:val="24"/>
        </w:rPr>
      </w:pPr>
      <w:r w:rsidRPr="00D14D69">
        <w:rPr>
          <w:rFonts w:ascii="Arial" w:hAnsi="Arial" w:cs="Arial"/>
          <w:b/>
          <w:sz w:val="24"/>
          <w:szCs w:val="24"/>
        </w:rPr>
        <w:t>Radicación número: 11001-03-15-000-2016-03756-00(AC)</w:t>
      </w:r>
    </w:p>
    <w:p w:rsidR="00D14D69" w:rsidRPr="00D14D69" w:rsidRDefault="00D14D69" w:rsidP="00D14D69">
      <w:pPr>
        <w:spacing w:after="0" w:line="240" w:lineRule="auto"/>
        <w:jc w:val="both"/>
        <w:rPr>
          <w:rFonts w:ascii="Arial" w:hAnsi="Arial" w:cs="Arial"/>
          <w:b/>
          <w:sz w:val="24"/>
          <w:szCs w:val="24"/>
        </w:rPr>
      </w:pPr>
    </w:p>
    <w:p w:rsidR="00D14D69" w:rsidRPr="00D14D69" w:rsidRDefault="00D14D69" w:rsidP="00D14D69">
      <w:pPr>
        <w:spacing w:after="0" w:line="240" w:lineRule="auto"/>
        <w:jc w:val="both"/>
        <w:rPr>
          <w:rFonts w:ascii="Arial" w:hAnsi="Arial" w:cs="Arial"/>
          <w:b/>
          <w:sz w:val="24"/>
          <w:szCs w:val="24"/>
        </w:rPr>
      </w:pPr>
      <w:r w:rsidRPr="00D14D69">
        <w:rPr>
          <w:rFonts w:ascii="Arial" w:hAnsi="Arial" w:cs="Arial"/>
          <w:b/>
          <w:sz w:val="24"/>
          <w:szCs w:val="24"/>
        </w:rPr>
        <w:t>Actor: JACOB HERNÁNDEZ</w:t>
      </w:r>
    </w:p>
    <w:p w:rsidR="00D14D69" w:rsidRPr="00D14D69" w:rsidRDefault="00D14D69" w:rsidP="00D14D69">
      <w:pPr>
        <w:spacing w:after="0" w:line="240" w:lineRule="auto"/>
        <w:jc w:val="both"/>
        <w:rPr>
          <w:rFonts w:ascii="Arial" w:hAnsi="Arial" w:cs="Arial"/>
          <w:b/>
          <w:sz w:val="24"/>
          <w:szCs w:val="24"/>
        </w:rPr>
      </w:pPr>
    </w:p>
    <w:p w:rsidR="005F18D7" w:rsidRPr="00D14D69" w:rsidRDefault="00D14D69" w:rsidP="00D14D69">
      <w:pPr>
        <w:spacing w:after="0" w:line="240" w:lineRule="auto"/>
        <w:jc w:val="both"/>
        <w:rPr>
          <w:rFonts w:ascii="Arial" w:hAnsi="Arial" w:cs="Arial"/>
          <w:b/>
          <w:sz w:val="24"/>
          <w:szCs w:val="24"/>
        </w:rPr>
      </w:pPr>
      <w:r w:rsidRPr="00D14D69">
        <w:rPr>
          <w:rFonts w:ascii="Arial" w:hAnsi="Arial" w:cs="Arial"/>
          <w:b/>
          <w:sz w:val="24"/>
          <w:szCs w:val="24"/>
        </w:rPr>
        <w:t>Demandado:</w:t>
      </w:r>
      <w:r>
        <w:rPr>
          <w:rFonts w:ascii="Arial" w:hAnsi="Arial" w:cs="Arial"/>
          <w:b/>
          <w:sz w:val="24"/>
          <w:szCs w:val="24"/>
        </w:rPr>
        <w:t xml:space="preserve"> </w:t>
      </w:r>
      <w:r w:rsidR="00490DCA" w:rsidRPr="00490DCA">
        <w:rPr>
          <w:rFonts w:ascii="Arial" w:hAnsi="Arial" w:cs="Arial"/>
          <w:b/>
          <w:sz w:val="24"/>
          <w:szCs w:val="24"/>
        </w:rPr>
        <w:t>TRIBUNAL ADMINISTRATIVO DEL HUILA</w:t>
      </w:r>
    </w:p>
    <w:p w:rsidR="00D14D69" w:rsidRPr="00D14D69" w:rsidRDefault="00D14D69" w:rsidP="00D14D69">
      <w:pPr>
        <w:spacing w:after="0" w:line="240" w:lineRule="auto"/>
        <w:jc w:val="both"/>
        <w:rPr>
          <w:rFonts w:ascii="Arial" w:hAnsi="Arial" w:cs="Arial"/>
          <w:b/>
          <w:sz w:val="24"/>
          <w:szCs w:val="24"/>
        </w:rPr>
      </w:pPr>
    </w:p>
    <w:p w:rsidR="005F18D7" w:rsidRPr="003C2C17" w:rsidRDefault="005F18D7" w:rsidP="005F18D7">
      <w:pPr>
        <w:spacing w:after="0" w:line="240" w:lineRule="auto"/>
        <w:jc w:val="both"/>
        <w:rPr>
          <w:rFonts w:ascii="Arial" w:hAnsi="Arial" w:cs="Arial"/>
          <w:b/>
          <w:sz w:val="24"/>
          <w:szCs w:val="24"/>
        </w:rPr>
      </w:pPr>
    </w:p>
    <w:p w:rsidR="005F18D7" w:rsidRPr="003C2C17" w:rsidRDefault="005F18D7" w:rsidP="003C2C17">
      <w:pPr>
        <w:spacing w:after="0" w:line="240" w:lineRule="auto"/>
        <w:jc w:val="both"/>
        <w:rPr>
          <w:rFonts w:ascii="Arial" w:hAnsi="Arial" w:cs="Arial"/>
          <w:b/>
          <w:sz w:val="24"/>
          <w:szCs w:val="24"/>
        </w:rPr>
      </w:pPr>
    </w:p>
    <w:p w:rsidR="005F18D7" w:rsidRPr="00D14D69" w:rsidRDefault="005F18D7" w:rsidP="005F18D7">
      <w:pPr>
        <w:widowControl w:val="0"/>
        <w:spacing w:after="0" w:line="480" w:lineRule="auto"/>
        <w:jc w:val="both"/>
        <w:rPr>
          <w:rFonts w:ascii="Arial" w:eastAsia="Times New Roman" w:hAnsi="Arial" w:cs="Arial"/>
          <w:b/>
          <w:sz w:val="24"/>
          <w:szCs w:val="24"/>
          <w:lang w:val="es-ES_tradnl" w:eastAsia="es-ES"/>
        </w:rPr>
      </w:pPr>
      <w:r w:rsidRPr="00D14D69">
        <w:rPr>
          <w:rFonts w:ascii="Arial" w:eastAsia="Times New Roman" w:hAnsi="Arial" w:cs="Arial"/>
          <w:sz w:val="24"/>
          <w:szCs w:val="24"/>
          <w:lang w:val="es-ES_tradnl" w:eastAsia="es-ES"/>
        </w:rPr>
        <w:t xml:space="preserve">Decide </w:t>
      </w:r>
      <w:smartTag w:uri="urn:schemas-microsoft-com:office:smarttags" w:element="PersonName">
        <w:smartTagPr>
          <w:attr w:name="ProductID" w:val="LA SALA"/>
        </w:smartTagPr>
        <w:r w:rsidRPr="00D14D69">
          <w:rPr>
            <w:rFonts w:ascii="Arial" w:eastAsia="Times New Roman" w:hAnsi="Arial" w:cs="Arial"/>
            <w:sz w:val="24"/>
            <w:szCs w:val="24"/>
            <w:lang w:val="es-ES_tradnl" w:eastAsia="es-ES"/>
          </w:rPr>
          <w:t>la Sala</w:t>
        </w:r>
      </w:smartTag>
      <w:r w:rsidRPr="00D14D69">
        <w:rPr>
          <w:rFonts w:ascii="Arial" w:eastAsia="Times New Roman" w:hAnsi="Arial" w:cs="Arial"/>
          <w:sz w:val="24"/>
          <w:szCs w:val="24"/>
          <w:lang w:val="es-ES_tradnl" w:eastAsia="es-ES"/>
        </w:rPr>
        <w:t xml:space="preserve">, en primera instancia, la acción de tutela promovida por </w:t>
      </w:r>
      <w:r w:rsidRPr="00D14D69">
        <w:rPr>
          <w:rFonts w:ascii="Arial" w:eastAsia="Times New Roman" w:hAnsi="Arial" w:cs="Arial"/>
          <w:b/>
          <w:sz w:val="24"/>
          <w:szCs w:val="24"/>
          <w:lang w:val="es-ES_tradnl" w:eastAsia="es-ES"/>
        </w:rPr>
        <w:t xml:space="preserve">JACOB HERNÁNDEZ </w:t>
      </w:r>
      <w:r w:rsidRPr="00D14D69">
        <w:rPr>
          <w:rFonts w:ascii="Arial" w:eastAsia="Times New Roman" w:hAnsi="Arial" w:cs="Arial"/>
          <w:sz w:val="24"/>
          <w:szCs w:val="24"/>
          <w:lang w:val="es-ES_tradnl" w:eastAsia="es-ES"/>
        </w:rPr>
        <w:t xml:space="preserve">contra el </w:t>
      </w:r>
      <w:r w:rsidRPr="00D14D69">
        <w:rPr>
          <w:rFonts w:ascii="Arial" w:eastAsia="Times New Roman" w:hAnsi="Arial" w:cs="Arial"/>
          <w:b/>
          <w:sz w:val="24"/>
          <w:szCs w:val="24"/>
          <w:lang w:val="es-ES_tradnl" w:eastAsia="es-ES"/>
        </w:rPr>
        <w:t>TRIBUNAL ADMINISTRATIVO DEL HUILA.</w:t>
      </w: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p>
    <w:p w:rsidR="005F18D7" w:rsidRPr="00D14D69" w:rsidRDefault="005F18D7" w:rsidP="005F18D7">
      <w:pPr>
        <w:keepNext/>
        <w:spacing w:after="0" w:line="480" w:lineRule="auto"/>
        <w:jc w:val="center"/>
        <w:outlineLvl w:val="0"/>
        <w:rPr>
          <w:rFonts w:ascii="Arial" w:eastAsia="Times New Roman" w:hAnsi="Arial" w:cs="Arial"/>
          <w:b/>
          <w:sz w:val="24"/>
          <w:szCs w:val="24"/>
          <w:lang w:eastAsia="es-ES"/>
        </w:rPr>
      </w:pPr>
      <w:r w:rsidRPr="00D14D69">
        <w:rPr>
          <w:rFonts w:ascii="Arial" w:eastAsia="Times New Roman" w:hAnsi="Arial" w:cs="Arial"/>
          <w:b/>
          <w:sz w:val="24"/>
          <w:szCs w:val="24"/>
          <w:lang w:eastAsia="es-ES"/>
        </w:rPr>
        <w:t>I – ANTECEDENTES.</w:t>
      </w:r>
    </w:p>
    <w:p w:rsidR="005F18D7" w:rsidRPr="00D14D69" w:rsidRDefault="005F18D7" w:rsidP="005F18D7">
      <w:pPr>
        <w:widowControl w:val="0"/>
        <w:spacing w:after="0" w:line="480" w:lineRule="auto"/>
        <w:jc w:val="both"/>
        <w:rPr>
          <w:rFonts w:ascii="Arial" w:eastAsia="Times New Roman" w:hAnsi="Arial" w:cs="Arial"/>
          <w:b/>
          <w:sz w:val="24"/>
          <w:szCs w:val="24"/>
          <w:lang w:val="es-CO" w:eastAsia="es-ES"/>
        </w:rPr>
      </w:pPr>
    </w:p>
    <w:p w:rsidR="005F18D7" w:rsidRPr="00D14D69" w:rsidRDefault="005F18D7" w:rsidP="005F18D7">
      <w:pPr>
        <w:widowControl w:val="0"/>
        <w:spacing w:after="0" w:line="480" w:lineRule="auto"/>
        <w:jc w:val="both"/>
        <w:rPr>
          <w:rFonts w:ascii="Arial" w:eastAsia="Times New Roman" w:hAnsi="Arial" w:cs="Arial"/>
          <w:b/>
          <w:sz w:val="24"/>
          <w:szCs w:val="24"/>
          <w:lang w:val="es-CO" w:eastAsia="es-ES"/>
        </w:rPr>
      </w:pPr>
      <w:r w:rsidRPr="00D14D69">
        <w:rPr>
          <w:rFonts w:ascii="Arial" w:eastAsia="Times New Roman" w:hAnsi="Arial" w:cs="Arial"/>
          <w:b/>
          <w:sz w:val="24"/>
          <w:szCs w:val="24"/>
          <w:lang w:val="es-CO" w:eastAsia="es-ES"/>
        </w:rPr>
        <w:t>I.1.- La acción.</w:t>
      </w:r>
    </w:p>
    <w:p w:rsidR="005F18D7" w:rsidRPr="00D14D69" w:rsidRDefault="005F18D7" w:rsidP="005F18D7">
      <w:pPr>
        <w:spacing w:after="0" w:line="240" w:lineRule="auto"/>
        <w:jc w:val="both"/>
        <w:rPr>
          <w:rFonts w:ascii="Arial" w:eastAsia="Times New Roman" w:hAnsi="Arial" w:cs="Arial"/>
          <w:b/>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eastAsia="es-ES"/>
        </w:rPr>
      </w:pPr>
      <w:r w:rsidRPr="00D14D69">
        <w:rPr>
          <w:rFonts w:ascii="Arial" w:eastAsia="Times New Roman" w:hAnsi="Arial" w:cs="Arial"/>
          <w:sz w:val="24"/>
          <w:szCs w:val="24"/>
          <w:lang w:val="es-ES_tradnl" w:eastAsia="es-ES"/>
        </w:rPr>
        <w:t xml:space="preserve">El ciudadano </w:t>
      </w:r>
      <w:r w:rsidRPr="00D14D69">
        <w:rPr>
          <w:rFonts w:ascii="Arial" w:eastAsia="Times New Roman" w:hAnsi="Arial" w:cs="Arial"/>
          <w:b/>
          <w:sz w:val="24"/>
          <w:szCs w:val="24"/>
          <w:lang w:val="es-ES_tradnl" w:eastAsia="es-ES"/>
        </w:rPr>
        <w:t>JACOB HERNÁNDEZ</w:t>
      </w:r>
      <w:r w:rsidRPr="00D14D69">
        <w:rPr>
          <w:rFonts w:ascii="Arial" w:eastAsia="Times New Roman" w:hAnsi="Arial" w:cs="Arial"/>
          <w:sz w:val="24"/>
          <w:szCs w:val="24"/>
          <w:lang w:val="es-ES_tradnl" w:eastAsia="es-ES"/>
        </w:rPr>
        <w:t xml:space="preserve">, actuando por conducto de apoderado judicial y en ejercicio de la acción de tutela consagrada en el artículo 86 de la Constitución </w:t>
      </w:r>
      <w:r w:rsidRPr="00D14D69">
        <w:rPr>
          <w:rFonts w:ascii="Arial" w:eastAsia="Times New Roman" w:hAnsi="Arial" w:cs="Arial"/>
          <w:sz w:val="24"/>
          <w:szCs w:val="24"/>
          <w:lang w:val="es-ES_tradnl" w:eastAsia="es-ES"/>
        </w:rPr>
        <w:lastRenderedPageBreak/>
        <w:t xml:space="preserve">Política, </w:t>
      </w:r>
      <w:r w:rsidRPr="00D14D69">
        <w:rPr>
          <w:rFonts w:ascii="Arial" w:eastAsia="Times New Roman" w:hAnsi="Arial" w:cs="Arial"/>
          <w:sz w:val="24"/>
          <w:szCs w:val="24"/>
          <w:lang w:eastAsia="es-ES"/>
        </w:rPr>
        <w:t xml:space="preserve">solicita la protección </w:t>
      </w:r>
      <w:r w:rsidRPr="00D14D69">
        <w:rPr>
          <w:rFonts w:ascii="Arial" w:eastAsia="Times New Roman" w:hAnsi="Arial" w:cs="Arial"/>
          <w:bCs/>
          <w:sz w:val="24"/>
          <w:szCs w:val="24"/>
          <w:lang w:eastAsia="es-ES"/>
        </w:rPr>
        <w:t xml:space="preserve">de su derecho fundamental al debido proceso, presuntamente vulnerado por el </w:t>
      </w:r>
      <w:r w:rsidRPr="00D14D69">
        <w:rPr>
          <w:rFonts w:ascii="Arial" w:eastAsia="Times New Roman" w:hAnsi="Arial" w:cs="Arial"/>
          <w:b/>
          <w:bCs/>
          <w:sz w:val="24"/>
          <w:szCs w:val="24"/>
          <w:lang w:eastAsia="es-ES"/>
        </w:rPr>
        <w:t xml:space="preserve">TRIBUNAL </w:t>
      </w:r>
      <w:r w:rsidRPr="00D14D69">
        <w:rPr>
          <w:rFonts w:ascii="Arial" w:eastAsia="Times New Roman" w:hAnsi="Arial" w:cs="Arial"/>
          <w:b/>
          <w:sz w:val="24"/>
          <w:szCs w:val="24"/>
          <w:lang w:eastAsia="es-ES"/>
        </w:rPr>
        <w:t xml:space="preserve">ADMINISTRATIVO DEL HUILA </w:t>
      </w:r>
      <w:r w:rsidRPr="00D14D69">
        <w:rPr>
          <w:rFonts w:ascii="Arial" w:eastAsia="Times New Roman" w:hAnsi="Arial" w:cs="Arial"/>
          <w:sz w:val="24"/>
          <w:szCs w:val="24"/>
          <w:lang w:eastAsia="es-ES"/>
        </w:rPr>
        <w:t xml:space="preserve">al dictar la sentencia de 27 de mayo de 2016, mediante la cual revocó la decisión de primera instancia y, en su lugar, profirió decisión inhibitoria, en el proceso de </w:t>
      </w:r>
      <w:r w:rsidRPr="00D14D69">
        <w:rPr>
          <w:rFonts w:ascii="Arial" w:eastAsia="Times New Roman" w:hAnsi="Arial" w:cs="Arial"/>
          <w:i/>
          <w:sz w:val="24"/>
          <w:szCs w:val="24"/>
          <w:lang w:eastAsia="es-ES"/>
        </w:rPr>
        <w:t>acción contractual</w:t>
      </w:r>
      <w:r w:rsidRPr="00D14D69">
        <w:rPr>
          <w:rFonts w:ascii="Arial" w:eastAsia="Times New Roman" w:hAnsi="Arial" w:cs="Arial"/>
          <w:sz w:val="24"/>
          <w:szCs w:val="24"/>
          <w:lang w:eastAsia="es-ES"/>
        </w:rPr>
        <w:t xml:space="preserve"> radicado bajo el número 2011-00122. </w:t>
      </w:r>
    </w:p>
    <w:p w:rsidR="005F18D7" w:rsidRPr="00D14D69" w:rsidRDefault="005F18D7" w:rsidP="005F18D7">
      <w:pPr>
        <w:widowControl w:val="0"/>
        <w:spacing w:after="0" w:line="480" w:lineRule="auto"/>
        <w:jc w:val="both"/>
        <w:rPr>
          <w:rFonts w:ascii="Arial" w:eastAsia="Times New Roman" w:hAnsi="Arial" w:cs="Arial"/>
          <w:bCs/>
          <w:sz w:val="24"/>
          <w:szCs w:val="24"/>
          <w:lang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b/>
          <w:sz w:val="24"/>
          <w:szCs w:val="24"/>
          <w:lang w:val="es-ES_tradnl" w:eastAsia="es-ES"/>
        </w:rPr>
        <w:t>I.2.- Hechos.</w:t>
      </w:r>
    </w:p>
    <w:p w:rsidR="005F18D7" w:rsidRPr="00D14D69" w:rsidRDefault="005F18D7" w:rsidP="005F18D7">
      <w:pPr>
        <w:widowControl w:val="0"/>
        <w:spacing w:after="0" w:line="480" w:lineRule="auto"/>
        <w:jc w:val="both"/>
        <w:rPr>
          <w:rFonts w:ascii="Arial" w:eastAsia="Times New Roman" w:hAnsi="Arial" w:cs="Arial"/>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1. El actor presentó demanda en ejercicio de la acción contractual prevista en el artículo 87 del Decreto 01 de 1984 (anterior Código Contencioso Administrativo)</w:t>
      </w:r>
      <w:r w:rsidRPr="00D14D69">
        <w:rPr>
          <w:rFonts w:ascii="Arial" w:eastAsia="Times New Roman" w:hAnsi="Arial" w:cs="Arial"/>
          <w:sz w:val="24"/>
          <w:szCs w:val="24"/>
          <w:vertAlign w:val="superscript"/>
          <w:lang w:eastAsia="es-ES"/>
        </w:rPr>
        <w:footnoteReference w:id="1"/>
      </w:r>
      <w:r w:rsidRPr="00D14D69">
        <w:rPr>
          <w:rFonts w:ascii="Arial" w:eastAsia="Times New Roman" w:hAnsi="Arial" w:cs="Arial"/>
          <w:sz w:val="24"/>
          <w:szCs w:val="24"/>
          <w:lang w:eastAsia="es-ES"/>
        </w:rPr>
        <w:t>, con el fin de que se declarara la existencia de un contrato laboral entre la Nación – Departamento Administrativo de Seguridad DAS y el demandante y se reconociera, a título de indemnización, las sumas correspondientes a la totalidad de las prestaciones sociales a las que tiene derecho, por el período comprendido entre el 15 de junio de 2005 y el 31 de diciembre de 2008, en los que prestó sus servicios como escolta.</w:t>
      </w: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2. En sentencia proferida el 26 de junio de 2014, el Juzgado Cuarto Administrativo de Descongestión de Neiva declaró la existencia de la relación laboral y ordenó al DAS reconocer y pagar al demandante la totalidad de las prestaciones sociales percibidas para el período del 1º de marzo de 2006 al 31 de diciembre de 2007.</w:t>
      </w: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 xml:space="preserve">3. Ambas partes apelaron la decisión, correspondiéndole al </w:t>
      </w:r>
      <w:r w:rsidRPr="00D14D69">
        <w:rPr>
          <w:rFonts w:ascii="Arial" w:eastAsia="Times New Roman" w:hAnsi="Arial" w:cs="Arial"/>
          <w:b/>
          <w:sz w:val="24"/>
          <w:szCs w:val="24"/>
          <w:lang w:eastAsia="es-ES"/>
        </w:rPr>
        <w:t>TRIBUNAL ADMINISTRATIVO DEL HUILA</w:t>
      </w:r>
      <w:r w:rsidRPr="00D14D69">
        <w:rPr>
          <w:rFonts w:ascii="Arial" w:eastAsia="Times New Roman" w:hAnsi="Arial" w:cs="Arial"/>
          <w:sz w:val="24"/>
          <w:szCs w:val="24"/>
          <w:lang w:eastAsia="es-ES"/>
        </w:rPr>
        <w:t xml:space="preserve"> desatar la segunda instancia, el cual, en fallo de 27 de mayo de 2016, resolvió revocar la sentencia de primera instancia y declarar probadas las excepciones de </w:t>
      </w:r>
      <w:r w:rsidRPr="00D14D69">
        <w:rPr>
          <w:rFonts w:ascii="Arial" w:eastAsia="Times New Roman" w:hAnsi="Arial" w:cs="Arial"/>
          <w:i/>
          <w:sz w:val="24"/>
          <w:szCs w:val="24"/>
          <w:lang w:eastAsia="es-ES"/>
        </w:rPr>
        <w:t xml:space="preserve">indebida escogencia de la acción </w:t>
      </w:r>
      <w:r w:rsidRPr="00D14D69">
        <w:rPr>
          <w:rFonts w:ascii="Arial" w:eastAsia="Times New Roman" w:hAnsi="Arial" w:cs="Arial"/>
          <w:sz w:val="24"/>
          <w:szCs w:val="24"/>
          <w:lang w:eastAsia="es-ES"/>
        </w:rPr>
        <w:t xml:space="preserve">e </w:t>
      </w:r>
      <w:r w:rsidRPr="00D14D69">
        <w:rPr>
          <w:rFonts w:ascii="Arial" w:eastAsia="Times New Roman" w:hAnsi="Arial" w:cs="Arial"/>
          <w:i/>
          <w:sz w:val="24"/>
          <w:szCs w:val="24"/>
          <w:lang w:eastAsia="es-ES"/>
        </w:rPr>
        <w:t>indebida acumulación de pretensiones.</w:t>
      </w: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 xml:space="preserve">La argumentación central del </w:t>
      </w:r>
      <w:r w:rsidRPr="00D14D69">
        <w:rPr>
          <w:rFonts w:ascii="Arial" w:eastAsia="Times New Roman" w:hAnsi="Arial" w:cs="Arial"/>
          <w:i/>
          <w:sz w:val="24"/>
          <w:szCs w:val="24"/>
          <w:lang w:eastAsia="es-ES"/>
        </w:rPr>
        <w:t xml:space="preserve">ad </w:t>
      </w:r>
      <w:proofErr w:type="spellStart"/>
      <w:r w:rsidRPr="00D14D69">
        <w:rPr>
          <w:rFonts w:ascii="Arial" w:eastAsia="Times New Roman" w:hAnsi="Arial" w:cs="Arial"/>
          <w:i/>
          <w:sz w:val="24"/>
          <w:szCs w:val="24"/>
          <w:lang w:eastAsia="es-ES"/>
        </w:rPr>
        <w:t>quem</w:t>
      </w:r>
      <w:proofErr w:type="spellEnd"/>
      <w:r w:rsidRPr="00D14D69">
        <w:rPr>
          <w:rFonts w:ascii="Arial" w:eastAsia="Times New Roman" w:hAnsi="Arial" w:cs="Arial"/>
          <w:i/>
          <w:sz w:val="24"/>
          <w:szCs w:val="24"/>
          <w:lang w:eastAsia="es-ES"/>
        </w:rPr>
        <w:t xml:space="preserve"> </w:t>
      </w:r>
      <w:r w:rsidRPr="00D14D69">
        <w:rPr>
          <w:rFonts w:ascii="Arial" w:eastAsia="Times New Roman" w:hAnsi="Arial" w:cs="Arial"/>
          <w:sz w:val="24"/>
          <w:szCs w:val="24"/>
          <w:lang w:eastAsia="es-ES"/>
        </w:rPr>
        <w:t>radicó en que:</w:t>
      </w: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p>
    <w:p w:rsidR="005F18D7" w:rsidRPr="00D14D69" w:rsidRDefault="005F18D7" w:rsidP="005F18D7">
      <w:pPr>
        <w:widowControl w:val="0"/>
        <w:numPr>
          <w:ilvl w:val="0"/>
          <w:numId w:val="1"/>
        </w:numPr>
        <w:spacing w:after="0" w:line="480" w:lineRule="auto"/>
        <w:jc w:val="both"/>
        <w:rPr>
          <w:rFonts w:ascii="Arial" w:eastAsia="Times New Roman" w:hAnsi="Arial" w:cs="Arial"/>
          <w:b/>
          <w:sz w:val="24"/>
          <w:szCs w:val="24"/>
          <w:lang w:val="es-ES_tradnl" w:eastAsia="es-ES"/>
        </w:rPr>
      </w:pPr>
      <w:r w:rsidRPr="00D14D69">
        <w:rPr>
          <w:rFonts w:ascii="Arial" w:eastAsia="Times New Roman" w:hAnsi="Arial" w:cs="Arial"/>
          <w:sz w:val="24"/>
          <w:szCs w:val="24"/>
          <w:lang w:eastAsia="es-ES"/>
        </w:rPr>
        <w:t>La tesis de la demanda corresponde a una acción de nulidad y restablecimiento del derecho.</w:t>
      </w:r>
    </w:p>
    <w:p w:rsidR="005F18D7" w:rsidRPr="00D14D69" w:rsidRDefault="005F18D7" w:rsidP="005F18D7">
      <w:pPr>
        <w:widowControl w:val="0"/>
        <w:spacing w:after="0" w:line="480" w:lineRule="auto"/>
        <w:ind w:left="720"/>
        <w:jc w:val="both"/>
        <w:rPr>
          <w:rFonts w:ascii="Arial" w:eastAsia="Times New Roman" w:hAnsi="Arial" w:cs="Arial"/>
          <w:b/>
          <w:sz w:val="24"/>
          <w:szCs w:val="24"/>
          <w:lang w:val="es-ES_tradnl" w:eastAsia="es-ES"/>
        </w:rPr>
      </w:pPr>
    </w:p>
    <w:p w:rsidR="005F18D7" w:rsidRPr="00D14D69" w:rsidRDefault="005F18D7" w:rsidP="005F18D7">
      <w:pPr>
        <w:widowControl w:val="0"/>
        <w:numPr>
          <w:ilvl w:val="0"/>
          <w:numId w:val="1"/>
        </w:numPr>
        <w:spacing w:after="0" w:line="480" w:lineRule="auto"/>
        <w:jc w:val="both"/>
        <w:rPr>
          <w:rFonts w:ascii="Arial" w:eastAsia="Times New Roman" w:hAnsi="Arial" w:cs="Arial"/>
          <w:b/>
          <w:sz w:val="24"/>
          <w:szCs w:val="24"/>
          <w:lang w:val="es-ES_tradnl" w:eastAsia="es-ES"/>
        </w:rPr>
      </w:pPr>
      <w:r w:rsidRPr="00D14D69">
        <w:rPr>
          <w:rFonts w:ascii="Arial" w:eastAsia="Times New Roman" w:hAnsi="Arial" w:cs="Arial"/>
          <w:sz w:val="24"/>
          <w:szCs w:val="24"/>
          <w:lang w:eastAsia="es-ES"/>
        </w:rPr>
        <w:t>Existe una indebida escogencia de la acción que impide un pronunciamiento de fondo.</w:t>
      </w:r>
    </w:p>
    <w:p w:rsidR="005F18D7" w:rsidRPr="00D14D69" w:rsidRDefault="005F18D7" w:rsidP="005F18D7">
      <w:pPr>
        <w:widowControl w:val="0"/>
        <w:spacing w:after="0" w:line="480" w:lineRule="auto"/>
        <w:ind w:left="720"/>
        <w:jc w:val="both"/>
        <w:rPr>
          <w:rFonts w:ascii="Arial" w:eastAsia="Times New Roman" w:hAnsi="Arial" w:cs="Arial"/>
          <w:b/>
          <w:sz w:val="24"/>
          <w:szCs w:val="24"/>
          <w:lang w:val="es-ES_tradnl" w:eastAsia="es-ES"/>
        </w:rPr>
      </w:pPr>
    </w:p>
    <w:p w:rsidR="005F18D7" w:rsidRPr="00D14D69" w:rsidRDefault="005F18D7" w:rsidP="005F18D7">
      <w:pPr>
        <w:widowControl w:val="0"/>
        <w:numPr>
          <w:ilvl w:val="0"/>
          <w:numId w:val="1"/>
        </w:numPr>
        <w:spacing w:after="0" w:line="480" w:lineRule="auto"/>
        <w:jc w:val="both"/>
        <w:rPr>
          <w:rFonts w:ascii="Arial" w:eastAsia="Times New Roman" w:hAnsi="Arial" w:cs="Arial"/>
          <w:b/>
          <w:sz w:val="24"/>
          <w:szCs w:val="24"/>
          <w:lang w:val="es-ES_tradnl" w:eastAsia="es-ES"/>
        </w:rPr>
      </w:pPr>
      <w:r w:rsidRPr="00D14D69">
        <w:rPr>
          <w:rFonts w:ascii="Arial" w:eastAsia="Times New Roman" w:hAnsi="Arial" w:cs="Arial"/>
          <w:sz w:val="24"/>
          <w:szCs w:val="24"/>
          <w:lang w:eastAsia="es-ES"/>
        </w:rPr>
        <w:t xml:space="preserve">Las pretensiones principales y subsidiarias se excluyen entre sí. </w:t>
      </w: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p>
    <w:p w:rsidR="005F18D7" w:rsidRPr="00D14D69" w:rsidRDefault="005F18D7" w:rsidP="005F18D7">
      <w:pPr>
        <w:spacing w:after="0" w:line="480" w:lineRule="auto"/>
        <w:jc w:val="both"/>
        <w:rPr>
          <w:rFonts w:ascii="Arial" w:eastAsia="Times New Roman" w:hAnsi="Arial" w:cs="Arial"/>
          <w:b/>
          <w:bCs/>
          <w:sz w:val="24"/>
          <w:szCs w:val="24"/>
          <w:lang w:val="es-ES_tradnl" w:eastAsia="es-ES"/>
        </w:rPr>
      </w:pPr>
      <w:r w:rsidRPr="00D14D69">
        <w:rPr>
          <w:rFonts w:ascii="Arial" w:eastAsia="Times New Roman" w:hAnsi="Arial" w:cs="Arial"/>
          <w:b/>
          <w:bCs/>
          <w:sz w:val="24"/>
          <w:szCs w:val="24"/>
          <w:lang w:val="es-ES_tradnl" w:eastAsia="es-ES"/>
        </w:rPr>
        <w:t>I.3. Fundamentos de la Solicitud.</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A juicio del actor, la providencia del Tribunal incurrió en defecto procedimental por exceso ritual manifiesto, en razón a que la decisión inhibitoria no fue </w:t>
      </w:r>
      <w:r w:rsidRPr="00D14D69">
        <w:rPr>
          <w:rFonts w:ascii="Arial" w:eastAsia="Times New Roman" w:hAnsi="Arial" w:cs="Arial"/>
          <w:sz w:val="24"/>
          <w:szCs w:val="24"/>
          <w:lang w:val="es-ES_tradnl" w:eastAsia="es-ES"/>
        </w:rPr>
        <w:lastRenderedPageBreak/>
        <w:t>razonablemente argumentada y desconoce la procedencia de la acción contractual para perseguir la declaración de la relación laboral, como lo ha sostenido la Jurisprudencia de la Sección Segunda del Consejo de Estado</w:t>
      </w:r>
      <w:r w:rsidRPr="00D14D69">
        <w:rPr>
          <w:rFonts w:ascii="Arial" w:eastAsia="Times New Roman" w:hAnsi="Arial" w:cs="Arial"/>
          <w:sz w:val="24"/>
          <w:szCs w:val="24"/>
          <w:vertAlign w:val="superscript"/>
          <w:lang w:val="es-ES_tradnl" w:eastAsia="es-ES"/>
        </w:rPr>
        <w:footnoteReference w:id="2"/>
      </w:r>
      <w:r w:rsidRPr="00D14D69">
        <w:rPr>
          <w:rFonts w:ascii="Arial" w:eastAsia="Times New Roman" w:hAnsi="Arial" w:cs="Arial"/>
          <w:sz w:val="24"/>
          <w:szCs w:val="24"/>
          <w:lang w:val="es-ES_tradnl" w:eastAsia="es-ES"/>
        </w:rPr>
        <w:t>.</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Asevera que la autoridad judicial accionada interpretó de forma errada lo previsto en el artículo 82 del Código de Procedimiento Civil, en cuanto a la indebida acumulación de pretensiones, puesto que para evitar que las mismas fuesen excluyentes, las individualizó en principales y subsidiarias. </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Estima que al considerar el Tribunal que la pretensión principal de la demanda debió encaminarse a través de la acción de nulidad y restablecimiento del derecho y, de esta manera, concluir que la pretensión subsidiaria era excluyente, se configuró, además de un defecto sustantivo, una indebida intromisión del Juez, quien no puede tomar partido en cuanto al alcance que el demandante le </w:t>
      </w:r>
      <w:proofErr w:type="spellStart"/>
      <w:r w:rsidRPr="00D14D69">
        <w:rPr>
          <w:rFonts w:ascii="Arial" w:eastAsia="Times New Roman" w:hAnsi="Arial" w:cs="Arial"/>
          <w:sz w:val="24"/>
          <w:szCs w:val="24"/>
          <w:lang w:val="es-ES_tradnl" w:eastAsia="es-ES"/>
        </w:rPr>
        <w:t>de</w:t>
      </w:r>
      <w:proofErr w:type="spellEnd"/>
      <w:r w:rsidRPr="00D14D69">
        <w:rPr>
          <w:rFonts w:ascii="Arial" w:eastAsia="Times New Roman" w:hAnsi="Arial" w:cs="Arial"/>
          <w:sz w:val="24"/>
          <w:szCs w:val="24"/>
          <w:lang w:val="es-ES_tradnl" w:eastAsia="es-ES"/>
        </w:rPr>
        <w:t xml:space="preserve"> a su reclamación.</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Resalta que es arbitraria la posición del </w:t>
      </w:r>
      <w:r w:rsidRPr="00D14D69">
        <w:rPr>
          <w:rFonts w:ascii="Arial" w:eastAsia="Times New Roman" w:hAnsi="Arial" w:cs="Arial"/>
          <w:i/>
          <w:sz w:val="24"/>
          <w:szCs w:val="24"/>
          <w:lang w:val="es-ES_tradnl" w:eastAsia="es-ES"/>
        </w:rPr>
        <w:t xml:space="preserve">ad </w:t>
      </w:r>
      <w:proofErr w:type="spellStart"/>
      <w:r w:rsidRPr="00D14D69">
        <w:rPr>
          <w:rFonts w:ascii="Arial" w:eastAsia="Times New Roman" w:hAnsi="Arial" w:cs="Arial"/>
          <w:i/>
          <w:sz w:val="24"/>
          <w:szCs w:val="24"/>
          <w:lang w:val="es-ES_tradnl" w:eastAsia="es-ES"/>
        </w:rPr>
        <w:t>quem</w:t>
      </w:r>
      <w:proofErr w:type="spellEnd"/>
      <w:r w:rsidRPr="00D14D69">
        <w:rPr>
          <w:rFonts w:ascii="Arial" w:eastAsia="Times New Roman" w:hAnsi="Arial" w:cs="Arial"/>
          <w:i/>
          <w:sz w:val="24"/>
          <w:szCs w:val="24"/>
          <w:lang w:val="es-ES_tradnl" w:eastAsia="es-ES"/>
        </w:rPr>
        <w:t xml:space="preserve"> </w:t>
      </w:r>
      <w:r w:rsidRPr="00D14D69">
        <w:rPr>
          <w:rFonts w:ascii="Arial" w:eastAsia="Times New Roman" w:hAnsi="Arial" w:cs="Arial"/>
          <w:sz w:val="24"/>
          <w:szCs w:val="24"/>
          <w:lang w:val="es-ES_tradnl" w:eastAsia="es-ES"/>
        </w:rPr>
        <w:t>al exigir que se esbozaran en la demanda las causales consagradas en los artículos 44, 45 y 47 de la Ley 80 de 1993 (Contratación Pública), cuando durante toda la argumentación se estableció que la nulidad alegada radicaba en la violación del principio de la primacía de la realidad sobre las formas, lo que llevó a que se demostrara que:</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numPr>
          <w:ilvl w:val="0"/>
          <w:numId w:val="1"/>
        </w:num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lastRenderedPageBreak/>
        <w:t>Los contratos de prestación de servicios celebrados no fueron ocasionales, sino permanentes.</w:t>
      </w:r>
    </w:p>
    <w:p w:rsidR="005F18D7" w:rsidRPr="00D14D69" w:rsidRDefault="005F18D7" w:rsidP="005F18D7">
      <w:pPr>
        <w:spacing w:after="0" w:line="480" w:lineRule="auto"/>
        <w:ind w:left="720"/>
        <w:jc w:val="both"/>
        <w:rPr>
          <w:rFonts w:ascii="Arial" w:eastAsia="Times New Roman" w:hAnsi="Arial" w:cs="Arial"/>
          <w:sz w:val="24"/>
          <w:szCs w:val="24"/>
          <w:lang w:val="es-ES_tradnl" w:eastAsia="es-ES"/>
        </w:rPr>
      </w:pPr>
    </w:p>
    <w:p w:rsidR="005F18D7" w:rsidRPr="00D14D69" w:rsidRDefault="005F18D7" w:rsidP="005F18D7">
      <w:pPr>
        <w:numPr>
          <w:ilvl w:val="0"/>
          <w:numId w:val="1"/>
        </w:num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La labor desempeñada no requería conocimientos especializados y tenía las mismas funciones de personal de planta de la entidad.</w:t>
      </w:r>
    </w:p>
    <w:p w:rsidR="005F18D7" w:rsidRPr="00D14D69" w:rsidRDefault="005F18D7" w:rsidP="005F18D7">
      <w:pPr>
        <w:spacing w:after="0" w:line="480" w:lineRule="auto"/>
        <w:ind w:left="720"/>
        <w:jc w:val="both"/>
        <w:rPr>
          <w:rFonts w:ascii="Arial" w:eastAsia="Times New Roman" w:hAnsi="Arial" w:cs="Arial"/>
          <w:sz w:val="24"/>
          <w:szCs w:val="24"/>
          <w:lang w:val="es-ES_tradnl" w:eastAsia="es-ES"/>
        </w:rPr>
      </w:pPr>
    </w:p>
    <w:p w:rsidR="005F18D7" w:rsidRPr="00D14D69" w:rsidRDefault="005F18D7" w:rsidP="005F18D7">
      <w:pPr>
        <w:numPr>
          <w:ilvl w:val="0"/>
          <w:numId w:val="1"/>
        </w:num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Se configuraron los elementos del contrato de trabajo, referidos a la subordinación, dependencia, contraprestación y prestación </w:t>
      </w:r>
      <w:proofErr w:type="spellStart"/>
      <w:r w:rsidRPr="00D14D69">
        <w:rPr>
          <w:rFonts w:ascii="Arial" w:eastAsia="Times New Roman" w:hAnsi="Arial" w:cs="Arial"/>
          <w:i/>
          <w:sz w:val="24"/>
          <w:szCs w:val="24"/>
          <w:lang w:val="es-ES_tradnl" w:eastAsia="es-ES"/>
        </w:rPr>
        <w:t>intuitu</w:t>
      </w:r>
      <w:proofErr w:type="spellEnd"/>
      <w:r w:rsidRPr="00D14D69">
        <w:rPr>
          <w:rFonts w:ascii="Arial" w:eastAsia="Times New Roman" w:hAnsi="Arial" w:cs="Arial"/>
          <w:i/>
          <w:sz w:val="24"/>
          <w:szCs w:val="24"/>
          <w:lang w:val="es-ES_tradnl" w:eastAsia="es-ES"/>
        </w:rPr>
        <w:t xml:space="preserve"> </w:t>
      </w:r>
      <w:proofErr w:type="spellStart"/>
      <w:r w:rsidRPr="00D14D69">
        <w:rPr>
          <w:rFonts w:ascii="Arial" w:eastAsia="Times New Roman" w:hAnsi="Arial" w:cs="Arial"/>
          <w:i/>
          <w:sz w:val="24"/>
          <w:szCs w:val="24"/>
          <w:lang w:val="es-ES_tradnl" w:eastAsia="es-ES"/>
        </w:rPr>
        <w:t>personae</w:t>
      </w:r>
      <w:proofErr w:type="spellEnd"/>
      <w:r w:rsidRPr="00D14D69">
        <w:rPr>
          <w:rFonts w:ascii="Arial" w:eastAsia="Times New Roman" w:hAnsi="Arial" w:cs="Arial"/>
          <w:sz w:val="24"/>
          <w:szCs w:val="24"/>
          <w:lang w:val="es-ES_tradnl" w:eastAsia="es-ES"/>
        </w:rPr>
        <w:t>.</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Finalmente, asegura que la providencia censurada incurrió en violación directa de la Constitución, al desconocer el principio consagrado en el artículo 53 de la Constitución Política, referente a la primacía de la realidad sobre las formas.</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b/>
          <w:bCs/>
          <w:sz w:val="24"/>
          <w:szCs w:val="24"/>
          <w:lang w:val="es-ES_tradnl" w:eastAsia="es-ES"/>
        </w:rPr>
      </w:pPr>
      <w:r w:rsidRPr="00D14D69">
        <w:rPr>
          <w:rFonts w:ascii="Arial" w:eastAsia="Times New Roman" w:hAnsi="Arial" w:cs="Arial"/>
          <w:b/>
          <w:bCs/>
          <w:sz w:val="24"/>
          <w:szCs w:val="24"/>
          <w:lang w:val="es-ES_tradnl" w:eastAsia="es-ES"/>
        </w:rPr>
        <w:t>I.4. Pretensiones.</w:t>
      </w:r>
    </w:p>
    <w:p w:rsidR="005F18D7" w:rsidRPr="00D14D69" w:rsidRDefault="005F18D7" w:rsidP="005F18D7">
      <w:pPr>
        <w:spacing w:after="0" w:line="240" w:lineRule="auto"/>
        <w:jc w:val="both"/>
        <w:rPr>
          <w:rFonts w:ascii="Arial" w:eastAsia="Times New Roman" w:hAnsi="Arial" w:cs="Arial"/>
          <w:b/>
          <w:bCs/>
          <w:sz w:val="24"/>
          <w:szCs w:val="24"/>
          <w:lang w:val="es-ES_tradnl" w:eastAsia="es-ES"/>
        </w:rPr>
      </w:pPr>
    </w:p>
    <w:p w:rsidR="005F18D7" w:rsidRPr="00D14D69" w:rsidRDefault="005F18D7" w:rsidP="005F18D7">
      <w:pPr>
        <w:spacing w:after="0" w:line="240" w:lineRule="auto"/>
        <w:ind w:left="851" w:right="618"/>
        <w:jc w:val="both"/>
        <w:rPr>
          <w:rFonts w:ascii="Arial" w:eastAsia="Times New Roman" w:hAnsi="Arial" w:cs="Arial"/>
          <w:i/>
          <w:color w:val="000000"/>
          <w:sz w:val="24"/>
          <w:szCs w:val="24"/>
          <w:lang w:val="es-CO" w:eastAsia="es-ES"/>
        </w:rPr>
      </w:pPr>
      <w:r w:rsidRPr="00D14D69">
        <w:rPr>
          <w:rFonts w:ascii="Arial" w:eastAsia="Times New Roman" w:hAnsi="Arial" w:cs="Arial"/>
          <w:i/>
          <w:color w:val="000000"/>
          <w:sz w:val="24"/>
          <w:szCs w:val="24"/>
          <w:lang w:val="es-CO" w:eastAsia="es-ES"/>
        </w:rPr>
        <w:t xml:space="preserve">“PRIMERA: Que se tutelen los derechos fundamentales conculcados a mi mandante, principalmente el debido proceso, que fueron vulnerados por el TRIBUNAL ADMINISTRATIVO DEL HUILA, SALA SEGUNDA DE DECISIÓN ESCRITURAL, y se declare la configuración de las causales de </w:t>
      </w:r>
      <w:proofErr w:type="spellStart"/>
      <w:r w:rsidRPr="00D14D69">
        <w:rPr>
          <w:rFonts w:ascii="Arial" w:eastAsia="Times New Roman" w:hAnsi="Arial" w:cs="Arial"/>
          <w:i/>
          <w:color w:val="000000"/>
          <w:sz w:val="24"/>
          <w:szCs w:val="24"/>
          <w:lang w:val="es-CO" w:eastAsia="es-ES"/>
        </w:rPr>
        <w:t>procedibilidad</w:t>
      </w:r>
      <w:proofErr w:type="spellEnd"/>
      <w:r w:rsidRPr="00D14D69">
        <w:rPr>
          <w:rFonts w:ascii="Arial" w:eastAsia="Times New Roman" w:hAnsi="Arial" w:cs="Arial"/>
          <w:i/>
          <w:color w:val="000000"/>
          <w:sz w:val="24"/>
          <w:szCs w:val="24"/>
          <w:lang w:val="es-CO" w:eastAsia="es-ES"/>
        </w:rPr>
        <w:t xml:space="preserve">: defecto sustantivo por interpretación errónea o irrazonable, defecto procedimental por exceso ritual manifiesto y violación directa de la Constitución. </w:t>
      </w:r>
    </w:p>
    <w:p w:rsidR="005F18D7" w:rsidRPr="00D14D69" w:rsidRDefault="005F18D7" w:rsidP="005F18D7">
      <w:pPr>
        <w:spacing w:after="0" w:line="240" w:lineRule="auto"/>
        <w:ind w:left="851" w:right="618"/>
        <w:jc w:val="both"/>
        <w:rPr>
          <w:rFonts w:ascii="Arial" w:eastAsia="Times New Roman" w:hAnsi="Arial" w:cs="Arial"/>
          <w:i/>
          <w:color w:val="000000"/>
          <w:sz w:val="24"/>
          <w:szCs w:val="24"/>
          <w:lang w:val="es-CO" w:eastAsia="es-ES"/>
        </w:rPr>
      </w:pPr>
    </w:p>
    <w:p w:rsidR="005F18D7" w:rsidRPr="00D14D69" w:rsidRDefault="005F18D7" w:rsidP="005F18D7">
      <w:pPr>
        <w:spacing w:after="0" w:line="240" w:lineRule="auto"/>
        <w:ind w:left="851" w:right="618"/>
        <w:jc w:val="both"/>
        <w:rPr>
          <w:rFonts w:ascii="Arial" w:eastAsia="Times New Roman" w:hAnsi="Arial" w:cs="Arial"/>
          <w:i/>
          <w:color w:val="000000"/>
          <w:sz w:val="24"/>
          <w:szCs w:val="24"/>
          <w:lang w:val="es-CO" w:eastAsia="es-ES"/>
        </w:rPr>
      </w:pPr>
      <w:r w:rsidRPr="00D14D69">
        <w:rPr>
          <w:rFonts w:ascii="Arial" w:eastAsia="Times New Roman" w:hAnsi="Arial" w:cs="Arial"/>
          <w:i/>
          <w:color w:val="000000"/>
          <w:sz w:val="24"/>
          <w:szCs w:val="24"/>
          <w:lang w:val="es-CO" w:eastAsia="es-ES"/>
        </w:rPr>
        <w:t>SEGUNDA: Conforme a lo anterior se ordene al TRIBUNAL ADMINISTRATIVO DEL HUILA para que profiera decisión de fondo con relación a los recursos interpuestos por las partes dentro del proceso 41-001-33-31-005-2011-00122 y de por superados los cuestionamientos relacionados con la presente acción de tutela.”</w:t>
      </w: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 </w:t>
      </w:r>
    </w:p>
    <w:p w:rsidR="005F18D7" w:rsidRPr="00D14D69" w:rsidRDefault="005F18D7" w:rsidP="005F18D7">
      <w:pPr>
        <w:spacing w:after="0" w:line="480" w:lineRule="auto"/>
        <w:jc w:val="center"/>
        <w:rPr>
          <w:rFonts w:ascii="Arial" w:eastAsia="Times New Roman" w:hAnsi="Arial" w:cs="Arial"/>
          <w:b/>
          <w:sz w:val="24"/>
          <w:szCs w:val="24"/>
          <w:lang w:val="es-ES_tradnl" w:eastAsia="es-ES"/>
        </w:rPr>
      </w:pPr>
      <w:r w:rsidRPr="00D14D69">
        <w:rPr>
          <w:rFonts w:ascii="Arial" w:eastAsia="Times New Roman" w:hAnsi="Arial" w:cs="Arial"/>
          <w:b/>
          <w:sz w:val="24"/>
          <w:szCs w:val="24"/>
          <w:lang w:val="es-ES_tradnl" w:eastAsia="es-ES"/>
        </w:rPr>
        <w:lastRenderedPageBreak/>
        <w:t>II. ACTUACIÓN PROCESAL</w:t>
      </w:r>
    </w:p>
    <w:p w:rsidR="005F18D7" w:rsidRPr="00D14D69" w:rsidRDefault="005F18D7" w:rsidP="005F18D7">
      <w:pPr>
        <w:spacing w:after="0" w:line="240" w:lineRule="auto"/>
        <w:rPr>
          <w:rFonts w:ascii="Arial" w:eastAsia="Times New Roman" w:hAnsi="Arial" w:cs="Arial"/>
          <w:bCs/>
          <w:sz w:val="24"/>
          <w:szCs w:val="24"/>
          <w:lang w:val="es-ES_tradnl" w:eastAsia="es-ES"/>
        </w:rPr>
      </w:pPr>
    </w:p>
    <w:p w:rsidR="005F18D7" w:rsidRPr="00D14D69" w:rsidRDefault="005F18D7" w:rsidP="005F18D7">
      <w:pPr>
        <w:spacing w:after="0" w:line="480" w:lineRule="auto"/>
        <w:jc w:val="both"/>
        <w:rPr>
          <w:rFonts w:ascii="Arial" w:eastAsia="Times New Roman" w:hAnsi="Arial" w:cs="Arial"/>
          <w:b/>
          <w:bCs/>
          <w:sz w:val="24"/>
          <w:szCs w:val="24"/>
          <w:lang w:val="es-ES_tradnl" w:eastAsia="es-ES"/>
        </w:rPr>
      </w:pPr>
      <w:r w:rsidRPr="00D14D69">
        <w:rPr>
          <w:rFonts w:ascii="Arial" w:eastAsia="Times New Roman" w:hAnsi="Arial" w:cs="Arial"/>
          <w:b/>
          <w:bCs/>
          <w:sz w:val="24"/>
          <w:szCs w:val="24"/>
          <w:lang w:val="es-ES_tradnl" w:eastAsia="es-ES"/>
        </w:rPr>
        <w:t xml:space="preserve">II. 1. Admisión. </w:t>
      </w:r>
    </w:p>
    <w:p w:rsidR="005F18D7" w:rsidRPr="00D14D69" w:rsidRDefault="005F18D7" w:rsidP="005F18D7">
      <w:pPr>
        <w:spacing w:after="0" w:line="240" w:lineRule="auto"/>
        <w:jc w:val="both"/>
        <w:rPr>
          <w:rFonts w:ascii="Arial" w:eastAsia="Times New Roman" w:hAnsi="Arial" w:cs="Arial"/>
          <w:b/>
          <w:bCs/>
          <w:sz w:val="24"/>
          <w:szCs w:val="24"/>
          <w:lang w:val="es-ES_tradnl" w:eastAsia="es-ES"/>
        </w:rPr>
      </w:pPr>
    </w:p>
    <w:p w:rsidR="005F18D7" w:rsidRPr="00D14D69" w:rsidRDefault="005F18D7" w:rsidP="005F18D7">
      <w:pPr>
        <w:spacing w:after="0" w:line="480" w:lineRule="auto"/>
        <w:jc w:val="both"/>
        <w:rPr>
          <w:rFonts w:ascii="Arial" w:eastAsia="Times New Roman" w:hAnsi="Arial" w:cs="Arial"/>
          <w:spacing w:val="-3"/>
          <w:sz w:val="24"/>
          <w:szCs w:val="24"/>
          <w:lang w:eastAsia="es-ES"/>
        </w:rPr>
      </w:pPr>
      <w:r w:rsidRPr="00D14D69">
        <w:rPr>
          <w:rFonts w:ascii="Arial" w:eastAsia="Times New Roman" w:hAnsi="Arial" w:cs="Arial"/>
          <w:bCs/>
          <w:sz w:val="24"/>
          <w:szCs w:val="24"/>
          <w:lang w:val="es-ES_tradnl" w:eastAsia="es-ES"/>
        </w:rPr>
        <w:t xml:space="preserve">Mediante proveído de 14 de diciembre de 2016 se admitió la solicitud de tutela y se ordenó notificar a los </w:t>
      </w:r>
      <w:r w:rsidRPr="00D14D69">
        <w:rPr>
          <w:rFonts w:ascii="Arial" w:eastAsia="Times New Roman" w:hAnsi="Arial" w:cs="Arial"/>
          <w:spacing w:val="-3"/>
          <w:sz w:val="24"/>
          <w:szCs w:val="24"/>
          <w:lang w:eastAsia="es-ES"/>
        </w:rPr>
        <w:t xml:space="preserve">Magistrados del </w:t>
      </w:r>
      <w:r w:rsidRPr="00D14D69">
        <w:rPr>
          <w:rFonts w:ascii="Arial" w:eastAsia="Times New Roman" w:hAnsi="Arial" w:cs="Arial"/>
          <w:b/>
          <w:spacing w:val="-3"/>
          <w:sz w:val="24"/>
          <w:szCs w:val="24"/>
          <w:lang w:eastAsia="es-ES"/>
        </w:rPr>
        <w:t xml:space="preserve">TRIBUNAL ADMINISTRATIVO DEL HUILA, </w:t>
      </w:r>
      <w:r w:rsidRPr="00D14D69">
        <w:rPr>
          <w:rFonts w:ascii="Arial" w:eastAsia="Times New Roman" w:hAnsi="Arial" w:cs="Arial"/>
          <w:spacing w:val="-3"/>
          <w:sz w:val="24"/>
          <w:szCs w:val="24"/>
          <w:lang w:eastAsia="es-ES"/>
        </w:rPr>
        <w:t>al Juez Cuarto Administrativo de Descongestión del Distrito de Neiva y a los demandados en la acción de controversias contractuales.</w:t>
      </w:r>
    </w:p>
    <w:p w:rsidR="005F18D7" w:rsidRPr="00D14D69" w:rsidRDefault="005F18D7" w:rsidP="005F18D7">
      <w:pPr>
        <w:spacing w:after="0" w:line="480" w:lineRule="auto"/>
        <w:rPr>
          <w:rFonts w:ascii="Arial" w:eastAsia="Times New Roman" w:hAnsi="Arial" w:cs="Arial"/>
          <w:b/>
          <w:bCs/>
          <w:sz w:val="24"/>
          <w:szCs w:val="24"/>
          <w:lang w:val="es-ES_tradnl" w:eastAsia="es-ES"/>
        </w:rPr>
      </w:pPr>
      <w:r w:rsidRPr="00D14D69">
        <w:rPr>
          <w:rFonts w:ascii="Arial" w:eastAsia="Times New Roman" w:hAnsi="Arial" w:cs="Arial"/>
          <w:b/>
          <w:bCs/>
          <w:sz w:val="24"/>
          <w:szCs w:val="24"/>
          <w:lang w:val="es-ES_tradnl" w:eastAsia="es-ES"/>
        </w:rPr>
        <w:t>II.2. Contestación.</w:t>
      </w:r>
    </w:p>
    <w:p w:rsidR="005F18D7" w:rsidRPr="00D14D69" w:rsidRDefault="005F18D7" w:rsidP="005F18D7">
      <w:pPr>
        <w:spacing w:after="0" w:line="480" w:lineRule="auto"/>
        <w:jc w:val="both"/>
        <w:rPr>
          <w:rFonts w:ascii="Arial" w:eastAsia="Times New Roman" w:hAnsi="Arial" w:cs="Arial"/>
          <w:b/>
          <w:bCs/>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 xml:space="preserve">La </w:t>
      </w:r>
      <w:r w:rsidRPr="00D14D69">
        <w:rPr>
          <w:rFonts w:ascii="Arial" w:eastAsia="Times New Roman" w:hAnsi="Arial" w:cs="Arial"/>
          <w:b/>
          <w:sz w:val="24"/>
          <w:szCs w:val="24"/>
          <w:lang w:eastAsia="es-ES"/>
        </w:rPr>
        <w:t>DIRECCIÓN NACIONAL DE INTELIGENCIA</w:t>
      </w:r>
      <w:r w:rsidRPr="00D14D69">
        <w:rPr>
          <w:rFonts w:ascii="Arial" w:eastAsia="Times New Roman" w:hAnsi="Arial" w:cs="Arial"/>
          <w:sz w:val="24"/>
          <w:szCs w:val="24"/>
          <w:lang w:eastAsia="es-ES"/>
        </w:rPr>
        <w:t xml:space="preserve"> (folio 92) aduce que de conformidad con lo preceptuado en el Decreto 1303 de 2014, no es el sucesor procesal del </w:t>
      </w:r>
      <w:r w:rsidRPr="00D14D69">
        <w:rPr>
          <w:rFonts w:ascii="Arial" w:eastAsia="Times New Roman" w:hAnsi="Arial" w:cs="Arial"/>
          <w:b/>
          <w:sz w:val="24"/>
          <w:szCs w:val="24"/>
          <w:lang w:eastAsia="es-ES"/>
        </w:rPr>
        <w:t>DAS</w:t>
      </w:r>
      <w:r w:rsidRPr="00D14D69">
        <w:rPr>
          <w:rFonts w:ascii="Arial" w:eastAsia="Times New Roman" w:hAnsi="Arial" w:cs="Arial"/>
          <w:sz w:val="24"/>
          <w:szCs w:val="24"/>
          <w:lang w:eastAsia="es-ES"/>
        </w:rPr>
        <w:t xml:space="preserve"> y, por tanto, carece de legitimación en la causa por pasiva.</w:t>
      </w:r>
    </w:p>
    <w:p w:rsidR="005F18D7" w:rsidRPr="00D14D69" w:rsidRDefault="005F18D7" w:rsidP="005F18D7">
      <w:pPr>
        <w:spacing w:after="0" w:line="480" w:lineRule="auto"/>
        <w:jc w:val="both"/>
        <w:rPr>
          <w:rFonts w:ascii="Arial" w:eastAsia="Times New Roman" w:hAnsi="Arial" w:cs="Arial"/>
          <w:sz w:val="24"/>
          <w:szCs w:val="24"/>
          <w:lang w:eastAsia="es-ES"/>
        </w:rPr>
      </w:pPr>
    </w:p>
    <w:p w:rsidR="005F18D7" w:rsidRPr="00D14D69" w:rsidRDefault="005F18D7" w:rsidP="005F18D7">
      <w:pPr>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 xml:space="preserve">La </w:t>
      </w:r>
      <w:r w:rsidRPr="00D14D69">
        <w:rPr>
          <w:rFonts w:ascii="Arial" w:eastAsia="Times New Roman" w:hAnsi="Arial" w:cs="Arial"/>
          <w:b/>
          <w:sz w:val="24"/>
          <w:szCs w:val="24"/>
          <w:lang w:eastAsia="es-ES"/>
        </w:rPr>
        <w:t>AGENCIA NACIONAL DE DEFENSA JURÍDICA DEL ESTADO</w:t>
      </w:r>
      <w:r w:rsidRPr="00D14D69">
        <w:rPr>
          <w:rFonts w:ascii="Arial" w:eastAsia="Times New Roman" w:hAnsi="Arial" w:cs="Arial"/>
          <w:sz w:val="24"/>
          <w:szCs w:val="24"/>
          <w:lang w:eastAsia="es-ES"/>
        </w:rPr>
        <w:t xml:space="preserve"> (folio 95) solicita ser desvinculada de la acción, por cuanto es la </w:t>
      </w:r>
      <w:r w:rsidRPr="00D14D69">
        <w:rPr>
          <w:rFonts w:ascii="Arial" w:eastAsia="Times New Roman" w:hAnsi="Arial" w:cs="Arial"/>
          <w:b/>
          <w:sz w:val="24"/>
          <w:szCs w:val="24"/>
          <w:lang w:eastAsia="es-ES"/>
        </w:rPr>
        <w:t>UNIDAD NACIONAL DE PROTECCIÓN</w:t>
      </w:r>
      <w:r w:rsidRPr="00D14D69">
        <w:rPr>
          <w:rFonts w:ascii="Arial" w:eastAsia="Times New Roman" w:hAnsi="Arial" w:cs="Arial"/>
          <w:sz w:val="24"/>
          <w:szCs w:val="24"/>
          <w:lang w:eastAsia="es-ES"/>
        </w:rPr>
        <w:t xml:space="preserve"> la entidad que sucedió al extinto </w:t>
      </w:r>
      <w:r w:rsidRPr="00D14D69">
        <w:rPr>
          <w:rFonts w:ascii="Arial" w:eastAsia="Times New Roman" w:hAnsi="Arial" w:cs="Arial"/>
          <w:b/>
          <w:sz w:val="24"/>
          <w:szCs w:val="24"/>
          <w:lang w:eastAsia="es-ES"/>
        </w:rPr>
        <w:t>DAS</w:t>
      </w:r>
      <w:r w:rsidRPr="00D14D69">
        <w:rPr>
          <w:rFonts w:ascii="Arial" w:eastAsia="Times New Roman" w:hAnsi="Arial" w:cs="Arial"/>
          <w:sz w:val="24"/>
          <w:szCs w:val="24"/>
          <w:lang w:eastAsia="es-ES"/>
        </w:rPr>
        <w:t xml:space="preserve">. </w:t>
      </w:r>
    </w:p>
    <w:p w:rsidR="005F18D7" w:rsidRPr="00D14D69" w:rsidRDefault="005F18D7" w:rsidP="005F18D7">
      <w:pPr>
        <w:spacing w:after="0" w:line="480" w:lineRule="auto"/>
        <w:jc w:val="both"/>
        <w:rPr>
          <w:rFonts w:ascii="Arial" w:eastAsia="Times New Roman" w:hAnsi="Arial" w:cs="Arial"/>
          <w:sz w:val="24"/>
          <w:szCs w:val="24"/>
          <w:lang w:eastAsia="es-ES"/>
        </w:rPr>
      </w:pPr>
    </w:p>
    <w:p w:rsidR="005F18D7" w:rsidRPr="00D14D69" w:rsidRDefault="005F18D7" w:rsidP="005F18D7">
      <w:pPr>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 xml:space="preserve">En igual sentido, la </w:t>
      </w:r>
      <w:r w:rsidRPr="00D14D69">
        <w:rPr>
          <w:rFonts w:ascii="Arial" w:eastAsia="Times New Roman" w:hAnsi="Arial" w:cs="Arial"/>
          <w:b/>
          <w:sz w:val="24"/>
          <w:szCs w:val="24"/>
          <w:lang w:eastAsia="es-ES"/>
        </w:rPr>
        <w:t>UNIDAD NACIONAL DE PROTECCIÓN</w:t>
      </w:r>
      <w:r w:rsidRPr="00D14D69">
        <w:rPr>
          <w:rFonts w:ascii="Arial" w:eastAsia="Times New Roman" w:hAnsi="Arial" w:cs="Arial"/>
          <w:sz w:val="24"/>
          <w:szCs w:val="24"/>
          <w:lang w:eastAsia="es-ES"/>
        </w:rPr>
        <w:t xml:space="preserve"> (folio 122) pide su desvinculación de la actuación procesal, alegando que lo pretendido por el accionante no guarda relación con las funciones de esa entidad y que en el proceso de controversias contractuales ejerció su derecho a la defensa.</w:t>
      </w:r>
    </w:p>
    <w:p w:rsidR="005F18D7" w:rsidRPr="00D14D69" w:rsidRDefault="005F18D7" w:rsidP="005F18D7">
      <w:pPr>
        <w:spacing w:after="0" w:line="480" w:lineRule="auto"/>
        <w:jc w:val="both"/>
        <w:rPr>
          <w:rFonts w:ascii="Arial" w:eastAsia="Times New Roman" w:hAnsi="Arial" w:cs="Arial"/>
          <w:sz w:val="24"/>
          <w:szCs w:val="24"/>
          <w:lang w:eastAsia="es-ES"/>
        </w:rPr>
      </w:pPr>
    </w:p>
    <w:p w:rsidR="005F18D7" w:rsidRPr="00D14D69" w:rsidRDefault="005F18D7" w:rsidP="005F18D7">
      <w:pPr>
        <w:keepNext/>
        <w:spacing w:after="0" w:line="480" w:lineRule="auto"/>
        <w:jc w:val="center"/>
        <w:outlineLvl w:val="0"/>
        <w:rPr>
          <w:rFonts w:ascii="Arial" w:eastAsia="Times New Roman" w:hAnsi="Arial" w:cs="Arial"/>
          <w:b/>
          <w:sz w:val="24"/>
          <w:szCs w:val="24"/>
          <w:lang w:eastAsia="es-ES"/>
        </w:rPr>
      </w:pPr>
      <w:r w:rsidRPr="00D14D69">
        <w:rPr>
          <w:rFonts w:ascii="Arial" w:eastAsia="Times New Roman" w:hAnsi="Arial" w:cs="Arial"/>
          <w:b/>
          <w:sz w:val="24"/>
          <w:szCs w:val="24"/>
          <w:lang w:eastAsia="es-ES"/>
        </w:rPr>
        <w:lastRenderedPageBreak/>
        <w:t xml:space="preserve">III. CONSIDERACIONES DE </w:t>
      </w:r>
      <w:smartTag w:uri="urn:schemas-microsoft-com:office:smarttags" w:element="PersonName">
        <w:smartTagPr>
          <w:attr w:name="ProductID" w:val="LA SALA"/>
        </w:smartTagPr>
        <w:r w:rsidRPr="00D14D69">
          <w:rPr>
            <w:rFonts w:ascii="Arial" w:eastAsia="Times New Roman" w:hAnsi="Arial" w:cs="Arial"/>
            <w:b/>
            <w:sz w:val="24"/>
            <w:szCs w:val="24"/>
            <w:lang w:eastAsia="es-ES"/>
          </w:rPr>
          <w:t>LA SALA</w:t>
        </w:r>
      </w:smartTag>
      <w:r w:rsidRPr="00D14D69">
        <w:rPr>
          <w:rFonts w:ascii="Arial" w:eastAsia="Times New Roman" w:hAnsi="Arial" w:cs="Arial"/>
          <w:b/>
          <w:sz w:val="24"/>
          <w:szCs w:val="24"/>
          <w:lang w:eastAsia="es-ES"/>
        </w:rPr>
        <w:t>:</w:t>
      </w:r>
    </w:p>
    <w:p w:rsidR="005F18D7" w:rsidRPr="00D14D69" w:rsidRDefault="005F18D7" w:rsidP="005F18D7">
      <w:pPr>
        <w:widowControl w:val="0"/>
        <w:spacing w:after="0" w:line="480" w:lineRule="auto"/>
        <w:jc w:val="both"/>
        <w:rPr>
          <w:rFonts w:ascii="Arial" w:eastAsia="Times New Roman" w:hAnsi="Arial" w:cs="Arial"/>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val="es-ES_tradnl" w:eastAsia="es-ES"/>
        </w:rPr>
        <w:t xml:space="preserve">En ejercicio de la presente acción, se pretende dejar sin efecto la sentencia de 27 de mayo de 2016, por medio de la cual el </w:t>
      </w:r>
      <w:r w:rsidRPr="00D14D69">
        <w:rPr>
          <w:rFonts w:ascii="Arial" w:eastAsia="Times New Roman" w:hAnsi="Arial" w:cs="Arial"/>
          <w:b/>
          <w:sz w:val="24"/>
          <w:szCs w:val="24"/>
          <w:lang w:val="es-ES_tradnl" w:eastAsia="es-ES"/>
        </w:rPr>
        <w:t xml:space="preserve">TRIBUNAL ADMINISTRATIVO DEL HUILA </w:t>
      </w:r>
      <w:r w:rsidRPr="00D14D69">
        <w:rPr>
          <w:rFonts w:ascii="Arial" w:eastAsia="Times New Roman" w:hAnsi="Arial" w:cs="Arial"/>
          <w:sz w:val="24"/>
          <w:szCs w:val="24"/>
          <w:lang w:val="es-ES_tradnl" w:eastAsia="es-ES"/>
        </w:rPr>
        <w:t xml:space="preserve">revocó la proferida por el Juzgado Cuarto Administrativo de Descongestión del Distrito de Neiva el 26 de junio de 2014 y, en su lugar, </w:t>
      </w:r>
      <w:r w:rsidRPr="00D14D69">
        <w:rPr>
          <w:rFonts w:ascii="Arial" w:eastAsia="Times New Roman" w:hAnsi="Arial" w:cs="Arial"/>
          <w:sz w:val="24"/>
          <w:szCs w:val="24"/>
          <w:lang w:eastAsia="es-ES"/>
        </w:rPr>
        <w:t xml:space="preserve">declaró probadas las excepciones de </w:t>
      </w:r>
      <w:r w:rsidRPr="00D14D69">
        <w:rPr>
          <w:rFonts w:ascii="Arial" w:eastAsia="Times New Roman" w:hAnsi="Arial" w:cs="Arial"/>
          <w:i/>
          <w:sz w:val="24"/>
          <w:szCs w:val="24"/>
          <w:lang w:eastAsia="es-ES"/>
        </w:rPr>
        <w:t xml:space="preserve">indebida escogencia de la acción </w:t>
      </w:r>
      <w:r w:rsidRPr="00D14D69">
        <w:rPr>
          <w:rFonts w:ascii="Arial" w:eastAsia="Times New Roman" w:hAnsi="Arial" w:cs="Arial"/>
          <w:sz w:val="24"/>
          <w:szCs w:val="24"/>
          <w:lang w:eastAsia="es-ES"/>
        </w:rPr>
        <w:t xml:space="preserve">e </w:t>
      </w:r>
      <w:r w:rsidRPr="00D14D69">
        <w:rPr>
          <w:rFonts w:ascii="Arial" w:eastAsia="Times New Roman" w:hAnsi="Arial" w:cs="Arial"/>
          <w:i/>
          <w:sz w:val="24"/>
          <w:szCs w:val="24"/>
          <w:lang w:eastAsia="es-ES"/>
        </w:rPr>
        <w:t xml:space="preserve">indebida acumulación de pretensiones </w:t>
      </w:r>
      <w:r w:rsidRPr="00D14D69">
        <w:rPr>
          <w:rFonts w:ascii="Arial" w:eastAsia="Times New Roman" w:hAnsi="Arial" w:cs="Arial"/>
          <w:sz w:val="24"/>
          <w:szCs w:val="24"/>
          <w:lang w:eastAsia="es-ES"/>
        </w:rPr>
        <w:t>y dictó sentencia inhibitoria.</w:t>
      </w:r>
    </w:p>
    <w:p w:rsidR="005F18D7" w:rsidRPr="00D14D69" w:rsidRDefault="005F18D7" w:rsidP="005F18D7">
      <w:pPr>
        <w:widowControl w:val="0"/>
        <w:spacing w:after="0" w:line="480" w:lineRule="auto"/>
        <w:jc w:val="both"/>
        <w:rPr>
          <w:rFonts w:ascii="Arial" w:eastAsia="Times New Roman" w:hAnsi="Arial" w:cs="Arial"/>
          <w:bCs/>
          <w:sz w:val="24"/>
          <w:szCs w:val="24"/>
          <w:lang w:eastAsia="es-ES"/>
        </w:rPr>
      </w:pPr>
    </w:p>
    <w:p w:rsidR="005F18D7" w:rsidRPr="00D14D69" w:rsidRDefault="005F18D7" w:rsidP="005F18D7">
      <w:pPr>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 xml:space="preserve">Al respecto, es menester señalar que la Sala Plena de lo Contencioso Administrativo, en sentencia de 31 de julio de 2012 (Expediente núm. 2009-01328, Actora: Nery Germania Álvarez Bello, Consejera ponente doctora María Elizabeth García González), en un asunto que fue asumido por importancia jurídica y con miras a unificar </w:t>
      </w:r>
      <w:smartTag w:uri="urn:schemas-microsoft-com:office:smarttags" w:element="PersonName">
        <w:smartTagPr>
          <w:attr w:name="ProductID" w:val="la Jurisprudencia"/>
        </w:smartTagPr>
        <w:r w:rsidRPr="00D14D69">
          <w:rPr>
            <w:rFonts w:ascii="Arial" w:eastAsia="Times New Roman" w:hAnsi="Arial" w:cs="Arial"/>
            <w:sz w:val="24"/>
            <w:szCs w:val="24"/>
            <w:lang w:eastAsia="es-ES"/>
          </w:rPr>
          <w:t>la Jurisprudencia</w:t>
        </w:r>
      </w:smartTag>
      <w:r w:rsidRPr="00D14D69">
        <w:rPr>
          <w:rFonts w:ascii="Arial" w:eastAsia="Times New Roman" w:hAnsi="Arial" w:cs="Arial"/>
          <w:sz w:val="24"/>
          <w:szCs w:val="24"/>
          <w:lang w:eastAsia="es-ES"/>
        </w:rPr>
        <w:t xml:space="preserve">, luego de analizar la evolución jurisprudencial de la acción de tutela contra providencias judiciales tanto en </w:t>
      </w:r>
      <w:smartTag w:uri="urn:schemas-microsoft-com:office:smarttags" w:element="PersonName">
        <w:smartTagPr>
          <w:attr w:name="ProductID" w:val="la Corte Constitucional"/>
        </w:smartTagPr>
        <w:r w:rsidRPr="00D14D69">
          <w:rPr>
            <w:rFonts w:ascii="Arial" w:eastAsia="Times New Roman" w:hAnsi="Arial" w:cs="Arial"/>
            <w:sz w:val="24"/>
            <w:szCs w:val="24"/>
            <w:lang w:eastAsia="es-ES"/>
          </w:rPr>
          <w:t>la Corte Constitucional</w:t>
        </w:r>
      </w:smartTag>
      <w:r w:rsidRPr="00D14D69">
        <w:rPr>
          <w:rFonts w:ascii="Arial" w:eastAsia="Times New Roman" w:hAnsi="Arial" w:cs="Arial"/>
          <w:sz w:val="24"/>
          <w:szCs w:val="24"/>
          <w:lang w:eastAsia="es-ES"/>
        </w:rPr>
        <w:t xml:space="preserve"> como en esta Corporación, concluyó que si bien es cierto que el criterio mayoritario de </w:t>
      </w:r>
      <w:smartTag w:uri="urn:schemas-microsoft-com:office:smarttags" w:element="PersonName">
        <w:smartTagPr>
          <w:attr w:name="ProductID" w:val="LA SALA"/>
        </w:smartTagPr>
        <w:r w:rsidRPr="00D14D69">
          <w:rPr>
            <w:rFonts w:ascii="Arial" w:eastAsia="Times New Roman" w:hAnsi="Arial" w:cs="Arial"/>
            <w:sz w:val="24"/>
            <w:szCs w:val="24"/>
            <w:lang w:eastAsia="es-ES"/>
          </w:rPr>
          <w:t>la Sala</w:t>
        </w:r>
      </w:smartTag>
      <w:r w:rsidRPr="00D14D69">
        <w:rPr>
          <w:rFonts w:ascii="Arial" w:eastAsia="Times New Roman" w:hAnsi="Arial" w:cs="Arial"/>
          <w:sz w:val="24"/>
          <w:szCs w:val="24"/>
          <w:lang w:eastAsia="es-ES"/>
        </w:rPr>
        <w:t xml:space="preserve"> había sido el de considerar improcedente la acción de tutela contra providencias judiciales, no lo es menos que las distintas Secciones que la componen </w:t>
      </w:r>
      <w:r w:rsidRPr="00D14D69">
        <w:rPr>
          <w:rFonts w:ascii="Arial" w:eastAsia="Times New Roman" w:hAnsi="Arial" w:cs="Arial"/>
          <w:b/>
          <w:sz w:val="24"/>
          <w:szCs w:val="24"/>
          <w:lang w:eastAsia="es-ES"/>
        </w:rPr>
        <w:t>antes y después del pronunciamiento de 29 de junio de 2004</w:t>
      </w:r>
      <w:r w:rsidRPr="00D14D69">
        <w:rPr>
          <w:rFonts w:ascii="Arial" w:eastAsia="Times New Roman" w:hAnsi="Arial" w:cs="Arial"/>
          <w:sz w:val="24"/>
          <w:szCs w:val="24"/>
          <w:lang w:eastAsia="es-ES"/>
        </w:rPr>
        <w:t xml:space="preserve"> (Expediente núm. AC-10203) han abierto paso a dicha acción constitucional, de manera excepcional, cuando se ha advertido la vulneración de derechos constitucionales fundamentales. De ahí que a partir de tal pronunciamiento se modificó ese criterio radical y se declaró la procedencia de la acción de tutela contra providencias judiciales, cuando </w:t>
      </w:r>
      <w:r w:rsidRPr="00D14D69">
        <w:rPr>
          <w:rFonts w:ascii="Arial" w:eastAsia="Times New Roman" w:hAnsi="Arial" w:cs="Arial"/>
          <w:sz w:val="24"/>
          <w:szCs w:val="24"/>
          <w:lang w:eastAsia="es-ES"/>
        </w:rPr>
        <w:lastRenderedPageBreak/>
        <w:t>se esté en presencia de la violación de derechos constitucionales fundamentales, debiéndose observar al efecto los parámetros fijados hasta el momento jurisprudencialmente.</w:t>
      </w:r>
    </w:p>
    <w:p w:rsidR="005F18D7" w:rsidRPr="00D14D69" w:rsidRDefault="005F18D7" w:rsidP="005F18D7">
      <w:pPr>
        <w:spacing w:after="0" w:line="480" w:lineRule="auto"/>
        <w:jc w:val="both"/>
        <w:rPr>
          <w:rFonts w:ascii="Arial" w:eastAsia="Times New Roman" w:hAnsi="Arial" w:cs="Arial"/>
          <w:color w:val="002060"/>
          <w:sz w:val="24"/>
          <w:szCs w:val="24"/>
          <w:lang w:eastAsia="es-ES"/>
        </w:rPr>
      </w:pPr>
    </w:p>
    <w:p w:rsidR="005F18D7" w:rsidRPr="00D14D69" w:rsidRDefault="005F18D7" w:rsidP="005F18D7">
      <w:pPr>
        <w:tabs>
          <w:tab w:val="left" w:pos="-720"/>
        </w:tabs>
        <w:suppressAutoHyphens/>
        <w:spacing w:after="0" w:line="480" w:lineRule="auto"/>
        <w:jc w:val="both"/>
        <w:rPr>
          <w:rFonts w:ascii="Arial" w:eastAsia="Times New Roman" w:hAnsi="Arial" w:cs="Arial"/>
          <w:spacing w:val="-3"/>
          <w:sz w:val="24"/>
          <w:szCs w:val="24"/>
          <w:lang w:eastAsia="es-ES"/>
        </w:rPr>
      </w:pPr>
      <w:r w:rsidRPr="00D14D69">
        <w:rPr>
          <w:rFonts w:ascii="Arial" w:eastAsia="Times New Roman" w:hAnsi="Arial" w:cs="Arial"/>
          <w:spacing w:val="-3"/>
          <w:sz w:val="24"/>
          <w:szCs w:val="24"/>
          <w:lang w:eastAsia="es-ES"/>
        </w:rPr>
        <w:t xml:space="preserve">En sesión de 23 de agosto de 2012, </w:t>
      </w:r>
      <w:smartTag w:uri="urn:schemas-microsoft-com:office:smarttags" w:element="PersonName">
        <w:smartTagPr>
          <w:attr w:name="ProductID" w:val="la Sección Primera"/>
        </w:smartTagPr>
        <w:r w:rsidRPr="00D14D69">
          <w:rPr>
            <w:rFonts w:ascii="Arial" w:eastAsia="Times New Roman" w:hAnsi="Arial" w:cs="Arial"/>
            <w:spacing w:val="-3"/>
            <w:sz w:val="24"/>
            <w:szCs w:val="24"/>
            <w:lang w:eastAsia="es-ES"/>
          </w:rPr>
          <w:t>la Sección Primera</w:t>
        </w:r>
      </w:smartTag>
      <w:r w:rsidRPr="00D14D69">
        <w:rPr>
          <w:rFonts w:ascii="Arial" w:eastAsia="Times New Roman" w:hAnsi="Arial" w:cs="Arial"/>
          <w:spacing w:val="-3"/>
          <w:sz w:val="24"/>
          <w:szCs w:val="24"/>
          <w:lang w:eastAsia="es-ES"/>
        </w:rPr>
        <w:t xml:space="preserve"> adoptó como parámetros jurisprudenciales a seguir, los señalados en la sentencia C-590 de 8 de junio de 2005, proferida por </w:t>
      </w:r>
      <w:smartTag w:uri="urn:schemas-microsoft-com:office:smarttags" w:element="PersonName">
        <w:smartTagPr>
          <w:attr w:name="ProductID" w:val="la Corte Constitucional"/>
        </w:smartTagPr>
        <w:r w:rsidRPr="00D14D69">
          <w:rPr>
            <w:rFonts w:ascii="Arial" w:eastAsia="Times New Roman" w:hAnsi="Arial" w:cs="Arial"/>
            <w:spacing w:val="-3"/>
            <w:sz w:val="24"/>
            <w:szCs w:val="24"/>
            <w:lang w:eastAsia="es-ES"/>
          </w:rPr>
          <w:t>la Corte Constitucional</w:t>
        </w:r>
      </w:smartTag>
      <w:r w:rsidRPr="00D14D69">
        <w:rPr>
          <w:rFonts w:ascii="Arial" w:eastAsia="Times New Roman" w:hAnsi="Arial" w:cs="Arial"/>
          <w:spacing w:val="-3"/>
          <w:sz w:val="24"/>
          <w:szCs w:val="24"/>
          <w:lang w:eastAsia="es-ES"/>
        </w:rPr>
        <w:t>, sin perjuicio de otros pronunciamientos que esta Corporación o aquella elaboren sobre el tema, lo cual fue reiterado en Sentencia de Unificación de la Sala Plena de 5 de agosto de 2014, (Expediente núm. 2012-02201-01, Consejero ponente: doctor Jorge Octavio Ramírez Ramírez).</w:t>
      </w:r>
    </w:p>
    <w:p w:rsidR="005F18D7" w:rsidRPr="00D14D69" w:rsidRDefault="005F18D7" w:rsidP="005F18D7">
      <w:pPr>
        <w:tabs>
          <w:tab w:val="left" w:pos="-720"/>
        </w:tabs>
        <w:suppressAutoHyphens/>
        <w:spacing w:after="0" w:line="480" w:lineRule="auto"/>
        <w:jc w:val="both"/>
        <w:rPr>
          <w:rFonts w:ascii="Arial" w:eastAsia="Times New Roman" w:hAnsi="Arial" w:cs="Arial"/>
          <w:spacing w:val="-3"/>
          <w:sz w:val="24"/>
          <w:szCs w:val="24"/>
          <w:lang w:eastAsia="es-ES"/>
        </w:rPr>
      </w:pPr>
    </w:p>
    <w:p w:rsidR="005F18D7" w:rsidRPr="00D14D69" w:rsidRDefault="005F18D7" w:rsidP="005F18D7">
      <w:pPr>
        <w:tabs>
          <w:tab w:val="left" w:pos="-720"/>
        </w:tabs>
        <w:suppressAutoHyphens/>
        <w:spacing w:after="0" w:line="480" w:lineRule="auto"/>
        <w:jc w:val="both"/>
        <w:rPr>
          <w:rFonts w:ascii="Arial" w:eastAsia="Times New Roman" w:hAnsi="Arial" w:cs="Arial"/>
          <w:spacing w:val="-3"/>
          <w:sz w:val="24"/>
          <w:szCs w:val="24"/>
          <w:lang w:eastAsia="es-ES"/>
        </w:rPr>
      </w:pPr>
      <w:r w:rsidRPr="00D14D69">
        <w:rPr>
          <w:rFonts w:ascii="Arial" w:eastAsia="Times New Roman" w:hAnsi="Arial" w:cs="Arial"/>
          <w:spacing w:val="-3"/>
          <w:sz w:val="24"/>
          <w:szCs w:val="24"/>
          <w:lang w:eastAsia="es-ES"/>
        </w:rPr>
        <w:t xml:space="preserve">En la mencionada sentencia, </w:t>
      </w:r>
      <w:smartTag w:uri="urn:schemas-microsoft-com:office:smarttags" w:element="PersonName">
        <w:smartTagPr>
          <w:attr w:name="ProductID" w:val="la Corte"/>
        </w:smartTagPr>
        <w:r w:rsidRPr="00D14D69">
          <w:rPr>
            <w:rFonts w:ascii="Arial" w:eastAsia="Times New Roman" w:hAnsi="Arial" w:cs="Arial"/>
            <w:spacing w:val="-3"/>
            <w:sz w:val="24"/>
            <w:szCs w:val="24"/>
            <w:lang w:eastAsia="es-ES"/>
          </w:rPr>
          <w:t>la Corte</w:t>
        </w:r>
      </w:smartTag>
      <w:r w:rsidRPr="00D14D69">
        <w:rPr>
          <w:rFonts w:ascii="Arial" w:eastAsia="Times New Roman" w:hAnsi="Arial" w:cs="Arial"/>
          <w:spacing w:val="-3"/>
          <w:sz w:val="24"/>
          <w:szCs w:val="24"/>
          <w:lang w:eastAsia="es-ES"/>
        </w:rPr>
        <w:t xml:space="preserve"> señaló los requisitos generales para la procedencia de la acción de tutela contra providencia judicial, así:</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“Los requisitos generales de procedencia de la acción de tutela contra decisiones judiciales son los siguientes:</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a. Que la cuestión que se discuta resulte de evidente relevancia constitucional [</w:t>
      </w:r>
      <w:r w:rsidRPr="00D14D69">
        <w:rPr>
          <w:rFonts w:ascii="Arial" w:eastAsia="Times New Roman" w:hAnsi="Arial" w:cs="Arial"/>
          <w:spacing w:val="-10"/>
          <w:sz w:val="24"/>
          <w:szCs w:val="24"/>
          <w:vertAlign w:val="superscript"/>
          <w:lang w:val="es-ES_tradnl" w:eastAsia="es-ES"/>
        </w:rPr>
        <w:footnoteReference w:id="3"/>
      </w:r>
      <w:r w:rsidRPr="00D14D69">
        <w:rPr>
          <w:rFonts w:ascii="Arial" w:eastAsia="Times New Roman" w:hAnsi="Arial" w:cs="Arial"/>
          <w:spacing w:val="-10"/>
          <w:sz w:val="24"/>
          <w:szCs w:val="24"/>
          <w:lang w:eastAsia="es-ES"/>
        </w:rPr>
        <w:t xml:space="preserve">]. </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val="es-ES_tradnl" w:eastAsia="es-ES"/>
        </w:rPr>
      </w:pPr>
      <w:r w:rsidRPr="00D14D69">
        <w:rPr>
          <w:rFonts w:ascii="Arial" w:eastAsia="Times New Roman" w:hAnsi="Arial" w:cs="Arial"/>
          <w:spacing w:val="-10"/>
          <w:sz w:val="24"/>
          <w:szCs w:val="24"/>
          <w:lang w:eastAsia="es-ES"/>
        </w:rPr>
        <w:t xml:space="preserve">b. Que se hayan agotado todos los medios -ordinarios y extraordinarios- de defensa judicial al alcance de la persona afectada, salvo que se trate de evitar la consumación de un perjuicio </w:t>
      </w:r>
      <w:proofErr w:type="spellStart"/>
      <w:r w:rsidRPr="00D14D69">
        <w:rPr>
          <w:rFonts w:ascii="Arial" w:eastAsia="Times New Roman" w:hAnsi="Arial" w:cs="Arial"/>
          <w:i/>
          <w:iCs/>
          <w:spacing w:val="-10"/>
          <w:sz w:val="24"/>
          <w:szCs w:val="24"/>
          <w:lang w:eastAsia="es-ES"/>
        </w:rPr>
        <w:t>iusfundamental</w:t>
      </w:r>
      <w:proofErr w:type="spellEnd"/>
      <w:r w:rsidRPr="00D14D69">
        <w:rPr>
          <w:rFonts w:ascii="Arial" w:eastAsia="Times New Roman" w:hAnsi="Arial" w:cs="Arial"/>
          <w:i/>
          <w:iCs/>
          <w:spacing w:val="-10"/>
          <w:sz w:val="24"/>
          <w:szCs w:val="24"/>
          <w:lang w:eastAsia="es-ES"/>
        </w:rPr>
        <w:t xml:space="preserve"> </w:t>
      </w:r>
      <w:r w:rsidRPr="00D14D69">
        <w:rPr>
          <w:rFonts w:ascii="Arial" w:eastAsia="Times New Roman" w:hAnsi="Arial" w:cs="Arial"/>
          <w:spacing w:val="-10"/>
          <w:sz w:val="24"/>
          <w:szCs w:val="24"/>
          <w:lang w:eastAsia="es-ES"/>
        </w:rPr>
        <w:t>irremediable [</w:t>
      </w:r>
      <w:r w:rsidRPr="00D14D69">
        <w:rPr>
          <w:rFonts w:ascii="Arial" w:eastAsia="Times New Roman" w:hAnsi="Arial" w:cs="Arial"/>
          <w:spacing w:val="-10"/>
          <w:sz w:val="24"/>
          <w:szCs w:val="24"/>
          <w:vertAlign w:val="superscript"/>
          <w:lang w:val="es-ES_tradnl" w:eastAsia="es-ES"/>
        </w:rPr>
        <w:footnoteReference w:id="4"/>
      </w:r>
      <w:r w:rsidRPr="00D14D69">
        <w:rPr>
          <w:rFonts w:ascii="Arial" w:eastAsia="Times New Roman" w:hAnsi="Arial" w:cs="Arial"/>
          <w:spacing w:val="-10"/>
          <w:sz w:val="24"/>
          <w:szCs w:val="24"/>
          <w:lang w:val="es-ES_tradnl" w:eastAsia="es-ES"/>
        </w:rPr>
        <w:t>].</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val="es-ES_tradnl" w:eastAsia="es-ES"/>
        </w:rPr>
      </w:pPr>
      <w:r w:rsidRPr="00D14D69">
        <w:rPr>
          <w:rFonts w:ascii="Arial" w:eastAsia="Times New Roman" w:hAnsi="Arial" w:cs="Arial"/>
          <w:spacing w:val="-10"/>
          <w:sz w:val="24"/>
          <w:szCs w:val="24"/>
          <w:lang w:eastAsia="es-ES"/>
        </w:rPr>
        <w:t>c. Que se cumpla el requisito de la inmediatez [</w:t>
      </w:r>
      <w:r w:rsidRPr="00D14D69">
        <w:rPr>
          <w:rFonts w:ascii="Arial" w:eastAsia="Times New Roman" w:hAnsi="Arial" w:cs="Arial"/>
          <w:spacing w:val="-10"/>
          <w:sz w:val="24"/>
          <w:szCs w:val="24"/>
          <w:vertAlign w:val="superscript"/>
          <w:lang w:val="es-ES_tradnl" w:eastAsia="es-ES"/>
        </w:rPr>
        <w:footnoteReference w:id="5"/>
      </w:r>
      <w:r w:rsidRPr="00D14D69">
        <w:rPr>
          <w:rFonts w:ascii="Arial" w:eastAsia="Times New Roman" w:hAnsi="Arial" w:cs="Arial"/>
          <w:spacing w:val="-10"/>
          <w:sz w:val="24"/>
          <w:szCs w:val="24"/>
          <w:lang w:val="es-ES_tradnl" w:eastAsia="es-ES"/>
        </w:rPr>
        <w:t>].</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val="es-ES_tradnl" w:eastAsia="es-ES"/>
        </w:rPr>
      </w:pPr>
      <w:r w:rsidRPr="00D14D69">
        <w:rPr>
          <w:rFonts w:ascii="Arial" w:eastAsia="Times New Roman" w:hAnsi="Arial" w:cs="Arial"/>
          <w:spacing w:val="-10"/>
          <w:sz w:val="24"/>
          <w:szCs w:val="24"/>
          <w:lang w:eastAsia="es-ES"/>
        </w:rPr>
        <w:lastRenderedPageBreak/>
        <w:t>d. Cuando se trate de una irregularidad procesal, debe quedar claro que la misma tiene un efecto decisivo o determinante en la sentencia que se impugna [</w:t>
      </w:r>
      <w:r w:rsidRPr="00D14D69">
        <w:rPr>
          <w:rFonts w:ascii="Arial" w:eastAsia="Times New Roman" w:hAnsi="Arial" w:cs="Arial"/>
          <w:spacing w:val="-10"/>
          <w:sz w:val="24"/>
          <w:szCs w:val="24"/>
          <w:vertAlign w:val="superscript"/>
          <w:lang w:val="es-ES_tradnl" w:eastAsia="es-ES"/>
        </w:rPr>
        <w:footnoteReference w:id="6"/>
      </w:r>
      <w:r w:rsidRPr="00D14D69">
        <w:rPr>
          <w:rFonts w:ascii="Arial" w:eastAsia="Times New Roman" w:hAnsi="Arial" w:cs="Arial"/>
          <w:spacing w:val="-10"/>
          <w:sz w:val="24"/>
          <w:szCs w:val="24"/>
          <w:lang w:val="es-ES_tradnl" w:eastAsia="es-ES"/>
        </w:rPr>
        <w:t>].</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e. Que la parte actora identifique de manera razonable tanto los hechos que generaron la vulneración como los derechos vulnerados</w:t>
      </w:r>
      <w:r w:rsidRPr="00D14D69">
        <w:rPr>
          <w:rFonts w:ascii="Arial" w:eastAsia="Times New Roman" w:hAnsi="Arial" w:cs="Arial"/>
          <w:sz w:val="24"/>
          <w:szCs w:val="24"/>
          <w:lang w:val="es-ES_tradnl" w:eastAsia="es-ES"/>
        </w:rPr>
        <w:t xml:space="preserve"> </w:t>
      </w:r>
      <w:r w:rsidRPr="00D14D69">
        <w:rPr>
          <w:rFonts w:ascii="Arial" w:eastAsia="Times New Roman" w:hAnsi="Arial" w:cs="Arial"/>
          <w:spacing w:val="-10"/>
          <w:sz w:val="24"/>
          <w:szCs w:val="24"/>
          <w:lang w:val="es-ES_tradnl" w:eastAsia="es-ES"/>
        </w:rPr>
        <w:t>y que hubiere alegado tal vulneración en el proceso judicial siempre que esto hubiere sido posible [</w:t>
      </w:r>
      <w:r w:rsidRPr="00D14D69">
        <w:rPr>
          <w:rFonts w:ascii="Arial" w:eastAsia="Times New Roman" w:hAnsi="Arial" w:cs="Arial"/>
          <w:spacing w:val="-10"/>
          <w:sz w:val="24"/>
          <w:szCs w:val="24"/>
          <w:vertAlign w:val="superscript"/>
          <w:lang w:val="es-ES_tradnl" w:eastAsia="es-ES"/>
        </w:rPr>
        <w:footnoteReference w:id="7"/>
      </w:r>
      <w:r w:rsidRPr="00D14D69">
        <w:rPr>
          <w:rFonts w:ascii="Arial" w:eastAsia="Times New Roman" w:hAnsi="Arial" w:cs="Arial"/>
          <w:spacing w:val="-10"/>
          <w:sz w:val="24"/>
          <w:szCs w:val="24"/>
          <w:lang w:val="es-ES_tradnl" w:eastAsia="es-ES"/>
        </w:rPr>
        <w:t>].</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f. Que no se trate de sentencias de tutela [</w:t>
      </w:r>
      <w:r w:rsidRPr="00D14D69">
        <w:rPr>
          <w:rFonts w:ascii="Arial" w:eastAsia="Times New Roman" w:hAnsi="Arial" w:cs="Arial"/>
          <w:spacing w:val="-10"/>
          <w:sz w:val="24"/>
          <w:szCs w:val="24"/>
          <w:vertAlign w:val="superscript"/>
          <w:lang w:val="es-ES_tradnl" w:eastAsia="es-ES"/>
        </w:rPr>
        <w:footnoteReference w:id="8"/>
      </w:r>
      <w:r w:rsidRPr="00D14D69">
        <w:rPr>
          <w:rFonts w:ascii="Arial" w:eastAsia="Times New Roman" w:hAnsi="Arial" w:cs="Arial"/>
          <w:spacing w:val="-10"/>
          <w:sz w:val="24"/>
          <w:szCs w:val="24"/>
          <w:lang w:eastAsia="es-ES"/>
        </w:rPr>
        <w:t>]</w:t>
      </w:r>
      <w:r w:rsidRPr="00D14D69">
        <w:rPr>
          <w:rFonts w:ascii="Arial" w:eastAsia="Times New Roman" w:hAnsi="Arial" w:cs="Arial"/>
          <w:spacing w:val="-10"/>
          <w:sz w:val="24"/>
          <w:szCs w:val="24"/>
          <w:vertAlign w:val="superscript"/>
          <w:lang w:eastAsia="es-ES"/>
        </w:rPr>
        <w:footnoteReference w:id="9"/>
      </w:r>
      <w:r w:rsidRPr="00D14D69">
        <w:rPr>
          <w:rFonts w:ascii="Arial" w:eastAsia="Times New Roman" w:hAnsi="Arial" w:cs="Arial"/>
          <w:spacing w:val="-10"/>
          <w:sz w:val="24"/>
          <w:szCs w:val="24"/>
          <w:lang w:eastAsia="es-ES"/>
        </w:rPr>
        <w:t xml:space="preserve">.”  </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 xml:space="preserve">… Ahora, además de los requisitos generales mencionados, para que proceda una acción de tutela contra una sentencia judicial es necesario acreditar la existencia de requisitos o causales especiales de </w:t>
      </w:r>
      <w:proofErr w:type="spellStart"/>
      <w:r w:rsidRPr="00D14D69">
        <w:rPr>
          <w:rFonts w:ascii="Arial" w:eastAsia="Times New Roman" w:hAnsi="Arial" w:cs="Arial"/>
          <w:spacing w:val="-10"/>
          <w:sz w:val="24"/>
          <w:szCs w:val="24"/>
          <w:lang w:eastAsia="es-ES"/>
        </w:rPr>
        <w:t>procedibilidad</w:t>
      </w:r>
      <w:proofErr w:type="spellEnd"/>
      <w:r w:rsidRPr="00D14D69">
        <w:rPr>
          <w:rFonts w:ascii="Arial" w:eastAsia="Times New Roman" w:hAnsi="Arial" w:cs="Arial"/>
          <w:spacing w:val="-10"/>
          <w:sz w:val="24"/>
          <w:szCs w:val="24"/>
          <w:lang w:eastAsia="es-ES"/>
        </w:rPr>
        <w:t xml:space="preserve">, las que deben quedar plenamente demostradas. En este sentido, como lo ha señalado </w:t>
      </w:r>
      <w:smartTag w:uri="urn:schemas-microsoft-com:office:smarttags" w:element="PersonName">
        <w:smartTagPr>
          <w:attr w:name="ProductID" w:val="la Corte"/>
        </w:smartTagPr>
        <w:r w:rsidRPr="00D14D69">
          <w:rPr>
            <w:rFonts w:ascii="Arial" w:eastAsia="Times New Roman" w:hAnsi="Arial" w:cs="Arial"/>
            <w:spacing w:val="-10"/>
            <w:sz w:val="24"/>
            <w:szCs w:val="24"/>
            <w:lang w:eastAsia="es-ES"/>
          </w:rPr>
          <w:t>la Corte</w:t>
        </w:r>
      </w:smartTag>
      <w:r w:rsidRPr="00D14D69">
        <w:rPr>
          <w:rFonts w:ascii="Arial" w:eastAsia="Times New Roman" w:hAnsi="Arial" w:cs="Arial"/>
          <w:spacing w:val="-10"/>
          <w:sz w:val="24"/>
          <w:szCs w:val="24"/>
          <w:lang w:eastAsia="es-ES"/>
        </w:rPr>
        <w:t xml:space="preserve">, para que proceda una tutela contra una sentencia se requiere que se presente, al menos, uno de los vicios o defectos que adelante se explican. </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 xml:space="preserve">a. Defecto orgánico, que se presenta cuando el funcionario judicial que profirió la providencia impugnada, carece, absolutamente, de competencia para ello. </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 xml:space="preserve">b. Defecto procedimental absoluto, que se origina cuando el juez actuó completamente al margen del procedimiento establecido. </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 xml:space="preserve">c. Defecto fáctico, que surge cuando el juez carece del apoyo probatorio que permita la aplicación del supuesto legal en el que se sustenta la decisión. </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d. Defecto material o sustantivo, como son los casos en que se decide con base en normas inexistentes o inconstitucionales [</w:t>
      </w:r>
      <w:r w:rsidRPr="00D14D69">
        <w:rPr>
          <w:rFonts w:ascii="Arial" w:eastAsia="Times New Roman" w:hAnsi="Arial" w:cs="Arial"/>
          <w:spacing w:val="-10"/>
          <w:sz w:val="24"/>
          <w:szCs w:val="24"/>
          <w:vertAlign w:val="superscript"/>
          <w:lang w:val="es-ES_tradnl" w:eastAsia="es-ES"/>
        </w:rPr>
        <w:footnoteReference w:id="10"/>
      </w:r>
      <w:r w:rsidRPr="00D14D69">
        <w:rPr>
          <w:rFonts w:ascii="Arial" w:eastAsia="Times New Roman" w:hAnsi="Arial" w:cs="Arial"/>
          <w:spacing w:val="-10"/>
          <w:sz w:val="24"/>
          <w:szCs w:val="24"/>
          <w:lang w:val="es-ES_tradnl" w:eastAsia="es-ES"/>
        </w:rPr>
        <w:t>]</w:t>
      </w:r>
      <w:r w:rsidRPr="00D14D69">
        <w:rPr>
          <w:rFonts w:ascii="Arial" w:eastAsia="Times New Roman" w:hAnsi="Arial" w:cs="Arial"/>
          <w:spacing w:val="-10"/>
          <w:sz w:val="24"/>
          <w:szCs w:val="24"/>
          <w:lang w:eastAsia="es-ES"/>
        </w:rPr>
        <w:t xml:space="preserve"> o que presentan una evidente y grosera contradicción entre los fundamentos y la decisión. </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lastRenderedPageBreak/>
        <w:t>f. Error inducido, que se presenta cuando el juez o tribunal fue víctima de un engaño por parte de terceros y ese engaño lo condujo a la toma de una decisión que afecta derechos fundamentales.</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g. Decisión sin motivación, que implica el incumplimiento de los servidores judiciales de dar cuenta de los fundamentos fácticos y jurídicos de sus decisiones en el entendido que precisamente en esa motivación reposa la legitimidad de su órbita funcional.</w:t>
      </w:r>
    </w:p>
    <w:p w:rsidR="005F18D7" w:rsidRPr="00D14D69" w:rsidRDefault="005F18D7" w:rsidP="005F18D7">
      <w:pPr>
        <w:spacing w:before="100" w:beforeAutospacing="1" w:after="100" w:afterAutospacing="1"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 xml:space="preserve">h. Desconocimiento del precedente, hipótesis que se presenta, por ejemplo, cuando </w:t>
      </w:r>
      <w:smartTag w:uri="urn:schemas-microsoft-com:office:smarttags" w:element="PersonName">
        <w:smartTagPr>
          <w:attr w:name="ProductID" w:val="la Corte Constitucional"/>
        </w:smartTagPr>
        <w:r w:rsidRPr="00D14D69">
          <w:rPr>
            <w:rFonts w:ascii="Arial" w:eastAsia="Times New Roman" w:hAnsi="Arial" w:cs="Arial"/>
            <w:spacing w:val="-10"/>
            <w:sz w:val="24"/>
            <w:szCs w:val="24"/>
            <w:lang w:eastAsia="es-ES"/>
          </w:rPr>
          <w:t>la Corte Constitucional</w:t>
        </w:r>
      </w:smartTag>
      <w:r w:rsidRPr="00D14D69">
        <w:rPr>
          <w:rFonts w:ascii="Arial" w:eastAsia="Times New Roman" w:hAnsi="Arial" w:cs="Arial"/>
          <w:spacing w:val="-10"/>
          <w:sz w:val="24"/>
          <w:szCs w:val="24"/>
          <w:lang w:eastAsia="es-ES"/>
        </w:rPr>
        <w:t xml:space="preserve"> establece el alcance de un derecho fundamental y el juez ordinario aplica una ley limitando sustancialmente dicho alcance. En estos casos la tutela procede como mecanismo para garantizar la eficacia jurídica del contenido constitucionalmente vinculante del derecho fundamental vulnerado [</w:t>
      </w:r>
      <w:r w:rsidRPr="00D14D69">
        <w:rPr>
          <w:rFonts w:ascii="Arial" w:eastAsia="Times New Roman" w:hAnsi="Arial" w:cs="Arial"/>
          <w:spacing w:val="-10"/>
          <w:sz w:val="24"/>
          <w:szCs w:val="24"/>
          <w:vertAlign w:val="superscript"/>
          <w:lang w:eastAsia="es-ES"/>
        </w:rPr>
        <w:footnoteReference w:id="11"/>
      </w:r>
      <w:r w:rsidRPr="00D14D69">
        <w:rPr>
          <w:rFonts w:ascii="Arial" w:eastAsia="Times New Roman" w:hAnsi="Arial" w:cs="Arial"/>
          <w:spacing w:val="-10"/>
          <w:sz w:val="24"/>
          <w:szCs w:val="24"/>
          <w:lang w:eastAsia="es-ES"/>
        </w:rPr>
        <w:t xml:space="preserve">]. </w:t>
      </w:r>
    </w:p>
    <w:p w:rsidR="005F18D7" w:rsidRPr="00D14D69" w:rsidRDefault="005F18D7" w:rsidP="005F18D7">
      <w:pPr>
        <w:tabs>
          <w:tab w:val="left" w:pos="-720"/>
        </w:tabs>
        <w:suppressAutoHyphens/>
        <w:spacing w:after="0" w:line="240" w:lineRule="auto"/>
        <w:ind w:left="708" w:right="533"/>
        <w:jc w:val="both"/>
        <w:rPr>
          <w:rFonts w:ascii="Arial" w:eastAsia="Times New Roman" w:hAnsi="Arial" w:cs="Arial"/>
          <w:spacing w:val="-10"/>
          <w:sz w:val="24"/>
          <w:szCs w:val="24"/>
          <w:lang w:eastAsia="es-ES"/>
        </w:rPr>
      </w:pPr>
      <w:r w:rsidRPr="00D14D69">
        <w:rPr>
          <w:rFonts w:ascii="Arial" w:eastAsia="Times New Roman" w:hAnsi="Arial" w:cs="Arial"/>
          <w:spacing w:val="-10"/>
          <w:sz w:val="24"/>
          <w:szCs w:val="24"/>
          <w:lang w:eastAsia="es-ES"/>
        </w:rPr>
        <w:t xml:space="preserve">i. Violación directa de </w:t>
      </w:r>
      <w:smartTag w:uri="urn:schemas-microsoft-com:office:smarttags" w:element="PersonName">
        <w:smartTagPr>
          <w:attr w:name="ProductID" w:val="la Constitución.”"/>
        </w:smartTagPr>
        <w:r w:rsidRPr="00D14D69">
          <w:rPr>
            <w:rFonts w:ascii="Arial" w:eastAsia="Times New Roman" w:hAnsi="Arial" w:cs="Arial"/>
            <w:spacing w:val="-10"/>
            <w:sz w:val="24"/>
            <w:szCs w:val="24"/>
            <w:lang w:eastAsia="es-ES"/>
          </w:rPr>
          <w:t>la Constitución.”</w:t>
        </w:r>
      </w:smartTag>
    </w:p>
    <w:p w:rsidR="005F18D7" w:rsidRPr="00D14D69" w:rsidRDefault="005F18D7" w:rsidP="005F18D7">
      <w:pPr>
        <w:spacing w:after="0" w:line="480" w:lineRule="auto"/>
        <w:jc w:val="both"/>
        <w:rPr>
          <w:rFonts w:ascii="Arial" w:eastAsia="Times New Roman" w:hAnsi="Arial" w:cs="Arial"/>
          <w:b/>
          <w:sz w:val="24"/>
          <w:szCs w:val="24"/>
          <w:lang w:eastAsia="es-ES"/>
        </w:rPr>
      </w:pPr>
    </w:p>
    <w:p w:rsidR="005F18D7" w:rsidRPr="00D14D69" w:rsidRDefault="005F18D7" w:rsidP="005F18D7">
      <w:pPr>
        <w:widowControl w:val="0"/>
        <w:spacing w:after="0" w:line="480" w:lineRule="auto"/>
        <w:jc w:val="both"/>
        <w:rPr>
          <w:rFonts w:ascii="Arial" w:eastAsia="Times New Roman" w:hAnsi="Arial" w:cs="Arial"/>
          <w:b/>
          <w:i/>
          <w:sz w:val="24"/>
          <w:szCs w:val="24"/>
          <w:lang w:val="es-ES_tradnl" w:eastAsia="es-ES"/>
        </w:rPr>
      </w:pPr>
      <w:r w:rsidRPr="00D14D69">
        <w:rPr>
          <w:rFonts w:ascii="Arial" w:eastAsia="Times New Roman" w:hAnsi="Arial" w:cs="Arial"/>
          <w:b/>
          <w:i/>
          <w:sz w:val="24"/>
          <w:szCs w:val="24"/>
          <w:lang w:val="es-ES_tradnl" w:eastAsia="es-ES"/>
        </w:rPr>
        <w:t xml:space="preserve">Los requisitos generales de </w:t>
      </w:r>
      <w:proofErr w:type="spellStart"/>
      <w:r w:rsidRPr="00D14D69">
        <w:rPr>
          <w:rFonts w:ascii="Arial" w:eastAsia="Times New Roman" w:hAnsi="Arial" w:cs="Arial"/>
          <w:b/>
          <w:i/>
          <w:sz w:val="24"/>
          <w:szCs w:val="24"/>
          <w:lang w:val="es-ES_tradnl" w:eastAsia="es-ES"/>
        </w:rPr>
        <w:t>procedibilidad</w:t>
      </w:r>
      <w:proofErr w:type="spellEnd"/>
      <w:r w:rsidRPr="00D14D69">
        <w:rPr>
          <w:rFonts w:ascii="Arial" w:eastAsia="Times New Roman" w:hAnsi="Arial" w:cs="Arial"/>
          <w:b/>
          <w:i/>
          <w:sz w:val="24"/>
          <w:szCs w:val="24"/>
          <w:lang w:val="es-ES_tradnl" w:eastAsia="es-ES"/>
        </w:rPr>
        <w:t xml:space="preserve"> de la acción de tutela contra providencias judiciales.</w:t>
      </w:r>
    </w:p>
    <w:p w:rsidR="005F18D7" w:rsidRPr="00D14D69" w:rsidRDefault="005F18D7" w:rsidP="005F18D7">
      <w:pPr>
        <w:widowControl w:val="0"/>
        <w:spacing w:after="0" w:line="360" w:lineRule="auto"/>
        <w:jc w:val="both"/>
        <w:rPr>
          <w:rFonts w:ascii="Arial" w:eastAsia="Times New Roman" w:hAnsi="Arial" w:cs="Arial"/>
          <w:b/>
          <w:i/>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eastAsia="es-ES"/>
        </w:rPr>
      </w:pPr>
      <w:r w:rsidRPr="00D14D69">
        <w:rPr>
          <w:rFonts w:ascii="Arial" w:eastAsia="Times New Roman" w:hAnsi="Arial" w:cs="Arial"/>
          <w:sz w:val="24"/>
          <w:szCs w:val="24"/>
          <w:lang w:val="es-ES_tradnl" w:eastAsia="es-ES"/>
        </w:rPr>
        <w:t xml:space="preserve">En el presente caso, se cumple con el requisito de la relevancia constitucional, por cuanto la tutela plantea, con suficiente carga argumentativa, la vulneración del derecho fundamental </w:t>
      </w:r>
      <w:r w:rsidRPr="00D14D69">
        <w:rPr>
          <w:rFonts w:ascii="Arial" w:eastAsia="Times New Roman" w:hAnsi="Arial" w:cs="Arial"/>
          <w:bCs/>
          <w:sz w:val="24"/>
          <w:szCs w:val="24"/>
          <w:lang w:eastAsia="es-ES"/>
        </w:rPr>
        <w:t>al</w:t>
      </w:r>
      <w:r w:rsidRPr="00D14D69">
        <w:rPr>
          <w:rFonts w:ascii="Arial" w:eastAsia="Times New Roman" w:hAnsi="Arial" w:cs="Arial"/>
          <w:bCs/>
          <w:sz w:val="24"/>
          <w:szCs w:val="24"/>
          <w:lang w:val="es-ES_tradnl" w:eastAsia="es-ES"/>
        </w:rPr>
        <w:t xml:space="preserve"> debido proceso, en razón de la sentencia inhibitoria de segunda instancia, que, en sentir del accionante, incurrió en l</w:t>
      </w:r>
      <w:r w:rsidRPr="00D14D69">
        <w:rPr>
          <w:rFonts w:ascii="Arial" w:eastAsia="Times New Roman" w:hAnsi="Arial" w:cs="Arial"/>
          <w:bCs/>
          <w:sz w:val="24"/>
          <w:szCs w:val="24"/>
          <w:lang w:eastAsia="es-ES"/>
        </w:rPr>
        <w:t>os defectos procedimental, sustantivo y violación de la Constitución Política;</w:t>
      </w:r>
      <w:r w:rsidRPr="00D14D69">
        <w:rPr>
          <w:rFonts w:ascii="Arial" w:eastAsia="Times New Roman" w:hAnsi="Arial" w:cs="Arial"/>
          <w:sz w:val="24"/>
          <w:szCs w:val="24"/>
          <w:lang w:val="es-ES_tradnl" w:eastAsia="es-ES"/>
        </w:rPr>
        <w:t xml:space="preserve"> contra la decisión cuestionada no proceden recursos y tampoco se estructuran las causales para la procedencia de los recursos extraordinarios de revisión (</w:t>
      </w:r>
      <w:r w:rsidRPr="00D14D69">
        <w:rPr>
          <w:rFonts w:ascii="Arial" w:eastAsia="Times New Roman" w:hAnsi="Arial" w:cs="Arial"/>
          <w:spacing w:val="-10"/>
          <w:sz w:val="24"/>
          <w:szCs w:val="24"/>
          <w:lang w:val="es-ES_tradnl" w:eastAsia="es-ES"/>
        </w:rPr>
        <w:t>artículo 248 y ss. del C.P.A.C.A.</w:t>
      </w:r>
      <w:r w:rsidRPr="00D14D69">
        <w:rPr>
          <w:rFonts w:ascii="Arial" w:eastAsia="Times New Roman" w:hAnsi="Arial" w:cs="Arial"/>
          <w:sz w:val="24"/>
          <w:szCs w:val="24"/>
          <w:lang w:val="es-ES_tradnl" w:eastAsia="es-ES"/>
        </w:rPr>
        <w:t>) y unificación de Jurisprudencia (</w:t>
      </w:r>
      <w:r w:rsidRPr="00D14D69">
        <w:rPr>
          <w:rFonts w:ascii="Arial" w:eastAsia="Times New Roman" w:hAnsi="Arial" w:cs="Arial"/>
          <w:spacing w:val="-10"/>
          <w:sz w:val="24"/>
          <w:szCs w:val="24"/>
          <w:lang w:val="es-ES_tradnl" w:eastAsia="es-ES"/>
        </w:rPr>
        <w:t>artículo 256 y ss., ídem</w:t>
      </w:r>
      <w:r w:rsidRPr="00D14D69">
        <w:rPr>
          <w:rFonts w:ascii="Arial" w:eastAsia="Times New Roman" w:hAnsi="Arial" w:cs="Arial"/>
          <w:sz w:val="24"/>
          <w:szCs w:val="24"/>
          <w:lang w:val="es-ES_tradnl" w:eastAsia="es-ES"/>
        </w:rPr>
        <w:t xml:space="preserve">); la sentencia fue notificada en edicto fijado el 13 de junio de 2016 y la acción de tutela se interpuso </w:t>
      </w:r>
      <w:r w:rsidRPr="00D14D69">
        <w:rPr>
          <w:rFonts w:ascii="Arial" w:eastAsia="Times New Roman" w:hAnsi="Arial" w:cs="Arial"/>
          <w:sz w:val="24"/>
          <w:szCs w:val="24"/>
          <w:lang w:val="es-ES_tradnl" w:eastAsia="es-ES"/>
        </w:rPr>
        <w:lastRenderedPageBreak/>
        <w:t>el 9 de diciembre de 2016, es decir, en un plazo razonable</w:t>
      </w:r>
      <w:r w:rsidRPr="00D14D69">
        <w:rPr>
          <w:rFonts w:ascii="Arial" w:eastAsia="Times New Roman" w:hAnsi="Arial" w:cs="Arial"/>
          <w:sz w:val="24"/>
          <w:szCs w:val="24"/>
          <w:vertAlign w:val="superscript"/>
          <w:lang w:val="es-ES_tradnl" w:eastAsia="es-ES"/>
        </w:rPr>
        <w:footnoteReference w:id="12"/>
      </w:r>
      <w:r w:rsidRPr="00D14D69">
        <w:rPr>
          <w:rFonts w:ascii="Arial" w:eastAsia="Times New Roman" w:hAnsi="Arial" w:cs="Arial"/>
          <w:sz w:val="24"/>
          <w:szCs w:val="24"/>
          <w:lang w:val="es-ES_tradnl" w:eastAsia="es-ES"/>
        </w:rPr>
        <w:t>; la irregularidad procesal que se alega tuvo un efecto determinante en la providencia, por cuanto dio lugar a que el Tribunal se inhibiera para pronunciarse de fondo sobre el asunto; y, por último, la solicitud identifica los hechos y derechos que se estiman lesionados.</w:t>
      </w:r>
    </w:p>
    <w:p w:rsidR="005F18D7" w:rsidRPr="00D14D69" w:rsidRDefault="005F18D7" w:rsidP="005F18D7">
      <w:pPr>
        <w:widowControl w:val="0"/>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 </w:t>
      </w: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r w:rsidRPr="00D14D69">
        <w:rPr>
          <w:rFonts w:ascii="Arial" w:eastAsia="Times New Roman" w:hAnsi="Arial" w:cs="Arial"/>
          <w:bCs/>
          <w:sz w:val="24"/>
          <w:szCs w:val="24"/>
          <w:lang w:val="es-ES_tradnl" w:eastAsia="es-ES"/>
        </w:rPr>
        <w:t xml:space="preserve">Verificado lo anterior, corresponde examinar si la sentencia del </w:t>
      </w:r>
      <w:r w:rsidRPr="00D14D69">
        <w:rPr>
          <w:rFonts w:ascii="Arial" w:eastAsia="Times New Roman" w:hAnsi="Arial" w:cs="Arial"/>
          <w:b/>
          <w:bCs/>
          <w:sz w:val="24"/>
          <w:szCs w:val="24"/>
          <w:lang w:val="es-ES_tradnl" w:eastAsia="es-ES"/>
        </w:rPr>
        <w:t>TRIBUNAL ADMINISTRATIVO DEL HUILA</w:t>
      </w:r>
      <w:r w:rsidRPr="00D14D69">
        <w:rPr>
          <w:rFonts w:ascii="Arial" w:eastAsia="Times New Roman" w:hAnsi="Arial" w:cs="Arial"/>
          <w:bCs/>
          <w:sz w:val="24"/>
          <w:szCs w:val="24"/>
          <w:lang w:val="es-ES_tradnl" w:eastAsia="es-ES"/>
        </w:rPr>
        <w:t xml:space="preserve"> incurrió en los defectos invocados por la parte actora.</w:t>
      </w: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p>
    <w:p w:rsidR="005F18D7" w:rsidRPr="00D14D69" w:rsidRDefault="005F18D7" w:rsidP="005F18D7">
      <w:pPr>
        <w:keepNext/>
        <w:spacing w:after="0" w:line="480" w:lineRule="auto"/>
        <w:jc w:val="both"/>
        <w:outlineLvl w:val="0"/>
        <w:rPr>
          <w:rFonts w:ascii="Arial" w:eastAsia="Times New Roman" w:hAnsi="Arial" w:cs="Arial"/>
          <w:b/>
          <w:i/>
          <w:sz w:val="24"/>
          <w:szCs w:val="24"/>
          <w:lang w:eastAsia="es-ES"/>
        </w:rPr>
      </w:pPr>
      <w:r w:rsidRPr="00D14D69">
        <w:rPr>
          <w:rFonts w:ascii="Arial" w:eastAsia="Times New Roman" w:hAnsi="Arial" w:cs="Arial"/>
          <w:b/>
          <w:i/>
          <w:sz w:val="24"/>
          <w:szCs w:val="24"/>
          <w:lang w:eastAsia="es-ES"/>
        </w:rPr>
        <w:t>El defecto procedimental.</w:t>
      </w:r>
    </w:p>
    <w:p w:rsidR="005F18D7" w:rsidRPr="00D14D69" w:rsidRDefault="005F18D7" w:rsidP="005F18D7">
      <w:pPr>
        <w:spacing w:after="0" w:line="360" w:lineRule="auto"/>
        <w:jc w:val="both"/>
        <w:rPr>
          <w:rFonts w:ascii="Arial" w:eastAsia="Times New Roman" w:hAnsi="Arial" w:cs="Arial"/>
          <w:bCs/>
          <w:sz w:val="24"/>
          <w:szCs w:val="24"/>
          <w:lang w:eastAsia="es-ES"/>
        </w:rPr>
      </w:pPr>
    </w:p>
    <w:p w:rsidR="005F18D7" w:rsidRPr="00D14D69" w:rsidRDefault="005F18D7" w:rsidP="005F18D7">
      <w:pPr>
        <w:spacing w:after="0" w:line="480" w:lineRule="auto"/>
        <w:jc w:val="both"/>
        <w:rPr>
          <w:rFonts w:ascii="Arial" w:eastAsia="Times New Roman" w:hAnsi="Arial" w:cs="Arial"/>
          <w:bCs/>
          <w:sz w:val="24"/>
          <w:szCs w:val="24"/>
          <w:lang w:eastAsia="es-ES"/>
        </w:rPr>
      </w:pPr>
      <w:r w:rsidRPr="00D14D69">
        <w:rPr>
          <w:rFonts w:ascii="Arial" w:eastAsia="Times New Roman" w:hAnsi="Arial" w:cs="Arial"/>
          <w:bCs/>
          <w:sz w:val="24"/>
          <w:szCs w:val="24"/>
          <w:lang w:eastAsia="es-ES"/>
        </w:rPr>
        <w:t>La Corte Constitucional ha indicado que el defecto procedimental, como causal de procedencia de la acción de tutela contra providencias judiciales, encuentra fundamento normativo en los artículos 29 (debido proceso) y 228 (acceso a la Administración de Justicia) de la Constitución Política. En tal sentido, esa Corporación ha sostenido que:</w:t>
      </w:r>
    </w:p>
    <w:p w:rsidR="005F18D7" w:rsidRPr="00D14D69" w:rsidRDefault="005F18D7" w:rsidP="005F18D7">
      <w:pPr>
        <w:spacing w:after="0" w:line="480" w:lineRule="auto"/>
        <w:jc w:val="both"/>
        <w:rPr>
          <w:rFonts w:ascii="Arial" w:eastAsia="Times New Roman" w:hAnsi="Arial" w:cs="Arial"/>
          <w:bCs/>
          <w:sz w:val="24"/>
          <w:szCs w:val="24"/>
          <w:lang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r w:rsidRPr="00D14D69">
        <w:rPr>
          <w:rFonts w:ascii="Arial" w:eastAsia="Times New Roman" w:hAnsi="Arial" w:cs="Arial"/>
          <w:i/>
          <w:sz w:val="24"/>
          <w:szCs w:val="24"/>
          <w:lang w:eastAsia="es-ES"/>
        </w:rPr>
        <w:t xml:space="preserve">«Se presenta cuando se da un desconocimiento absoluto de las formas del juicio porque el funcionario judicial sigue un trámite por completo ajeno al pertinente (desvía el cauce del asunto), o porque pretermite etapas o eventos sustanciales del procedimiento legalmente establecido, afectando el derecho de defensa y contradicción de una de las partes del proceso. De acuerdo con lo sostenido en la sentencia SU-159 de 2002 (M.P Manuel José Cepeda), este último evento se </w:t>
      </w:r>
      <w:r w:rsidRPr="00D14D69">
        <w:rPr>
          <w:rFonts w:ascii="Arial" w:eastAsia="Times New Roman" w:hAnsi="Arial" w:cs="Arial"/>
          <w:i/>
          <w:sz w:val="24"/>
          <w:szCs w:val="24"/>
          <w:lang w:eastAsia="es-ES"/>
        </w:rPr>
        <w:lastRenderedPageBreak/>
        <w:t>presenta cuando la ausencia de una etapa procesal o de alguna formalidad del mismo tipo desconoce las garantías previstas en la ley para los sujetos procesales, de forma tal que, por ejemplo, se impide que: “(i.) puedan ejercer el derecho a una defensa técnica, que supone la posibilidad de contar con la asesoría de un abogado –en los eventos en los que sea necesario -, ejercer el derecho de contradicción y presentar y solicitar las pruebas que considere pertinentes para sustentar su posición; (ii.) se les comunique de la iniciación del proceso y se permita su participación en el mismo y (iii.) se les notifiquen todas las providencias proferidas por el Juez, que de acuerdo con la ley, deben serles notificadas”, entre otras.»</w:t>
      </w:r>
      <w:r w:rsidRPr="00D14D69">
        <w:rPr>
          <w:rFonts w:ascii="Arial" w:eastAsia="Times New Roman" w:hAnsi="Arial" w:cs="Arial"/>
          <w:i/>
          <w:sz w:val="24"/>
          <w:szCs w:val="24"/>
          <w:vertAlign w:val="superscript"/>
          <w:lang w:eastAsia="es-ES"/>
        </w:rPr>
        <w:footnoteReference w:id="13"/>
      </w: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p>
    <w:p w:rsidR="005F18D7" w:rsidRPr="00D14D69" w:rsidRDefault="005F18D7" w:rsidP="005F18D7">
      <w:pPr>
        <w:keepNext/>
        <w:spacing w:after="0" w:line="480" w:lineRule="auto"/>
        <w:jc w:val="both"/>
        <w:outlineLvl w:val="0"/>
        <w:rPr>
          <w:rFonts w:ascii="Arial" w:eastAsia="Times New Roman" w:hAnsi="Arial" w:cs="Arial"/>
          <w:b/>
          <w:i/>
          <w:sz w:val="24"/>
          <w:szCs w:val="24"/>
          <w:lang w:eastAsia="es-ES"/>
        </w:rPr>
      </w:pPr>
      <w:r w:rsidRPr="00D14D69">
        <w:rPr>
          <w:rFonts w:ascii="Arial" w:eastAsia="Times New Roman" w:hAnsi="Arial" w:cs="Arial"/>
          <w:b/>
          <w:i/>
          <w:sz w:val="24"/>
          <w:szCs w:val="24"/>
          <w:lang w:eastAsia="es-ES"/>
        </w:rPr>
        <w:t>El defecto sustantivo.</w:t>
      </w:r>
    </w:p>
    <w:p w:rsidR="005F18D7" w:rsidRPr="00D14D69" w:rsidRDefault="005F18D7" w:rsidP="005F18D7">
      <w:pPr>
        <w:spacing w:after="0" w:line="360" w:lineRule="auto"/>
        <w:jc w:val="both"/>
        <w:rPr>
          <w:rFonts w:ascii="Arial" w:eastAsia="Times New Roman" w:hAnsi="Arial" w:cs="Arial"/>
          <w:sz w:val="24"/>
          <w:szCs w:val="24"/>
          <w:lang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eastAsia="es-ES"/>
        </w:rPr>
        <w:t>El</w:t>
      </w:r>
      <w:r w:rsidRPr="00D14D69">
        <w:rPr>
          <w:rFonts w:ascii="Arial" w:eastAsia="Times New Roman" w:hAnsi="Arial" w:cs="Arial"/>
          <w:sz w:val="24"/>
          <w:szCs w:val="24"/>
          <w:lang w:val="es-ES_tradnl" w:eastAsia="es-ES"/>
        </w:rPr>
        <w:t xml:space="preserve"> defecto sustantivo se entiende como aquel que se presenta cuando el Juez desconoce las normas aplicables en un caso determinado. Esta causal de </w:t>
      </w:r>
      <w:proofErr w:type="spellStart"/>
      <w:r w:rsidRPr="00D14D69">
        <w:rPr>
          <w:rFonts w:ascii="Arial" w:eastAsia="Times New Roman" w:hAnsi="Arial" w:cs="Arial"/>
          <w:sz w:val="24"/>
          <w:szCs w:val="24"/>
          <w:lang w:val="es-ES_tradnl" w:eastAsia="es-ES"/>
        </w:rPr>
        <w:t>procedibilidad</w:t>
      </w:r>
      <w:proofErr w:type="spellEnd"/>
      <w:r w:rsidRPr="00D14D69">
        <w:rPr>
          <w:rFonts w:ascii="Arial" w:eastAsia="Times New Roman" w:hAnsi="Arial" w:cs="Arial"/>
          <w:sz w:val="24"/>
          <w:szCs w:val="24"/>
          <w:lang w:val="es-ES_tradnl" w:eastAsia="es-ES"/>
        </w:rPr>
        <w:t xml:space="preserve"> de la acción de tutela ha sido objeto de un amplio desarrollo jurisprudencial. Así, por ejemplo, en la sentencia T-949 de 2009 de </w:t>
      </w:r>
      <w:smartTag w:uri="urn:schemas-microsoft-com:office:smarttags" w:element="PersonName">
        <w:smartTagPr>
          <w:attr w:name="ProductID" w:val="la Corte Constitucional"/>
        </w:smartTagPr>
        <w:r w:rsidRPr="00D14D69">
          <w:rPr>
            <w:rFonts w:ascii="Arial" w:eastAsia="Times New Roman" w:hAnsi="Arial" w:cs="Arial"/>
            <w:sz w:val="24"/>
            <w:szCs w:val="24"/>
            <w:lang w:val="es-ES_tradnl" w:eastAsia="es-ES"/>
          </w:rPr>
          <w:t>la Corte Constitucional</w:t>
        </w:r>
      </w:smartTag>
      <w:r w:rsidRPr="00D14D69">
        <w:rPr>
          <w:rFonts w:ascii="Arial" w:eastAsia="Times New Roman" w:hAnsi="Arial" w:cs="Arial"/>
          <w:sz w:val="24"/>
          <w:szCs w:val="24"/>
          <w:lang w:val="es-ES_tradnl" w:eastAsia="es-ES"/>
        </w:rPr>
        <w:t>, se enumeraron los siguientes eventos que dan lugar a conceder el amparo constitucional, por configurarse el aludido defecto:</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(i) Cuando la decisión judicial tiene como fundamento una norma que no es aplicable, porque a) no es pertinente, b) ha perdido su vigencia por haber sido derogada, c) es inexistente, d) ha sido declarada contraria a </w:t>
      </w:r>
      <w:smartTag w:uri="urn:schemas-microsoft-com:office:smarttags" w:element="PersonName">
        <w:smartTagPr>
          <w:attr w:name="ProductID" w:val="la Constitución"/>
        </w:smartTagPr>
        <w:r w:rsidRPr="00D14D69">
          <w:rPr>
            <w:rFonts w:ascii="Arial" w:eastAsia="Times New Roman" w:hAnsi="Arial" w:cs="Arial"/>
            <w:sz w:val="24"/>
            <w:szCs w:val="24"/>
            <w:lang w:val="es-ES_tradnl" w:eastAsia="es-ES"/>
          </w:rPr>
          <w:t>la Constitución</w:t>
        </w:r>
      </w:smartTag>
      <w:r w:rsidRPr="00D14D69">
        <w:rPr>
          <w:rFonts w:ascii="Arial" w:eastAsia="Times New Roman" w:hAnsi="Arial" w:cs="Arial"/>
          <w:sz w:val="24"/>
          <w:szCs w:val="24"/>
          <w:lang w:val="es-ES_tradnl" w:eastAsia="es-ES"/>
        </w:rPr>
        <w:t>, e) a pesar de que la norma en cuestión está vigente y es constitucional, “</w:t>
      </w:r>
      <w:r w:rsidRPr="00D14D69">
        <w:rPr>
          <w:rFonts w:ascii="Arial" w:eastAsia="Times New Roman" w:hAnsi="Arial" w:cs="Arial"/>
          <w:i/>
          <w:sz w:val="24"/>
          <w:szCs w:val="24"/>
          <w:lang w:val="es-ES_tradnl" w:eastAsia="es-ES"/>
        </w:rPr>
        <w:t xml:space="preserve">no se adecúa </w:t>
      </w:r>
      <w:r w:rsidRPr="00D14D69">
        <w:rPr>
          <w:rFonts w:ascii="Arial" w:eastAsia="Times New Roman" w:hAnsi="Arial" w:cs="Arial"/>
          <w:i/>
          <w:sz w:val="24"/>
          <w:szCs w:val="24"/>
          <w:lang w:val="es-ES_tradnl" w:eastAsia="es-ES"/>
        </w:rPr>
        <w:lastRenderedPageBreak/>
        <w:t>a la situación fáctica a la cual se aplicó, porque a la norma aplicada, por ejemplo, se le reconocen efectos distintos a los expresamente señalados por el legislador</w:t>
      </w:r>
      <w:r w:rsidRPr="00D14D69">
        <w:rPr>
          <w:rFonts w:ascii="Arial" w:eastAsia="Times New Roman" w:hAnsi="Arial" w:cs="Arial"/>
          <w:sz w:val="24"/>
          <w:szCs w:val="24"/>
          <w:lang w:val="es-ES_tradnl" w:eastAsia="es-ES"/>
        </w:rPr>
        <w:t xml:space="preserve">”;  </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(ii) Cuando pese a la autonomía judicial, la interpretación o aplicación de la norma al caso concreto, no se encuentra, prima facie, dentro del margen de interpretación razonable  o “</w:t>
      </w:r>
      <w:r w:rsidRPr="00D14D69">
        <w:rPr>
          <w:rFonts w:ascii="Arial" w:eastAsia="Times New Roman" w:hAnsi="Arial" w:cs="Arial"/>
          <w:i/>
          <w:sz w:val="24"/>
          <w:szCs w:val="24"/>
          <w:lang w:val="es-ES_tradnl" w:eastAsia="es-ES"/>
        </w:rPr>
        <w:t xml:space="preserve">la aplicación final de la regla es inaceptable por tratarse de una interpretación contraevidente (interpretación contra </w:t>
      </w:r>
      <w:proofErr w:type="spellStart"/>
      <w:r w:rsidRPr="00D14D69">
        <w:rPr>
          <w:rFonts w:ascii="Arial" w:eastAsia="Times New Roman" w:hAnsi="Arial" w:cs="Arial"/>
          <w:i/>
          <w:sz w:val="24"/>
          <w:szCs w:val="24"/>
          <w:lang w:val="es-ES_tradnl" w:eastAsia="es-ES"/>
        </w:rPr>
        <w:t>legem</w:t>
      </w:r>
      <w:proofErr w:type="spellEnd"/>
      <w:r w:rsidRPr="00D14D69">
        <w:rPr>
          <w:rFonts w:ascii="Arial" w:eastAsia="Times New Roman" w:hAnsi="Arial" w:cs="Arial"/>
          <w:i/>
          <w:sz w:val="24"/>
          <w:szCs w:val="24"/>
          <w:lang w:val="es-ES_tradnl" w:eastAsia="es-ES"/>
        </w:rPr>
        <w:t>) o claramente perjudicial para los intereses legítimos de una de las partes</w:t>
      </w:r>
      <w:r w:rsidRPr="00D14D69">
        <w:rPr>
          <w:rFonts w:ascii="Arial" w:eastAsia="Times New Roman" w:hAnsi="Arial" w:cs="Arial"/>
          <w:sz w:val="24"/>
          <w:szCs w:val="24"/>
          <w:lang w:val="es-ES_tradnl" w:eastAsia="es-ES"/>
        </w:rPr>
        <w:t>”  o cuando en una decisión judicial “</w:t>
      </w:r>
      <w:r w:rsidRPr="00D14D69">
        <w:rPr>
          <w:rFonts w:ascii="Arial" w:eastAsia="Times New Roman" w:hAnsi="Arial" w:cs="Arial"/>
          <w:i/>
          <w:sz w:val="24"/>
          <w:szCs w:val="24"/>
          <w:lang w:val="es-ES_tradnl" w:eastAsia="es-ES"/>
        </w:rPr>
        <w:t>se aplica una norma jurídica de manera manifiestamente errada, sacando del marco de la juridicidad y de la hermenéutica jurídica aceptable tal decisión judicial</w:t>
      </w:r>
      <w:r w:rsidRPr="00D14D69">
        <w:rPr>
          <w:rFonts w:ascii="Arial" w:eastAsia="Times New Roman" w:hAnsi="Arial" w:cs="Arial"/>
          <w:sz w:val="24"/>
          <w:szCs w:val="24"/>
          <w:lang w:val="es-ES_tradnl" w:eastAsia="es-ES"/>
        </w:rPr>
        <w:t xml:space="preserve">”; </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(iii) Cuando no toma en cuenta sentencias que han definido su alcance con efectos erga omnes; </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(iv) La disposición aplicada se muestra, injustificadamente regresiva o contraria a </w:t>
      </w:r>
      <w:smartTag w:uri="urn:schemas-microsoft-com:office:smarttags" w:element="PersonName">
        <w:smartTagPr>
          <w:attr w:name="ProductID" w:val="la Constitución"/>
        </w:smartTagPr>
        <w:r w:rsidRPr="00D14D69">
          <w:rPr>
            <w:rFonts w:ascii="Arial" w:eastAsia="Times New Roman" w:hAnsi="Arial" w:cs="Arial"/>
            <w:sz w:val="24"/>
            <w:szCs w:val="24"/>
            <w:lang w:val="es-ES_tradnl" w:eastAsia="es-ES"/>
          </w:rPr>
          <w:t>la Constitución</w:t>
        </w:r>
      </w:smartTag>
      <w:r w:rsidRPr="00D14D69">
        <w:rPr>
          <w:rFonts w:ascii="Arial" w:eastAsia="Times New Roman" w:hAnsi="Arial" w:cs="Arial"/>
          <w:sz w:val="24"/>
          <w:szCs w:val="24"/>
          <w:lang w:val="es-ES_tradnl" w:eastAsia="es-ES"/>
        </w:rPr>
        <w:t xml:space="preserve">; </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(v) Cuando un poder concedido al Juez por el ordenamiento se utiliza “</w:t>
      </w:r>
      <w:r w:rsidRPr="00D14D69">
        <w:rPr>
          <w:rFonts w:ascii="Arial" w:eastAsia="Times New Roman" w:hAnsi="Arial" w:cs="Arial"/>
          <w:i/>
          <w:sz w:val="24"/>
          <w:szCs w:val="24"/>
          <w:lang w:val="es-ES_tradnl" w:eastAsia="es-ES"/>
        </w:rPr>
        <w:t>para un fin no previsto en la disposición</w:t>
      </w:r>
      <w:r w:rsidRPr="00D14D69">
        <w:rPr>
          <w:rFonts w:ascii="Arial" w:eastAsia="Times New Roman" w:hAnsi="Arial" w:cs="Arial"/>
          <w:sz w:val="24"/>
          <w:szCs w:val="24"/>
          <w:lang w:val="es-ES_tradnl" w:eastAsia="es-ES"/>
        </w:rPr>
        <w:t xml:space="preserve">”; </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(vi) La decisión se funda en una interpretación no sistemática de la norma, omitiendo el análisis de otras disposiciones aplicables al caso; y </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lastRenderedPageBreak/>
        <w:t>(vii) Se desconoce la norma aplicable al caso concreto.</w:t>
      </w:r>
    </w:p>
    <w:p w:rsidR="005F18D7" w:rsidRPr="00D14D69" w:rsidRDefault="005F18D7" w:rsidP="005F18D7">
      <w:pPr>
        <w:spacing w:after="0" w:line="480" w:lineRule="auto"/>
        <w:jc w:val="both"/>
        <w:rPr>
          <w:rFonts w:ascii="Arial" w:eastAsia="Times New Roman" w:hAnsi="Arial" w:cs="Arial"/>
          <w:sz w:val="24"/>
          <w:szCs w:val="24"/>
          <w:lang w:eastAsia="es-ES"/>
        </w:rPr>
      </w:pPr>
    </w:p>
    <w:p w:rsidR="005F18D7" w:rsidRPr="00D14D69" w:rsidRDefault="005F18D7" w:rsidP="005F18D7">
      <w:pPr>
        <w:spacing w:after="0" w:line="480" w:lineRule="auto"/>
        <w:jc w:val="both"/>
        <w:rPr>
          <w:rFonts w:ascii="Arial" w:eastAsia="Times New Roman" w:hAnsi="Arial" w:cs="Arial"/>
          <w:i/>
          <w:sz w:val="24"/>
          <w:szCs w:val="24"/>
          <w:lang w:eastAsia="es-ES"/>
        </w:rPr>
      </w:pPr>
      <w:r w:rsidRPr="00D14D69">
        <w:rPr>
          <w:rFonts w:ascii="Arial" w:eastAsia="Times New Roman" w:hAnsi="Arial" w:cs="Arial"/>
          <w:sz w:val="24"/>
          <w:szCs w:val="24"/>
          <w:lang w:eastAsia="es-ES"/>
        </w:rPr>
        <w:t xml:space="preserve">Ha dicho </w:t>
      </w:r>
      <w:smartTag w:uri="urn:schemas-microsoft-com:office:smarttags" w:element="PersonName">
        <w:smartTagPr>
          <w:attr w:name="ProductID" w:val="la Corte Constitucional"/>
        </w:smartTagPr>
        <w:r w:rsidRPr="00D14D69">
          <w:rPr>
            <w:rFonts w:ascii="Arial" w:eastAsia="Times New Roman" w:hAnsi="Arial" w:cs="Arial"/>
            <w:sz w:val="24"/>
            <w:szCs w:val="24"/>
            <w:lang w:eastAsia="es-ES"/>
          </w:rPr>
          <w:t>la Corte Constitucional</w:t>
        </w:r>
      </w:smartTag>
      <w:r w:rsidRPr="00D14D69">
        <w:rPr>
          <w:rFonts w:ascii="Arial" w:eastAsia="Times New Roman" w:hAnsi="Arial" w:cs="Arial"/>
          <w:sz w:val="24"/>
          <w:szCs w:val="24"/>
          <w:lang w:eastAsia="es-ES"/>
        </w:rPr>
        <w:t xml:space="preserve"> que al examinar estos eventos, el Juez de la tutela se debe limitar a verificar esa ruptura con el ordenamiento constitucional o legal, pues su decisión</w:t>
      </w:r>
      <w:r w:rsidRPr="00D14D69">
        <w:rPr>
          <w:rFonts w:ascii="Arial" w:eastAsia="Times New Roman" w:hAnsi="Arial" w:cs="Arial"/>
          <w:i/>
          <w:sz w:val="24"/>
          <w:szCs w:val="24"/>
          <w:lang w:eastAsia="es-ES"/>
        </w:rPr>
        <w:t xml:space="preserve"> “no puede constituirse en un escenario para la evaluación acerca del grado de convencimiento que ofrecen los razonamientos elaborados por el Juez ordinario, sino que se restringe a identificar la incompatibilidad entre estos y las normas jurídicas que regulan la materia debatida en sede jurisdiccional”.</w:t>
      </w:r>
      <w:r w:rsidRPr="00D14D69">
        <w:rPr>
          <w:rFonts w:ascii="Arial" w:eastAsia="Times New Roman" w:hAnsi="Arial" w:cs="Arial"/>
          <w:i/>
          <w:sz w:val="24"/>
          <w:szCs w:val="24"/>
          <w:vertAlign w:val="superscript"/>
          <w:lang w:eastAsia="es-ES"/>
        </w:rPr>
        <w:footnoteReference w:id="14"/>
      </w:r>
      <w:r w:rsidRPr="00D14D69">
        <w:rPr>
          <w:rFonts w:ascii="Arial" w:eastAsia="Times New Roman" w:hAnsi="Arial" w:cs="Arial"/>
          <w:i/>
          <w:sz w:val="24"/>
          <w:szCs w:val="24"/>
          <w:lang w:eastAsia="es-ES"/>
        </w:rPr>
        <w:t xml:space="preserve"> </w:t>
      </w:r>
    </w:p>
    <w:p w:rsidR="005F18D7" w:rsidRPr="00D14D69" w:rsidRDefault="005F18D7" w:rsidP="005F18D7">
      <w:pPr>
        <w:spacing w:after="0" w:line="480" w:lineRule="auto"/>
        <w:jc w:val="both"/>
        <w:rPr>
          <w:rFonts w:ascii="Arial" w:eastAsia="Times New Roman" w:hAnsi="Arial" w:cs="Arial"/>
          <w:i/>
          <w:sz w:val="24"/>
          <w:szCs w:val="24"/>
          <w:lang w:eastAsia="es-ES"/>
        </w:rPr>
      </w:pPr>
    </w:p>
    <w:p w:rsidR="005F18D7" w:rsidRPr="00D14D69" w:rsidRDefault="005F18D7" w:rsidP="005F18D7">
      <w:pPr>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En conclusión, para que sea procedente este defecto no basta con mencionar que la providencia incurrió en defecto sustantivo, sino que es necesario demostrar que la decisión cuestionada contradice, de manera manifiesta, el régimen jurídico que debía aplicar.</w:t>
      </w:r>
    </w:p>
    <w:p w:rsidR="005F18D7" w:rsidRPr="00D14D69" w:rsidRDefault="005F18D7" w:rsidP="005F18D7">
      <w:pPr>
        <w:spacing w:after="0" w:line="360" w:lineRule="auto"/>
        <w:jc w:val="both"/>
        <w:rPr>
          <w:rFonts w:ascii="Arial" w:eastAsia="Times New Roman" w:hAnsi="Arial" w:cs="Arial"/>
          <w:sz w:val="24"/>
          <w:szCs w:val="24"/>
          <w:lang w:eastAsia="es-ES"/>
        </w:rPr>
      </w:pPr>
    </w:p>
    <w:p w:rsidR="005F18D7" w:rsidRPr="00D14D69" w:rsidRDefault="005F18D7" w:rsidP="005F18D7">
      <w:pPr>
        <w:keepNext/>
        <w:spacing w:after="0" w:line="360" w:lineRule="auto"/>
        <w:jc w:val="both"/>
        <w:outlineLvl w:val="0"/>
        <w:rPr>
          <w:rFonts w:ascii="Arial" w:eastAsia="Times New Roman" w:hAnsi="Arial" w:cs="Arial"/>
          <w:b/>
          <w:i/>
          <w:sz w:val="24"/>
          <w:szCs w:val="24"/>
          <w:lang w:eastAsia="es-ES"/>
        </w:rPr>
      </w:pPr>
      <w:r w:rsidRPr="00D14D69">
        <w:rPr>
          <w:rFonts w:ascii="Arial" w:eastAsia="Times New Roman" w:hAnsi="Arial" w:cs="Arial"/>
          <w:b/>
          <w:i/>
          <w:sz w:val="24"/>
          <w:szCs w:val="24"/>
          <w:lang w:eastAsia="es-ES"/>
        </w:rPr>
        <w:t xml:space="preserve">Violación directa de la Constitución. </w:t>
      </w:r>
    </w:p>
    <w:p w:rsidR="005F18D7" w:rsidRPr="00D14D69" w:rsidRDefault="005F18D7" w:rsidP="005F18D7">
      <w:pPr>
        <w:spacing w:after="0" w:line="360" w:lineRule="auto"/>
        <w:jc w:val="both"/>
        <w:rPr>
          <w:rFonts w:ascii="Arial" w:eastAsia="Times New Roman" w:hAnsi="Arial" w:cs="Arial"/>
          <w:b/>
          <w:i/>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t xml:space="preserve">Esta causal especial de </w:t>
      </w:r>
      <w:proofErr w:type="spellStart"/>
      <w:r w:rsidRPr="00D14D69">
        <w:rPr>
          <w:rFonts w:ascii="Arial" w:eastAsia="Times New Roman" w:hAnsi="Arial" w:cs="Arial"/>
          <w:sz w:val="24"/>
          <w:szCs w:val="24"/>
          <w:lang w:val="es-ES_tradnl" w:eastAsia="es-ES"/>
        </w:rPr>
        <w:t>procedibilidad</w:t>
      </w:r>
      <w:proofErr w:type="spellEnd"/>
      <w:r w:rsidRPr="00D14D69">
        <w:rPr>
          <w:rFonts w:ascii="Arial" w:eastAsia="Times New Roman" w:hAnsi="Arial" w:cs="Arial"/>
          <w:sz w:val="24"/>
          <w:szCs w:val="24"/>
          <w:lang w:val="es-ES_tradnl" w:eastAsia="es-ES"/>
        </w:rPr>
        <w:t xml:space="preserve"> de la acción de tutela se estructura cuando el Juez adopta una decisión que desconoce la Carta Política, ya sea porque: “</w:t>
      </w:r>
      <w:r w:rsidRPr="00D14D69">
        <w:rPr>
          <w:rFonts w:ascii="Arial" w:eastAsia="Times New Roman" w:hAnsi="Arial" w:cs="Arial"/>
          <w:i/>
          <w:sz w:val="24"/>
          <w:szCs w:val="24"/>
          <w:lang w:val="es-ES_tradnl" w:eastAsia="es-ES"/>
        </w:rPr>
        <w:t xml:space="preserve">(i) deja de aplicar una disposición </w:t>
      </w:r>
      <w:proofErr w:type="spellStart"/>
      <w:r w:rsidRPr="00D14D69">
        <w:rPr>
          <w:rFonts w:ascii="Arial" w:eastAsia="Times New Roman" w:hAnsi="Arial" w:cs="Arial"/>
          <w:i/>
          <w:sz w:val="24"/>
          <w:szCs w:val="24"/>
          <w:lang w:val="es-ES_tradnl" w:eastAsia="es-ES"/>
        </w:rPr>
        <w:t>ius</w:t>
      </w:r>
      <w:proofErr w:type="spellEnd"/>
      <w:r w:rsidRPr="00D14D69">
        <w:rPr>
          <w:rFonts w:ascii="Arial" w:eastAsia="Times New Roman" w:hAnsi="Arial" w:cs="Arial"/>
          <w:i/>
          <w:sz w:val="24"/>
          <w:szCs w:val="24"/>
          <w:lang w:val="es-ES_tradnl" w:eastAsia="es-ES"/>
        </w:rPr>
        <w:t xml:space="preserve"> fundamental a un caso concreto; o porque (ii) aplica la Ley al margen de los dictados de la Constitución</w:t>
      </w:r>
      <w:r w:rsidRPr="00D14D69">
        <w:rPr>
          <w:rFonts w:ascii="Arial" w:eastAsia="Times New Roman" w:hAnsi="Arial" w:cs="Arial"/>
          <w:sz w:val="24"/>
          <w:szCs w:val="24"/>
          <w:lang w:val="es-ES_tradnl" w:eastAsia="es-ES"/>
        </w:rPr>
        <w:t>”</w:t>
      </w:r>
      <w:r w:rsidRPr="00D14D69">
        <w:rPr>
          <w:rFonts w:ascii="Arial" w:eastAsia="Times New Roman" w:hAnsi="Arial" w:cs="Arial"/>
          <w:sz w:val="24"/>
          <w:szCs w:val="24"/>
          <w:vertAlign w:val="superscript"/>
          <w:lang w:eastAsia="es-ES"/>
        </w:rPr>
        <w:footnoteReference w:id="15"/>
      </w:r>
      <w:r w:rsidRPr="00D14D69">
        <w:rPr>
          <w:rFonts w:ascii="Arial" w:eastAsia="Times New Roman" w:hAnsi="Arial" w:cs="Arial"/>
          <w:sz w:val="24"/>
          <w:szCs w:val="24"/>
          <w:lang w:val="es-ES_tradnl" w:eastAsia="es-ES"/>
        </w:rPr>
        <w:t xml:space="preserve">.  </w:t>
      </w:r>
    </w:p>
    <w:p w:rsidR="005F18D7" w:rsidRPr="00D14D69" w:rsidRDefault="005F18D7" w:rsidP="005F18D7">
      <w:pPr>
        <w:spacing w:after="0" w:line="480" w:lineRule="auto"/>
        <w:jc w:val="both"/>
        <w:rPr>
          <w:rFonts w:ascii="Arial" w:eastAsia="Times New Roman" w:hAnsi="Arial" w:cs="Arial"/>
          <w:sz w:val="24"/>
          <w:szCs w:val="24"/>
          <w:lang w:val="es-ES_tradnl" w:eastAsia="es-ES"/>
        </w:rPr>
      </w:pPr>
      <w:r w:rsidRPr="00D14D69">
        <w:rPr>
          <w:rFonts w:ascii="Arial" w:eastAsia="Times New Roman" w:hAnsi="Arial" w:cs="Arial"/>
          <w:sz w:val="24"/>
          <w:szCs w:val="24"/>
          <w:lang w:val="es-ES_tradnl" w:eastAsia="es-ES"/>
        </w:rPr>
        <w:lastRenderedPageBreak/>
        <w:t>En el primer caso, la Corte Constitucional ha dispuesto que procede la tutela contra providencias judiciales por violación directa de la Constitución: (a) cuando en la solución del caso se dejó de interpretar y aplicar una disposición legal de conformidad con el precedente constitucional, (b) cuando se trata de un derecho fundamental de aplicación inmediata,  y  (c) cuando el Juez en sus resoluciones vulneró derechos fundamentales y no tuvo en cuenta el principio de interpretación conforme a la Constitución</w:t>
      </w:r>
      <w:r w:rsidRPr="00D14D69">
        <w:rPr>
          <w:rFonts w:ascii="Arial" w:eastAsia="Times New Roman" w:hAnsi="Arial" w:cs="Arial"/>
          <w:b/>
          <w:iCs/>
          <w:sz w:val="24"/>
          <w:szCs w:val="24"/>
          <w:vertAlign w:val="superscript"/>
          <w:lang w:eastAsia="es-ES"/>
        </w:rPr>
        <w:footnoteReference w:id="16"/>
      </w:r>
      <w:r w:rsidRPr="00D14D69">
        <w:rPr>
          <w:rFonts w:ascii="Arial" w:eastAsia="Times New Roman" w:hAnsi="Arial" w:cs="Arial"/>
          <w:sz w:val="24"/>
          <w:szCs w:val="24"/>
          <w:lang w:val="es-ES_tradnl" w:eastAsia="es-ES"/>
        </w:rPr>
        <w:t>. En el segundo caso, ha dicho esa Corporación que, en virtud del artículo 4º Superior, el Juez debe aplicar las disposiciones constitucionales con preferencia a las legales, mediante el ejercicio de la excepción de inconstitucionalidad, cuando advierta incompatibilidad entre éstas y aquellas.</w:t>
      </w:r>
    </w:p>
    <w:p w:rsidR="005F18D7" w:rsidRPr="00D14D69" w:rsidRDefault="005F18D7" w:rsidP="005F18D7">
      <w:pPr>
        <w:spacing w:after="0" w:line="360" w:lineRule="auto"/>
        <w:jc w:val="both"/>
        <w:rPr>
          <w:rFonts w:ascii="Arial" w:eastAsia="Times New Roman" w:hAnsi="Arial" w:cs="Arial"/>
          <w:sz w:val="24"/>
          <w:szCs w:val="24"/>
          <w:lang w:val="es-ES_tradnl" w:eastAsia="es-ES"/>
        </w:rPr>
      </w:pPr>
    </w:p>
    <w:p w:rsidR="005F18D7" w:rsidRPr="00D14D69" w:rsidRDefault="005F18D7" w:rsidP="005F18D7">
      <w:pPr>
        <w:keepNext/>
        <w:spacing w:after="0" w:line="480" w:lineRule="auto"/>
        <w:jc w:val="both"/>
        <w:outlineLvl w:val="0"/>
        <w:rPr>
          <w:rFonts w:ascii="Arial" w:eastAsia="Times New Roman" w:hAnsi="Arial" w:cs="Arial"/>
          <w:b/>
          <w:i/>
          <w:sz w:val="24"/>
          <w:szCs w:val="24"/>
          <w:lang w:eastAsia="es-ES"/>
        </w:rPr>
      </w:pPr>
      <w:r w:rsidRPr="00D14D69">
        <w:rPr>
          <w:rFonts w:ascii="Arial" w:eastAsia="Times New Roman" w:hAnsi="Arial" w:cs="Arial"/>
          <w:b/>
          <w:i/>
          <w:sz w:val="24"/>
          <w:szCs w:val="24"/>
          <w:lang w:eastAsia="es-ES"/>
        </w:rPr>
        <w:t>Caso concreto.</w:t>
      </w:r>
    </w:p>
    <w:p w:rsidR="005F18D7" w:rsidRPr="00D14D69" w:rsidRDefault="005F18D7" w:rsidP="005F18D7">
      <w:pPr>
        <w:spacing w:after="0" w:line="36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b/>
          <w:sz w:val="24"/>
          <w:szCs w:val="24"/>
          <w:lang w:val="es-ES_tradnl" w:eastAsia="es-ES"/>
        </w:rPr>
      </w:pPr>
      <w:r w:rsidRPr="00D14D69">
        <w:rPr>
          <w:rFonts w:ascii="Arial" w:eastAsia="Times New Roman" w:hAnsi="Arial" w:cs="Arial"/>
          <w:b/>
          <w:sz w:val="24"/>
          <w:szCs w:val="24"/>
          <w:u w:val="single"/>
          <w:lang w:val="es-ES_tradnl" w:eastAsia="es-ES"/>
        </w:rPr>
        <w:t>El examen de la providencia cuestionada</w:t>
      </w:r>
      <w:r w:rsidRPr="00D14D69">
        <w:rPr>
          <w:rFonts w:ascii="Arial" w:eastAsia="Times New Roman" w:hAnsi="Arial" w:cs="Arial"/>
          <w:b/>
          <w:sz w:val="24"/>
          <w:szCs w:val="24"/>
          <w:lang w:val="es-ES_tradnl" w:eastAsia="es-ES"/>
        </w:rPr>
        <w:t>:</w:t>
      </w:r>
    </w:p>
    <w:p w:rsidR="005F18D7" w:rsidRPr="00D14D69" w:rsidRDefault="005F18D7" w:rsidP="005F18D7">
      <w:pPr>
        <w:spacing w:after="0" w:line="360" w:lineRule="auto"/>
        <w:jc w:val="both"/>
        <w:rPr>
          <w:rFonts w:ascii="Arial" w:eastAsia="Times New Roman" w:hAnsi="Arial" w:cs="Arial"/>
          <w:sz w:val="24"/>
          <w:szCs w:val="24"/>
          <w:lang w:val="es-ES_tradnl" w:eastAsia="es-ES"/>
        </w:rPr>
      </w:pPr>
    </w:p>
    <w:p w:rsidR="005F18D7" w:rsidRPr="00D14D69" w:rsidRDefault="005F18D7" w:rsidP="005F18D7">
      <w:pPr>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La autoridad judicial demandada basó su decisión inhibitoria en los siguientes fundamentos:</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bCs/>
          <w:i/>
          <w:sz w:val="24"/>
          <w:szCs w:val="24"/>
          <w:lang w:val="es-CO" w:eastAsia="es-ES"/>
        </w:rPr>
        <w:t>«</w:t>
      </w:r>
      <w:r w:rsidRPr="00D14D69">
        <w:rPr>
          <w:rFonts w:ascii="Arial" w:eastAsia="Times New Roman" w:hAnsi="Arial" w:cs="Arial"/>
          <w:i/>
          <w:sz w:val="24"/>
          <w:szCs w:val="24"/>
          <w:lang w:val="es-CO" w:eastAsia="es-ES"/>
        </w:rPr>
        <w:t>En la demanda se plantean como pretensiones principales las siguientes:</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“Primera: Que en aplicación del principio de la primacía de la realidad sobre las formas se declare la existencia de una verdadera relación laboral entre LA NACIÓN –DEPARTAMENTO ADMINISTRATIVO DE SEGURIDAD- DAS y el demandante…</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lastRenderedPageBreak/>
        <w:t>Segunda: Que con base en la anterior declaración, a título de indemnización, se condene a entre LA NACIÓN –DEPARTAMENTO ADMINISTRATIVO DE SEGURIDAD- DAS a efectuar el reconocimiento y pago, a favor del señor GABRIEL RODRIGO PÉREZ SUÁREZ, de las sumas correspondientes a la totalidad de las prestaciones sociales a que tiene derecho, dejadas de cancelar durante todo el tiempo que mantuvo su relación laboral…”</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Advierte la Sala que las anteriores pretensiones, textualmente citadas, corresponden a una acción propiamente contractual, toda vez que se alude al reconocimiento de una relación laboral previa declaratoria de existencia de ésta y de ninguna manera se alude a la nulidad de algún acto administrativo y el respectivo restablecimiento del derecho.</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 xml:space="preserve">De igual manera observa la Sala, </w:t>
      </w:r>
      <w:r w:rsidRPr="00D14D69">
        <w:rPr>
          <w:rFonts w:ascii="Arial" w:eastAsia="Times New Roman" w:hAnsi="Arial" w:cs="Arial"/>
          <w:b/>
          <w:i/>
          <w:sz w:val="24"/>
          <w:szCs w:val="24"/>
          <w:lang w:val="es-CO" w:eastAsia="es-ES"/>
        </w:rPr>
        <w:t>en el concepto de violación no se hace referencia a alguna causal de nulidad de los contratos celebrados con el DAS o a la violación del clausulado general contractual previsto en la Ley 80 de 1993</w:t>
      </w:r>
      <w:r w:rsidRPr="00D14D69">
        <w:rPr>
          <w:rFonts w:ascii="Arial" w:eastAsia="Times New Roman" w:hAnsi="Arial" w:cs="Arial"/>
          <w:i/>
          <w:sz w:val="24"/>
          <w:szCs w:val="24"/>
          <w:lang w:val="es-CO" w:eastAsia="es-ES"/>
        </w:rPr>
        <w:t xml:space="preserve"> y demás normas concordantes, o al incumplimiento del mismo, sino que se alude a la declaratoria de existencia de la relación laboral más allá del tenor literal de los contratos de prestación de servicios que el actor celebró con la entidad demandada.</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 xml:space="preserve">Una vez revisado el precedente jurisprudencial en materia de contrato realidad, encuentra la Sala que </w:t>
      </w:r>
      <w:r w:rsidRPr="00D14D69">
        <w:rPr>
          <w:rFonts w:ascii="Arial" w:eastAsia="Times New Roman" w:hAnsi="Arial" w:cs="Arial"/>
          <w:b/>
          <w:i/>
          <w:sz w:val="24"/>
          <w:szCs w:val="24"/>
          <w:lang w:val="es-CO" w:eastAsia="es-ES"/>
        </w:rPr>
        <w:t>en la totalidad de los pronunciamientos en los que se ha accedido a las pretensiones, se ha decidido con base y en ejercicio de la acción de nulidad y restablecimiento del derecho</w:t>
      </w:r>
      <w:r w:rsidRPr="00D14D69">
        <w:rPr>
          <w:rFonts w:ascii="Arial" w:eastAsia="Times New Roman" w:hAnsi="Arial" w:cs="Arial"/>
          <w:i/>
          <w:sz w:val="24"/>
          <w:szCs w:val="24"/>
          <w:lang w:val="es-CO" w:eastAsia="es-ES"/>
        </w:rPr>
        <w:t xml:space="preserve"> y en ese contexto es claro que siempre </w:t>
      </w:r>
      <w:r w:rsidRPr="00D14D69">
        <w:rPr>
          <w:rFonts w:ascii="Arial" w:eastAsia="Times New Roman" w:hAnsi="Arial" w:cs="Arial"/>
          <w:b/>
          <w:i/>
          <w:sz w:val="24"/>
          <w:szCs w:val="24"/>
          <w:lang w:val="es-CO" w:eastAsia="es-ES"/>
        </w:rPr>
        <w:t>existe un pronunciamiento de la administración en el que se emite una decisión de fondo de contenido particular</w:t>
      </w:r>
      <w:r w:rsidRPr="00D14D69">
        <w:rPr>
          <w:rFonts w:ascii="Arial" w:eastAsia="Times New Roman" w:hAnsi="Arial" w:cs="Arial"/>
          <w:i/>
          <w:sz w:val="24"/>
          <w:szCs w:val="24"/>
          <w:lang w:val="es-CO" w:eastAsia="es-ES"/>
        </w:rPr>
        <w:t>, concreto y definitivo que afecta el derecho del peticionario y que implica necesariamente un “acto administrativo” susceptible de control ante la jurisdicción contencioso administrativa.</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 xml:space="preserve">Tal y como se advierte en precedencia, en este caso no se verificó esa etapa de la actuación o no se cumplió con el requisito del agotamiento de la decisión previa, </w:t>
      </w:r>
      <w:r w:rsidRPr="00D14D69">
        <w:rPr>
          <w:rFonts w:ascii="Arial" w:eastAsia="Times New Roman" w:hAnsi="Arial" w:cs="Arial"/>
          <w:b/>
          <w:i/>
          <w:sz w:val="24"/>
          <w:szCs w:val="24"/>
          <w:lang w:val="es-CO" w:eastAsia="es-ES"/>
        </w:rPr>
        <w:t>pues no existe pronunciamiento alguno de la Administración sobre la reclamación del derecho aludido y, por ende, no existe acto administrativo propiamente dicho que pueda ser objeto de control judicial</w:t>
      </w:r>
      <w:r w:rsidRPr="00D14D69">
        <w:rPr>
          <w:rFonts w:ascii="Arial" w:eastAsia="Times New Roman" w:hAnsi="Arial" w:cs="Arial"/>
          <w:i/>
          <w:sz w:val="24"/>
          <w:szCs w:val="24"/>
          <w:lang w:val="es-CO" w:eastAsia="es-ES"/>
        </w:rPr>
        <w:t>.</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lastRenderedPageBreak/>
        <w:t xml:space="preserve">En esa medida se puede entender e interpretar que el actor hubiera optado por la acción contractual, lo cual sin duda encuentra seria dificultad procesal al entrar a examinar, pues el </w:t>
      </w:r>
      <w:r w:rsidRPr="00D14D69">
        <w:rPr>
          <w:rFonts w:ascii="Arial" w:eastAsia="Times New Roman" w:hAnsi="Arial" w:cs="Arial"/>
          <w:b/>
          <w:i/>
          <w:sz w:val="24"/>
          <w:szCs w:val="24"/>
          <w:lang w:val="es-CO" w:eastAsia="es-ES"/>
        </w:rPr>
        <w:t>concepto de violación aludido hace referencia es a una acción de nulidad y restablecimiento del derecho y no propiamente a la acción contractual</w:t>
      </w:r>
      <w:r w:rsidRPr="00D14D69">
        <w:rPr>
          <w:rFonts w:ascii="Arial" w:eastAsia="Times New Roman" w:hAnsi="Arial" w:cs="Arial"/>
          <w:i/>
          <w:sz w:val="24"/>
          <w:szCs w:val="24"/>
          <w:lang w:val="es-CO" w:eastAsia="es-ES"/>
        </w:rPr>
        <w:t>.</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 xml:space="preserve">En cuanto a las pretensiones subsidiarias, el actor propone que: </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“En la medida en que se considere la ilegalidad de los contratos de prestación de servicios celebrados…”, solicita que:</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Primera: Que se declare la NULIDAD de todos y cada uno de los contratos administrativos celebrados entre LA NACIÓN –DEPARTAMENTO ADMINISTRATIVO DE SEGURIDAD- DAS y el demandante…</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Segunda: Con fundamento en lo anterior y en aplicación del principio constitucional de primacía de la realidad sobre las formas se declare la existencia de un verdadero contrato laboral entre LA NACIÓN –DEPARTAMENTO ADMINISTRATIVO DE SEGURIDAD- DAS y el demandante…”</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 xml:space="preserve">Siguiendo lo anterior, resulta ilógico que si se acude a la acción contractual, en las pretensiones solo se incluya como subsidiaria la de nulidad de los contratos y aún, sin acreditar cuál es la causal de nulidad que invoca frente a ellos, se argumenta únicamente como fundamento una </w:t>
      </w:r>
      <w:r w:rsidRPr="00D14D69">
        <w:rPr>
          <w:rFonts w:ascii="Arial" w:eastAsia="Times New Roman" w:hAnsi="Arial" w:cs="Arial"/>
          <w:b/>
          <w:i/>
          <w:sz w:val="24"/>
          <w:szCs w:val="24"/>
          <w:lang w:val="es-CO" w:eastAsia="es-ES"/>
        </w:rPr>
        <w:t>jurisprudencia del Consejo de Estado, en donde se debaten acciones de nulidad y restablecimiento del derecho</w:t>
      </w:r>
      <w:r w:rsidRPr="00D14D69">
        <w:rPr>
          <w:rFonts w:ascii="Arial" w:eastAsia="Times New Roman" w:hAnsi="Arial" w:cs="Arial"/>
          <w:i/>
          <w:sz w:val="24"/>
          <w:szCs w:val="24"/>
          <w:lang w:val="es-CO" w:eastAsia="es-ES"/>
        </w:rPr>
        <w:t xml:space="preserve">, trayendo algunos pronunciamientos sobre la procedencia del contrato realidad, </w:t>
      </w:r>
      <w:r w:rsidRPr="00D14D69">
        <w:rPr>
          <w:rFonts w:ascii="Arial" w:eastAsia="Times New Roman" w:hAnsi="Arial" w:cs="Arial"/>
          <w:b/>
          <w:i/>
          <w:sz w:val="24"/>
          <w:szCs w:val="24"/>
          <w:u w:val="single"/>
          <w:lang w:val="es-CO" w:eastAsia="es-ES"/>
        </w:rPr>
        <w:t>pero ninguno de ellos corresponde a acciones de controversias contractuales</w:t>
      </w:r>
      <w:r w:rsidRPr="00D14D69">
        <w:rPr>
          <w:rFonts w:ascii="Arial" w:eastAsia="Times New Roman" w:hAnsi="Arial" w:cs="Arial"/>
          <w:i/>
          <w:sz w:val="24"/>
          <w:szCs w:val="24"/>
          <w:lang w:val="es-CO" w:eastAsia="es-ES"/>
        </w:rPr>
        <w:t xml:space="preserve"> que son conocidos y resueltos por la Sección Tercera de la misma Corporación.</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Observa la Sala cómo en la demanda no se esboza ninguna causal de nulidad de las consagradas en los artículos 44 y 45 en materia de nulidad absoluta o en el artículo 47 frente a la nulidad relativa, conforme a lo dispuesto en la Ley 80 de 1993.</w:t>
      </w:r>
      <w:r w:rsidRPr="00D14D69">
        <w:rPr>
          <w:rFonts w:ascii="Arial" w:eastAsia="Times New Roman" w:hAnsi="Arial" w:cs="Arial"/>
          <w:i/>
          <w:sz w:val="24"/>
          <w:szCs w:val="24"/>
          <w:lang w:val="es-CO" w:eastAsia="es-ES"/>
        </w:rPr>
        <w:br/>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Dado que la parte demandante incurrió en una indebida escogencia de la acción, se evidencia que existe una falta de técnica que afecta e debido proceso y que impide un pronunciamiento de fondo sobre los derechos que reclama el demandante.</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w:t>
      </w:r>
    </w:p>
    <w:p w:rsidR="005F18D7" w:rsidRPr="00D14D69" w:rsidRDefault="005F18D7" w:rsidP="005F18D7">
      <w:pPr>
        <w:spacing w:after="0" w:line="240" w:lineRule="auto"/>
        <w:ind w:left="567" w:right="567"/>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567" w:right="567"/>
        <w:jc w:val="both"/>
        <w:rPr>
          <w:rFonts w:ascii="Arial" w:eastAsia="Times New Roman" w:hAnsi="Arial" w:cs="Arial"/>
          <w:bCs/>
          <w:sz w:val="24"/>
          <w:szCs w:val="24"/>
          <w:lang w:val="es-CO" w:eastAsia="es-ES"/>
        </w:rPr>
      </w:pPr>
      <w:r w:rsidRPr="00D14D69">
        <w:rPr>
          <w:rFonts w:ascii="Arial" w:eastAsia="Times New Roman" w:hAnsi="Arial" w:cs="Arial"/>
          <w:i/>
          <w:sz w:val="24"/>
          <w:szCs w:val="24"/>
          <w:lang w:val="es-CO" w:eastAsia="es-ES"/>
        </w:rPr>
        <w:t>Así mismo, en lo referido se observa que la parte actora incurre además en una incorrecta formulación de pretensiones que imponen un pronunciamiento adverso a las pretensiones, pues como bien lo excepcionó la entidad demandada, resultaba indebido acumular de manera principal una acción contractual que busca la declaratoria de existencia de un contrato de trabajo y subsidiariamente la nulidad de los mismos contratos celebrados, dado que en ese supuesto las pretensiones se excluyen entre sí, situación que genera ineptitud de la demanda por vulnerar lo previsto en el artículo 97-7 del C. de P.C.</w:t>
      </w:r>
      <w:r w:rsidRPr="00D14D69">
        <w:rPr>
          <w:rFonts w:ascii="Arial" w:eastAsia="Times New Roman" w:hAnsi="Arial" w:cs="Arial"/>
          <w:bCs/>
          <w:i/>
          <w:sz w:val="24"/>
          <w:szCs w:val="24"/>
          <w:lang w:val="es-CO" w:eastAsia="es-ES"/>
        </w:rPr>
        <w:t xml:space="preserve">» </w:t>
      </w:r>
      <w:r w:rsidRPr="00D14D69">
        <w:rPr>
          <w:rFonts w:ascii="Arial" w:eastAsia="Times New Roman" w:hAnsi="Arial" w:cs="Arial"/>
          <w:bCs/>
          <w:sz w:val="24"/>
          <w:szCs w:val="24"/>
          <w:lang w:val="es-CO" w:eastAsia="es-ES"/>
        </w:rPr>
        <w:t xml:space="preserve">(Resaltado fuera del texto original).» </w:t>
      </w:r>
    </w:p>
    <w:p w:rsidR="005F18D7" w:rsidRPr="00D14D69" w:rsidRDefault="005F18D7" w:rsidP="005F18D7">
      <w:pPr>
        <w:spacing w:after="0" w:line="240" w:lineRule="auto"/>
        <w:ind w:left="567" w:right="567"/>
        <w:jc w:val="both"/>
        <w:rPr>
          <w:rFonts w:ascii="Arial" w:eastAsia="Times New Roman" w:hAnsi="Arial" w:cs="Arial"/>
          <w:b/>
          <w:sz w:val="24"/>
          <w:szCs w:val="24"/>
          <w:lang w:val="es-CO" w:eastAsia="es-ES"/>
        </w:rPr>
      </w:pPr>
    </w:p>
    <w:p w:rsidR="005F18D7" w:rsidRPr="00D14D69" w:rsidRDefault="005F18D7" w:rsidP="005F18D7">
      <w:pPr>
        <w:shd w:val="clear" w:color="auto" w:fill="FFFFFF"/>
        <w:spacing w:after="0" w:line="480" w:lineRule="auto"/>
        <w:ind w:right="-91"/>
        <w:contextualSpacing/>
        <w:jc w:val="both"/>
        <w:rPr>
          <w:rFonts w:ascii="Arial" w:eastAsia="Times New Roman" w:hAnsi="Arial" w:cs="Arial"/>
          <w:bCs/>
          <w:sz w:val="24"/>
          <w:szCs w:val="24"/>
          <w:lang w:val="es-CO" w:eastAsia="es-ES"/>
        </w:rPr>
      </w:pPr>
    </w:p>
    <w:p w:rsidR="005F18D7" w:rsidRPr="00D14D69" w:rsidRDefault="005F18D7" w:rsidP="005F18D7">
      <w:pPr>
        <w:shd w:val="clear" w:color="auto" w:fill="FFFFFF"/>
        <w:spacing w:after="0" w:line="480" w:lineRule="auto"/>
        <w:ind w:right="-91"/>
        <w:contextualSpacing/>
        <w:jc w:val="both"/>
        <w:rPr>
          <w:rFonts w:ascii="Arial" w:eastAsia="Times New Roman" w:hAnsi="Arial" w:cs="Arial"/>
          <w:bCs/>
          <w:sz w:val="24"/>
          <w:szCs w:val="24"/>
          <w:lang w:val="es-CO" w:eastAsia="es-ES"/>
        </w:rPr>
      </w:pPr>
      <w:r w:rsidRPr="00D14D69">
        <w:rPr>
          <w:rFonts w:ascii="Arial" w:eastAsia="Times New Roman" w:hAnsi="Arial" w:cs="Arial"/>
          <w:bCs/>
          <w:sz w:val="24"/>
          <w:szCs w:val="24"/>
          <w:lang w:val="es-CO" w:eastAsia="es-ES"/>
        </w:rPr>
        <w:t xml:space="preserve">Finalmente, el </w:t>
      </w:r>
      <w:r w:rsidRPr="00D14D69">
        <w:rPr>
          <w:rFonts w:ascii="Arial" w:eastAsia="Times New Roman" w:hAnsi="Arial" w:cs="Arial"/>
          <w:bCs/>
          <w:i/>
          <w:sz w:val="24"/>
          <w:szCs w:val="24"/>
          <w:lang w:val="es-CO" w:eastAsia="es-ES"/>
        </w:rPr>
        <w:t xml:space="preserve">ad </w:t>
      </w:r>
      <w:proofErr w:type="spellStart"/>
      <w:r w:rsidRPr="00D14D69">
        <w:rPr>
          <w:rFonts w:ascii="Arial" w:eastAsia="Times New Roman" w:hAnsi="Arial" w:cs="Arial"/>
          <w:bCs/>
          <w:i/>
          <w:sz w:val="24"/>
          <w:szCs w:val="24"/>
          <w:lang w:val="es-CO" w:eastAsia="es-ES"/>
        </w:rPr>
        <w:t>quem</w:t>
      </w:r>
      <w:proofErr w:type="spellEnd"/>
      <w:r w:rsidRPr="00D14D69">
        <w:rPr>
          <w:rFonts w:ascii="Arial" w:eastAsia="Times New Roman" w:hAnsi="Arial" w:cs="Arial"/>
          <w:bCs/>
          <w:i/>
          <w:sz w:val="24"/>
          <w:szCs w:val="24"/>
          <w:lang w:val="es-CO" w:eastAsia="es-ES"/>
        </w:rPr>
        <w:t xml:space="preserve"> </w:t>
      </w:r>
      <w:r w:rsidRPr="00D14D69">
        <w:rPr>
          <w:rFonts w:ascii="Arial" w:eastAsia="Times New Roman" w:hAnsi="Arial" w:cs="Arial"/>
          <w:bCs/>
          <w:sz w:val="24"/>
          <w:szCs w:val="24"/>
          <w:lang w:val="es-CO" w:eastAsia="es-ES"/>
        </w:rPr>
        <w:t>sustenta la decisión inhibitoria en la sentencia proferida por la Sección Tercera de esta Corporación el 23 de junio de 2010, en el proceso con radicado número 1998-0012 (18319)</w:t>
      </w:r>
      <w:r w:rsidRPr="00D14D69">
        <w:rPr>
          <w:rFonts w:ascii="Arial" w:eastAsia="Times New Roman" w:hAnsi="Arial" w:cs="Arial"/>
          <w:bCs/>
          <w:sz w:val="24"/>
          <w:szCs w:val="24"/>
          <w:vertAlign w:val="superscript"/>
          <w:lang w:val="es-CO" w:eastAsia="es-ES"/>
        </w:rPr>
        <w:footnoteReference w:id="17"/>
      </w:r>
      <w:r w:rsidRPr="00D14D69">
        <w:rPr>
          <w:rFonts w:ascii="Arial" w:eastAsia="Times New Roman" w:hAnsi="Arial" w:cs="Arial"/>
          <w:bCs/>
          <w:sz w:val="24"/>
          <w:szCs w:val="24"/>
          <w:lang w:val="es-CO" w:eastAsia="es-ES"/>
        </w:rPr>
        <w:t xml:space="preserve">, en la que se precisó que, en aplicación del principio de la realidad sobre las formas, la acción procedente para reclamar el pago de prestaciones sociales derivadas de una relación laboral con la </w:t>
      </w:r>
      <w:r w:rsidR="00913A7A" w:rsidRPr="00D14D69">
        <w:rPr>
          <w:rFonts w:ascii="Arial" w:eastAsia="Times New Roman" w:hAnsi="Arial" w:cs="Arial"/>
          <w:bCs/>
          <w:sz w:val="24"/>
          <w:szCs w:val="24"/>
          <w:lang w:val="es-CO" w:eastAsia="es-ES"/>
        </w:rPr>
        <w:t>Administración</w:t>
      </w:r>
      <w:r w:rsidRPr="00D14D69">
        <w:rPr>
          <w:rFonts w:ascii="Arial" w:eastAsia="Times New Roman" w:hAnsi="Arial" w:cs="Arial"/>
          <w:bCs/>
          <w:sz w:val="24"/>
          <w:szCs w:val="24"/>
          <w:lang w:val="es-CO" w:eastAsia="es-ES"/>
        </w:rPr>
        <w:t xml:space="preserve"> es la de nulidad y restablecimiento del derecho. </w:t>
      </w:r>
    </w:p>
    <w:p w:rsidR="005F18D7" w:rsidRPr="00D14D69" w:rsidRDefault="005F18D7" w:rsidP="005F18D7">
      <w:pPr>
        <w:shd w:val="clear" w:color="auto" w:fill="FFFFFF"/>
        <w:spacing w:after="0" w:line="360" w:lineRule="auto"/>
        <w:ind w:right="-91"/>
        <w:contextualSpacing/>
        <w:jc w:val="both"/>
        <w:rPr>
          <w:rFonts w:ascii="Arial" w:eastAsia="Times New Roman" w:hAnsi="Arial" w:cs="Arial"/>
          <w:bCs/>
          <w:sz w:val="24"/>
          <w:szCs w:val="24"/>
          <w:lang w:val="es-CO" w:eastAsia="es-ES"/>
        </w:rPr>
      </w:pPr>
    </w:p>
    <w:p w:rsidR="005F18D7" w:rsidRPr="00D14D69" w:rsidRDefault="005F18D7" w:rsidP="005F18D7">
      <w:pPr>
        <w:spacing w:after="0" w:line="480" w:lineRule="auto"/>
        <w:jc w:val="both"/>
        <w:rPr>
          <w:rFonts w:ascii="Arial" w:eastAsia="Times New Roman" w:hAnsi="Arial" w:cs="Arial"/>
          <w:b/>
          <w:i/>
          <w:sz w:val="24"/>
          <w:szCs w:val="24"/>
          <w:u w:val="single"/>
          <w:lang w:eastAsia="es-ES"/>
        </w:rPr>
      </w:pPr>
      <w:r w:rsidRPr="00D14D69">
        <w:rPr>
          <w:rFonts w:ascii="Arial" w:eastAsia="Times New Roman" w:hAnsi="Arial" w:cs="Arial"/>
          <w:b/>
          <w:sz w:val="24"/>
          <w:szCs w:val="24"/>
          <w:u w:val="single"/>
          <w:lang w:eastAsia="es-ES"/>
        </w:rPr>
        <w:t xml:space="preserve">Línea jurisprudencial en materia de </w:t>
      </w:r>
      <w:r w:rsidRPr="00D14D69">
        <w:rPr>
          <w:rFonts w:ascii="Arial" w:eastAsia="Times New Roman" w:hAnsi="Arial" w:cs="Arial"/>
          <w:b/>
          <w:i/>
          <w:sz w:val="24"/>
          <w:szCs w:val="24"/>
          <w:u w:val="single"/>
          <w:lang w:eastAsia="es-ES"/>
        </w:rPr>
        <w:t>contrato realidad.</w:t>
      </w:r>
    </w:p>
    <w:p w:rsidR="005F18D7" w:rsidRPr="00D14D69" w:rsidRDefault="005F18D7" w:rsidP="005F18D7">
      <w:pPr>
        <w:spacing w:after="0" w:line="360" w:lineRule="auto"/>
        <w:jc w:val="both"/>
        <w:rPr>
          <w:rFonts w:ascii="Arial" w:eastAsia="Times New Roman" w:hAnsi="Arial" w:cs="Arial"/>
          <w:sz w:val="24"/>
          <w:szCs w:val="24"/>
          <w:lang w:eastAsia="es-ES"/>
        </w:rPr>
      </w:pPr>
    </w:p>
    <w:p w:rsidR="005F18D7" w:rsidRPr="00D14D69" w:rsidRDefault="005F18D7" w:rsidP="005F18D7">
      <w:pPr>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Con ocasión de una acción de tutela en la que se discutía un asunto similar al que es objeto de examen, la Sección Segunda del Consejo de Estado elaboró el siguiente recuento de la evolución jurisprudencial en materia de la acción procedente para discutir la configuración de un contrato realidad:</w:t>
      </w:r>
    </w:p>
    <w:p w:rsidR="005F18D7" w:rsidRPr="00D14D69" w:rsidRDefault="005F18D7" w:rsidP="005F18D7">
      <w:pPr>
        <w:spacing w:after="0" w:line="480" w:lineRule="auto"/>
        <w:jc w:val="both"/>
        <w:rPr>
          <w:rFonts w:ascii="Arial" w:eastAsia="Times New Roman" w:hAnsi="Arial" w:cs="Arial"/>
          <w:sz w:val="24"/>
          <w:szCs w:val="24"/>
          <w:lang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r w:rsidRPr="00D14D69">
        <w:rPr>
          <w:rFonts w:ascii="Arial" w:eastAsia="Times New Roman" w:hAnsi="Arial" w:cs="Arial"/>
          <w:i/>
          <w:sz w:val="24"/>
          <w:szCs w:val="24"/>
          <w:lang w:eastAsia="es-ES"/>
        </w:rPr>
        <w:lastRenderedPageBreak/>
        <w:t xml:space="preserve">«En el año 2004, la Sección Segunda de esta Corporación puntualizó que, en cuanto a la reclamación por el no pago de prestaciones sociales derivadas de una relación laboral, encubierta mediante contrato de prestación de servicios, resulta necesario, en primer lugar, provocar un pronunciamiento de la Administración al respecto, en virtud del principio de la decisión previa.  </w:t>
      </w: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r w:rsidRPr="00D14D69">
        <w:rPr>
          <w:rFonts w:ascii="Arial" w:eastAsia="Times New Roman" w:hAnsi="Arial" w:cs="Arial"/>
          <w:i/>
          <w:sz w:val="24"/>
          <w:szCs w:val="24"/>
          <w:lang w:eastAsia="es-ES"/>
        </w:rPr>
        <w:t>Una vez cumplido el mencionado requisito, la acción de nulidad y restablecimiento del derecho contra el acto administrativo que negó dicha solicitud, deviene idónea para elevar la mencionada reclamación ante la jurisdicción y solicitar que se restablezca el derecho, a través de la orden de pago de las prestaciones sociales y demás emolumentos adeudados. Este pronunciamiento fue confirmado por esta Corporación en el año 2007</w:t>
      </w:r>
      <w:r w:rsidRPr="00D14D69">
        <w:rPr>
          <w:rFonts w:ascii="Arial" w:eastAsia="Times New Roman" w:hAnsi="Arial" w:cs="Arial"/>
          <w:i/>
          <w:sz w:val="24"/>
          <w:szCs w:val="24"/>
          <w:vertAlign w:val="superscript"/>
          <w:lang w:eastAsia="es-ES"/>
        </w:rPr>
        <w:footnoteReference w:id="18"/>
      </w:r>
      <w:r w:rsidRPr="00D14D69">
        <w:rPr>
          <w:rFonts w:ascii="Arial" w:eastAsia="Times New Roman" w:hAnsi="Arial" w:cs="Arial"/>
          <w:i/>
          <w:sz w:val="24"/>
          <w:szCs w:val="24"/>
          <w:lang w:eastAsia="es-ES"/>
        </w:rPr>
        <w:t>.</w:t>
      </w: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r w:rsidRPr="00D14D69">
        <w:rPr>
          <w:rFonts w:ascii="Arial" w:eastAsia="Times New Roman" w:hAnsi="Arial" w:cs="Arial"/>
          <w:bCs/>
          <w:i/>
          <w:sz w:val="24"/>
          <w:szCs w:val="24"/>
          <w:lang w:eastAsia="es-ES"/>
        </w:rPr>
        <w:t>Sin embargo, en esa misma anualidad, adujo que, “si bien es cierto el reconocimiento de derechos laborales simulados a través de contratos de prestación de servicios es factible a través de la acción contractual que se contempla en el artículo 87 del</w:t>
      </w:r>
      <w:r w:rsidRPr="00D14D69">
        <w:rPr>
          <w:rFonts w:ascii="Arial" w:eastAsia="Times New Roman" w:hAnsi="Arial" w:cs="Arial"/>
          <w:i/>
          <w:sz w:val="24"/>
          <w:szCs w:val="24"/>
          <w:lang w:eastAsia="es-ES"/>
        </w:rPr>
        <w:t xml:space="preserve"> Código Contencioso Administrativo</w:t>
      </w:r>
      <w:r w:rsidRPr="00D14D69">
        <w:rPr>
          <w:rFonts w:ascii="Arial" w:eastAsia="Times New Roman" w:hAnsi="Arial" w:cs="Arial"/>
          <w:bCs/>
          <w:i/>
          <w:sz w:val="24"/>
          <w:szCs w:val="24"/>
          <w:lang w:eastAsia="es-ES"/>
        </w:rPr>
        <w:t xml:space="preserve"> formulando el </w:t>
      </w:r>
      <w:proofErr w:type="spellStart"/>
      <w:r w:rsidRPr="00D14D69">
        <w:rPr>
          <w:rFonts w:ascii="Arial" w:eastAsia="Times New Roman" w:hAnsi="Arial" w:cs="Arial"/>
          <w:bCs/>
          <w:i/>
          <w:sz w:val="24"/>
          <w:szCs w:val="24"/>
          <w:lang w:eastAsia="es-ES"/>
        </w:rPr>
        <w:t>petitum</w:t>
      </w:r>
      <w:proofErr w:type="spellEnd"/>
      <w:r w:rsidRPr="00D14D69">
        <w:rPr>
          <w:rFonts w:ascii="Arial" w:eastAsia="Times New Roman" w:hAnsi="Arial" w:cs="Arial"/>
          <w:bCs/>
          <w:i/>
          <w:sz w:val="24"/>
          <w:szCs w:val="24"/>
          <w:lang w:eastAsia="es-ES"/>
        </w:rPr>
        <w:t xml:space="preserve"> de nulidad del contrato de prestación de servicios o en ejercicio de la acción de nulidad y restablecimiento del derecho, a elección del demandante, para la segunda opción, es necesario agotar previamente la vía gubernativa al tenor del artículo 135 del mismo Código, con la finalidad de obtener un pronunciamiento expreso o presunto, presupuesto para acudir a la Jurisdicción”.</w:t>
      </w:r>
      <w:r w:rsidRPr="00D14D69">
        <w:rPr>
          <w:rFonts w:ascii="Arial" w:eastAsia="Times New Roman" w:hAnsi="Arial" w:cs="Arial"/>
          <w:bCs/>
          <w:i/>
          <w:sz w:val="24"/>
          <w:szCs w:val="24"/>
          <w:vertAlign w:val="superscript"/>
          <w:lang w:eastAsia="es-ES"/>
        </w:rPr>
        <w:footnoteReference w:id="19"/>
      </w: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p>
    <w:p w:rsidR="005F18D7" w:rsidRPr="00D14D69" w:rsidRDefault="005F18D7" w:rsidP="005F18D7">
      <w:pPr>
        <w:spacing w:after="0" w:line="240" w:lineRule="auto"/>
        <w:ind w:left="720" w:right="618"/>
        <w:jc w:val="both"/>
        <w:rPr>
          <w:rFonts w:ascii="Arial" w:eastAsia="Times New Roman" w:hAnsi="Arial" w:cs="Arial"/>
          <w:b/>
          <w:bCs/>
          <w:i/>
          <w:sz w:val="24"/>
          <w:szCs w:val="24"/>
          <w:lang w:eastAsia="es-ES"/>
        </w:rPr>
      </w:pPr>
      <w:r w:rsidRPr="00D14D69">
        <w:rPr>
          <w:rFonts w:ascii="Arial" w:eastAsia="Times New Roman" w:hAnsi="Arial" w:cs="Arial"/>
          <w:b/>
          <w:bCs/>
          <w:i/>
          <w:sz w:val="24"/>
          <w:szCs w:val="24"/>
          <w:lang w:eastAsia="es-ES"/>
        </w:rPr>
        <w:t xml:space="preserve">En atención a lo anterior, esta colegiatura amplió las posibilidades para elegir la vía por medio de la cual, reclamar pretensiones de esta naturaleza, siempre y cuando, cumpla con los requisitos previstos para el ejercicio de una u otra acción. </w:t>
      </w:r>
    </w:p>
    <w:p w:rsidR="005F18D7" w:rsidRPr="00D14D69" w:rsidRDefault="005F18D7" w:rsidP="005F18D7">
      <w:pPr>
        <w:spacing w:after="0" w:line="240" w:lineRule="auto"/>
        <w:ind w:left="720" w:right="618"/>
        <w:jc w:val="both"/>
        <w:rPr>
          <w:rFonts w:ascii="Arial" w:eastAsia="Times New Roman" w:hAnsi="Arial" w:cs="Arial"/>
          <w:bCs/>
          <w:i/>
          <w:sz w:val="24"/>
          <w:szCs w:val="24"/>
          <w:lang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r w:rsidRPr="00D14D69">
        <w:rPr>
          <w:rFonts w:ascii="Arial" w:eastAsia="Times New Roman" w:hAnsi="Arial" w:cs="Arial"/>
          <w:bCs/>
          <w:i/>
          <w:sz w:val="24"/>
          <w:szCs w:val="24"/>
          <w:lang w:eastAsia="es-ES"/>
        </w:rPr>
        <w:t>En el año 2010</w:t>
      </w:r>
      <w:r w:rsidRPr="00D14D69">
        <w:rPr>
          <w:rFonts w:ascii="Arial" w:eastAsia="Times New Roman" w:hAnsi="Arial" w:cs="Arial"/>
          <w:bCs/>
          <w:i/>
          <w:sz w:val="24"/>
          <w:szCs w:val="24"/>
          <w:vertAlign w:val="superscript"/>
          <w:lang w:eastAsia="es-ES"/>
        </w:rPr>
        <w:footnoteReference w:id="20"/>
      </w:r>
      <w:r w:rsidRPr="00D14D69">
        <w:rPr>
          <w:rFonts w:ascii="Arial" w:eastAsia="Times New Roman" w:hAnsi="Arial" w:cs="Arial"/>
          <w:bCs/>
          <w:i/>
          <w:sz w:val="24"/>
          <w:szCs w:val="24"/>
          <w:lang w:eastAsia="es-ES"/>
        </w:rPr>
        <w:t xml:space="preserve">, </w:t>
      </w:r>
      <w:r w:rsidRPr="00D14D69">
        <w:rPr>
          <w:rFonts w:ascii="Arial" w:eastAsia="Times New Roman" w:hAnsi="Arial" w:cs="Arial"/>
          <w:i/>
          <w:sz w:val="24"/>
          <w:szCs w:val="24"/>
          <w:lang w:eastAsia="es-ES"/>
        </w:rPr>
        <w:t xml:space="preserve">se emitió de nuevo un pronunciamiento expreso en materia de la acción procedente, con ocasión del contrato realidad. </w:t>
      </w:r>
      <w:r w:rsidRPr="00D14D69">
        <w:rPr>
          <w:rFonts w:ascii="Arial" w:eastAsia="Times New Roman" w:hAnsi="Arial" w:cs="Arial"/>
          <w:b/>
          <w:i/>
          <w:sz w:val="24"/>
          <w:szCs w:val="24"/>
          <w:lang w:eastAsia="es-ES"/>
        </w:rPr>
        <w:t>En esta ocasión, fue la Sección Tercera de esta Corporación que confirmó la posición según la cual, la acción idónea para tal fin es la de nulidad y restablecimiento del derecho.</w:t>
      </w:r>
      <w:r w:rsidRPr="00D14D69">
        <w:rPr>
          <w:rFonts w:ascii="Arial" w:eastAsia="Times New Roman" w:hAnsi="Arial" w:cs="Arial"/>
          <w:i/>
          <w:sz w:val="24"/>
          <w:szCs w:val="24"/>
          <w:lang w:eastAsia="es-ES"/>
        </w:rPr>
        <w:t xml:space="preserve"> Dicho pronunciamiento se emitió en remembranza de sentencias de la Sección Segunda que datan del año 2007.</w:t>
      </w:r>
      <w:r w:rsidRPr="00D14D69">
        <w:rPr>
          <w:rFonts w:ascii="Arial" w:eastAsia="Times New Roman" w:hAnsi="Arial" w:cs="Arial"/>
          <w:bCs/>
          <w:i/>
          <w:sz w:val="24"/>
          <w:szCs w:val="24"/>
          <w:lang w:eastAsia="es-ES"/>
        </w:rPr>
        <w:t xml:space="preserve"> </w:t>
      </w:r>
      <w:r w:rsidRPr="00D14D69">
        <w:rPr>
          <w:rFonts w:ascii="Arial" w:eastAsia="Times New Roman" w:hAnsi="Arial" w:cs="Arial"/>
          <w:i/>
          <w:sz w:val="24"/>
          <w:szCs w:val="24"/>
          <w:lang w:eastAsia="es-ES"/>
        </w:rPr>
        <w:t xml:space="preserve">La referenciada posición fue </w:t>
      </w:r>
      <w:r w:rsidRPr="00D14D69">
        <w:rPr>
          <w:rFonts w:ascii="Arial" w:eastAsia="Times New Roman" w:hAnsi="Arial" w:cs="Arial"/>
          <w:i/>
          <w:sz w:val="24"/>
          <w:szCs w:val="24"/>
          <w:lang w:eastAsia="es-ES"/>
        </w:rPr>
        <w:lastRenderedPageBreak/>
        <w:t>de nuevo reiterada en providencias de los años 2011</w:t>
      </w:r>
      <w:r w:rsidRPr="00D14D69">
        <w:rPr>
          <w:rFonts w:ascii="Arial" w:eastAsia="Times New Roman" w:hAnsi="Arial" w:cs="Arial"/>
          <w:i/>
          <w:sz w:val="24"/>
          <w:szCs w:val="24"/>
          <w:vertAlign w:val="superscript"/>
          <w:lang w:eastAsia="es-ES"/>
        </w:rPr>
        <w:footnoteReference w:id="21"/>
      </w:r>
      <w:r w:rsidRPr="00D14D69">
        <w:rPr>
          <w:rFonts w:ascii="Arial" w:eastAsia="Times New Roman" w:hAnsi="Arial" w:cs="Arial"/>
          <w:i/>
          <w:sz w:val="24"/>
          <w:szCs w:val="24"/>
          <w:lang w:eastAsia="es-ES"/>
        </w:rPr>
        <w:t>, 2013</w:t>
      </w:r>
      <w:r w:rsidRPr="00D14D69">
        <w:rPr>
          <w:rFonts w:ascii="Arial" w:eastAsia="Times New Roman" w:hAnsi="Arial" w:cs="Arial"/>
          <w:i/>
          <w:sz w:val="24"/>
          <w:szCs w:val="24"/>
          <w:vertAlign w:val="superscript"/>
          <w:lang w:eastAsia="es-ES"/>
        </w:rPr>
        <w:footnoteReference w:id="22"/>
      </w:r>
      <w:r w:rsidRPr="00D14D69">
        <w:rPr>
          <w:rFonts w:ascii="Arial" w:eastAsia="Times New Roman" w:hAnsi="Arial" w:cs="Arial"/>
          <w:i/>
          <w:sz w:val="24"/>
          <w:szCs w:val="24"/>
          <w:lang w:eastAsia="es-ES"/>
        </w:rPr>
        <w:t xml:space="preserve"> y 2014</w:t>
      </w:r>
      <w:r w:rsidRPr="00D14D69">
        <w:rPr>
          <w:rFonts w:ascii="Arial" w:eastAsia="Times New Roman" w:hAnsi="Arial" w:cs="Arial"/>
          <w:i/>
          <w:sz w:val="24"/>
          <w:szCs w:val="24"/>
          <w:vertAlign w:val="superscript"/>
          <w:lang w:eastAsia="es-ES"/>
        </w:rPr>
        <w:footnoteReference w:id="23"/>
      </w:r>
      <w:r w:rsidRPr="00D14D69">
        <w:rPr>
          <w:rFonts w:ascii="Arial" w:eastAsia="Times New Roman" w:hAnsi="Arial" w:cs="Arial"/>
          <w:i/>
          <w:sz w:val="24"/>
          <w:szCs w:val="24"/>
          <w:lang w:eastAsia="es-ES"/>
        </w:rPr>
        <w:t>.</w:t>
      </w: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r w:rsidRPr="00D14D69">
        <w:rPr>
          <w:rFonts w:ascii="Arial" w:eastAsia="Times New Roman" w:hAnsi="Arial" w:cs="Arial"/>
          <w:i/>
          <w:sz w:val="24"/>
          <w:szCs w:val="24"/>
          <w:lang w:eastAsia="es-ES"/>
        </w:rPr>
        <w:t xml:space="preserve">La reseña de las distintas posiciones sentadas por esta Corporación le permite concluir a la Sala que el cambio de criterios ha obedecido al afán de proteger al empleado cuyos derechos laborales han sido conculcados en virtud del encubrimiento de una verdadera relación laboral por medio del uso del contrato de prestación de servicios. </w:t>
      </w:r>
    </w:p>
    <w:p w:rsidR="005F18D7" w:rsidRPr="00D14D69" w:rsidRDefault="005F18D7" w:rsidP="005F18D7">
      <w:pPr>
        <w:spacing w:after="0" w:line="240" w:lineRule="auto"/>
        <w:ind w:left="720" w:right="618"/>
        <w:jc w:val="both"/>
        <w:rPr>
          <w:rFonts w:ascii="Arial" w:eastAsia="Times New Roman" w:hAnsi="Arial" w:cs="Arial"/>
          <w:i/>
          <w:sz w:val="24"/>
          <w:szCs w:val="24"/>
          <w:lang w:eastAsia="es-ES"/>
        </w:rPr>
      </w:pPr>
    </w:p>
    <w:p w:rsidR="005F18D7" w:rsidRPr="00D14D69" w:rsidRDefault="005F18D7" w:rsidP="005F18D7">
      <w:pPr>
        <w:spacing w:after="0" w:line="240" w:lineRule="auto"/>
        <w:ind w:left="720" w:right="618"/>
        <w:jc w:val="both"/>
        <w:rPr>
          <w:rFonts w:ascii="Arial" w:eastAsia="Times New Roman" w:hAnsi="Arial" w:cs="Arial"/>
          <w:sz w:val="24"/>
          <w:szCs w:val="24"/>
          <w:lang w:eastAsia="es-ES"/>
        </w:rPr>
      </w:pPr>
      <w:r w:rsidRPr="00D14D69">
        <w:rPr>
          <w:rFonts w:ascii="Arial" w:eastAsia="Times New Roman" w:hAnsi="Arial" w:cs="Arial"/>
          <w:i/>
          <w:sz w:val="24"/>
          <w:szCs w:val="24"/>
          <w:lang w:eastAsia="es-ES"/>
        </w:rPr>
        <w:t xml:space="preserve">Sin embargo, la disparidad existente impuso precisar cuáles acciones y en qué eventos deben utilizarse para que el administrado tenga la certeza de que está invocando la acción adecuada a los fines perseguidos. </w:t>
      </w:r>
      <w:r w:rsidRPr="00D14D69">
        <w:rPr>
          <w:rFonts w:ascii="Arial" w:eastAsia="Times New Roman" w:hAnsi="Arial" w:cs="Arial"/>
          <w:b/>
          <w:i/>
          <w:sz w:val="24"/>
          <w:szCs w:val="24"/>
          <w:u w:val="single"/>
          <w:lang w:eastAsia="es-ES"/>
        </w:rPr>
        <w:t>Por lo cual, a la fecha, no cabe duda que, para los fines descritos, es la acción de nulidad y restablecimiento del derecho</w:t>
      </w:r>
      <w:r w:rsidRPr="00D14D69">
        <w:rPr>
          <w:rFonts w:ascii="Arial" w:eastAsia="Times New Roman" w:hAnsi="Arial" w:cs="Arial"/>
          <w:i/>
          <w:sz w:val="24"/>
          <w:szCs w:val="24"/>
          <w:lang w:eastAsia="es-ES"/>
        </w:rPr>
        <w:t xml:space="preserve">.» </w:t>
      </w:r>
      <w:r w:rsidRPr="00D14D69">
        <w:rPr>
          <w:rFonts w:ascii="Arial" w:eastAsia="Times New Roman" w:hAnsi="Arial" w:cs="Arial"/>
          <w:sz w:val="24"/>
          <w:szCs w:val="24"/>
          <w:lang w:eastAsia="es-ES"/>
        </w:rPr>
        <w:t>(Resaltado fuera del texto original).</w:t>
      </w:r>
      <w:r w:rsidRPr="00D14D69">
        <w:rPr>
          <w:rFonts w:ascii="Arial" w:eastAsia="Times New Roman" w:hAnsi="Arial" w:cs="Arial"/>
          <w:sz w:val="24"/>
          <w:szCs w:val="24"/>
          <w:vertAlign w:val="superscript"/>
          <w:lang w:eastAsia="es-ES"/>
        </w:rPr>
        <w:footnoteReference w:id="24"/>
      </w: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36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r w:rsidRPr="00D14D69">
        <w:rPr>
          <w:rFonts w:ascii="Arial" w:eastAsia="Times New Roman" w:hAnsi="Arial" w:cs="Arial"/>
          <w:bCs/>
          <w:sz w:val="24"/>
          <w:szCs w:val="24"/>
          <w:lang w:val="es-ES_tradnl" w:eastAsia="es-ES"/>
        </w:rPr>
        <w:t>De otra parte, la Sección Tercera de la Corporación, en sentencia proferida el 23 de junio de 2010</w:t>
      </w:r>
      <w:r w:rsidRPr="00D14D69">
        <w:rPr>
          <w:rFonts w:ascii="Arial" w:eastAsia="Times New Roman" w:hAnsi="Arial" w:cs="Arial"/>
          <w:bCs/>
          <w:sz w:val="24"/>
          <w:szCs w:val="24"/>
          <w:vertAlign w:val="superscript"/>
          <w:lang w:val="es-ES_tradnl" w:eastAsia="es-ES"/>
        </w:rPr>
        <w:footnoteReference w:id="25"/>
      </w:r>
      <w:r w:rsidRPr="00D14D69">
        <w:rPr>
          <w:rFonts w:ascii="Arial" w:eastAsia="Times New Roman" w:hAnsi="Arial" w:cs="Arial"/>
          <w:bCs/>
          <w:sz w:val="24"/>
          <w:szCs w:val="24"/>
          <w:lang w:val="es-ES_tradnl" w:eastAsia="es-ES"/>
        </w:rPr>
        <w:t xml:space="preserve"> y que sirvió de sustento a la decisión aquí censurada, sostuvo:</w:t>
      </w: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p>
    <w:p w:rsidR="005F18D7" w:rsidRPr="00D14D69" w:rsidRDefault="005F18D7" w:rsidP="005F18D7">
      <w:pPr>
        <w:spacing w:after="0" w:line="240" w:lineRule="auto"/>
        <w:ind w:left="567" w:right="335"/>
        <w:jc w:val="both"/>
        <w:rPr>
          <w:rFonts w:ascii="Arial" w:eastAsia="Times New Roman" w:hAnsi="Arial" w:cs="Arial"/>
          <w:i/>
          <w:sz w:val="24"/>
          <w:szCs w:val="24"/>
          <w:lang w:val="es-ES_tradnl" w:eastAsia="es-ES"/>
        </w:rPr>
      </w:pPr>
      <w:r w:rsidRPr="00D14D69">
        <w:rPr>
          <w:rFonts w:ascii="Arial" w:eastAsia="Times New Roman" w:hAnsi="Arial" w:cs="Arial"/>
          <w:i/>
          <w:sz w:val="24"/>
          <w:szCs w:val="24"/>
          <w:lang w:val="es-ES_tradnl" w:eastAsia="es-ES"/>
        </w:rPr>
        <w:t xml:space="preserve">“En pronunciamiento reciente, la Sala sostuvo que  en materia de lo contencioso administrativo la fuente del daño determina la acción procedente para analizar los supuestos en los que se cimienta la controversia, y ésta, a su vez, determina la técnica apropiada en la formulación de las pretensiones de la demanda y la oportunidad en el tiempo para hacerlas valer por la vía jurisdiccional, de manera que </w:t>
      </w:r>
      <w:r w:rsidRPr="00D14D69">
        <w:rPr>
          <w:rFonts w:ascii="Arial" w:eastAsia="Times New Roman" w:hAnsi="Arial" w:cs="Arial"/>
          <w:b/>
          <w:i/>
          <w:sz w:val="24"/>
          <w:szCs w:val="24"/>
          <w:lang w:val="es-ES_tradnl" w:eastAsia="es-ES"/>
        </w:rPr>
        <w:t>si el daño tiene origen en un acto administrativo de carácter particular y concreto, la acción procedente será la de nulidad y restablecimiento del derecho, pues resulta menester para obtener el resarcimiento del perjuicio, el pronunciamiento acerca de la anulabilidad del acto, por violación de los preceptos superiores, a efectos de desvirtuar la presunción de legalidad</w:t>
      </w:r>
      <w:r w:rsidRPr="00D14D69">
        <w:rPr>
          <w:rFonts w:ascii="Arial" w:eastAsia="Times New Roman" w:hAnsi="Arial" w:cs="Arial"/>
          <w:i/>
          <w:sz w:val="24"/>
          <w:szCs w:val="24"/>
          <w:lang w:val="es-ES_tradnl" w:eastAsia="es-ES"/>
        </w:rPr>
        <w:t xml:space="preserve"> y veracidad que revisten tales actos jurídicos y </w:t>
      </w:r>
      <w:r w:rsidRPr="00D14D69">
        <w:rPr>
          <w:rFonts w:ascii="Arial" w:eastAsia="Times New Roman" w:hAnsi="Arial" w:cs="Arial"/>
          <w:i/>
          <w:sz w:val="24"/>
          <w:szCs w:val="24"/>
          <w:lang w:val="es-ES_tradnl" w:eastAsia="es-ES"/>
        </w:rPr>
        <w:lastRenderedPageBreak/>
        <w:t xml:space="preserve">que tornan obligatorio su cumplimiento y obedecimiento en los términos del artículo 66 del C.C.A.                </w:t>
      </w:r>
    </w:p>
    <w:p w:rsidR="005F18D7" w:rsidRPr="00D14D69" w:rsidRDefault="005F18D7" w:rsidP="005F18D7">
      <w:pPr>
        <w:spacing w:after="0" w:line="240" w:lineRule="auto"/>
        <w:ind w:left="567" w:right="335"/>
        <w:jc w:val="both"/>
        <w:rPr>
          <w:rFonts w:ascii="Arial" w:eastAsia="Times New Roman" w:hAnsi="Arial" w:cs="Arial"/>
          <w:i/>
          <w:sz w:val="24"/>
          <w:szCs w:val="24"/>
          <w:lang w:val="es-ES_tradnl" w:eastAsia="es-ES"/>
        </w:rPr>
      </w:pPr>
    </w:p>
    <w:p w:rsidR="005F18D7" w:rsidRPr="00D14D69" w:rsidRDefault="005F18D7" w:rsidP="005F18D7">
      <w:pPr>
        <w:spacing w:after="0" w:line="240" w:lineRule="auto"/>
        <w:ind w:left="567" w:right="335"/>
        <w:jc w:val="both"/>
        <w:rPr>
          <w:rFonts w:ascii="Arial" w:eastAsia="Times New Roman" w:hAnsi="Arial" w:cs="Arial"/>
          <w:i/>
          <w:sz w:val="24"/>
          <w:szCs w:val="24"/>
          <w:lang w:val="es-ES_tradnl" w:eastAsia="es-ES"/>
        </w:rPr>
      </w:pPr>
      <w:r w:rsidRPr="00D14D69">
        <w:rPr>
          <w:rFonts w:ascii="Arial" w:eastAsia="Times New Roman" w:hAnsi="Arial" w:cs="Arial"/>
          <w:b/>
          <w:i/>
          <w:sz w:val="24"/>
          <w:szCs w:val="24"/>
          <w:lang w:val="es-ES_tradnl" w:eastAsia="es-ES"/>
        </w:rPr>
        <w:t>En cuanto a la reclamación por el no pago de las prestaciones sociales a las que tiene derecho una persona en virtud de una relación laboral con la Administración, por aplicación del principio de la realidad sobre las formas en las relaciones de trabajo</w:t>
      </w:r>
      <w:r w:rsidRPr="00D14D69">
        <w:rPr>
          <w:rFonts w:ascii="Arial" w:eastAsia="Times New Roman" w:hAnsi="Arial" w:cs="Arial"/>
          <w:i/>
          <w:sz w:val="24"/>
          <w:szCs w:val="24"/>
          <w:lang w:val="es-ES_tradnl" w:eastAsia="es-ES"/>
        </w:rPr>
        <w:t xml:space="preserve">, la Sección Segunda del Consejo de Estado ha precisado lo siguiente en torno a la acción procedente para hacer efectivos los derechos conculcados: </w:t>
      </w:r>
    </w:p>
    <w:p w:rsidR="005F18D7" w:rsidRPr="00D14D69" w:rsidRDefault="005F18D7" w:rsidP="005F18D7">
      <w:pPr>
        <w:spacing w:after="0" w:line="240" w:lineRule="auto"/>
        <w:ind w:left="567" w:right="335"/>
        <w:jc w:val="both"/>
        <w:rPr>
          <w:rFonts w:ascii="Arial" w:eastAsia="Times New Roman" w:hAnsi="Arial" w:cs="Arial"/>
          <w:i/>
          <w:sz w:val="24"/>
          <w:szCs w:val="24"/>
          <w:lang w:val="es-ES_tradnl" w:eastAsia="es-ES"/>
        </w:rPr>
      </w:pPr>
    </w:p>
    <w:p w:rsidR="005F18D7" w:rsidRPr="00D14D69" w:rsidRDefault="005F18D7" w:rsidP="005F18D7">
      <w:pPr>
        <w:spacing w:after="0" w:line="240" w:lineRule="auto"/>
        <w:ind w:left="993" w:right="618"/>
        <w:jc w:val="both"/>
        <w:rPr>
          <w:rFonts w:ascii="Arial" w:eastAsia="Times New Roman" w:hAnsi="Arial" w:cs="Arial"/>
          <w:i/>
          <w:sz w:val="24"/>
          <w:szCs w:val="24"/>
          <w:lang w:val="es-ES_tradnl" w:eastAsia="es-ES"/>
        </w:rPr>
      </w:pPr>
      <w:r w:rsidRPr="00D14D69">
        <w:rPr>
          <w:rFonts w:ascii="Arial" w:eastAsia="Times New Roman" w:hAnsi="Arial" w:cs="Arial"/>
          <w:i/>
          <w:sz w:val="24"/>
          <w:szCs w:val="24"/>
          <w:lang w:val="es-ES_tradnl" w:eastAsia="es-ES"/>
        </w:rPr>
        <w:t>“</w:t>
      </w:r>
      <w:r w:rsidRPr="00D14D69">
        <w:rPr>
          <w:rFonts w:ascii="Arial" w:eastAsia="Times New Roman" w:hAnsi="Arial" w:cs="Arial"/>
          <w:b/>
          <w:i/>
          <w:sz w:val="24"/>
          <w:szCs w:val="24"/>
          <w:u w:val="single"/>
          <w:lang w:val="es-ES_tradnl" w:eastAsia="es-ES"/>
        </w:rPr>
        <w:t>La acción pertinente es la de nulidad y restablecimiento del derecho</w:t>
      </w:r>
      <w:r w:rsidRPr="00D14D69">
        <w:rPr>
          <w:rFonts w:ascii="Arial" w:eastAsia="Times New Roman" w:hAnsi="Arial" w:cs="Arial"/>
          <w:i/>
          <w:sz w:val="24"/>
          <w:szCs w:val="24"/>
          <w:lang w:val="es-ES_tradnl" w:eastAsia="es-ES"/>
        </w:rPr>
        <w:t xml:space="preserve">, consagrada en el artículo 85 del C.C.A., porque lo que ha debido hacer es demandar el acto administrativo de carácter particular, expreso o ficto, que le negó el pago de las prestaciones sociales reclamadas, por transgredir el ordenamiento jurídico, a efectos de que se le restablezca el derecho lesionado y/o se le repare el daño ocasionado. Lo reclamado por la demandante corresponde definirlo a esta jurisdicción (…), por tratarse de una relación proveniente de la desnaturalización de un contrato de prestación de servicios, conforme a la orden de prestación de servicios 125, en la que la demandante era subcontratista, o, en su defecto, de la declaración de la existencia de una vinculación laboral de hecho. En el primer evento, como lo han reconocido la Corte Constitucional y esta Corporación, es posible desvirtuar el contrato de prestación de servicios cuando se demuestra la subordinación o dependencia respecto del empleador y en ese evento surgirá el derecho al pago de prestaciones sociales en favor del contratista en aplicación del principio de prevalencia de la realidad sobre las formas en las relaciones de trabajo. En el segundo caso se trata de una vinculación totalmente irregular de un empleado público que presta sus servicios sin que exista ninguna clase de relación instrumental o jurídica, simplemente presta sus servicios con el consentimiento y la anuencia de la entidad estatal.  En ambos casos la jurisdicción competente para conocer de la reclamación de las prestaciones se determina con base en las funciones que dice haber ejercido el empleado (criterio funcional) y la entidad a la cual se encontraba vinculado (criterio orgánico), para establecer si se trata de un trabajador oficial, que puede ejercitar la acción laboral ante la jurisdicción ordinaria del trabajo, o de un empleado público, caso en el cual la jurisdicción de lo contencioso administrativo es la que debe definir el asunto. En el caso bajo examen se trata de una empleada que dice haber prestado sus servicios como docente del ente territorial, por lo que la demandante fungía, por criterio orgánico, </w:t>
      </w:r>
      <w:r w:rsidRPr="00D14D69">
        <w:rPr>
          <w:rFonts w:ascii="Arial" w:eastAsia="Times New Roman" w:hAnsi="Arial" w:cs="Arial"/>
          <w:i/>
          <w:sz w:val="24"/>
          <w:szCs w:val="24"/>
          <w:lang w:val="es-ES_tradnl" w:eastAsia="es-ES"/>
        </w:rPr>
        <w:lastRenderedPageBreak/>
        <w:t>como empleada pública (se subraya)”</w:t>
      </w:r>
      <w:r w:rsidRPr="00D14D69">
        <w:rPr>
          <w:rFonts w:ascii="Arial" w:eastAsia="Times New Roman" w:hAnsi="Arial" w:cs="Arial"/>
          <w:spacing w:val="-3"/>
          <w:sz w:val="24"/>
          <w:szCs w:val="24"/>
          <w:vertAlign w:val="superscript"/>
          <w:lang w:val="es-ES_tradnl" w:eastAsia="es-ES"/>
        </w:rPr>
        <w:t xml:space="preserve"> </w:t>
      </w:r>
      <w:r w:rsidRPr="00D14D69">
        <w:rPr>
          <w:rFonts w:ascii="Arial" w:eastAsia="Times New Roman" w:hAnsi="Arial" w:cs="Arial"/>
          <w:spacing w:val="-3"/>
          <w:sz w:val="24"/>
          <w:szCs w:val="24"/>
          <w:vertAlign w:val="superscript"/>
          <w:lang w:val="es-ES_tradnl" w:eastAsia="es-ES"/>
        </w:rPr>
        <w:footnoteReference w:id="26"/>
      </w:r>
      <w:r w:rsidRPr="00D14D69">
        <w:rPr>
          <w:rFonts w:ascii="Arial" w:eastAsia="Times New Roman" w:hAnsi="Arial" w:cs="Arial"/>
          <w:i/>
          <w:sz w:val="24"/>
          <w:szCs w:val="24"/>
          <w:lang w:val="es-ES_tradnl" w:eastAsia="es-ES"/>
        </w:rPr>
        <w:t xml:space="preserve">. </w:t>
      </w:r>
      <w:r w:rsidRPr="00D14D69">
        <w:rPr>
          <w:rFonts w:ascii="Arial" w:eastAsia="Times New Roman" w:hAnsi="Arial" w:cs="Arial"/>
          <w:sz w:val="24"/>
          <w:szCs w:val="24"/>
          <w:lang w:val="es-ES_tradnl" w:eastAsia="es-ES"/>
        </w:rPr>
        <w:t>(Resaltado fuera del texto original).</w:t>
      </w: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r w:rsidRPr="00D14D69">
        <w:rPr>
          <w:rFonts w:ascii="Arial" w:eastAsia="Times New Roman" w:hAnsi="Arial" w:cs="Arial"/>
          <w:bCs/>
          <w:sz w:val="24"/>
          <w:szCs w:val="24"/>
          <w:lang w:val="es-ES_tradnl" w:eastAsia="es-ES"/>
        </w:rPr>
        <w:t>En conclusión y de conformidad con lo sostenido por las Secciones Tercera y Segunda del Consejo de Estado, el medio de control adecuado en tratándose de asuntos que versen sobre la aplicación del principio de la realidad sobre las formas en una relación laboral con la Administración es la de nulidad y restablecimiento del derecho.</w:t>
      </w: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36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360" w:lineRule="auto"/>
        <w:jc w:val="both"/>
        <w:rPr>
          <w:rFonts w:ascii="Arial" w:eastAsia="Times New Roman" w:hAnsi="Arial" w:cs="Arial"/>
          <w:b/>
          <w:bCs/>
          <w:sz w:val="24"/>
          <w:szCs w:val="24"/>
          <w:u w:val="single"/>
          <w:lang w:val="es-ES_tradnl" w:eastAsia="es-ES"/>
        </w:rPr>
      </w:pPr>
      <w:r w:rsidRPr="00D14D69">
        <w:rPr>
          <w:rFonts w:ascii="Arial" w:eastAsia="Times New Roman" w:hAnsi="Arial" w:cs="Arial"/>
          <w:b/>
          <w:bCs/>
          <w:sz w:val="24"/>
          <w:szCs w:val="24"/>
          <w:u w:val="single"/>
          <w:lang w:val="es-ES_tradnl" w:eastAsia="es-ES"/>
        </w:rPr>
        <w:t>Tesis de la Sala en acciones de tutela contra fallos inhibitorios, por indebida escogencia de la acción en materia de contrato realidad.</w:t>
      </w:r>
    </w:p>
    <w:p w:rsidR="005F18D7" w:rsidRPr="00D14D69" w:rsidRDefault="005F18D7" w:rsidP="005F18D7">
      <w:pPr>
        <w:widowControl w:val="0"/>
        <w:spacing w:after="0" w:line="36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sz w:val="24"/>
          <w:szCs w:val="24"/>
          <w:lang w:val="es-CO" w:eastAsia="es-ES"/>
        </w:rPr>
      </w:pPr>
      <w:r w:rsidRPr="00D14D69">
        <w:rPr>
          <w:rFonts w:ascii="Arial" w:eastAsia="Times New Roman" w:hAnsi="Arial" w:cs="Arial"/>
          <w:bCs/>
          <w:sz w:val="24"/>
          <w:szCs w:val="24"/>
          <w:lang w:val="es-ES_tradnl" w:eastAsia="es-ES"/>
        </w:rPr>
        <w:t>Mediante fallo de 14 de abril de 2016 (Expediente núm. 2016-00141-00, Consejera ponente: María Elizabeth García González), recogido en fallo de 12 de mayo del mismo año</w:t>
      </w:r>
      <w:r w:rsidRPr="00D14D69">
        <w:rPr>
          <w:rFonts w:ascii="Arial" w:eastAsia="Times New Roman" w:hAnsi="Arial" w:cs="Arial"/>
          <w:bCs/>
          <w:sz w:val="24"/>
          <w:szCs w:val="24"/>
          <w:vertAlign w:val="superscript"/>
          <w:lang w:val="es-ES_tradnl" w:eastAsia="es-ES"/>
        </w:rPr>
        <w:footnoteReference w:id="27"/>
      </w:r>
      <w:r w:rsidRPr="00D14D69">
        <w:rPr>
          <w:rFonts w:ascii="Arial" w:eastAsia="Times New Roman" w:hAnsi="Arial" w:cs="Arial"/>
          <w:bCs/>
          <w:sz w:val="24"/>
          <w:szCs w:val="24"/>
          <w:lang w:val="es-ES_tradnl" w:eastAsia="es-ES"/>
        </w:rPr>
        <w:t xml:space="preserve">, la Sala, al resolver las acciones de tutela promovidas por escoltas que laboraron al servicio del extinto </w:t>
      </w:r>
      <w:r w:rsidRPr="00D14D69">
        <w:rPr>
          <w:rFonts w:ascii="Arial" w:eastAsia="Times New Roman" w:hAnsi="Arial" w:cs="Arial"/>
          <w:b/>
          <w:bCs/>
          <w:sz w:val="24"/>
          <w:szCs w:val="24"/>
          <w:lang w:val="es-ES_tradnl" w:eastAsia="es-ES"/>
        </w:rPr>
        <w:t>DEPARTAMENTO ADMINISTRATIVO DE SEGURIDAD -DAS-,</w:t>
      </w:r>
      <w:r w:rsidRPr="00D14D69">
        <w:rPr>
          <w:rFonts w:ascii="Arial" w:eastAsia="Times New Roman" w:hAnsi="Arial" w:cs="Arial"/>
          <w:bCs/>
          <w:sz w:val="24"/>
          <w:szCs w:val="24"/>
          <w:lang w:val="es-ES_tradnl" w:eastAsia="es-ES"/>
        </w:rPr>
        <w:t xml:space="preserve"> contra las sentencias inhibitorias del </w:t>
      </w:r>
      <w:r w:rsidRPr="00D14D69">
        <w:rPr>
          <w:rFonts w:ascii="Arial" w:eastAsia="Times New Roman" w:hAnsi="Arial" w:cs="Arial"/>
          <w:b/>
          <w:bCs/>
          <w:sz w:val="24"/>
          <w:szCs w:val="24"/>
          <w:lang w:val="es-ES_tradnl" w:eastAsia="es-ES"/>
        </w:rPr>
        <w:t xml:space="preserve">TRIBUNAL ADMINISTRATIVO DEL HUILA, </w:t>
      </w:r>
      <w:r w:rsidRPr="00D14D69">
        <w:rPr>
          <w:rFonts w:ascii="Arial" w:eastAsia="Times New Roman" w:hAnsi="Arial" w:cs="Arial"/>
          <w:bCs/>
          <w:sz w:val="24"/>
          <w:szCs w:val="24"/>
          <w:lang w:val="es-ES_tradnl" w:eastAsia="es-ES"/>
        </w:rPr>
        <w:t xml:space="preserve">fundamentadas en idéntico raciocinio al que se examina en el </w:t>
      </w:r>
      <w:r w:rsidRPr="00D14D69">
        <w:rPr>
          <w:rFonts w:ascii="Arial" w:eastAsia="Times New Roman" w:hAnsi="Arial" w:cs="Arial"/>
          <w:bCs/>
          <w:i/>
          <w:sz w:val="24"/>
          <w:szCs w:val="24"/>
          <w:lang w:val="es-ES_tradnl" w:eastAsia="es-ES"/>
        </w:rPr>
        <w:t xml:space="preserve">sub lite, </w:t>
      </w:r>
      <w:r w:rsidRPr="00D14D69">
        <w:rPr>
          <w:rFonts w:ascii="Arial" w:eastAsia="Times New Roman" w:hAnsi="Arial" w:cs="Arial"/>
          <w:bCs/>
          <w:sz w:val="24"/>
          <w:szCs w:val="24"/>
          <w:lang w:val="es-ES_tradnl" w:eastAsia="es-ES"/>
        </w:rPr>
        <w:t xml:space="preserve">resolvió no conceder el amparo solicitado, en consideración a que en dichos casos no le era posible al Tribunal accionado proferir un fallo de fondo, debido a que el objeto de las pretensiones de los demandantes no correspondía a la acción de controversias contractuales promovida y tampoco era </w:t>
      </w:r>
      <w:r w:rsidRPr="00D14D69">
        <w:rPr>
          <w:rFonts w:ascii="Arial" w:eastAsia="Times New Roman" w:hAnsi="Arial" w:cs="Arial"/>
          <w:bCs/>
          <w:sz w:val="24"/>
          <w:szCs w:val="24"/>
          <w:lang w:val="es-ES_tradnl" w:eastAsia="es-ES"/>
        </w:rPr>
        <w:lastRenderedPageBreak/>
        <w:t xml:space="preserve">procedente interpretar la acción como de nulidad y restablecimiento del derecho, bajo el principio </w:t>
      </w:r>
      <w:proofErr w:type="spellStart"/>
      <w:r w:rsidRPr="00D14D69">
        <w:rPr>
          <w:rFonts w:ascii="Arial" w:eastAsia="Times New Roman" w:hAnsi="Arial" w:cs="Arial"/>
          <w:i/>
          <w:sz w:val="24"/>
          <w:szCs w:val="24"/>
          <w:lang w:val="es-CO" w:eastAsia="es-ES"/>
        </w:rPr>
        <w:t>iura</w:t>
      </w:r>
      <w:proofErr w:type="spellEnd"/>
      <w:r w:rsidRPr="00D14D69">
        <w:rPr>
          <w:rFonts w:ascii="Arial" w:eastAsia="Times New Roman" w:hAnsi="Arial" w:cs="Arial"/>
          <w:i/>
          <w:sz w:val="24"/>
          <w:szCs w:val="24"/>
          <w:lang w:val="es-CO" w:eastAsia="es-ES"/>
        </w:rPr>
        <w:t xml:space="preserve"> </w:t>
      </w:r>
      <w:proofErr w:type="spellStart"/>
      <w:r w:rsidRPr="00D14D69">
        <w:rPr>
          <w:rFonts w:ascii="Arial" w:eastAsia="Times New Roman" w:hAnsi="Arial" w:cs="Arial"/>
          <w:i/>
          <w:sz w:val="24"/>
          <w:szCs w:val="24"/>
          <w:lang w:val="es-CO" w:eastAsia="es-ES"/>
        </w:rPr>
        <w:t>novit</w:t>
      </w:r>
      <w:proofErr w:type="spellEnd"/>
      <w:r w:rsidRPr="00D14D69">
        <w:rPr>
          <w:rFonts w:ascii="Arial" w:eastAsia="Times New Roman" w:hAnsi="Arial" w:cs="Arial"/>
          <w:i/>
          <w:sz w:val="24"/>
          <w:szCs w:val="24"/>
          <w:lang w:val="es-CO" w:eastAsia="es-ES"/>
        </w:rPr>
        <w:t xml:space="preserve"> curia</w:t>
      </w:r>
      <w:r w:rsidRPr="00D14D69">
        <w:rPr>
          <w:rFonts w:ascii="Arial" w:eastAsia="Times New Roman" w:hAnsi="Arial" w:cs="Arial"/>
          <w:sz w:val="24"/>
          <w:szCs w:val="24"/>
          <w:lang w:val="es-CO" w:eastAsia="es-ES"/>
        </w:rPr>
        <w:t xml:space="preserve">, por cuanto no se provocó el pronunciamiento de la Administración que diera lugar a examinar la legalidad del acto administrativo obtenido. </w:t>
      </w:r>
    </w:p>
    <w:p w:rsidR="005F18D7" w:rsidRPr="00D14D69" w:rsidRDefault="005F18D7" w:rsidP="005F18D7">
      <w:pPr>
        <w:widowControl w:val="0"/>
        <w:spacing w:after="0" w:line="480" w:lineRule="auto"/>
        <w:jc w:val="both"/>
        <w:rPr>
          <w:rFonts w:ascii="Arial" w:eastAsia="Times New Roman" w:hAnsi="Arial" w:cs="Arial"/>
          <w:sz w:val="24"/>
          <w:szCs w:val="24"/>
          <w:lang w:val="es-CO" w:eastAsia="es-ES"/>
        </w:rPr>
      </w:pPr>
    </w:p>
    <w:p w:rsidR="005F18D7" w:rsidRPr="00D14D69" w:rsidRDefault="005F18D7" w:rsidP="005F18D7">
      <w:pPr>
        <w:widowControl w:val="0"/>
        <w:spacing w:after="0" w:line="480" w:lineRule="auto"/>
        <w:jc w:val="both"/>
        <w:rPr>
          <w:rFonts w:ascii="Arial" w:eastAsia="Times New Roman" w:hAnsi="Arial" w:cs="Arial"/>
          <w:sz w:val="24"/>
          <w:szCs w:val="24"/>
          <w:lang w:val="es-CO" w:eastAsia="es-ES"/>
        </w:rPr>
      </w:pPr>
      <w:r w:rsidRPr="00D14D69">
        <w:rPr>
          <w:rFonts w:ascii="Arial" w:eastAsia="Times New Roman" w:hAnsi="Arial" w:cs="Arial"/>
          <w:sz w:val="24"/>
          <w:szCs w:val="24"/>
          <w:lang w:val="es-CO" w:eastAsia="es-ES"/>
        </w:rPr>
        <w:t>En tales casos, la Sala indicó:</w:t>
      </w:r>
    </w:p>
    <w:p w:rsidR="005F18D7" w:rsidRPr="00D14D69" w:rsidRDefault="005F18D7" w:rsidP="005F18D7">
      <w:pPr>
        <w:spacing w:after="0" w:line="240" w:lineRule="auto"/>
        <w:ind w:left="720" w:right="618"/>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 xml:space="preserve">«Es claro entonces, que </w:t>
      </w:r>
      <w:proofErr w:type="spellStart"/>
      <w:r w:rsidRPr="00D14D69">
        <w:rPr>
          <w:rFonts w:ascii="Arial" w:eastAsia="Times New Roman" w:hAnsi="Arial" w:cs="Arial"/>
          <w:i/>
          <w:sz w:val="24"/>
          <w:szCs w:val="24"/>
          <w:lang w:val="es-CO" w:eastAsia="es-ES"/>
        </w:rPr>
        <w:t>aún</w:t>
      </w:r>
      <w:proofErr w:type="spellEnd"/>
      <w:r w:rsidRPr="00D14D69">
        <w:rPr>
          <w:rFonts w:ascii="Arial" w:eastAsia="Times New Roman" w:hAnsi="Arial" w:cs="Arial"/>
          <w:i/>
          <w:sz w:val="24"/>
          <w:szCs w:val="24"/>
          <w:lang w:val="es-CO" w:eastAsia="es-ES"/>
        </w:rPr>
        <w:t xml:space="preserve"> cuando la acción de controversias contractuales permite gran variedad de pretensiones, con ocasión de las relaciones contractuales con el Estado, ninguna de ellas, de conformidad con lo dispuesto en el artículo 87 del C.C.A</w:t>
      </w:r>
      <w:r w:rsidRPr="00D14D69">
        <w:rPr>
          <w:rFonts w:ascii="Arial" w:eastAsia="Times New Roman" w:hAnsi="Arial" w:cs="Arial"/>
          <w:b/>
          <w:i/>
          <w:sz w:val="24"/>
          <w:szCs w:val="24"/>
          <w:lang w:val="es-CO" w:eastAsia="es-ES"/>
        </w:rPr>
        <w:t>., se dirige a obtener la declaratoria de existencia de una relación laboral y el reconocimiento y pago de las prestaciones económicas que se deriven de la misma</w:t>
      </w:r>
      <w:r w:rsidRPr="00D14D69">
        <w:rPr>
          <w:rFonts w:ascii="Arial" w:eastAsia="Times New Roman" w:hAnsi="Arial" w:cs="Arial"/>
          <w:i/>
          <w:sz w:val="24"/>
          <w:szCs w:val="24"/>
          <w:lang w:val="es-CO" w:eastAsia="es-ES"/>
        </w:rPr>
        <w:t>.</w:t>
      </w:r>
    </w:p>
    <w:p w:rsidR="005F18D7" w:rsidRPr="00D14D69" w:rsidRDefault="005F18D7" w:rsidP="005F18D7">
      <w:pPr>
        <w:spacing w:after="0" w:line="240" w:lineRule="auto"/>
        <w:ind w:left="720" w:right="618"/>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 xml:space="preserve">Por lo tanto, en el asunto que ocupa la atención de la Sala, no </w:t>
      </w:r>
      <w:r w:rsidRPr="00D14D69">
        <w:rPr>
          <w:rFonts w:ascii="Arial" w:eastAsia="Times New Roman" w:hAnsi="Arial" w:cs="Arial"/>
          <w:b/>
          <w:i/>
          <w:sz w:val="24"/>
          <w:szCs w:val="24"/>
          <w:u w:val="single"/>
          <w:lang w:val="es-CO" w:eastAsia="es-ES"/>
        </w:rPr>
        <w:t>le era posible al Tribunal demandado proferir un fallo de fondo si se tiene en cuenta que el objeto de las pretensiones del actor no correspondía a la acción de controversias contractuales que ejerció</w:t>
      </w:r>
      <w:r w:rsidRPr="00D14D69">
        <w:rPr>
          <w:rFonts w:ascii="Arial" w:eastAsia="Times New Roman" w:hAnsi="Arial" w:cs="Arial"/>
          <w:i/>
          <w:sz w:val="24"/>
          <w:szCs w:val="24"/>
          <w:lang w:val="es-CO" w:eastAsia="es-ES"/>
        </w:rPr>
        <w:t>.</w:t>
      </w:r>
    </w:p>
    <w:p w:rsidR="005F18D7" w:rsidRPr="00D14D69" w:rsidRDefault="005F18D7" w:rsidP="005F18D7">
      <w:pPr>
        <w:spacing w:after="0" w:line="240" w:lineRule="auto"/>
        <w:ind w:left="720" w:right="618"/>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val="es-CO" w:eastAsia="es-ES"/>
        </w:rPr>
      </w:pPr>
      <w:r w:rsidRPr="00D14D69">
        <w:rPr>
          <w:rFonts w:ascii="Arial" w:eastAsia="Times New Roman" w:hAnsi="Arial" w:cs="Arial"/>
          <w:i/>
          <w:sz w:val="24"/>
          <w:szCs w:val="24"/>
          <w:lang w:val="es-CO" w:eastAsia="es-ES"/>
        </w:rPr>
        <w:t xml:space="preserve">Ahora bien, la Sala estima que en virtud del principio </w:t>
      </w:r>
      <w:proofErr w:type="spellStart"/>
      <w:r w:rsidRPr="00D14D69">
        <w:rPr>
          <w:rFonts w:ascii="Arial" w:eastAsia="Times New Roman" w:hAnsi="Arial" w:cs="Arial"/>
          <w:i/>
          <w:sz w:val="24"/>
          <w:szCs w:val="24"/>
          <w:lang w:val="es-CO" w:eastAsia="es-ES"/>
        </w:rPr>
        <w:t>iura</w:t>
      </w:r>
      <w:proofErr w:type="spellEnd"/>
      <w:r w:rsidRPr="00D14D69">
        <w:rPr>
          <w:rFonts w:ascii="Arial" w:eastAsia="Times New Roman" w:hAnsi="Arial" w:cs="Arial"/>
          <w:i/>
          <w:sz w:val="24"/>
          <w:szCs w:val="24"/>
          <w:lang w:val="es-CO" w:eastAsia="es-ES"/>
        </w:rPr>
        <w:t xml:space="preserve"> </w:t>
      </w:r>
      <w:proofErr w:type="spellStart"/>
      <w:r w:rsidRPr="00D14D69">
        <w:rPr>
          <w:rFonts w:ascii="Arial" w:eastAsia="Times New Roman" w:hAnsi="Arial" w:cs="Arial"/>
          <w:i/>
          <w:sz w:val="24"/>
          <w:szCs w:val="24"/>
          <w:lang w:val="es-CO" w:eastAsia="es-ES"/>
        </w:rPr>
        <w:t>novit</w:t>
      </w:r>
      <w:proofErr w:type="spellEnd"/>
      <w:r w:rsidRPr="00D14D69">
        <w:rPr>
          <w:rFonts w:ascii="Arial" w:eastAsia="Times New Roman" w:hAnsi="Arial" w:cs="Arial"/>
          <w:i/>
          <w:sz w:val="24"/>
          <w:szCs w:val="24"/>
          <w:lang w:val="es-CO" w:eastAsia="es-ES"/>
        </w:rPr>
        <w:t xml:space="preserve"> curia y en aras de garantizar la prevalencia del derecho sustancial sobre el formal, el operador jurídico tiene el deber de adecuar el trámite que se ha impartido en forma incorrecta a un proceso, por indebida escogencia de la acción, si los hechos, las pretensiones y pruebas aportadas al mismo permiten adoptar una decisión de fondo en contraposición a la inhibición, y no como lo sostuvo el Tribunal Administrativo del Huila en su sentencia, al señalar que: “no procede, por ejemplo, modificar o reformar la acción escogida por el actor, de tal manera que si fuere indebidamente escogida la acción, lo jurídico es declararlo así mediante la figura de la excepción de inepta demanda…”.</w:t>
      </w:r>
    </w:p>
    <w:p w:rsidR="005F18D7" w:rsidRPr="00D14D69" w:rsidRDefault="005F18D7" w:rsidP="005F18D7">
      <w:pPr>
        <w:spacing w:after="0" w:line="240" w:lineRule="auto"/>
        <w:ind w:left="720" w:right="618"/>
        <w:jc w:val="both"/>
        <w:rPr>
          <w:rFonts w:ascii="Arial" w:eastAsia="Times New Roman" w:hAnsi="Arial" w:cs="Arial"/>
          <w:i/>
          <w:sz w:val="24"/>
          <w:szCs w:val="24"/>
          <w:lang w:val="es-CO" w:eastAsia="es-ES"/>
        </w:rPr>
      </w:pPr>
    </w:p>
    <w:p w:rsidR="005F18D7" w:rsidRPr="00D14D69" w:rsidRDefault="005F18D7" w:rsidP="005F18D7">
      <w:pPr>
        <w:spacing w:after="0" w:line="240" w:lineRule="auto"/>
        <w:ind w:left="720" w:right="618"/>
        <w:jc w:val="both"/>
        <w:rPr>
          <w:rFonts w:ascii="Arial" w:eastAsia="Times New Roman" w:hAnsi="Arial" w:cs="Arial"/>
          <w:sz w:val="24"/>
          <w:szCs w:val="24"/>
          <w:lang w:val="es-ES_tradnl" w:eastAsia="es-ES"/>
        </w:rPr>
      </w:pPr>
      <w:r w:rsidRPr="00D14D69">
        <w:rPr>
          <w:rFonts w:ascii="Arial" w:eastAsia="Times New Roman" w:hAnsi="Arial" w:cs="Arial"/>
          <w:b/>
          <w:i/>
          <w:sz w:val="24"/>
          <w:szCs w:val="24"/>
          <w:lang w:val="es-CO" w:eastAsia="es-ES"/>
        </w:rPr>
        <w:t xml:space="preserve">Sin embargo, tal afirmación errada del Tribunal demandado no es suficiente para concluir que se vulneraron los derechos fundamentales del actor, pues </w:t>
      </w:r>
      <w:proofErr w:type="spellStart"/>
      <w:r w:rsidRPr="00D14D69">
        <w:rPr>
          <w:rFonts w:ascii="Arial" w:eastAsia="Times New Roman" w:hAnsi="Arial" w:cs="Arial"/>
          <w:b/>
          <w:i/>
          <w:sz w:val="24"/>
          <w:szCs w:val="24"/>
          <w:lang w:val="es-CO" w:eastAsia="es-ES"/>
        </w:rPr>
        <w:t>aún</w:t>
      </w:r>
      <w:proofErr w:type="spellEnd"/>
      <w:r w:rsidRPr="00D14D69">
        <w:rPr>
          <w:rFonts w:ascii="Arial" w:eastAsia="Times New Roman" w:hAnsi="Arial" w:cs="Arial"/>
          <w:b/>
          <w:i/>
          <w:sz w:val="24"/>
          <w:szCs w:val="24"/>
          <w:lang w:val="es-CO" w:eastAsia="es-ES"/>
        </w:rPr>
        <w:t xml:space="preserve"> </w:t>
      </w:r>
      <w:r w:rsidRPr="00D14D69">
        <w:rPr>
          <w:rFonts w:ascii="Arial" w:eastAsia="Times New Roman" w:hAnsi="Arial" w:cs="Arial"/>
          <w:i/>
          <w:sz w:val="24"/>
          <w:szCs w:val="24"/>
          <w:lang w:val="es-CO" w:eastAsia="es-ES"/>
        </w:rPr>
        <w:t xml:space="preserve">cuando se aceptara, en gracia de discusión, que el litigio fue resuelto como si se tratara de una acción de nulidad y restablecimiento del derecho, </w:t>
      </w:r>
      <w:r w:rsidRPr="00D14D69">
        <w:rPr>
          <w:rFonts w:ascii="Arial" w:eastAsia="Times New Roman" w:hAnsi="Arial" w:cs="Arial"/>
          <w:b/>
          <w:i/>
          <w:sz w:val="24"/>
          <w:szCs w:val="24"/>
          <w:u w:val="single"/>
          <w:lang w:val="es-CO" w:eastAsia="es-ES"/>
        </w:rPr>
        <w:t>tampoco habría sido posible un fallo de fondo por carencia de acto administrativo cuya legalidad pudiera ser evaluada</w:t>
      </w:r>
      <w:r w:rsidRPr="00D14D69">
        <w:rPr>
          <w:rFonts w:ascii="Arial" w:eastAsia="Times New Roman" w:hAnsi="Arial" w:cs="Arial"/>
          <w:b/>
          <w:i/>
          <w:sz w:val="24"/>
          <w:szCs w:val="24"/>
          <w:lang w:val="es-CO" w:eastAsia="es-ES"/>
        </w:rPr>
        <w:t>,</w:t>
      </w:r>
      <w:r w:rsidRPr="00D14D69">
        <w:rPr>
          <w:rFonts w:ascii="Arial" w:eastAsia="Times New Roman" w:hAnsi="Arial" w:cs="Arial"/>
          <w:i/>
          <w:sz w:val="24"/>
          <w:szCs w:val="24"/>
          <w:lang w:val="es-CO" w:eastAsia="es-ES"/>
        </w:rPr>
        <w:t xml:space="preserve"> como lo advirtió la sentencia </w:t>
      </w:r>
      <w:r w:rsidRPr="00D14D69">
        <w:rPr>
          <w:rFonts w:ascii="Arial" w:eastAsia="Times New Roman" w:hAnsi="Arial" w:cs="Arial"/>
          <w:i/>
          <w:sz w:val="24"/>
          <w:szCs w:val="24"/>
          <w:lang w:val="es-CO" w:eastAsia="es-ES"/>
        </w:rPr>
        <w:lastRenderedPageBreak/>
        <w:t>acusada. En consecuencia, no se vislumbra la vulneración alegada por el demandante, lo cual conduce a denegar la solicitud de amparo.»</w:t>
      </w:r>
      <w:r w:rsidRPr="00D14D69">
        <w:rPr>
          <w:rFonts w:ascii="Arial" w:eastAsia="Times New Roman" w:hAnsi="Arial" w:cs="Arial"/>
          <w:i/>
          <w:sz w:val="24"/>
          <w:szCs w:val="24"/>
          <w:vertAlign w:val="superscript"/>
          <w:lang w:val="es-CO" w:eastAsia="es-ES"/>
        </w:rPr>
        <w:footnoteReference w:id="28"/>
      </w:r>
      <w:r w:rsidRPr="00D14D69">
        <w:rPr>
          <w:rFonts w:ascii="Arial" w:eastAsia="Times New Roman" w:hAnsi="Arial" w:cs="Arial"/>
          <w:i/>
          <w:sz w:val="24"/>
          <w:szCs w:val="24"/>
          <w:lang w:val="es-ES_tradnl" w:eastAsia="es-ES"/>
        </w:rPr>
        <w:t xml:space="preserve"> </w:t>
      </w:r>
      <w:r w:rsidRPr="00D14D69">
        <w:rPr>
          <w:rFonts w:ascii="Arial" w:eastAsia="Times New Roman" w:hAnsi="Arial" w:cs="Arial"/>
          <w:sz w:val="24"/>
          <w:szCs w:val="24"/>
          <w:lang w:val="es-ES_tradnl" w:eastAsia="es-ES"/>
        </w:rPr>
        <w:t>(Resaltado fuera del texto original).</w:t>
      </w: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r w:rsidRPr="00D14D69">
        <w:rPr>
          <w:rFonts w:ascii="Arial" w:eastAsia="Times New Roman" w:hAnsi="Arial" w:cs="Arial"/>
          <w:i/>
          <w:sz w:val="24"/>
          <w:szCs w:val="24"/>
          <w:lang w:val="es-ES_tradnl" w:eastAsia="es-ES"/>
        </w:rPr>
        <w:t xml:space="preserve">«Al revisar el caso concreto, la Sala considera que el Tribunal Administrativo del Huila no incurrió en este defecto alegado, </w:t>
      </w:r>
      <w:r w:rsidRPr="00D14D69">
        <w:rPr>
          <w:rFonts w:ascii="Arial" w:eastAsia="Times New Roman" w:hAnsi="Arial" w:cs="Arial"/>
          <w:b/>
          <w:i/>
          <w:sz w:val="24"/>
          <w:szCs w:val="24"/>
          <w:lang w:val="es-ES_tradnl" w:eastAsia="es-ES"/>
        </w:rPr>
        <w:t>ya que las pretensiones del demandante no se enmarcaban en la acción contractual ni en la de nulidad y restablecimiento del derecho,</w:t>
      </w:r>
      <w:r w:rsidRPr="00D14D69">
        <w:rPr>
          <w:rFonts w:ascii="Arial" w:eastAsia="Times New Roman" w:hAnsi="Arial" w:cs="Arial"/>
          <w:i/>
          <w:sz w:val="24"/>
          <w:szCs w:val="24"/>
          <w:lang w:val="es-ES_tradnl" w:eastAsia="es-ES"/>
        </w:rPr>
        <w:t xml:space="preserve"> esto es, haber sustentado las pretensiones de la nulidad, ya hubiese sido relativa o absoluta del contrato en las causales establecidas por el ordenamiento jurídico o haber demandado un acto administrativo.</w:t>
      </w: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p>
    <w:p w:rsidR="005F18D7" w:rsidRPr="00D14D69" w:rsidRDefault="005F18D7" w:rsidP="005F18D7">
      <w:pPr>
        <w:spacing w:after="0" w:line="240" w:lineRule="auto"/>
        <w:ind w:left="720" w:right="618"/>
        <w:jc w:val="both"/>
        <w:rPr>
          <w:rFonts w:ascii="Arial" w:eastAsia="Times New Roman" w:hAnsi="Arial" w:cs="Arial"/>
          <w:sz w:val="24"/>
          <w:szCs w:val="24"/>
          <w:lang w:val="es-ES_tradnl" w:eastAsia="es-ES"/>
        </w:rPr>
      </w:pPr>
      <w:r w:rsidRPr="00D14D69">
        <w:rPr>
          <w:rFonts w:ascii="Arial" w:eastAsia="Times New Roman" w:hAnsi="Arial" w:cs="Arial"/>
          <w:i/>
          <w:sz w:val="24"/>
          <w:szCs w:val="24"/>
          <w:lang w:val="es-ES_tradnl" w:eastAsia="es-ES"/>
        </w:rPr>
        <w:t xml:space="preserve">Bajo el anterior contexto, considera la Sala tampoco se configura el defecto procedimental por exceso ritual manifiesto, ya que el Tribunal accionado, previo a resolver de fondo el litigio propuesto, examinó la existencia de los presupuestos de derecho de acción, encontrándose con </w:t>
      </w:r>
      <w:r w:rsidRPr="00D14D69">
        <w:rPr>
          <w:rFonts w:ascii="Arial" w:eastAsia="Times New Roman" w:hAnsi="Arial" w:cs="Arial"/>
          <w:b/>
          <w:i/>
          <w:sz w:val="24"/>
          <w:szCs w:val="24"/>
          <w:u w:val="single"/>
          <w:lang w:val="es-ES_tradnl" w:eastAsia="es-ES"/>
        </w:rPr>
        <w:t>la imposibilidad de adecuar el caso al procedimiento de la acción contractual por no haberse sustentado la nulidad del contrato en las causales establecidas por el ordenamiento jurídico y, en el impedimento de adecuar las pretensiones a la acción de nulidad y restablecimiento del derecho, toda vez que no se estaba demandando un acto administrativo, circunstancias que lo llevaron a inhibirse de resolver de fondo</w:t>
      </w:r>
      <w:r w:rsidRPr="00D14D69">
        <w:rPr>
          <w:rFonts w:ascii="Arial" w:eastAsia="Times New Roman" w:hAnsi="Arial" w:cs="Arial"/>
          <w:i/>
          <w:sz w:val="24"/>
          <w:szCs w:val="24"/>
          <w:lang w:val="es-ES_tradnl" w:eastAsia="es-ES"/>
        </w:rPr>
        <w:t>.</w:t>
      </w:r>
      <w:r w:rsidRPr="00D14D69">
        <w:rPr>
          <w:rFonts w:ascii="Arial" w:eastAsia="Times New Roman" w:hAnsi="Arial" w:cs="Arial"/>
          <w:i/>
          <w:sz w:val="24"/>
          <w:szCs w:val="24"/>
          <w:lang w:val="es-CO" w:eastAsia="es-ES"/>
        </w:rPr>
        <w:t>»</w:t>
      </w:r>
      <w:r w:rsidRPr="00D14D69">
        <w:rPr>
          <w:rFonts w:ascii="Arial" w:eastAsia="Times New Roman" w:hAnsi="Arial" w:cs="Arial"/>
          <w:i/>
          <w:sz w:val="24"/>
          <w:szCs w:val="24"/>
          <w:vertAlign w:val="superscript"/>
          <w:lang w:val="es-CO" w:eastAsia="es-ES"/>
        </w:rPr>
        <w:footnoteReference w:id="29"/>
      </w:r>
      <w:r w:rsidRPr="00D14D69">
        <w:rPr>
          <w:rFonts w:ascii="Arial" w:eastAsia="Times New Roman" w:hAnsi="Arial" w:cs="Arial"/>
          <w:i/>
          <w:sz w:val="24"/>
          <w:szCs w:val="24"/>
          <w:lang w:val="es-ES_tradnl" w:eastAsia="es-ES"/>
        </w:rPr>
        <w:t xml:space="preserve"> </w:t>
      </w:r>
      <w:r w:rsidRPr="00D14D69">
        <w:rPr>
          <w:rFonts w:ascii="Arial" w:eastAsia="Times New Roman" w:hAnsi="Arial" w:cs="Arial"/>
          <w:sz w:val="24"/>
          <w:szCs w:val="24"/>
          <w:lang w:val="es-ES_tradnl" w:eastAsia="es-ES"/>
        </w:rPr>
        <w:t>(Resaltado fuera del texto original).</w:t>
      </w: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val="es-CO" w:eastAsia="es-ES"/>
        </w:rPr>
      </w:pPr>
    </w:p>
    <w:p w:rsidR="005F18D7" w:rsidRPr="00D14D69" w:rsidRDefault="005F18D7" w:rsidP="005F18D7">
      <w:pPr>
        <w:widowControl w:val="0"/>
        <w:spacing w:after="0" w:line="240" w:lineRule="auto"/>
        <w:jc w:val="both"/>
        <w:rPr>
          <w:rFonts w:ascii="Arial" w:eastAsia="Times New Roman" w:hAnsi="Arial" w:cs="Arial"/>
          <w:bCs/>
          <w:sz w:val="24"/>
          <w:szCs w:val="24"/>
          <w:lang w:val="es-ES_tradnl" w:eastAsia="es-ES"/>
        </w:rPr>
      </w:pPr>
      <w:r w:rsidRPr="00D14D69">
        <w:rPr>
          <w:rFonts w:ascii="Arial" w:eastAsia="Times New Roman" w:hAnsi="Arial" w:cs="Arial"/>
          <w:sz w:val="24"/>
          <w:szCs w:val="24"/>
          <w:lang w:val="es-CO" w:eastAsia="es-ES"/>
        </w:rPr>
        <w:t xml:space="preserve"> </w:t>
      </w:r>
      <w:r w:rsidRPr="00D14D69">
        <w:rPr>
          <w:rFonts w:ascii="Arial" w:eastAsia="Times New Roman" w:hAnsi="Arial" w:cs="Arial"/>
          <w:b/>
          <w:i/>
          <w:sz w:val="24"/>
          <w:szCs w:val="24"/>
          <w:lang w:val="es-CO" w:eastAsia="es-ES"/>
        </w:rPr>
        <w:t xml:space="preserve"> </w:t>
      </w: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r w:rsidRPr="00D14D69">
        <w:rPr>
          <w:rFonts w:ascii="Arial" w:eastAsia="Times New Roman" w:hAnsi="Arial" w:cs="Arial"/>
          <w:bCs/>
          <w:sz w:val="24"/>
          <w:szCs w:val="24"/>
          <w:lang w:val="es-ES_tradnl" w:eastAsia="es-ES"/>
        </w:rPr>
        <w:t xml:space="preserve">De otra parte, la Sección Cuarta de la Corporación fundamentó la decisión de no conceder la tutela en similares casos, argumentando que: </w:t>
      </w:r>
    </w:p>
    <w:p w:rsidR="005F18D7" w:rsidRPr="00D14D69" w:rsidRDefault="005F18D7" w:rsidP="005F18D7">
      <w:pPr>
        <w:widowControl w:val="0"/>
        <w:spacing w:after="0" w:line="240" w:lineRule="auto"/>
        <w:jc w:val="both"/>
        <w:rPr>
          <w:rFonts w:ascii="Arial" w:eastAsia="Times New Roman" w:hAnsi="Arial" w:cs="Arial"/>
          <w:bCs/>
          <w:sz w:val="24"/>
          <w:szCs w:val="24"/>
          <w:lang w:val="es-ES_tradnl"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r w:rsidRPr="00D14D69">
        <w:rPr>
          <w:rFonts w:ascii="Arial" w:eastAsia="Times New Roman" w:hAnsi="Arial" w:cs="Arial"/>
          <w:i/>
          <w:sz w:val="24"/>
          <w:szCs w:val="24"/>
          <w:lang w:val="es-ES_tradnl" w:eastAsia="es-ES"/>
        </w:rPr>
        <w:t>«(…)</w:t>
      </w:r>
      <w:r w:rsidRPr="00D14D69">
        <w:rPr>
          <w:rFonts w:ascii="Arial" w:eastAsia="Times New Roman" w:hAnsi="Arial" w:cs="Arial"/>
          <w:sz w:val="24"/>
          <w:szCs w:val="24"/>
          <w:lang w:val="es-ES_tradnl" w:eastAsia="es-ES"/>
        </w:rPr>
        <w:t xml:space="preserve"> </w:t>
      </w:r>
      <w:r w:rsidRPr="00D14D69">
        <w:rPr>
          <w:rFonts w:ascii="Arial" w:eastAsia="Times New Roman" w:hAnsi="Arial" w:cs="Arial"/>
          <w:i/>
          <w:sz w:val="24"/>
          <w:szCs w:val="24"/>
          <w:lang w:val="es-ES_tradnl" w:eastAsia="es-ES"/>
        </w:rPr>
        <w:t>el accionante en el escrito de demanda señaló que interponía la demanda por medio de la acción de controversias contractuales. Igualmente, entre las pretensiones principales solicitó…</w:t>
      </w:r>
      <w:r w:rsidRPr="00D14D69">
        <w:rPr>
          <w:rFonts w:ascii="Arial" w:eastAsia="Times New Roman" w:hAnsi="Arial" w:cs="Arial"/>
          <w:sz w:val="24"/>
          <w:szCs w:val="24"/>
          <w:lang w:val="es-ES_tradnl" w:eastAsia="es-ES"/>
        </w:rPr>
        <w:t xml:space="preserve"> </w:t>
      </w:r>
      <w:r w:rsidRPr="00D14D69">
        <w:rPr>
          <w:rFonts w:ascii="Arial" w:eastAsia="Times New Roman" w:hAnsi="Arial" w:cs="Arial"/>
          <w:i/>
          <w:sz w:val="24"/>
          <w:szCs w:val="24"/>
          <w:lang w:val="es-ES_tradnl" w:eastAsia="es-ES"/>
        </w:rPr>
        <w:t>se condene a LA NACIÓN – DEPARTAMENTO ADMINISTRATIVO DE SEGURIDAD – DAS – a efectuar el reconocimiento y pago, a favor del señor NELSON FERNANDO IRIARTE VERGARA, de las sumas correspondientes a la totalidad de las prestaciones sociales a que tiene derecho…»</w:t>
      </w: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r w:rsidRPr="00D14D69">
        <w:rPr>
          <w:rFonts w:ascii="Arial" w:eastAsia="Times New Roman" w:hAnsi="Arial" w:cs="Arial"/>
          <w:i/>
          <w:sz w:val="24"/>
          <w:szCs w:val="24"/>
          <w:lang w:val="es-ES_tradnl" w:eastAsia="es-ES"/>
        </w:rPr>
        <w:lastRenderedPageBreak/>
        <w:t xml:space="preserve">«Así las cosas, concluye la Sala que, tal como lo previó la autoridad judicial accionada, el actor pretendió la declaración de una relación laboral y como consecuencia requirió que se ordenara el pago de las prestaciones sociales derivadas de aquella, </w:t>
      </w:r>
      <w:r w:rsidRPr="00D14D69">
        <w:rPr>
          <w:rFonts w:ascii="Arial" w:eastAsia="Times New Roman" w:hAnsi="Arial" w:cs="Arial"/>
          <w:b/>
          <w:i/>
          <w:sz w:val="24"/>
          <w:szCs w:val="24"/>
          <w:u w:val="single"/>
          <w:lang w:val="es-ES_tradnl" w:eastAsia="es-ES"/>
        </w:rPr>
        <w:t>no obstante dichas pretensiones no pueden ser discutidas por medio de la acción de controversias contractuales</w:t>
      </w:r>
      <w:r w:rsidRPr="00D14D69">
        <w:rPr>
          <w:rFonts w:ascii="Arial" w:eastAsia="Times New Roman" w:hAnsi="Arial" w:cs="Arial"/>
          <w:i/>
          <w:sz w:val="24"/>
          <w:szCs w:val="24"/>
          <w:lang w:val="es-ES_tradnl" w:eastAsia="es-ES"/>
        </w:rPr>
        <w:t xml:space="preserve">, </w:t>
      </w:r>
      <w:r w:rsidRPr="00D14D69">
        <w:rPr>
          <w:rFonts w:ascii="Arial" w:eastAsia="Times New Roman" w:hAnsi="Arial" w:cs="Arial"/>
          <w:b/>
          <w:i/>
          <w:sz w:val="24"/>
          <w:szCs w:val="24"/>
          <w:lang w:val="es-ES_tradnl" w:eastAsia="es-ES"/>
        </w:rPr>
        <w:t>sino por medio de la acción de nulidad y restablecimiento del derecho</w:t>
      </w:r>
      <w:r w:rsidRPr="00D14D69">
        <w:rPr>
          <w:rFonts w:ascii="Arial" w:eastAsia="Times New Roman" w:hAnsi="Arial" w:cs="Arial"/>
          <w:i/>
          <w:sz w:val="24"/>
          <w:szCs w:val="24"/>
          <w:lang w:val="es-ES_tradnl" w:eastAsia="es-ES"/>
        </w:rPr>
        <w:t xml:space="preserve">, toda vez que la </w:t>
      </w:r>
      <w:proofErr w:type="spellStart"/>
      <w:r w:rsidRPr="00D14D69">
        <w:rPr>
          <w:rFonts w:ascii="Arial" w:eastAsia="Times New Roman" w:hAnsi="Arial" w:cs="Arial"/>
          <w:i/>
          <w:sz w:val="24"/>
          <w:szCs w:val="24"/>
          <w:lang w:val="es-ES_tradnl" w:eastAsia="es-ES"/>
        </w:rPr>
        <w:t>litis</w:t>
      </w:r>
      <w:proofErr w:type="spellEnd"/>
      <w:r w:rsidRPr="00D14D69">
        <w:rPr>
          <w:rFonts w:ascii="Arial" w:eastAsia="Times New Roman" w:hAnsi="Arial" w:cs="Arial"/>
          <w:i/>
          <w:sz w:val="24"/>
          <w:szCs w:val="24"/>
          <w:lang w:val="es-ES_tradnl" w:eastAsia="es-ES"/>
        </w:rPr>
        <w:t xml:space="preserve"> en este caso se centra en </w:t>
      </w:r>
      <w:r w:rsidRPr="00D14D69">
        <w:rPr>
          <w:rFonts w:ascii="Arial" w:eastAsia="Times New Roman" w:hAnsi="Arial" w:cs="Arial"/>
          <w:b/>
          <w:i/>
          <w:sz w:val="24"/>
          <w:szCs w:val="24"/>
          <w:lang w:val="es-ES_tradnl" w:eastAsia="es-ES"/>
        </w:rPr>
        <w:t>la existencia o no de una relación laboral</w:t>
      </w:r>
      <w:r w:rsidRPr="00D14D69">
        <w:rPr>
          <w:rFonts w:ascii="Arial" w:eastAsia="Times New Roman" w:hAnsi="Arial" w:cs="Arial"/>
          <w:i/>
          <w:sz w:val="24"/>
          <w:szCs w:val="24"/>
          <w:lang w:val="es-ES_tradnl" w:eastAsia="es-ES"/>
        </w:rPr>
        <w:t xml:space="preserve">, pues no existe certeza sobre su existencia. Además, acorde con lo anotado por el actor en la demanda, no se discute sobre disensos derivados de la ejecución del contrato de prestación de servicios suscrito por las partes o la controversia respecto alguna de sus cláusulas, situación en la que es procedente la acción de controversias contractuales. </w:t>
      </w: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p>
    <w:p w:rsidR="005F18D7" w:rsidRPr="00D14D69" w:rsidRDefault="005F18D7" w:rsidP="005F18D7">
      <w:pPr>
        <w:spacing w:after="0" w:line="240" w:lineRule="auto"/>
        <w:ind w:left="720" w:right="618"/>
        <w:jc w:val="both"/>
        <w:rPr>
          <w:rFonts w:ascii="Arial" w:eastAsia="Times New Roman" w:hAnsi="Arial" w:cs="Arial"/>
          <w:bCs/>
          <w:sz w:val="24"/>
          <w:szCs w:val="24"/>
          <w:lang w:val="es-CO" w:eastAsia="es-ES"/>
        </w:rPr>
      </w:pPr>
      <w:r w:rsidRPr="00D14D69">
        <w:rPr>
          <w:rFonts w:ascii="Arial" w:eastAsia="Times New Roman" w:hAnsi="Arial" w:cs="Arial"/>
          <w:i/>
          <w:sz w:val="24"/>
          <w:szCs w:val="24"/>
          <w:lang w:val="es-ES_tradnl" w:eastAsia="es-ES"/>
        </w:rPr>
        <w:t xml:space="preserve">Por ende, como primera medida, el accionante debió acudir a la vía gubernativa para solicitar el pago de las acreencias laborales y en caso de desacuerdo con la decisión de la Administración interponer </w:t>
      </w:r>
      <w:r w:rsidRPr="00D14D69">
        <w:rPr>
          <w:rFonts w:ascii="Arial" w:eastAsia="Times New Roman" w:hAnsi="Arial" w:cs="Arial"/>
          <w:b/>
          <w:i/>
          <w:sz w:val="24"/>
          <w:szCs w:val="24"/>
          <w:u w:val="single"/>
          <w:lang w:val="es-ES_tradnl" w:eastAsia="es-ES"/>
        </w:rPr>
        <w:t>la acción de nulidad y restablecimiento del derecho ante la Jurisdicción Contencioso Administrativa</w:t>
      </w:r>
      <w:r w:rsidRPr="00D14D69">
        <w:rPr>
          <w:rFonts w:ascii="Arial" w:eastAsia="Times New Roman" w:hAnsi="Arial" w:cs="Arial"/>
          <w:i/>
          <w:sz w:val="24"/>
          <w:szCs w:val="24"/>
          <w:lang w:val="es-ES_tradnl" w:eastAsia="es-ES"/>
        </w:rPr>
        <w:t>.»</w:t>
      </w:r>
      <w:r w:rsidRPr="00D14D69">
        <w:rPr>
          <w:rFonts w:ascii="Arial" w:eastAsia="Times New Roman" w:hAnsi="Arial" w:cs="Arial"/>
          <w:i/>
          <w:sz w:val="24"/>
          <w:szCs w:val="24"/>
          <w:vertAlign w:val="superscript"/>
          <w:lang w:val="es-ES_tradnl" w:eastAsia="es-ES"/>
        </w:rPr>
        <w:footnoteReference w:id="30"/>
      </w:r>
      <w:r w:rsidRPr="00D14D69">
        <w:rPr>
          <w:rFonts w:ascii="Arial" w:eastAsia="Times New Roman" w:hAnsi="Arial" w:cs="Arial"/>
          <w:i/>
          <w:sz w:val="24"/>
          <w:szCs w:val="24"/>
          <w:lang w:val="es-ES_tradnl" w:eastAsia="es-ES"/>
        </w:rPr>
        <w:t xml:space="preserve"> </w:t>
      </w:r>
      <w:r w:rsidRPr="00D14D69">
        <w:rPr>
          <w:rFonts w:ascii="Arial" w:eastAsia="Times New Roman" w:hAnsi="Arial" w:cs="Arial"/>
          <w:bCs/>
          <w:sz w:val="24"/>
          <w:szCs w:val="24"/>
          <w:lang w:val="es-CO" w:eastAsia="es-ES"/>
        </w:rPr>
        <w:t>(Resaltado fuera del texto original).</w:t>
      </w:r>
    </w:p>
    <w:p w:rsidR="005F18D7" w:rsidRPr="00D14D69" w:rsidRDefault="005F18D7" w:rsidP="005F18D7">
      <w:pPr>
        <w:spacing w:after="0" w:line="240" w:lineRule="auto"/>
        <w:ind w:left="720" w:right="618"/>
        <w:jc w:val="both"/>
        <w:rPr>
          <w:rFonts w:ascii="Arial" w:eastAsia="Times New Roman" w:hAnsi="Arial" w:cs="Arial"/>
          <w:i/>
          <w:sz w:val="24"/>
          <w:szCs w:val="24"/>
          <w:lang w:val="es-ES_tradnl" w:eastAsia="es-ES"/>
        </w:rPr>
      </w:pPr>
    </w:p>
    <w:p w:rsidR="005F18D7" w:rsidRPr="00D14D69" w:rsidRDefault="005F18D7" w:rsidP="005F18D7">
      <w:pPr>
        <w:widowControl w:val="0"/>
        <w:spacing w:after="0" w:line="24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r w:rsidRPr="00D14D69">
        <w:rPr>
          <w:rFonts w:ascii="Arial" w:eastAsia="Times New Roman" w:hAnsi="Arial" w:cs="Arial"/>
          <w:bCs/>
          <w:sz w:val="24"/>
          <w:szCs w:val="24"/>
          <w:lang w:val="es-ES_tradnl" w:eastAsia="es-ES"/>
        </w:rPr>
        <w:t xml:space="preserve">Es de resaltar que en el fallo de tutela proferido el 10 de marzo de 2016 (Expediente núm. 2016-00149, Consejero ponente: doctor Gabriel Valbuena Hernández), si bien es cierto se concedió la tutela y se ordenó al </w:t>
      </w:r>
      <w:r w:rsidRPr="00D14D69">
        <w:rPr>
          <w:rFonts w:ascii="Arial" w:eastAsia="Times New Roman" w:hAnsi="Arial" w:cs="Arial"/>
          <w:b/>
          <w:bCs/>
          <w:sz w:val="24"/>
          <w:szCs w:val="24"/>
          <w:lang w:val="es-ES_tradnl" w:eastAsia="es-ES"/>
        </w:rPr>
        <w:t xml:space="preserve">TRIBUNAL ADMINISTRATIVO DEL HUILA </w:t>
      </w:r>
      <w:r w:rsidRPr="00D14D69">
        <w:rPr>
          <w:rFonts w:ascii="Arial" w:eastAsia="Times New Roman" w:hAnsi="Arial" w:cs="Arial"/>
          <w:bCs/>
          <w:sz w:val="24"/>
          <w:szCs w:val="24"/>
          <w:lang w:val="es-ES_tradnl" w:eastAsia="es-ES"/>
        </w:rPr>
        <w:t xml:space="preserve">que dejara sin efecto la decisión inhibitoria y procediera al estudio de fondo de una controversia idéntica a la del </w:t>
      </w:r>
      <w:r w:rsidRPr="00D14D69">
        <w:rPr>
          <w:rFonts w:ascii="Arial" w:eastAsia="Times New Roman" w:hAnsi="Arial" w:cs="Arial"/>
          <w:bCs/>
          <w:i/>
          <w:sz w:val="24"/>
          <w:szCs w:val="24"/>
          <w:lang w:val="es-ES_tradnl" w:eastAsia="es-ES"/>
        </w:rPr>
        <w:t>sub lite</w:t>
      </w:r>
      <w:r w:rsidRPr="00D14D69">
        <w:rPr>
          <w:rFonts w:ascii="Arial" w:eastAsia="Times New Roman" w:hAnsi="Arial" w:cs="Arial"/>
          <w:bCs/>
          <w:sz w:val="24"/>
          <w:szCs w:val="24"/>
          <w:lang w:val="es-ES_tradnl" w:eastAsia="es-ES"/>
        </w:rPr>
        <w:t xml:space="preserve">, tal antecedente no resulta aplicable en el caso concreto, como acertadamente lo indicó el Tribunal en la sentencia cuestionada, pues en ese proceso la decisión del Juez Constitucional obedeció a que la Administración de Justicia ejercitó una conducta de manera intempestiva que defraudó la expectativa generada en el demandante, al haber inadmitido la acción de controversias contractuales y, posteriormente, haber tenido como subsanado los </w:t>
      </w:r>
      <w:r w:rsidRPr="00D14D69">
        <w:rPr>
          <w:rFonts w:ascii="Arial" w:eastAsia="Times New Roman" w:hAnsi="Arial" w:cs="Arial"/>
          <w:bCs/>
          <w:sz w:val="24"/>
          <w:szCs w:val="24"/>
          <w:lang w:val="es-ES_tradnl" w:eastAsia="es-ES"/>
        </w:rPr>
        <w:lastRenderedPageBreak/>
        <w:t>defectos advertidos.</w:t>
      </w:r>
    </w:p>
    <w:p w:rsidR="005F18D7" w:rsidRPr="00D14D69" w:rsidRDefault="005F18D7" w:rsidP="005F18D7">
      <w:pPr>
        <w:widowControl w:val="0"/>
        <w:spacing w:after="0" w:line="24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r w:rsidRPr="00D14D69">
        <w:rPr>
          <w:rFonts w:ascii="Arial" w:eastAsia="Times New Roman" w:hAnsi="Arial" w:cs="Arial"/>
          <w:bCs/>
          <w:sz w:val="24"/>
          <w:szCs w:val="24"/>
          <w:lang w:val="es-ES_tradnl" w:eastAsia="es-ES"/>
        </w:rPr>
        <w:t xml:space="preserve">En este orden de ideas, la Sala concluye que en el caso </w:t>
      </w:r>
      <w:r w:rsidRPr="00D14D69">
        <w:rPr>
          <w:rFonts w:ascii="Arial" w:eastAsia="Times New Roman" w:hAnsi="Arial" w:cs="Arial"/>
          <w:bCs/>
          <w:i/>
          <w:sz w:val="24"/>
          <w:szCs w:val="24"/>
          <w:lang w:val="es-ES_tradnl" w:eastAsia="es-ES"/>
        </w:rPr>
        <w:t xml:space="preserve">sub examine </w:t>
      </w:r>
      <w:r w:rsidRPr="00D14D69">
        <w:rPr>
          <w:rFonts w:ascii="Arial" w:eastAsia="Times New Roman" w:hAnsi="Arial" w:cs="Arial"/>
          <w:bCs/>
          <w:sz w:val="24"/>
          <w:szCs w:val="24"/>
          <w:lang w:val="es-ES_tradnl" w:eastAsia="es-ES"/>
        </w:rPr>
        <w:t xml:space="preserve">el Tribunal accionado no incurrió en defecto procedimental al proferir decisión inhibitoria, pues tal y como lo precisó la Sala en la Jurisprudencia analizada, no era posible una decisión distinta si se tiene en cuenta que el objeto de las pretensiones del actor no correspondía a la acción de controversias contractuales, aunado al hecho de que tampoco acudió a la Administración a provocar un pronunciamiento susceptible del medio de control de nulidad y restablecimiento del derecho, que era lo que legalmente correspondía. </w:t>
      </w:r>
    </w:p>
    <w:p w:rsidR="005F18D7" w:rsidRPr="00D14D69" w:rsidRDefault="005F18D7" w:rsidP="005F18D7">
      <w:pPr>
        <w:widowControl w:val="0"/>
        <w:spacing w:after="0" w:line="240" w:lineRule="auto"/>
        <w:jc w:val="both"/>
        <w:rPr>
          <w:rFonts w:ascii="Arial" w:eastAsia="Times New Roman" w:hAnsi="Arial" w:cs="Arial"/>
          <w:bCs/>
          <w:sz w:val="24"/>
          <w:szCs w:val="24"/>
          <w:lang w:val="es-ES_tradnl" w:eastAsia="es-ES"/>
        </w:rPr>
      </w:pPr>
    </w:p>
    <w:p w:rsidR="005F18D7" w:rsidRPr="00D14D69" w:rsidRDefault="005F18D7" w:rsidP="005F18D7">
      <w:pPr>
        <w:spacing w:after="0" w:line="480" w:lineRule="auto"/>
        <w:jc w:val="both"/>
        <w:rPr>
          <w:rFonts w:ascii="Arial" w:eastAsia="Times New Roman" w:hAnsi="Arial" w:cs="Arial"/>
          <w:bCs/>
          <w:sz w:val="24"/>
          <w:szCs w:val="24"/>
          <w:lang w:val="es-MX" w:eastAsia="es-ES"/>
        </w:rPr>
      </w:pPr>
      <w:r w:rsidRPr="00D14D69">
        <w:rPr>
          <w:rFonts w:ascii="Arial" w:eastAsia="Times New Roman" w:hAnsi="Arial" w:cs="Arial"/>
          <w:bCs/>
          <w:sz w:val="24"/>
          <w:szCs w:val="24"/>
          <w:lang w:eastAsia="es-ES"/>
        </w:rPr>
        <w:t xml:space="preserve">Recuérdese que según lo señalado por la Jurisprudencia Constitucional, puede el fallador inhibirse de desatar de fondo la controversia alegando un impedimento de la ley procesal, solo cuando ello resulte </w:t>
      </w:r>
      <w:r w:rsidRPr="00D14D69">
        <w:rPr>
          <w:rFonts w:ascii="Arial" w:eastAsia="Times New Roman" w:hAnsi="Arial" w:cs="Arial"/>
          <w:b/>
          <w:bCs/>
          <w:sz w:val="24"/>
          <w:szCs w:val="24"/>
          <w:lang w:eastAsia="es-ES"/>
        </w:rPr>
        <w:t>absolutamente indispensable</w:t>
      </w:r>
      <w:r w:rsidRPr="00D14D69">
        <w:rPr>
          <w:rFonts w:ascii="Arial" w:eastAsia="Times New Roman" w:hAnsi="Arial" w:cs="Arial"/>
          <w:bCs/>
          <w:sz w:val="24"/>
          <w:szCs w:val="24"/>
          <w:lang w:eastAsia="es-ES"/>
        </w:rPr>
        <w:t xml:space="preserve">, lo que </w:t>
      </w:r>
      <w:r w:rsidRPr="00D14D69">
        <w:rPr>
          <w:rFonts w:ascii="Arial" w:eastAsia="Times New Roman" w:hAnsi="Arial" w:cs="Arial"/>
          <w:bCs/>
          <w:sz w:val="24"/>
          <w:szCs w:val="24"/>
          <w:lang w:val="es-MX" w:eastAsia="es-ES"/>
        </w:rPr>
        <w:t>significa que el Juez debe, antes de proferir sentencia inhibitoria, agotar todas las alternativas que le otorga el ordenamiento jurídico</w:t>
      </w:r>
      <w:r w:rsidRPr="00D14D69">
        <w:rPr>
          <w:rFonts w:ascii="Arial" w:eastAsia="Times New Roman" w:hAnsi="Arial" w:cs="Arial"/>
          <w:bCs/>
          <w:sz w:val="24"/>
          <w:szCs w:val="24"/>
          <w:vertAlign w:val="superscript"/>
          <w:lang w:val="es-MX" w:eastAsia="es-ES"/>
        </w:rPr>
        <w:footnoteReference w:id="31"/>
      </w:r>
      <w:r w:rsidRPr="00D14D69">
        <w:rPr>
          <w:rFonts w:ascii="Arial" w:eastAsia="Times New Roman" w:hAnsi="Arial" w:cs="Arial"/>
          <w:bCs/>
          <w:sz w:val="24"/>
          <w:szCs w:val="24"/>
          <w:lang w:val="es-MX" w:eastAsia="es-ES"/>
        </w:rPr>
        <w:t>.</w:t>
      </w:r>
    </w:p>
    <w:p w:rsidR="005F18D7" w:rsidRPr="00D14D69" w:rsidRDefault="005F18D7" w:rsidP="005F18D7">
      <w:pPr>
        <w:spacing w:after="0" w:line="360" w:lineRule="auto"/>
        <w:jc w:val="both"/>
        <w:rPr>
          <w:rFonts w:ascii="Arial" w:eastAsia="Times New Roman" w:hAnsi="Arial" w:cs="Arial"/>
          <w:bCs/>
          <w:sz w:val="24"/>
          <w:szCs w:val="24"/>
          <w:lang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r w:rsidRPr="00D14D69">
        <w:rPr>
          <w:rFonts w:ascii="Arial" w:eastAsia="Times New Roman" w:hAnsi="Arial" w:cs="Arial"/>
          <w:bCs/>
          <w:sz w:val="24"/>
          <w:szCs w:val="24"/>
          <w:lang w:val="es-ES_tradnl" w:eastAsia="es-ES"/>
        </w:rPr>
        <w:t>Sin embargo, como ya se indicó, en el caso bajo estudio no le era posible al fallador adoptar decisión distinta a la sentencia inhibitoria.</w:t>
      </w:r>
    </w:p>
    <w:p w:rsidR="005F18D7" w:rsidRPr="00D14D69" w:rsidRDefault="005F18D7" w:rsidP="005F18D7">
      <w:pPr>
        <w:widowControl w:val="0"/>
        <w:spacing w:after="0" w:line="24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r w:rsidRPr="00D14D69">
        <w:rPr>
          <w:rFonts w:ascii="Arial" w:eastAsia="Times New Roman" w:hAnsi="Arial" w:cs="Arial"/>
          <w:bCs/>
          <w:sz w:val="24"/>
          <w:szCs w:val="24"/>
          <w:lang w:val="es-ES_tradnl" w:eastAsia="es-ES"/>
        </w:rPr>
        <w:t xml:space="preserve">De otra parte, tampoco se vislumbra que el argumento sobre la improcedencia de la acción de controversias contractuales genere un defecto sustantivo de la </w:t>
      </w:r>
      <w:r w:rsidRPr="00D14D69">
        <w:rPr>
          <w:rFonts w:ascii="Arial" w:eastAsia="Times New Roman" w:hAnsi="Arial" w:cs="Arial"/>
          <w:bCs/>
          <w:sz w:val="24"/>
          <w:szCs w:val="24"/>
          <w:lang w:val="es-ES_tradnl" w:eastAsia="es-ES"/>
        </w:rPr>
        <w:lastRenderedPageBreak/>
        <w:t xml:space="preserve">sentencia, pues según quedó demostrado, las pretensiones de la demanda no podían ser discutidas por medio de dicha acción, sino de la de nulidad y restablecimiento del derecho, frente a la cual, se reitera, tampoco se procuró el pronunciamiento de la entidad que pudiera ser demandado, de ahí que no estaba obligado el </w:t>
      </w:r>
      <w:r w:rsidRPr="00D14D69">
        <w:rPr>
          <w:rFonts w:ascii="Arial" w:eastAsia="Times New Roman" w:hAnsi="Arial" w:cs="Arial"/>
          <w:bCs/>
          <w:i/>
          <w:sz w:val="24"/>
          <w:szCs w:val="24"/>
          <w:lang w:val="es-ES_tradnl" w:eastAsia="es-ES"/>
        </w:rPr>
        <w:t xml:space="preserve">a quo </w:t>
      </w:r>
      <w:r w:rsidRPr="00D14D69">
        <w:rPr>
          <w:rFonts w:ascii="Arial" w:eastAsia="Times New Roman" w:hAnsi="Arial" w:cs="Arial"/>
          <w:bCs/>
          <w:sz w:val="24"/>
          <w:szCs w:val="24"/>
          <w:lang w:val="es-ES_tradnl" w:eastAsia="es-ES"/>
        </w:rPr>
        <w:t xml:space="preserve">a adecuar la acción. </w:t>
      </w:r>
    </w:p>
    <w:p w:rsidR="005F18D7" w:rsidRPr="00D14D69" w:rsidRDefault="005F18D7" w:rsidP="005F18D7">
      <w:pPr>
        <w:widowControl w:val="0"/>
        <w:spacing w:after="0" w:line="240" w:lineRule="auto"/>
        <w:jc w:val="both"/>
        <w:rPr>
          <w:rFonts w:ascii="Arial" w:eastAsia="Times New Roman" w:hAnsi="Arial" w:cs="Arial"/>
          <w:bCs/>
          <w:sz w:val="24"/>
          <w:szCs w:val="24"/>
          <w:lang w:val="es-ES_tradnl" w:eastAsia="es-ES"/>
        </w:rPr>
      </w:pPr>
    </w:p>
    <w:p w:rsidR="005F18D7" w:rsidRPr="00D14D69" w:rsidRDefault="005F18D7" w:rsidP="005F18D7">
      <w:pPr>
        <w:widowControl w:val="0"/>
        <w:spacing w:after="0" w:line="480" w:lineRule="auto"/>
        <w:jc w:val="both"/>
        <w:rPr>
          <w:rFonts w:ascii="Arial" w:eastAsia="Times New Roman" w:hAnsi="Arial" w:cs="Arial"/>
          <w:bCs/>
          <w:sz w:val="24"/>
          <w:szCs w:val="24"/>
          <w:lang w:val="es-ES_tradnl" w:eastAsia="es-ES"/>
        </w:rPr>
      </w:pPr>
      <w:r w:rsidRPr="00D14D69">
        <w:rPr>
          <w:rFonts w:ascii="Arial" w:eastAsia="Times New Roman" w:hAnsi="Arial" w:cs="Arial"/>
          <w:bCs/>
          <w:sz w:val="24"/>
          <w:szCs w:val="24"/>
          <w:lang w:val="es-ES_tradnl" w:eastAsia="es-ES"/>
        </w:rPr>
        <w:t>Y en igual sentido, no se advierte la violación de la Constitución en lo concerniente al desconocimiento del principio de la primacía de la realidad sobre las formas, pues de la lectura del fallo examinado se evidencia que, en razón de la decisión inhibitoria, la cual, se reitera, resultó acertada, el Tribunal no abordó el fondo de la controversia.</w:t>
      </w:r>
    </w:p>
    <w:p w:rsidR="005F18D7" w:rsidRPr="00D14D69" w:rsidRDefault="005F18D7" w:rsidP="005F18D7">
      <w:pPr>
        <w:widowControl w:val="0"/>
        <w:spacing w:after="0" w:line="480" w:lineRule="auto"/>
        <w:jc w:val="both"/>
        <w:rPr>
          <w:rFonts w:ascii="Arial" w:eastAsia="Times New Roman" w:hAnsi="Arial" w:cs="Arial"/>
          <w:b/>
          <w:sz w:val="24"/>
          <w:szCs w:val="24"/>
          <w:lang w:val="es-ES_tradnl" w:eastAsia="es-ES"/>
        </w:rPr>
      </w:pPr>
      <w:r w:rsidRPr="00D14D69">
        <w:rPr>
          <w:rFonts w:ascii="Arial" w:eastAsia="Times New Roman" w:hAnsi="Arial" w:cs="Arial"/>
          <w:bCs/>
          <w:sz w:val="24"/>
          <w:szCs w:val="24"/>
          <w:lang w:val="es-ES_tradnl" w:eastAsia="es-ES"/>
        </w:rPr>
        <w:t>Por las anteriores razones, la Sala denegará el amparo solicitado, como en efecto lo dispondrá en la parte resolutiva de la presente providencia.</w:t>
      </w:r>
    </w:p>
    <w:p w:rsidR="005F18D7" w:rsidRPr="00D14D69" w:rsidRDefault="005F18D7" w:rsidP="005F18D7">
      <w:pPr>
        <w:spacing w:after="0" w:line="480" w:lineRule="auto"/>
        <w:jc w:val="both"/>
        <w:rPr>
          <w:rFonts w:ascii="Arial" w:eastAsia="Times New Roman" w:hAnsi="Arial" w:cs="Arial"/>
          <w:b/>
          <w:sz w:val="24"/>
          <w:szCs w:val="24"/>
          <w:lang w:eastAsia="es-ES"/>
        </w:rPr>
      </w:pPr>
      <w:r w:rsidRPr="00D14D69">
        <w:rPr>
          <w:rFonts w:ascii="Arial" w:eastAsia="Times New Roman" w:hAnsi="Arial" w:cs="Arial"/>
          <w:b/>
          <w:sz w:val="24"/>
          <w:szCs w:val="24"/>
          <w:lang w:eastAsia="es-ES"/>
        </w:rPr>
        <w:t xml:space="preserve">En mérito de lo expuesto, el Consejo de Estado, Sala de lo Contencioso Administrativo, Sección Primera, administrando justicia en nombre de </w:t>
      </w:r>
      <w:smartTag w:uri="urn:schemas-microsoft-com:office:smarttags" w:element="PersonName">
        <w:smartTagPr>
          <w:attr w:name="ProductID" w:val="la Rep￺blica"/>
        </w:smartTagPr>
        <w:r w:rsidRPr="00D14D69">
          <w:rPr>
            <w:rFonts w:ascii="Arial" w:eastAsia="Times New Roman" w:hAnsi="Arial" w:cs="Arial"/>
            <w:b/>
            <w:sz w:val="24"/>
            <w:szCs w:val="24"/>
            <w:lang w:eastAsia="es-ES"/>
          </w:rPr>
          <w:t>la República</w:t>
        </w:r>
      </w:smartTag>
      <w:r w:rsidRPr="00D14D69">
        <w:rPr>
          <w:rFonts w:ascii="Arial" w:eastAsia="Times New Roman" w:hAnsi="Arial" w:cs="Arial"/>
          <w:b/>
          <w:sz w:val="24"/>
          <w:szCs w:val="24"/>
          <w:lang w:eastAsia="es-ES"/>
        </w:rPr>
        <w:t xml:space="preserve"> y por autoridad de la ley, </w:t>
      </w:r>
    </w:p>
    <w:p w:rsidR="005F18D7" w:rsidRPr="00D14D69" w:rsidRDefault="005F18D7" w:rsidP="005F18D7">
      <w:pPr>
        <w:spacing w:after="0" w:line="276" w:lineRule="auto"/>
        <w:jc w:val="center"/>
        <w:rPr>
          <w:rFonts w:ascii="Arial" w:eastAsia="Times New Roman" w:hAnsi="Arial" w:cs="Arial"/>
          <w:b/>
          <w:sz w:val="24"/>
          <w:szCs w:val="24"/>
          <w:lang w:eastAsia="es-ES"/>
        </w:rPr>
      </w:pPr>
    </w:p>
    <w:p w:rsidR="005F18D7" w:rsidRPr="00D14D69" w:rsidRDefault="005F18D7" w:rsidP="005F18D7">
      <w:pPr>
        <w:spacing w:after="0" w:line="480" w:lineRule="auto"/>
        <w:jc w:val="center"/>
        <w:rPr>
          <w:rFonts w:ascii="Arial" w:eastAsia="Times New Roman" w:hAnsi="Arial" w:cs="Arial"/>
          <w:b/>
          <w:sz w:val="24"/>
          <w:szCs w:val="24"/>
          <w:lang w:eastAsia="es-ES"/>
        </w:rPr>
      </w:pPr>
      <w:r w:rsidRPr="00D14D69">
        <w:rPr>
          <w:rFonts w:ascii="Arial" w:eastAsia="Times New Roman" w:hAnsi="Arial" w:cs="Arial"/>
          <w:b/>
          <w:sz w:val="24"/>
          <w:szCs w:val="24"/>
          <w:lang w:eastAsia="es-ES"/>
        </w:rPr>
        <w:t xml:space="preserve">F A L </w:t>
      </w:r>
      <w:proofErr w:type="spellStart"/>
      <w:r w:rsidRPr="00D14D69">
        <w:rPr>
          <w:rFonts w:ascii="Arial" w:eastAsia="Times New Roman" w:hAnsi="Arial" w:cs="Arial"/>
          <w:b/>
          <w:sz w:val="24"/>
          <w:szCs w:val="24"/>
          <w:lang w:eastAsia="es-ES"/>
        </w:rPr>
        <w:t>L</w:t>
      </w:r>
      <w:proofErr w:type="spellEnd"/>
      <w:r w:rsidRPr="00D14D69">
        <w:rPr>
          <w:rFonts w:ascii="Arial" w:eastAsia="Times New Roman" w:hAnsi="Arial" w:cs="Arial"/>
          <w:b/>
          <w:sz w:val="24"/>
          <w:szCs w:val="24"/>
          <w:lang w:eastAsia="es-ES"/>
        </w:rPr>
        <w:t xml:space="preserve"> A:</w:t>
      </w:r>
    </w:p>
    <w:p w:rsidR="005F18D7" w:rsidRPr="00D14D69" w:rsidRDefault="005F18D7" w:rsidP="005F18D7">
      <w:pPr>
        <w:spacing w:after="0" w:line="276" w:lineRule="auto"/>
        <w:jc w:val="both"/>
        <w:rPr>
          <w:rFonts w:ascii="Arial" w:eastAsia="Times New Roman" w:hAnsi="Arial" w:cs="Arial"/>
          <w:b/>
          <w:sz w:val="24"/>
          <w:szCs w:val="24"/>
          <w:lang w:eastAsia="es-ES"/>
        </w:rPr>
      </w:pPr>
    </w:p>
    <w:p w:rsidR="005F18D7" w:rsidRPr="00D14D69" w:rsidRDefault="005F18D7" w:rsidP="005F18D7">
      <w:pPr>
        <w:spacing w:after="0" w:line="480" w:lineRule="auto"/>
        <w:jc w:val="both"/>
        <w:rPr>
          <w:rFonts w:ascii="Arial" w:eastAsia="Times New Roman" w:hAnsi="Arial" w:cs="Arial"/>
          <w:sz w:val="24"/>
          <w:szCs w:val="24"/>
          <w:lang w:eastAsia="es-ES"/>
        </w:rPr>
      </w:pPr>
      <w:r w:rsidRPr="00D14D69">
        <w:rPr>
          <w:rFonts w:ascii="Arial" w:eastAsia="Times New Roman" w:hAnsi="Arial" w:cs="Arial"/>
          <w:b/>
          <w:sz w:val="24"/>
          <w:szCs w:val="24"/>
          <w:lang w:eastAsia="es-ES"/>
        </w:rPr>
        <w:t xml:space="preserve">Primero: DENIÉGASE </w:t>
      </w:r>
      <w:r w:rsidRPr="00D14D69">
        <w:rPr>
          <w:rFonts w:ascii="Arial" w:eastAsia="Times New Roman" w:hAnsi="Arial" w:cs="Arial"/>
          <w:sz w:val="24"/>
          <w:szCs w:val="24"/>
          <w:lang w:eastAsia="es-ES"/>
        </w:rPr>
        <w:t>el amparo solicitado por</w:t>
      </w:r>
      <w:r w:rsidRPr="00D14D69">
        <w:rPr>
          <w:rFonts w:ascii="Arial" w:eastAsia="Times New Roman" w:hAnsi="Arial" w:cs="Arial"/>
          <w:b/>
          <w:sz w:val="24"/>
          <w:szCs w:val="24"/>
          <w:lang w:eastAsia="es-ES"/>
        </w:rPr>
        <w:t xml:space="preserve"> JACOB HERNÁNDEZ.</w:t>
      </w:r>
    </w:p>
    <w:p w:rsidR="005F18D7" w:rsidRPr="00D14D69" w:rsidRDefault="005F18D7" w:rsidP="005F18D7">
      <w:pPr>
        <w:spacing w:after="0" w:line="276" w:lineRule="auto"/>
        <w:jc w:val="center"/>
        <w:rPr>
          <w:rFonts w:ascii="Arial" w:eastAsia="Times New Roman" w:hAnsi="Arial" w:cs="Arial"/>
          <w:sz w:val="24"/>
          <w:szCs w:val="24"/>
          <w:lang w:eastAsia="es-ES"/>
        </w:rPr>
      </w:pPr>
    </w:p>
    <w:p w:rsidR="005F18D7" w:rsidRPr="00D14D69" w:rsidRDefault="005F18D7" w:rsidP="005F18D7">
      <w:pPr>
        <w:spacing w:after="0" w:line="480" w:lineRule="auto"/>
        <w:jc w:val="both"/>
        <w:rPr>
          <w:rFonts w:ascii="Arial" w:eastAsia="Times New Roman" w:hAnsi="Arial" w:cs="Arial"/>
          <w:color w:val="000000"/>
          <w:sz w:val="24"/>
          <w:szCs w:val="24"/>
          <w:lang w:eastAsia="es-ES"/>
        </w:rPr>
      </w:pPr>
      <w:r w:rsidRPr="00D14D69">
        <w:rPr>
          <w:rFonts w:ascii="Arial" w:eastAsia="Times New Roman" w:hAnsi="Arial" w:cs="Arial"/>
          <w:b/>
          <w:sz w:val="24"/>
          <w:szCs w:val="24"/>
          <w:lang w:eastAsia="es-ES"/>
        </w:rPr>
        <w:t>Segundo</w:t>
      </w:r>
      <w:r w:rsidRPr="00D14D69">
        <w:rPr>
          <w:rFonts w:ascii="Arial" w:eastAsia="Times New Roman" w:hAnsi="Arial" w:cs="Arial"/>
          <w:sz w:val="24"/>
          <w:szCs w:val="24"/>
          <w:lang w:eastAsia="es-ES"/>
        </w:rPr>
        <w:t>: Notifíquese a las partes por el medio más expedito y eficaz.</w:t>
      </w:r>
    </w:p>
    <w:p w:rsidR="005F18D7" w:rsidRPr="00D14D69" w:rsidRDefault="005F18D7" w:rsidP="005F18D7">
      <w:pPr>
        <w:spacing w:after="0" w:line="276" w:lineRule="auto"/>
        <w:jc w:val="both"/>
        <w:rPr>
          <w:rFonts w:ascii="Arial" w:eastAsia="Times New Roman" w:hAnsi="Arial" w:cs="Arial"/>
          <w:sz w:val="24"/>
          <w:szCs w:val="24"/>
          <w:lang w:eastAsia="es-ES"/>
        </w:rPr>
      </w:pPr>
    </w:p>
    <w:p w:rsidR="005F18D7" w:rsidRPr="00D14D69" w:rsidRDefault="005F18D7" w:rsidP="005F18D7">
      <w:pPr>
        <w:spacing w:after="0" w:line="480" w:lineRule="auto"/>
        <w:jc w:val="both"/>
        <w:rPr>
          <w:rFonts w:ascii="Arial" w:eastAsia="Times New Roman" w:hAnsi="Arial" w:cs="Arial"/>
          <w:sz w:val="24"/>
          <w:szCs w:val="24"/>
          <w:lang w:eastAsia="es-ES"/>
        </w:rPr>
      </w:pPr>
      <w:r w:rsidRPr="00D14D69">
        <w:rPr>
          <w:rFonts w:ascii="Arial" w:eastAsia="Times New Roman" w:hAnsi="Arial" w:cs="Arial"/>
          <w:b/>
          <w:bCs/>
          <w:sz w:val="24"/>
          <w:szCs w:val="24"/>
          <w:lang w:eastAsia="es-ES"/>
        </w:rPr>
        <w:t xml:space="preserve">Tercero: </w:t>
      </w:r>
      <w:r w:rsidRPr="00D14D69">
        <w:rPr>
          <w:rFonts w:ascii="Arial" w:eastAsia="Times New Roman" w:hAnsi="Arial" w:cs="Arial"/>
          <w:bCs/>
          <w:sz w:val="24"/>
          <w:szCs w:val="24"/>
          <w:lang w:eastAsia="es-ES"/>
        </w:rPr>
        <w:t>De no impugnarse la decisión, d</w:t>
      </w:r>
      <w:r w:rsidRPr="00D14D69">
        <w:rPr>
          <w:rFonts w:ascii="Arial" w:eastAsia="Times New Roman" w:hAnsi="Arial" w:cs="Arial"/>
          <w:sz w:val="24"/>
          <w:szCs w:val="24"/>
          <w:lang w:eastAsia="es-ES"/>
        </w:rPr>
        <w:t xml:space="preserve">entro de los diez (10) días siguientes a su ejecutoria, remítase el expediente a </w:t>
      </w:r>
      <w:smartTag w:uri="urn:schemas-microsoft-com:office:smarttags" w:element="PersonName">
        <w:smartTagPr>
          <w:attr w:name="ProductID" w:val="la Corte Constitucional"/>
        </w:smartTagPr>
        <w:r w:rsidRPr="00D14D69">
          <w:rPr>
            <w:rFonts w:ascii="Arial" w:eastAsia="Times New Roman" w:hAnsi="Arial" w:cs="Arial"/>
            <w:sz w:val="24"/>
            <w:szCs w:val="24"/>
            <w:lang w:eastAsia="es-ES"/>
          </w:rPr>
          <w:t xml:space="preserve">la </w:t>
        </w:r>
        <w:smartTag w:uri="urn:schemas-microsoft-com:office:smarttags" w:element="PersonName">
          <w:r w:rsidRPr="00D14D69">
            <w:rPr>
              <w:rFonts w:ascii="Arial" w:eastAsia="Times New Roman" w:hAnsi="Arial" w:cs="Arial"/>
              <w:sz w:val="24"/>
              <w:szCs w:val="24"/>
              <w:lang w:eastAsia="es-ES"/>
            </w:rPr>
            <w:t>Corte Constitucional</w:t>
          </w:r>
        </w:smartTag>
      </w:smartTag>
      <w:r w:rsidRPr="00D14D69">
        <w:rPr>
          <w:rFonts w:ascii="Arial" w:eastAsia="Times New Roman" w:hAnsi="Arial" w:cs="Arial"/>
          <w:sz w:val="24"/>
          <w:szCs w:val="24"/>
          <w:lang w:eastAsia="es-ES"/>
        </w:rPr>
        <w:t xml:space="preserve"> para su eventual revisión </w:t>
      </w:r>
      <w:r w:rsidRPr="00D14D69">
        <w:rPr>
          <w:rFonts w:ascii="Arial" w:eastAsia="Times New Roman" w:hAnsi="Arial" w:cs="Arial"/>
          <w:sz w:val="24"/>
          <w:szCs w:val="24"/>
          <w:lang w:eastAsia="es-ES"/>
        </w:rPr>
        <w:lastRenderedPageBreak/>
        <w:t xml:space="preserve">y devuélvase al Despacho de origen el expediente original solicitado en calidad de préstamo. </w:t>
      </w:r>
    </w:p>
    <w:p w:rsidR="005F18D7" w:rsidRPr="00D14D69" w:rsidRDefault="005F18D7" w:rsidP="005F18D7">
      <w:pPr>
        <w:spacing w:after="0" w:line="240" w:lineRule="auto"/>
        <w:jc w:val="both"/>
        <w:rPr>
          <w:rFonts w:ascii="Arial" w:eastAsia="Times New Roman" w:hAnsi="Arial" w:cs="Arial"/>
          <w:sz w:val="24"/>
          <w:szCs w:val="24"/>
          <w:lang w:eastAsia="es-ES"/>
        </w:rPr>
      </w:pPr>
    </w:p>
    <w:p w:rsidR="005F18D7" w:rsidRPr="00D14D69" w:rsidRDefault="005F18D7" w:rsidP="005F18D7">
      <w:pPr>
        <w:widowControl w:val="0"/>
        <w:autoSpaceDE w:val="0"/>
        <w:autoSpaceDN w:val="0"/>
        <w:adjustRightInd w:val="0"/>
        <w:spacing w:after="0" w:line="480" w:lineRule="auto"/>
        <w:jc w:val="center"/>
        <w:rPr>
          <w:rFonts w:ascii="Arial" w:eastAsia="Times New Roman" w:hAnsi="Arial" w:cs="Arial"/>
          <w:b/>
          <w:sz w:val="24"/>
          <w:szCs w:val="24"/>
          <w:lang w:eastAsia="es-ES"/>
        </w:rPr>
      </w:pPr>
      <w:r w:rsidRPr="00D14D69">
        <w:rPr>
          <w:rFonts w:ascii="Arial" w:eastAsia="Times New Roman" w:hAnsi="Arial" w:cs="Arial"/>
          <w:b/>
          <w:sz w:val="24"/>
          <w:szCs w:val="24"/>
          <w:lang w:eastAsia="es-ES"/>
        </w:rPr>
        <w:t>CÓPIESE, NOTIFÍQUESE Y CÚMPLASE.</w:t>
      </w:r>
    </w:p>
    <w:p w:rsidR="005F18D7" w:rsidRPr="00D14D69" w:rsidRDefault="005F18D7" w:rsidP="005F18D7">
      <w:pPr>
        <w:suppressAutoHyphens/>
        <w:spacing w:after="0" w:line="240" w:lineRule="auto"/>
        <w:jc w:val="both"/>
        <w:rPr>
          <w:rFonts w:ascii="Arial" w:eastAsia="Times New Roman" w:hAnsi="Arial" w:cs="Arial"/>
          <w:sz w:val="24"/>
          <w:szCs w:val="24"/>
          <w:lang w:eastAsia="es-ES"/>
        </w:rPr>
      </w:pPr>
    </w:p>
    <w:p w:rsidR="005F18D7" w:rsidRPr="00D14D69" w:rsidRDefault="005F18D7" w:rsidP="005F18D7">
      <w:pPr>
        <w:suppressAutoHyphens/>
        <w:spacing w:after="0" w:line="480" w:lineRule="auto"/>
        <w:jc w:val="both"/>
        <w:rPr>
          <w:rFonts w:ascii="Arial" w:eastAsia="Times New Roman" w:hAnsi="Arial" w:cs="Arial"/>
          <w:sz w:val="24"/>
          <w:szCs w:val="24"/>
          <w:lang w:eastAsia="es-ES"/>
        </w:rPr>
      </w:pPr>
      <w:r w:rsidRPr="00D14D69">
        <w:rPr>
          <w:rFonts w:ascii="Arial" w:eastAsia="Times New Roman" w:hAnsi="Arial" w:cs="Arial"/>
          <w:sz w:val="24"/>
          <w:szCs w:val="24"/>
          <w:lang w:eastAsia="es-ES"/>
        </w:rPr>
        <w:t xml:space="preserve">Se deja constancia de que la anterior providencia fue leída, discutida y aprobada por </w:t>
      </w:r>
      <w:smartTag w:uri="urn:schemas-microsoft-com:office:smarttags" w:element="PersonName">
        <w:smartTagPr>
          <w:attr w:name="ProductID" w:val="LA SALA"/>
        </w:smartTagPr>
        <w:r w:rsidRPr="00D14D69">
          <w:rPr>
            <w:rFonts w:ascii="Arial" w:eastAsia="Times New Roman" w:hAnsi="Arial" w:cs="Arial"/>
            <w:sz w:val="24"/>
            <w:szCs w:val="24"/>
            <w:lang w:eastAsia="es-ES"/>
          </w:rPr>
          <w:t>la Sala</w:t>
        </w:r>
      </w:smartTag>
      <w:r w:rsidRPr="00D14D69">
        <w:rPr>
          <w:rFonts w:ascii="Arial" w:eastAsia="Times New Roman" w:hAnsi="Arial" w:cs="Arial"/>
          <w:sz w:val="24"/>
          <w:szCs w:val="24"/>
          <w:lang w:eastAsia="es-ES"/>
        </w:rPr>
        <w:t xml:space="preserve"> en la sesión del día 9 de febrero de 2017.</w:t>
      </w:r>
    </w:p>
    <w:p w:rsidR="005F18D7" w:rsidRPr="00D14D69" w:rsidRDefault="005F18D7" w:rsidP="005F18D7">
      <w:pPr>
        <w:suppressAutoHyphens/>
        <w:spacing w:after="0" w:line="360" w:lineRule="auto"/>
        <w:jc w:val="both"/>
        <w:rPr>
          <w:rFonts w:ascii="Arial" w:eastAsia="Times New Roman" w:hAnsi="Arial" w:cs="Arial"/>
          <w:sz w:val="24"/>
          <w:szCs w:val="24"/>
          <w:lang w:eastAsia="es-ES"/>
        </w:rPr>
      </w:pPr>
    </w:p>
    <w:p w:rsidR="005F18D7" w:rsidRPr="00D14D69" w:rsidRDefault="005F18D7" w:rsidP="005F18D7">
      <w:pPr>
        <w:suppressAutoHyphens/>
        <w:overflowPunct w:val="0"/>
        <w:autoSpaceDE w:val="0"/>
        <w:autoSpaceDN w:val="0"/>
        <w:adjustRightInd w:val="0"/>
        <w:spacing w:after="0" w:line="240" w:lineRule="auto"/>
        <w:jc w:val="both"/>
        <w:textAlignment w:val="baseline"/>
        <w:rPr>
          <w:rFonts w:ascii="Arial" w:eastAsia="Times New Roman" w:hAnsi="Arial" w:cs="Arial"/>
          <w:b/>
          <w:spacing w:val="-24"/>
          <w:sz w:val="24"/>
          <w:szCs w:val="24"/>
          <w:lang w:val="es-ES_tradnl" w:eastAsia="es-ES"/>
        </w:rPr>
      </w:pPr>
      <w:r w:rsidRPr="00D14D69">
        <w:rPr>
          <w:rFonts w:ascii="Arial" w:eastAsia="Times New Roman" w:hAnsi="Arial" w:cs="Arial"/>
          <w:b/>
          <w:spacing w:val="-24"/>
          <w:sz w:val="24"/>
          <w:szCs w:val="24"/>
          <w:lang w:val="es-ES_tradnl" w:eastAsia="es-ES"/>
        </w:rPr>
        <w:t xml:space="preserve">ROBERTO AUGUSTO SERRATO VALDÉS     MARÍA ELIZABETH GARCÍA GONZÁLEZ          </w:t>
      </w:r>
    </w:p>
    <w:p w:rsidR="005F18D7" w:rsidRPr="00D14D69" w:rsidRDefault="005F18D7" w:rsidP="005F18D7">
      <w:pPr>
        <w:suppressAutoHyphens/>
        <w:overflowPunct w:val="0"/>
        <w:autoSpaceDE w:val="0"/>
        <w:autoSpaceDN w:val="0"/>
        <w:adjustRightInd w:val="0"/>
        <w:spacing w:after="0" w:line="240" w:lineRule="auto"/>
        <w:jc w:val="both"/>
        <w:textAlignment w:val="baseline"/>
        <w:rPr>
          <w:rFonts w:ascii="Arial" w:eastAsia="Times New Roman" w:hAnsi="Arial" w:cs="Arial"/>
          <w:b/>
          <w:spacing w:val="-24"/>
          <w:sz w:val="24"/>
          <w:szCs w:val="24"/>
          <w:lang w:val="es-ES_tradnl" w:eastAsia="es-ES"/>
        </w:rPr>
      </w:pPr>
      <w:r w:rsidRPr="00D14D69">
        <w:rPr>
          <w:rFonts w:ascii="Arial" w:eastAsia="Times New Roman" w:hAnsi="Arial" w:cs="Arial"/>
          <w:b/>
          <w:spacing w:val="-24"/>
          <w:sz w:val="24"/>
          <w:szCs w:val="24"/>
          <w:lang w:val="es-ES_tradnl" w:eastAsia="es-ES"/>
        </w:rPr>
        <w:tab/>
      </w:r>
      <w:r w:rsidRPr="00D14D69">
        <w:rPr>
          <w:rFonts w:ascii="Arial" w:eastAsia="Times New Roman" w:hAnsi="Arial" w:cs="Arial"/>
          <w:b/>
          <w:spacing w:val="-24"/>
          <w:sz w:val="24"/>
          <w:szCs w:val="24"/>
          <w:lang w:val="es-ES_tradnl" w:eastAsia="es-ES"/>
        </w:rPr>
        <w:tab/>
        <w:t xml:space="preserve">Presidente </w:t>
      </w:r>
    </w:p>
    <w:p w:rsidR="005F18D7" w:rsidRPr="00D14D69" w:rsidRDefault="005F18D7" w:rsidP="005F18D7">
      <w:pPr>
        <w:suppressAutoHyphens/>
        <w:overflowPunct w:val="0"/>
        <w:autoSpaceDE w:val="0"/>
        <w:autoSpaceDN w:val="0"/>
        <w:adjustRightInd w:val="0"/>
        <w:spacing w:after="0" w:line="480" w:lineRule="auto"/>
        <w:jc w:val="both"/>
        <w:textAlignment w:val="baseline"/>
        <w:rPr>
          <w:rFonts w:ascii="Arial" w:eastAsia="Times New Roman" w:hAnsi="Arial" w:cs="Arial"/>
          <w:b/>
          <w:spacing w:val="-24"/>
          <w:sz w:val="24"/>
          <w:szCs w:val="24"/>
          <w:lang w:val="es-ES_tradnl" w:eastAsia="es-ES"/>
        </w:rPr>
      </w:pPr>
      <w:r w:rsidRPr="00D14D69">
        <w:rPr>
          <w:rFonts w:ascii="Arial" w:eastAsia="Times New Roman" w:hAnsi="Arial" w:cs="Arial"/>
          <w:b/>
          <w:spacing w:val="-24"/>
          <w:sz w:val="24"/>
          <w:szCs w:val="24"/>
          <w:lang w:val="es-ES_tradnl" w:eastAsia="es-ES"/>
        </w:rPr>
        <w:t xml:space="preserve"> </w:t>
      </w:r>
    </w:p>
    <w:p w:rsidR="009F5938" w:rsidRPr="00D14D69" w:rsidRDefault="005F18D7" w:rsidP="002F1D37">
      <w:pPr>
        <w:suppressAutoHyphens/>
        <w:spacing w:after="0" w:line="480" w:lineRule="auto"/>
        <w:jc w:val="center"/>
        <w:rPr>
          <w:rFonts w:ascii="Arial" w:hAnsi="Arial" w:cs="Arial"/>
          <w:sz w:val="24"/>
          <w:szCs w:val="24"/>
        </w:rPr>
      </w:pPr>
      <w:r w:rsidRPr="00D14D69">
        <w:rPr>
          <w:rFonts w:ascii="Arial" w:eastAsia="Times New Roman" w:hAnsi="Arial" w:cs="Arial"/>
          <w:b/>
          <w:spacing w:val="-24"/>
          <w:sz w:val="24"/>
          <w:szCs w:val="24"/>
          <w:lang w:val="es-ES_tradnl" w:eastAsia="es-ES"/>
        </w:rPr>
        <w:t>CARLOS ENRIQUE MORENO RUBIO</w:t>
      </w:r>
    </w:p>
    <w:sectPr w:rsidR="009F5938" w:rsidRPr="00D14D69" w:rsidSect="00D14D69">
      <w:pgSz w:w="12242" w:h="15842"/>
      <w:pgMar w:top="1701" w:right="1701" w:bottom="1701" w:left="1701"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1628" w:rsidRDefault="00B61628" w:rsidP="005F18D7">
      <w:pPr>
        <w:spacing w:after="0" w:line="240" w:lineRule="auto"/>
      </w:pPr>
      <w:r>
        <w:separator/>
      </w:r>
    </w:p>
  </w:endnote>
  <w:endnote w:type="continuationSeparator" w:id="0">
    <w:p w:rsidR="00B61628" w:rsidRDefault="00B61628" w:rsidP="005F18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1628" w:rsidRDefault="00B61628" w:rsidP="005F18D7">
      <w:pPr>
        <w:spacing w:after="0" w:line="240" w:lineRule="auto"/>
      </w:pPr>
      <w:r>
        <w:separator/>
      </w:r>
    </w:p>
  </w:footnote>
  <w:footnote w:type="continuationSeparator" w:id="0">
    <w:p w:rsidR="00B61628" w:rsidRDefault="00B61628" w:rsidP="005F18D7">
      <w:pPr>
        <w:spacing w:after="0" w:line="240" w:lineRule="auto"/>
      </w:pPr>
      <w:r>
        <w:continuationSeparator/>
      </w:r>
    </w:p>
  </w:footnote>
  <w:footnote w:id="1">
    <w:p w:rsidR="005F18D7" w:rsidRPr="00F92C47" w:rsidRDefault="005F18D7" w:rsidP="005F18D7">
      <w:pPr>
        <w:pStyle w:val="Textonotapie"/>
        <w:jc w:val="both"/>
        <w:rPr>
          <w:lang w:val="es-CO"/>
        </w:rPr>
      </w:pPr>
      <w:r w:rsidRPr="00F92C47">
        <w:rPr>
          <w:rStyle w:val="Refdenotaalpie"/>
        </w:rPr>
        <w:footnoteRef/>
      </w:r>
      <w:r w:rsidRPr="00F92C47">
        <w:t xml:space="preserve"> </w:t>
      </w:r>
      <w:r w:rsidRPr="00F92C47">
        <w:rPr>
          <w:lang w:val="es-CO"/>
        </w:rPr>
        <w:t>Derogado por la Ley 1437 de 2011.</w:t>
      </w:r>
    </w:p>
  </w:footnote>
  <w:footnote w:id="2">
    <w:p w:rsidR="005F18D7" w:rsidRPr="00F92C47" w:rsidRDefault="005F18D7" w:rsidP="005F18D7">
      <w:pPr>
        <w:pStyle w:val="Textonotapie"/>
        <w:jc w:val="both"/>
        <w:rPr>
          <w:lang w:val="es-CO"/>
        </w:rPr>
      </w:pPr>
      <w:r w:rsidRPr="00F92C47">
        <w:rPr>
          <w:rStyle w:val="Refdenotaalpie"/>
        </w:rPr>
        <w:footnoteRef/>
      </w:r>
      <w:r w:rsidRPr="00F92C47">
        <w:t xml:space="preserve"> </w:t>
      </w:r>
      <w:r w:rsidRPr="00F92C47">
        <w:rPr>
          <w:lang w:val="es-CO"/>
        </w:rPr>
        <w:t>Cita providencia de 19 de julio de 2003, Expediente núm. 2002-06813 (6813-05), Consejero ponente: doctor Alejandro Ordoñez Maldonado.</w:t>
      </w:r>
    </w:p>
  </w:footnote>
  <w:footnote w:id="3">
    <w:p w:rsidR="005F18D7" w:rsidRPr="00F92C47" w:rsidRDefault="005F18D7" w:rsidP="005F18D7">
      <w:pPr>
        <w:pStyle w:val="Textonotapie"/>
        <w:spacing w:before="120"/>
        <w:jc w:val="both"/>
      </w:pPr>
      <w:r w:rsidRPr="00F92C47">
        <w:rPr>
          <w:lang w:val="es-ES_tradnl"/>
        </w:rPr>
        <w:t>[</w:t>
      </w:r>
      <w:r w:rsidRPr="00F92C47">
        <w:rPr>
          <w:rStyle w:val="Refdenotaalpie"/>
          <w:lang w:val="es-ES_tradnl"/>
        </w:rPr>
        <w:footnoteRef/>
      </w:r>
      <w:r w:rsidRPr="00F92C47">
        <w:rPr>
          <w:lang w:val="es-ES_tradnl"/>
        </w:rPr>
        <w:t xml:space="preserve">] Sentencia 173/93. </w:t>
      </w:r>
    </w:p>
  </w:footnote>
  <w:footnote w:id="4">
    <w:p w:rsidR="005F18D7" w:rsidRPr="00F92C47" w:rsidRDefault="005F18D7" w:rsidP="005F18D7">
      <w:pPr>
        <w:pStyle w:val="Textonotapie"/>
        <w:spacing w:before="120"/>
        <w:jc w:val="both"/>
      </w:pPr>
      <w:r w:rsidRPr="00F92C47">
        <w:rPr>
          <w:lang w:val="es-ES_tradnl"/>
        </w:rPr>
        <w:t>[</w:t>
      </w:r>
      <w:r w:rsidRPr="00F92C47">
        <w:rPr>
          <w:rStyle w:val="Refdenotaalpie"/>
          <w:lang w:val="es-ES_tradnl"/>
        </w:rPr>
        <w:footnoteRef/>
      </w:r>
      <w:r w:rsidRPr="00F92C47">
        <w:rPr>
          <w:lang w:val="es-ES_tradnl"/>
        </w:rPr>
        <w:t xml:space="preserve">] Sentencia T-504/00. </w:t>
      </w:r>
    </w:p>
  </w:footnote>
  <w:footnote w:id="5">
    <w:p w:rsidR="005F18D7" w:rsidRPr="00F92C47" w:rsidRDefault="005F18D7" w:rsidP="005F18D7">
      <w:pPr>
        <w:pStyle w:val="Textonotapie"/>
        <w:jc w:val="both"/>
      </w:pPr>
    </w:p>
    <w:p w:rsidR="005F18D7" w:rsidRPr="00F92C47" w:rsidRDefault="005F18D7" w:rsidP="005F18D7">
      <w:pPr>
        <w:pStyle w:val="Textonotapie"/>
        <w:jc w:val="both"/>
      </w:pPr>
      <w:r w:rsidRPr="00F92C47">
        <w:t>[</w:t>
      </w:r>
      <w:r w:rsidRPr="00F92C47">
        <w:rPr>
          <w:rStyle w:val="Refdenotaalpie"/>
        </w:rPr>
        <w:footnoteRef/>
      </w:r>
      <w:r w:rsidRPr="00F92C47">
        <w:t xml:space="preserve">] Ver entre otras </w:t>
      </w:r>
      <w:smartTag w:uri="urn:schemas-microsoft-com:office:smarttags" w:element="PersonName">
        <w:smartTagPr>
          <w:attr w:name="ProductID" w:val="la Sentencia T-315"/>
        </w:smartTagPr>
        <w:r w:rsidRPr="00F92C47">
          <w:t>la Sentencia T-315</w:t>
        </w:r>
      </w:smartTag>
      <w:r w:rsidRPr="00F92C47">
        <w:t>/05</w:t>
      </w:r>
    </w:p>
  </w:footnote>
  <w:footnote w:id="6">
    <w:p w:rsidR="005F18D7" w:rsidRPr="00F92C47" w:rsidRDefault="005F18D7" w:rsidP="005F18D7">
      <w:pPr>
        <w:pStyle w:val="Textonotapie"/>
        <w:spacing w:before="120"/>
        <w:jc w:val="both"/>
      </w:pPr>
      <w:r w:rsidRPr="00F92C47">
        <w:rPr>
          <w:lang w:val="es-ES_tradnl"/>
        </w:rPr>
        <w:t>[</w:t>
      </w:r>
      <w:r w:rsidRPr="00F92C47">
        <w:rPr>
          <w:rStyle w:val="Refdenotaalpie"/>
          <w:lang w:val="es-ES_tradnl"/>
        </w:rPr>
        <w:footnoteRef/>
      </w:r>
      <w:r w:rsidRPr="00F92C47">
        <w:rPr>
          <w:lang w:val="es-ES_tradnl"/>
        </w:rPr>
        <w:t>] Sentencias T-008/98 y SU-159/2000</w:t>
      </w:r>
    </w:p>
  </w:footnote>
  <w:footnote w:id="7">
    <w:p w:rsidR="005F18D7" w:rsidRPr="00F92C47" w:rsidRDefault="005F18D7" w:rsidP="005F18D7">
      <w:pPr>
        <w:pStyle w:val="Textonotapie"/>
        <w:jc w:val="both"/>
      </w:pPr>
      <w:r w:rsidRPr="00F92C47">
        <w:t>[</w:t>
      </w:r>
      <w:r w:rsidRPr="00F92C47">
        <w:rPr>
          <w:rStyle w:val="Refdenotaalpie"/>
        </w:rPr>
        <w:footnoteRef/>
      </w:r>
      <w:r w:rsidRPr="00F92C47">
        <w:t xml:space="preserve">] </w:t>
      </w:r>
      <w:r w:rsidRPr="00F92C47">
        <w:rPr>
          <w:lang w:val="es-CO"/>
        </w:rPr>
        <w:t>Sentencia T-658-98</w:t>
      </w:r>
    </w:p>
  </w:footnote>
  <w:footnote w:id="8">
    <w:p w:rsidR="005F18D7" w:rsidRPr="00F92C47" w:rsidRDefault="005F18D7" w:rsidP="005F18D7">
      <w:pPr>
        <w:pStyle w:val="Textonotapie"/>
        <w:jc w:val="both"/>
      </w:pPr>
      <w:r w:rsidRPr="00F92C47">
        <w:t>[</w:t>
      </w:r>
      <w:r w:rsidRPr="00F92C47">
        <w:rPr>
          <w:rStyle w:val="Refdenotaalpie"/>
        </w:rPr>
        <w:footnoteRef/>
      </w:r>
      <w:r w:rsidRPr="00F92C47">
        <w:t xml:space="preserve">] </w:t>
      </w:r>
      <w:r w:rsidRPr="00F92C47">
        <w:rPr>
          <w:lang w:val="es-CO"/>
        </w:rPr>
        <w:t>Sentencias T-088-99 y SU-1219-01</w:t>
      </w:r>
    </w:p>
  </w:footnote>
  <w:footnote w:id="9">
    <w:p w:rsidR="005F18D7" w:rsidRPr="00F92C47" w:rsidRDefault="005F18D7" w:rsidP="005F18D7">
      <w:pPr>
        <w:pStyle w:val="Textonotapie"/>
        <w:jc w:val="both"/>
        <w:rPr>
          <w:lang w:val="es-CO"/>
        </w:rPr>
      </w:pPr>
      <w:r w:rsidRPr="00F92C47">
        <w:rPr>
          <w:rStyle w:val="Refdenotaalpie"/>
        </w:rPr>
        <w:footnoteRef/>
      </w:r>
      <w:r w:rsidRPr="00F92C47">
        <w:t xml:space="preserve"> </w:t>
      </w:r>
      <w:smartTag w:uri="urn:schemas-microsoft-com:office:smarttags" w:element="PersonName">
        <w:smartTagPr>
          <w:attr w:name="ProductID" w:val="la Corte Constitucional"/>
        </w:smartTagPr>
        <w:r w:rsidRPr="00F92C47">
          <w:t>La Corte Constitucional</w:t>
        </w:r>
      </w:smartTag>
      <w:r w:rsidRPr="00F92C47">
        <w:t xml:space="preserve">, en la sentencia SU- 627 de 2015, admitió la </w:t>
      </w:r>
      <w:proofErr w:type="spellStart"/>
      <w:r w:rsidRPr="00F92C47">
        <w:t>procedibilidad</w:t>
      </w:r>
      <w:proofErr w:type="spellEnd"/>
      <w:r w:rsidRPr="00F92C47">
        <w:t xml:space="preserve"> de la acción de tutela contra fallos de tutela, en aquellos casos en que se compruebe que existió fraude y, además, se reúnan los requisitos genéricos de </w:t>
      </w:r>
      <w:proofErr w:type="spellStart"/>
      <w:r w:rsidRPr="00F92C47">
        <w:t>procedibilidad</w:t>
      </w:r>
      <w:proofErr w:type="spellEnd"/>
      <w:r w:rsidRPr="00F92C47">
        <w:t xml:space="preserve"> de la tutela contra providencias judiciales. Así lo expresó esa Corporación en la citada sentencia, al indicar que: “</w:t>
      </w:r>
      <w:r w:rsidRPr="00F92C47">
        <w:rPr>
          <w:i/>
        </w:rPr>
        <w:t xml:space="preserve">Si la sentencia de tutela ha sido proferida por otro juez o tribunal de </w:t>
      </w:r>
      <w:smartTag w:uri="urn:schemas-microsoft-com:office:smarttags" w:element="PersonName">
        <w:smartTagPr>
          <w:attr w:name="ProductID" w:val="la República"/>
        </w:smartTagPr>
        <w:r w:rsidRPr="00F92C47">
          <w:rPr>
            <w:i/>
          </w:rPr>
          <w:t>la República</w:t>
        </w:r>
      </w:smartTag>
      <w:r w:rsidRPr="00F92C47">
        <w:rPr>
          <w:i/>
        </w:rPr>
        <w:t xml:space="preserve">, </w:t>
      </w:r>
      <w:r w:rsidRPr="00F92C47">
        <w:rPr>
          <w:b/>
          <w:i/>
        </w:rPr>
        <w:t>la acción de tutela puede proceder de manera excepcional, cuando exista fraude</w:t>
      </w:r>
      <w:r w:rsidRPr="00F92C47">
        <w:rPr>
          <w:i/>
        </w:rPr>
        <w:t xml:space="preserve"> y por tanto, se esté ante el fenómeno de la cosa juzgada fraudulenta, siempre y cuando, además de cumplir con los requisitos genéricos de </w:t>
      </w:r>
      <w:proofErr w:type="spellStart"/>
      <w:r w:rsidRPr="00F92C47">
        <w:rPr>
          <w:i/>
        </w:rPr>
        <w:t>procedibilidad</w:t>
      </w:r>
      <w:proofErr w:type="spellEnd"/>
      <w:r w:rsidRPr="00F92C47">
        <w:rPr>
          <w:i/>
        </w:rPr>
        <w:t xml:space="preserve"> de la tutela contra providencias judiciales, </w:t>
      </w:r>
      <w:r w:rsidRPr="00F92C47">
        <w:rPr>
          <w:b/>
          <w:i/>
        </w:rPr>
        <w:t>(i) la acción de tutela presentada no comparta identidad procesal con la solicitud de amparo cuestionada; (ii) se demuestre de manera clara y suficiente, que la decisión adoptada en la sentencia de tutela fue producto de una situación de fraude (</w:t>
      </w:r>
      <w:proofErr w:type="spellStart"/>
      <w:r w:rsidRPr="00F92C47">
        <w:rPr>
          <w:b/>
          <w:i/>
        </w:rPr>
        <w:t>Fraus</w:t>
      </w:r>
      <w:proofErr w:type="spellEnd"/>
      <w:r w:rsidRPr="00F92C47">
        <w:rPr>
          <w:b/>
          <w:i/>
        </w:rPr>
        <w:t xml:space="preserve"> </w:t>
      </w:r>
      <w:proofErr w:type="spellStart"/>
      <w:r w:rsidRPr="00F92C47">
        <w:rPr>
          <w:b/>
          <w:i/>
        </w:rPr>
        <w:t>omnia</w:t>
      </w:r>
      <w:proofErr w:type="spellEnd"/>
      <w:r w:rsidRPr="00F92C47">
        <w:rPr>
          <w:b/>
          <w:i/>
        </w:rPr>
        <w:t xml:space="preserve"> </w:t>
      </w:r>
      <w:proofErr w:type="spellStart"/>
      <w:r w:rsidRPr="00F92C47">
        <w:rPr>
          <w:b/>
          <w:i/>
        </w:rPr>
        <w:t>corrumpit</w:t>
      </w:r>
      <w:proofErr w:type="spellEnd"/>
      <w:r w:rsidRPr="00F92C47">
        <w:rPr>
          <w:b/>
          <w:i/>
        </w:rPr>
        <w:t>); y (iii) no exista otro medio, ordinario o extraordinario, eficaz para resolver la situación</w:t>
      </w:r>
      <w:r w:rsidRPr="00F92C47">
        <w:t>” (Resaltado fuera del texto original).</w:t>
      </w:r>
    </w:p>
  </w:footnote>
  <w:footnote w:id="10">
    <w:p w:rsidR="005F18D7" w:rsidRPr="00F92C47" w:rsidRDefault="005F18D7" w:rsidP="005F18D7">
      <w:pPr>
        <w:pStyle w:val="Textonotapie"/>
        <w:jc w:val="both"/>
      </w:pPr>
      <w:r w:rsidRPr="00F92C47">
        <w:rPr>
          <w:lang w:val="fr-FR"/>
        </w:rPr>
        <w:t>[</w:t>
      </w:r>
      <w:r w:rsidRPr="00F92C47">
        <w:rPr>
          <w:rStyle w:val="Refdenotaalpie"/>
        </w:rPr>
        <w:footnoteRef/>
      </w:r>
      <w:r w:rsidRPr="00F92C47">
        <w:rPr>
          <w:lang w:val="fr-FR"/>
        </w:rPr>
        <w:t>] Sentencia T-522/01</w:t>
      </w:r>
    </w:p>
  </w:footnote>
  <w:footnote w:id="11">
    <w:p w:rsidR="005F18D7" w:rsidRPr="00F92C47" w:rsidRDefault="005F18D7" w:rsidP="005F18D7">
      <w:pPr>
        <w:pStyle w:val="Textoindependiente"/>
        <w:rPr>
          <w:rFonts w:ascii="Times New Roman" w:hAnsi="Times New Roman"/>
          <w:sz w:val="20"/>
        </w:rPr>
      </w:pPr>
      <w:r w:rsidRPr="00F92C47">
        <w:rPr>
          <w:rFonts w:ascii="Times New Roman" w:hAnsi="Times New Roman"/>
          <w:sz w:val="20"/>
        </w:rPr>
        <w:t>[</w:t>
      </w:r>
      <w:r w:rsidRPr="00F92C47">
        <w:rPr>
          <w:rStyle w:val="Refdenotaalpie"/>
          <w:rFonts w:ascii="Times New Roman" w:hAnsi="Times New Roman"/>
          <w:sz w:val="20"/>
        </w:rPr>
        <w:footnoteRef/>
      </w:r>
      <w:r w:rsidRPr="00F92C47">
        <w:rPr>
          <w:rFonts w:ascii="Times New Roman" w:hAnsi="Times New Roman"/>
          <w:sz w:val="20"/>
        </w:rPr>
        <w:t>] Cfr. Sentencias T-462/03; SU-1184/01; T-1625/00 y T-1031/01.</w:t>
      </w:r>
    </w:p>
  </w:footnote>
  <w:footnote w:id="12">
    <w:p w:rsidR="005F18D7" w:rsidRPr="00F92C47" w:rsidRDefault="005F18D7" w:rsidP="005F18D7">
      <w:pPr>
        <w:pStyle w:val="Textonotapie"/>
        <w:jc w:val="both"/>
      </w:pPr>
      <w:r w:rsidRPr="00F92C47">
        <w:rPr>
          <w:rStyle w:val="Refdenotaalpie"/>
        </w:rPr>
        <w:footnoteRef/>
      </w:r>
      <w:r w:rsidRPr="00F92C47">
        <w:t xml:space="preserve"> Así lo determinó </w:t>
      </w:r>
      <w:smartTag w:uri="urn:schemas-microsoft-com:office:smarttags" w:element="PersonName">
        <w:smartTagPr>
          <w:attr w:name="ProductID" w:val="la Sala Plena"/>
        </w:smartTagPr>
        <w:r w:rsidRPr="00F92C47">
          <w:t>la Sala Plena</w:t>
        </w:r>
      </w:smartTag>
      <w:r w:rsidRPr="00F92C47">
        <w:t xml:space="preserve"> de lo Contencioso Administrativo del Consejo de Estado, en sentencia de unificación de 5 de agosto de 2014 (Expediente núm. 2012-02201, Consejero ponente: doctor Jorge Octavio Ramírez Ramírez).</w:t>
      </w:r>
    </w:p>
    <w:p w:rsidR="005F18D7" w:rsidRPr="00F92C47" w:rsidRDefault="005F18D7" w:rsidP="005F18D7">
      <w:pPr>
        <w:pStyle w:val="Textonotapie"/>
        <w:jc w:val="both"/>
      </w:pPr>
    </w:p>
  </w:footnote>
  <w:footnote w:id="13">
    <w:p w:rsidR="005F18D7" w:rsidRPr="00F92C47" w:rsidRDefault="005F18D7" w:rsidP="005F18D7">
      <w:pPr>
        <w:pStyle w:val="Textonotapie"/>
        <w:jc w:val="both"/>
        <w:rPr>
          <w:lang w:val="es-CO"/>
        </w:rPr>
      </w:pPr>
      <w:r w:rsidRPr="00F92C47">
        <w:rPr>
          <w:rStyle w:val="Refdenotaalpie"/>
        </w:rPr>
        <w:footnoteRef/>
      </w:r>
      <w:r w:rsidRPr="00F92C47">
        <w:t xml:space="preserve"> </w:t>
      </w:r>
      <w:r w:rsidRPr="00F92C47">
        <w:rPr>
          <w:lang w:val="es-CO"/>
        </w:rPr>
        <w:t>Sentencia T-1049 de 2012.</w:t>
      </w:r>
    </w:p>
  </w:footnote>
  <w:footnote w:id="14">
    <w:p w:rsidR="005F18D7" w:rsidRPr="00F92C47" w:rsidRDefault="005F18D7" w:rsidP="005F18D7">
      <w:pPr>
        <w:pStyle w:val="Textonotapie"/>
        <w:jc w:val="both"/>
      </w:pPr>
      <w:r w:rsidRPr="00F92C47">
        <w:rPr>
          <w:vertAlign w:val="superscript"/>
        </w:rPr>
        <w:footnoteRef/>
      </w:r>
      <w:r w:rsidRPr="00F92C47">
        <w:t xml:space="preserve"> </w:t>
      </w:r>
      <w:r w:rsidRPr="00F92C47">
        <w:rPr>
          <w:lang w:val="es-ES_tradnl"/>
        </w:rPr>
        <w:t>Sentencia T-310 de 2009.</w:t>
      </w:r>
    </w:p>
  </w:footnote>
  <w:footnote w:id="15">
    <w:p w:rsidR="005F18D7" w:rsidRPr="00F92C47" w:rsidRDefault="005F18D7" w:rsidP="005F18D7">
      <w:pPr>
        <w:pStyle w:val="Textonotapie"/>
        <w:jc w:val="both"/>
        <w:rPr>
          <w:lang w:val="es-CO"/>
        </w:rPr>
      </w:pPr>
      <w:r w:rsidRPr="00F92C47">
        <w:rPr>
          <w:rStyle w:val="Refdenotaalpie"/>
        </w:rPr>
        <w:footnoteRef/>
      </w:r>
      <w:r w:rsidRPr="00F92C47">
        <w:t xml:space="preserve"> Corte Constitucional, Sentencia T-704 de 2012. Magistrado ponente: doctor Luis Ernesto Vargas Silva.</w:t>
      </w:r>
    </w:p>
  </w:footnote>
  <w:footnote w:id="16">
    <w:p w:rsidR="005F18D7" w:rsidRPr="00F92C47" w:rsidRDefault="005F18D7" w:rsidP="005F18D7">
      <w:pPr>
        <w:pStyle w:val="Textonotapie"/>
        <w:jc w:val="both"/>
      </w:pPr>
      <w:r w:rsidRPr="00F92C47">
        <w:rPr>
          <w:rStyle w:val="Refdenotaalpie"/>
        </w:rPr>
        <w:footnoteRef/>
      </w:r>
      <w:r w:rsidRPr="00F92C47">
        <w:t xml:space="preserve"> Ver entre otras, Sentencias T – 199 de 2005, Magistrado ponente: doctor Marco Gerardo Monroy Cabra; T-590 de 2009, Magistrado ponente: doctor Luís Ernesto Vargas Silva y T-809 de 2010, Magistrado ponente: doctor Juan Carlos Henao Pérez. </w:t>
      </w:r>
    </w:p>
  </w:footnote>
  <w:footnote w:id="17">
    <w:p w:rsidR="005F18D7" w:rsidRPr="00F92C47" w:rsidRDefault="005F18D7" w:rsidP="005F18D7">
      <w:pPr>
        <w:pStyle w:val="Textonotapie"/>
        <w:jc w:val="both"/>
        <w:rPr>
          <w:lang w:val="es-CO"/>
        </w:rPr>
      </w:pPr>
      <w:r w:rsidRPr="00F92C47">
        <w:rPr>
          <w:rStyle w:val="Refdenotaalpie"/>
        </w:rPr>
        <w:footnoteRef/>
      </w:r>
      <w:r w:rsidRPr="00F92C47">
        <w:t xml:space="preserve"> Consejera ponente: doctora Gladys Agudelo Ordóñez,</w:t>
      </w:r>
    </w:p>
  </w:footnote>
  <w:footnote w:id="18">
    <w:p w:rsidR="005F18D7" w:rsidRPr="00F92C47" w:rsidRDefault="005F18D7" w:rsidP="005F18D7">
      <w:pPr>
        <w:pStyle w:val="Textonotapie"/>
        <w:jc w:val="both"/>
      </w:pPr>
      <w:r w:rsidRPr="00F92C47">
        <w:rPr>
          <w:rStyle w:val="Refdenotaalpie"/>
        </w:rPr>
        <w:footnoteRef/>
      </w:r>
      <w:r w:rsidRPr="00F92C47">
        <w:t xml:space="preserve"> Consejo de Estado, Sala de lo Contencioso Administrativo, Sección Segunda, Subsección B, sentencia del 23 de agosto de 2007, expediente 0065-06, C.P. Alejandro Ordóñez Maldonado.</w:t>
      </w:r>
    </w:p>
  </w:footnote>
  <w:footnote w:id="19">
    <w:p w:rsidR="005F18D7" w:rsidRPr="00F92C47" w:rsidRDefault="005F18D7" w:rsidP="005F18D7">
      <w:pPr>
        <w:pStyle w:val="Textonotapie"/>
        <w:jc w:val="both"/>
      </w:pPr>
      <w:r w:rsidRPr="00F92C47">
        <w:rPr>
          <w:rStyle w:val="Refdenotaalpie"/>
        </w:rPr>
        <w:footnoteRef/>
      </w:r>
      <w:r w:rsidRPr="00F92C47">
        <w:t xml:space="preserve"> Consejo de Estado, Sala de lo Contencioso Administrativo, Sección Segunda, Subsección B, sentencia del 19 de agosto de 2007, expediente: </w:t>
      </w:r>
      <w:r w:rsidRPr="00F92C47">
        <w:rPr>
          <w:b/>
          <w:u w:val="single"/>
        </w:rPr>
        <w:t>6813-</w:t>
      </w:r>
      <w:proofErr w:type="gramStart"/>
      <w:r w:rsidRPr="00F92C47">
        <w:rPr>
          <w:b/>
          <w:u w:val="single"/>
        </w:rPr>
        <w:t>15</w:t>
      </w:r>
      <w:r w:rsidRPr="00F92C47">
        <w:t xml:space="preserve"> ,</w:t>
      </w:r>
      <w:proofErr w:type="gramEnd"/>
      <w:r w:rsidRPr="00F92C47">
        <w:t xml:space="preserve"> C.P. Alejandro Ordóñez Maldonado</w:t>
      </w:r>
    </w:p>
  </w:footnote>
  <w:footnote w:id="20">
    <w:p w:rsidR="005F18D7" w:rsidRPr="00F92C47" w:rsidRDefault="005F18D7" w:rsidP="005F18D7">
      <w:pPr>
        <w:pStyle w:val="Textonotapie"/>
        <w:jc w:val="both"/>
      </w:pPr>
      <w:r w:rsidRPr="00F92C47">
        <w:rPr>
          <w:rStyle w:val="Refdenotaalpie"/>
        </w:rPr>
        <w:footnoteRef/>
      </w:r>
      <w:r w:rsidRPr="00F92C47">
        <w:t xml:space="preserve"> Consejo de Estado, Sala de lo Contencioso Administrativo, Sección Tercera, sentencia del 23 de junio de 2010, expediente 18319 C.P. Gladys Agudelo Ordoñez.</w:t>
      </w:r>
    </w:p>
  </w:footnote>
  <w:footnote w:id="21">
    <w:p w:rsidR="005F18D7" w:rsidRPr="00F92C47" w:rsidRDefault="005F18D7" w:rsidP="005F18D7">
      <w:pPr>
        <w:pStyle w:val="Textonotapie"/>
        <w:jc w:val="both"/>
      </w:pPr>
      <w:r w:rsidRPr="00F92C47">
        <w:rPr>
          <w:rStyle w:val="Refdenotaalpie"/>
        </w:rPr>
        <w:footnoteRef/>
      </w:r>
      <w:r w:rsidRPr="00F92C47">
        <w:t xml:space="preserve"> Consejo de Estado, Sala de lo Contencioso Administrativo, Sección Segunda, Subsección A, sentencia del 17 de agosto de 2011, expediente 1079-09, C.P. Gustavo Eduardo Gómez Aranguren.</w:t>
      </w:r>
    </w:p>
  </w:footnote>
  <w:footnote w:id="22">
    <w:p w:rsidR="005F18D7" w:rsidRPr="00F92C47" w:rsidRDefault="005F18D7" w:rsidP="005F18D7">
      <w:pPr>
        <w:pStyle w:val="Textonotapie"/>
        <w:jc w:val="both"/>
      </w:pPr>
      <w:r w:rsidRPr="00F92C47">
        <w:rPr>
          <w:rStyle w:val="Refdenotaalpie"/>
        </w:rPr>
        <w:footnoteRef/>
      </w:r>
      <w:r w:rsidRPr="00F92C47">
        <w:t xml:space="preserve"> Consejo de Estado, Sala de lo Contencioso Administrativo, Sección Segunda, sentencia del 10 de octubre de 2013, expediente 1079-09, C.P. Adolfo Vargas Rincón.</w:t>
      </w:r>
    </w:p>
  </w:footnote>
  <w:footnote w:id="23">
    <w:p w:rsidR="005F18D7" w:rsidRPr="00F92C47" w:rsidRDefault="005F18D7" w:rsidP="005F18D7">
      <w:pPr>
        <w:pStyle w:val="Textonotapie"/>
        <w:jc w:val="both"/>
      </w:pPr>
      <w:r w:rsidRPr="00F92C47">
        <w:rPr>
          <w:rStyle w:val="Refdenotaalpie"/>
        </w:rPr>
        <w:footnoteRef/>
      </w:r>
      <w:r w:rsidRPr="00F92C47">
        <w:t xml:space="preserve"> Consejo de Estado, Sala de lo Contencioso Administrativo, Sección Tercera, Subsección B, sentencia del 26 de junio de 2014, expediente 28236, C.P. Danilo Rojas </w:t>
      </w:r>
      <w:proofErr w:type="spellStart"/>
      <w:r w:rsidRPr="00F92C47">
        <w:t>Betancourth</w:t>
      </w:r>
      <w:proofErr w:type="spellEnd"/>
      <w:r w:rsidRPr="00F92C47">
        <w:t>.</w:t>
      </w:r>
    </w:p>
  </w:footnote>
  <w:footnote w:id="24">
    <w:p w:rsidR="005F18D7" w:rsidRPr="00F92C47" w:rsidRDefault="005F18D7" w:rsidP="005F18D7">
      <w:pPr>
        <w:pStyle w:val="Textonotapie"/>
        <w:jc w:val="both"/>
        <w:rPr>
          <w:lang w:val="es-CO"/>
        </w:rPr>
      </w:pPr>
      <w:r w:rsidRPr="00F92C47">
        <w:rPr>
          <w:rStyle w:val="Refdenotaalpie"/>
        </w:rPr>
        <w:footnoteRef/>
      </w:r>
      <w:r w:rsidRPr="00F92C47">
        <w:t xml:space="preserve"> </w:t>
      </w:r>
      <w:r w:rsidRPr="00F92C47">
        <w:rPr>
          <w:lang w:val="es-CO"/>
        </w:rPr>
        <w:t>Fallo de 10 de marzo de 2016, Expediente núm. 2016-00149-00, Consejero ponente: doctor Gabriel Valbuena Hernández.</w:t>
      </w:r>
    </w:p>
  </w:footnote>
  <w:footnote w:id="25">
    <w:p w:rsidR="005F18D7" w:rsidRPr="00F92C47" w:rsidRDefault="005F18D7" w:rsidP="005F18D7">
      <w:pPr>
        <w:pStyle w:val="Textonotapie"/>
        <w:jc w:val="both"/>
        <w:rPr>
          <w:lang w:val="es-CO"/>
        </w:rPr>
      </w:pPr>
      <w:r w:rsidRPr="00F92C47">
        <w:rPr>
          <w:rStyle w:val="Refdenotaalpie"/>
        </w:rPr>
        <w:footnoteRef/>
      </w:r>
      <w:r w:rsidRPr="00F92C47">
        <w:t xml:space="preserve"> Expediente núm. 1998-00129-01 (18319), Consejera ponente: doctora Gladys Agudelo Ordóñez,</w:t>
      </w:r>
    </w:p>
  </w:footnote>
  <w:footnote w:id="26">
    <w:p w:rsidR="005F18D7" w:rsidRPr="00F92C47" w:rsidRDefault="005F18D7" w:rsidP="005F18D7">
      <w:pPr>
        <w:pStyle w:val="Textonotapie"/>
        <w:jc w:val="both"/>
      </w:pPr>
      <w:r w:rsidRPr="00F92C47">
        <w:rPr>
          <w:rStyle w:val="Refdenotaalpie"/>
        </w:rPr>
        <w:footnoteRef/>
      </w:r>
      <w:r w:rsidRPr="00F92C47">
        <w:t xml:space="preserve"> Sección Segunda, Subsección B, Sentencia de 15 de marzo de 2007, expediente 1487</w:t>
      </w:r>
    </w:p>
  </w:footnote>
  <w:footnote w:id="27">
    <w:p w:rsidR="005F18D7" w:rsidRPr="0059381F" w:rsidRDefault="005F18D7" w:rsidP="005F18D7">
      <w:pPr>
        <w:pStyle w:val="Textonotapie"/>
        <w:rPr>
          <w:lang w:val="es-CO"/>
        </w:rPr>
      </w:pPr>
      <w:r>
        <w:rPr>
          <w:rStyle w:val="Refdenotaalpie"/>
        </w:rPr>
        <w:footnoteRef/>
      </w:r>
      <w:r>
        <w:t xml:space="preserve"> </w:t>
      </w:r>
      <w:r>
        <w:rPr>
          <w:lang w:val="es-CO"/>
        </w:rPr>
        <w:t xml:space="preserve">Expediente núm. 2016-00139-01, Consejera ponente: doctora María Claudia Rojas Lasso. </w:t>
      </w:r>
    </w:p>
  </w:footnote>
  <w:footnote w:id="28">
    <w:p w:rsidR="005F18D7" w:rsidRPr="00895DB5" w:rsidRDefault="005F18D7" w:rsidP="005F18D7">
      <w:pPr>
        <w:pStyle w:val="Textonotapie"/>
        <w:rPr>
          <w:lang w:val="es-CO"/>
        </w:rPr>
      </w:pPr>
      <w:r>
        <w:rPr>
          <w:rStyle w:val="Refdenotaalpie"/>
        </w:rPr>
        <w:footnoteRef/>
      </w:r>
      <w:r>
        <w:t xml:space="preserve"> Expediente núm. 2016-00141-00.</w:t>
      </w:r>
    </w:p>
  </w:footnote>
  <w:footnote w:id="29">
    <w:p w:rsidR="005F18D7" w:rsidRPr="00895DB5" w:rsidRDefault="005F18D7" w:rsidP="005F18D7">
      <w:pPr>
        <w:pStyle w:val="Textonotapie"/>
        <w:rPr>
          <w:lang w:val="es-CO"/>
        </w:rPr>
      </w:pPr>
      <w:r>
        <w:rPr>
          <w:rStyle w:val="Refdenotaalpie"/>
        </w:rPr>
        <w:footnoteRef/>
      </w:r>
      <w:r>
        <w:t xml:space="preserve"> Expediente núm. 2016-00139-01.</w:t>
      </w:r>
    </w:p>
  </w:footnote>
  <w:footnote w:id="30">
    <w:p w:rsidR="005F18D7" w:rsidRPr="00F92C47" w:rsidRDefault="005F18D7" w:rsidP="005F18D7">
      <w:pPr>
        <w:pStyle w:val="Textonotapie"/>
        <w:jc w:val="both"/>
        <w:rPr>
          <w:lang w:val="es-CO"/>
        </w:rPr>
      </w:pPr>
      <w:r w:rsidRPr="00F92C47">
        <w:rPr>
          <w:rStyle w:val="Refdenotaalpie"/>
        </w:rPr>
        <w:footnoteRef/>
      </w:r>
      <w:r w:rsidRPr="00F92C47">
        <w:t xml:space="preserve"> </w:t>
      </w:r>
      <w:r>
        <w:t xml:space="preserve">Fallo de </w:t>
      </w:r>
      <w:r w:rsidRPr="006F7A8A">
        <w:t>7 de abril de 2016</w:t>
      </w:r>
      <w:r>
        <w:t xml:space="preserve">, </w:t>
      </w:r>
      <w:r w:rsidRPr="00F92C47">
        <w:rPr>
          <w:lang w:val="es-CO"/>
        </w:rPr>
        <w:t>Expediente núm. 2016-00145, Consejera ponente: Martha Teresa Briceño de Valencia.</w:t>
      </w:r>
    </w:p>
  </w:footnote>
  <w:footnote w:id="31">
    <w:p w:rsidR="005F18D7" w:rsidRPr="001A00ED" w:rsidRDefault="005F18D7" w:rsidP="005F18D7">
      <w:pPr>
        <w:pStyle w:val="Textonotapie"/>
        <w:rPr>
          <w:lang w:val="es-CO"/>
        </w:rPr>
      </w:pPr>
      <w:r>
        <w:rPr>
          <w:rStyle w:val="Refdenotaalpie"/>
        </w:rPr>
        <w:footnoteRef/>
      </w:r>
      <w:r>
        <w:t xml:space="preserve"> </w:t>
      </w:r>
      <w:r>
        <w:rPr>
          <w:lang w:val="es-CO"/>
        </w:rPr>
        <w:t>Ver al respecto fallo de 20 de marzo de 2014, Expediente núm. 2012-01811, Consejera ponente: María Elizabeth García González.</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7939AD"/>
    <w:multiLevelType w:val="hybridMultilevel"/>
    <w:tmpl w:val="C4DA5BE4"/>
    <w:lvl w:ilvl="0" w:tplc="213A179A">
      <w:start w:val="3"/>
      <w:numFmt w:val="bullet"/>
      <w:lvlText w:val="-"/>
      <w:lvlJc w:val="left"/>
      <w:pPr>
        <w:ind w:left="720" w:hanging="360"/>
      </w:pPr>
      <w:rPr>
        <w:rFonts w:ascii="Verdana" w:eastAsia="Times New Roman" w:hAnsi="Verdana" w:cs="Arial"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637"/>
    <w:rsid w:val="00000AE6"/>
    <w:rsid w:val="00010DE2"/>
    <w:rsid w:val="0001112D"/>
    <w:rsid w:val="00057BB4"/>
    <w:rsid w:val="000A7955"/>
    <w:rsid w:val="00101651"/>
    <w:rsid w:val="00153B9B"/>
    <w:rsid w:val="001D1F1D"/>
    <w:rsid w:val="00263095"/>
    <w:rsid w:val="00297D10"/>
    <w:rsid w:val="002F1D37"/>
    <w:rsid w:val="00304519"/>
    <w:rsid w:val="00331515"/>
    <w:rsid w:val="00341A54"/>
    <w:rsid w:val="00351AA8"/>
    <w:rsid w:val="00365994"/>
    <w:rsid w:val="003B0B93"/>
    <w:rsid w:val="003C2C17"/>
    <w:rsid w:val="003F42E6"/>
    <w:rsid w:val="00490DCA"/>
    <w:rsid w:val="004F37AB"/>
    <w:rsid w:val="005C7EC7"/>
    <w:rsid w:val="005F18D7"/>
    <w:rsid w:val="006461D6"/>
    <w:rsid w:val="00646FBE"/>
    <w:rsid w:val="006E1A42"/>
    <w:rsid w:val="0071468B"/>
    <w:rsid w:val="007C0300"/>
    <w:rsid w:val="007D3E03"/>
    <w:rsid w:val="00822D6D"/>
    <w:rsid w:val="008245C1"/>
    <w:rsid w:val="0088609A"/>
    <w:rsid w:val="00913A7A"/>
    <w:rsid w:val="009625B4"/>
    <w:rsid w:val="009F5938"/>
    <w:rsid w:val="00A26325"/>
    <w:rsid w:val="00AB2E6A"/>
    <w:rsid w:val="00B45804"/>
    <w:rsid w:val="00B61628"/>
    <w:rsid w:val="00B95DCA"/>
    <w:rsid w:val="00BB3A4D"/>
    <w:rsid w:val="00BD6960"/>
    <w:rsid w:val="00C14637"/>
    <w:rsid w:val="00C91400"/>
    <w:rsid w:val="00D14600"/>
    <w:rsid w:val="00D14D69"/>
    <w:rsid w:val="00D61C14"/>
    <w:rsid w:val="00D86081"/>
    <w:rsid w:val="00E75788"/>
    <w:rsid w:val="00EF2A37"/>
    <w:rsid w:val="00FA259D"/>
    <w:rsid w:val="00FB3A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71BB13D4"/>
  <w15:chartTrackingRefBased/>
  <w15:docId w15:val="{D81D85E5-C5EF-4B2F-AE95-1C4CA0514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99"/>
    <w:semiHidden/>
    <w:unhideWhenUsed/>
    <w:rsid w:val="005F18D7"/>
    <w:pPr>
      <w:spacing w:after="120"/>
    </w:pPr>
  </w:style>
  <w:style w:type="character" w:customStyle="1" w:styleId="TextoindependienteCar">
    <w:name w:val="Texto independiente Car"/>
    <w:link w:val="Textoindependiente"/>
    <w:uiPriority w:val="99"/>
    <w:semiHidden/>
    <w:rsid w:val="005F18D7"/>
    <w:rPr>
      <w:sz w:val="22"/>
      <w:szCs w:val="22"/>
      <w:lang w:eastAsia="en-US"/>
    </w:rPr>
  </w:style>
  <w:style w:type="paragraph" w:styleId="Textonotapie">
    <w:name w:val="footnote text"/>
    <w:aliases w:val="MI NOTA PIE DE PÁGINA (TEXTO),Footnote Text Char Char Char Char Char,Footnote Text Char Char Char Char,Footnote reference,FA Fu,Footnote Text Char Char Char,Footnote Text Char Char Char Car,Footnote Text,texto de nota al pie,ft,f,C, Car"/>
    <w:basedOn w:val="Normal"/>
    <w:link w:val="TextonotapieCar1"/>
    <w:qFormat/>
    <w:rsid w:val="005F18D7"/>
    <w:pPr>
      <w:spacing w:after="0" w:line="240" w:lineRule="auto"/>
    </w:pPr>
    <w:rPr>
      <w:rFonts w:ascii="Times New Roman" w:eastAsia="Times New Roman" w:hAnsi="Times New Roman"/>
      <w:sz w:val="20"/>
      <w:szCs w:val="20"/>
      <w:lang w:eastAsia="es-ES"/>
    </w:rPr>
  </w:style>
  <w:style w:type="character" w:customStyle="1" w:styleId="TextonotapieCar">
    <w:name w:val="Texto nota pie Car"/>
    <w:uiPriority w:val="99"/>
    <w:semiHidden/>
    <w:rsid w:val="005F18D7"/>
    <w:rPr>
      <w:lang w:eastAsia="en-US"/>
    </w:rPr>
  </w:style>
  <w:style w:type="character" w:styleId="Refdenotaalpie">
    <w:name w:val="footnote reference"/>
    <w:aliases w:val="Texto de nota al pie,referencia nota al pie,Footnotes refss,Ref. de nota al pie 2,Pie de Página,FC,Appel note de bas de page,Fago Fußnotenzeichen,Footnote number,BVI fnr,Texto de nota al pi,Texto de nota al p,Pie de Pàgina,F"/>
    <w:qFormat/>
    <w:rsid w:val="005F18D7"/>
    <w:rPr>
      <w:vertAlign w:val="superscript"/>
    </w:rPr>
  </w:style>
  <w:style w:type="character" w:customStyle="1" w:styleId="TextonotapieCar1">
    <w:name w:val="Texto nota pie Car1"/>
    <w:aliases w:val="MI NOTA PIE DE PÁGINA (TEXTO) Car,Footnote Text Char Char Char Char Char Car,Footnote Text Char Char Char Char Car,Footnote reference Car,FA Fu Car,Footnote Text Char Char Char Car1,Footnote Text Char Char Char Car Car,ft Car,f Car"/>
    <w:link w:val="Textonotapie"/>
    <w:locked/>
    <w:rsid w:val="005F18D7"/>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62CFA6-C5CD-4A6E-B016-ECE99ACA5A08}">
  <ds:schemaRefs>
    <ds:schemaRef ds:uri="http://schemas.microsoft.com/sharepoint/v3/contenttype/forms"/>
  </ds:schemaRefs>
</ds:datastoreItem>
</file>

<file path=customXml/itemProps2.xml><?xml version="1.0" encoding="utf-8"?>
<ds:datastoreItem xmlns:ds="http://schemas.openxmlformats.org/officeDocument/2006/customXml" ds:itemID="{65EF3B90-7104-4186-975B-4404D31951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1A3E87-B52B-4C4A-90DD-CEE935D2F88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6848</Words>
  <Characters>39040</Characters>
  <Application>Microsoft Office Word</Application>
  <DocSecurity>0</DocSecurity>
  <Lines>325</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JUDI1S103</dc:creator>
  <cp:keywords/>
  <dc:description/>
  <cp:lastModifiedBy>Nina María Padrón</cp:lastModifiedBy>
  <cp:revision>2</cp:revision>
  <dcterms:created xsi:type="dcterms:W3CDTF">2020-06-15T01:59:00Z</dcterms:created>
  <dcterms:modified xsi:type="dcterms:W3CDTF">2020-06-15T01:59:00Z</dcterms:modified>
</cp:coreProperties>
</file>