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0C39" w:rsidRPr="00D566B5" w:rsidRDefault="00A14CE4" w:rsidP="00050022">
      <w:pPr>
        <w:pStyle w:val="Ttulo"/>
        <w:jc w:val="both"/>
        <w:rPr>
          <w:b w:val="0"/>
          <w:sz w:val="22"/>
          <w:szCs w:val="22"/>
        </w:rPr>
      </w:pPr>
      <w:r>
        <w:rPr>
          <w:sz w:val="22"/>
          <w:szCs w:val="22"/>
        </w:rPr>
        <w:t>CONTRATO DE CONCESIÓN –</w:t>
      </w:r>
      <w:r w:rsidR="00F10C39" w:rsidRPr="00D566B5">
        <w:rPr>
          <w:sz w:val="22"/>
          <w:szCs w:val="22"/>
        </w:rPr>
        <w:t xml:space="preserve"> Regulación normativa </w:t>
      </w:r>
    </w:p>
    <w:p w:rsidR="00F10C39" w:rsidRPr="00D566B5" w:rsidRDefault="00F10C39" w:rsidP="00050022">
      <w:pPr>
        <w:pStyle w:val="Ttulo"/>
        <w:jc w:val="both"/>
        <w:rPr>
          <w:b w:val="0"/>
          <w:sz w:val="22"/>
          <w:szCs w:val="22"/>
        </w:rPr>
      </w:pPr>
    </w:p>
    <w:p w:rsidR="00F10C39" w:rsidRPr="00D566B5" w:rsidRDefault="00F10C39" w:rsidP="00050022">
      <w:pPr>
        <w:pStyle w:val="Ttulo"/>
        <w:jc w:val="both"/>
        <w:rPr>
          <w:b w:val="0"/>
          <w:sz w:val="22"/>
          <w:szCs w:val="22"/>
        </w:rPr>
      </w:pPr>
      <w:r w:rsidRPr="00D566B5">
        <w:rPr>
          <w:b w:val="0"/>
          <w:sz w:val="22"/>
          <w:szCs w:val="22"/>
        </w:rPr>
        <w:t>La AUTORIDAD NACIONAL DE TELEVISIÓN promovió Tribunal de Arbitramento contra CARACOL TELEVISIÓN S.A., en razón de la prórroga del contrato de concesión No. 136 de 1997, dicha demanda fue interpuesta el 30 de mayo de 2014, fecha en la cual ya había entrado en vigencia la Ley 1563 de 2012 –Estatuto de Arbitraje Nacional e Internacional-, por lo que al presente caso le resulta aplicable las normas contenidas en dicho estatuto.</w:t>
      </w:r>
    </w:p>
    <w:p w:rsidR="00F10C39" w:rsidRPr="00D566B5" w:rsidRDefault="00F10C39" w:rsidP="00050022">
      <w:pPr>
        <w:pStyle w:val="Ttulo"/>
        <w:jc w:val="both"/>
        <w:rPr>
          <w:b w:val="0"/>
          <w:sz w:val="22"/>
          <w:szCs w:val="22"/>
        </w:rPr>
      </w:pPr>
    </w:p>
    <w:p w:rsidR="00F10C39" w:rsidRPr="00D566B5" w:rsidRDefault="008C33E3" w:rsidP="00050022">
      <w:pPr>
        <w:pStyle w:val="Ttulo"/>
        <w:jc w:val="both"/>
        <w:rPr>
          <w:sz w:val="22"/>
          <w:szCs w:val="22"/>
        </w:rPr>
      </w:pPr>
      <w:r w:rsidRPr="00D566B5">
        <w:rPr>
          <w:sz w:val="22"/>
          <w:szCs w:val="22"/>
        </w:rPr>
        <w:t>AUTO ADMISORIO</w:t>
      </w:r>
      <w:r w:rsidR="00120717" w:rsidRPr="00D566B5">
        <w:rPr>
          <w:sz w:val="22"/>
          <w:szCs w:val="22"/>
        </w:rPr>
        <w:t xml:space="preserve"> </w:t>
      </w:r>
      <w:r w:rsidR="00A14CE4">
        <w:rPr>
          <w:sz w:val="22"/>
          <w:szCs w:val="22"/>
        </w:rPr>
        <w:t>–</w:t>
      </w:r>
      <w:r w:rsidR="00120717" w:rsidRPr="00D566B5">
        <w:rPr>
          <w:sz w:val="22"/>
          <w:szCs w:val="22"/>
        </w:rPr>
        <w:t xml:space="preserve"> </w:t>
      </w:r>
      <w:bookmarkStart w:id="0" w:name="_GoBack"/>
      <w:r w:rsidR="00A14CE4">
        <w:rPr>
          <w:sz w:val="22"/>
          <w:szCs w:val="22"/>
        </w:rPr>
        <w:t xml:space="preserve">Notificación – </w:t>
      </w:r>
      <w:r w:rsidR="00120717" w:rsidRPr="00D566B5">
        <w:rPr>
          <w:sz w:val="22"/>
          <w:szCs w:val="22"/>
        </w:rPr>
        <w:t>Recurso de anulación</w:t>
      </w:r>
      <w:bookmarkEnd w:id="0"/>
    </w:p>
    <w:p w:rsidR="00F10C39" w:rsidRPr="00D566B5" w:rsidRDefault="00F10C39" w:rsidP="00050022">
      <w:pPr>
        <w:pStyle w:val="Ttulo"/>
        <w:jc w:val="both"/>
        <w:rPr>
          <w:b w:val="0"/>
          <w:sz w:val="22"/>
          <w:szCs w:val="22"/>
        </w:rPr>
      </w:pPr>
    </w:p>
    <w:p w:rsidR="00F10C39" w:rsidRDefault="008C33E3" w:rsidP="00050022">
      <w:pPr>
        <w:pStyle w:val="Ttulo"/>
        <w:jc w:val="both"/>
        <w:rPr>
          <w:b w:val="0"/>
          <w:sz w:val="22"/>
          <w:szCs w:val="22"/>
        </w:rPr>
      </w:pPr>
      <w:r w:rsidRPr="00D566B5">
        <w:rPr>
          <w:b w:val="0"/>
          <w:sz w:val="22"/>
          <w:szCs w:val="22"/>
        </w:rPr>
        <w:t>E</w:t>
      </w:r>
      <w:r w:rsidR="00F10C39" w:rsidRPr="00D566B5">
        <w:rPr>
          <w:b w:val="0"/>
          <w:sz w:val="22"/>
          <w:szCs w:val="22"/>
        </w:rPr>
        <w:t>ncuentra el Despacho que no existe norma expresa respecto de la notificación de la admisión del recurso de anulación al Ministerio Público, no obstante lo cual se tiene que el numeral 3° del artículo 198 del Código de Procedimiento Administrativo y de lo Contencioso Administrativo establece que se le debe notificar personalmente a dicha entidad “el auto admisorio del recurso en segunda instancia o del recurso extraordinario en cuanto no actué como demandante o demandado” y, dado que el recurso de anulación de laudo arbitral es extraordinario, se procederá a ordenar la notificación personal del presente proveído al Ministerio Público.</w:t>
      </w:r>
    </w:p>
    <w:p w:rsidR="00D566B5" w:rsidRPr="00D566B5" w:rsidRDefault="00D566B5" w:rsidP="00050022">
      <w:pPr>
        <w:pStyle w:val="Ttulo"/>
        <w:jc w:val="both"/>
        <w:rPr>
          <w:b w:val="0"/>
          <w:sz w:val="22"/>
          <w:szCs w:val="22"/>
        </w:rPr>
      </w:pPr>
    </w:p>
    <w:p w:rsidR="00050022" w:rsidRPr="00050022" w:rsidRDefault="00C67F2A" w:rsidP="009C1285">
      <w:pPr>
        <w:pStyle w:val="Ttulo"/>
        <w:jc w:val="left"/>
        <w:rPr>
          <w:b w:val="0"/>
        </w:rPr>
      </w:pPr>
      <w:r>
        <w:rPr>
          <w:b w:val="0"/>
        </w:rPr>
        <w:tab/>
      </w:r>
    </w:p>
    <w:p w:rsidR="00AC206B" w:rsidRPr="0001360A" w:rsidRDefault="00AC206B" w:rsidP="00050022">
      <w:pPr>
        <w:pStyle w:val="Ttulo"/>
      </w:pPr>
      <w:r w:rsidRPr="0001360A">
        <w:t>CONSEJO DE ESTADO</w:t>
      </w:r>
    </w:p>
    <w:p w:rsidR="006C0DF9" w:rsidRPr="0001360A" w:rsidRDefault="006C0DF9" w:rsidP="00050022">
      <w:pPr>
        <w:pStyle w:val="Ttulo"/>
      </w:pPr>
    </w:p>
    <w:p w:rsidR="00AC206B" w:rsidRPr="0001360A" w:rsidRDefault="00AC206B" w:rsidP="00050022">
      <w:pPr>
        <w:pStyle w:val="Subttulo"/>
        <w:rPr>
          <w:szCs w:val="24"/>
        </w:rPr>
      </w:pPr>
      <w:r w:rsidRPr="0001360A">
        <w:rPr>
          <w:szCs w:val="24"/>
        </w:rPr>
        <w:t>SALA DE LO CONTENCIOSO ADMINISTRATIVO</w:t>
      </w:r>
    </w:p>
    <w:p w:rsidR="006C0DF9" w:rsidRPr="0001360A" w:rsidRDefault="006C0DF9" w:rsidP="00050022">
      <w:pPr>
        <w:pStyle w:val="Subttulo"/>
        <w:rPr>
          <w:szCs w:val="24"/>
        </w:rPr>
      </w:pPr>
    </w:p>
    <w:p w:rsidR="00AC206B" w:rsidRPr="0001360A" w:rsidRDefault="006C0DF9" w:rsidP="00050022">
      <w:pPr>
        <w:pStyle w:val="Subttulo"/>
        <w:rPr>
          <w:szCs w:val="24"/>
        </w:rPr>
      </w:pPr>
      <w:r w:rsidRPr="0001360A">
        <w:rPr>
          <w:szCs w:val="24"/>
        </w:rPr>
        <w:t>SECCION TERCERA</w:t>
      </w:r>
    </w:p>
    <w:p w:rsidR="006C0DF9" w:rsidRPr="0001360A" w:rsidRDefault="006C0DF9" w:rsidP="00050022">
      <w:pPr>
        <w:pStyle w:val="Subttulo"/>
        <w:rPr>
          <w:szCs w:val="24"/>
        </w:rPr>
      </w:pPr>
    </w:p>
    <w:p w:rsidR="00AC206B" w:rsidRPr="0001360A" w:rsidRDefault="006C0DF9" w:rsidP="00050022">
      <w:pPr>
        <w:pStyle w:val="Subttulo"/>
        <w:rPr>
          <w:szCs w:val="24"/>
        </w:rPr>
      </w:pPr>
      <w:r w:rsidRPr="0001360A">
        <w:rPr>
          <w:szCs w:val="24"/>
        </w:rPr>
        <w:t>SUBSECCIO</w:t>
      </w:r>
      <w:r w:rsidR="00AC206B" w:rsidRPr="0001360A">
        <w:rPr>
          <w:szCs w:val="24"/>
        </w:rPr>
        <w:t>N A</w:t>
      </w:r>
    </w:p>
    <w:p w:rsidR="00AC206B" w:rsidRPr="0001360A" w:rsidRDefault="00AC206B" w:rsidP="00050022">
      <w:pPr>
        <w:pStyle w:val="Subttulo"/>
        <w:rPr>
          <w:szCs w:val="24"/>
        </w:rPr>
      </w:pPr>
    </w:p>
    <w:p w:rsidR="00AC206B" w:rsidRPr="0001360A" w:rsidRDefault="006C0DF9" w:rsidP="00050022">
      <w:pPr>
        <w:autoSpaceDE w:val="0"/>
        <w:autoSpaceDN w:val="0"/>
        <w:spacing w:after="0" w:line="240" w:lineRule="auto"/>
        <w:jc w:val="center"/>
        <w:rPr>
          <w:rFonts w:ascii="Arial" w:hAnsi="Arial" w:cs="Arial"/>
          <w:b/>
          <w:bCs/>
          <w:sz w:val="24"/>
          <w:szCs w:val="24"/>
          <w:lang w:val="es-ES"/>
        </w:rPr>
      </w:pPr>
      <w:r w:rsidRPr="0001360A">
        <w:rPr>
          <w:rFonts w:ascii="Arial" w:hAnsi="Arial" w:cs="Arial"/>
          <w:b/>
          <w:bCs/>
          <w:sz w:val="24"/>
          <w:szCs w:val="24"/>
          <w:lang w:val="es-ES"/>
        </w:rPr>
        <w:t>Consejero ponente: HERNAN ANDRADE RINCO</w:t>
      </w:r>
      <w:r w:rsidR="00AC206B" w:rsidRPr="0001360A">
        <w:rPr>
          <w:rFonts w:ascii="Arial" w:hAnsi="Arial" w:cs="Arial"/>
          <w:b/>
          <w:bCs/>
          <w:sz w:val="24"/>
          <w:szCs w:val="24"/>
          <w:lang w:val="es-ES"/>
        </w:rPr>
        <w:t>N</w:t>
      </w:r>
    </w:p>
    <w:p w:rsidR="00AC206B" w:rsidRPr="0001360A" w:rsidRDefault="00AC206B" w:rsidP="00050022">
      <w:pPr>
        <w:pStyle w:val="Sinespaciado"/>
        <w:jc w:val="both"/>
        <w:rPr>
          <w:rFonts w:ascii="Arial" w:hAnsi="Arial" w:cs="Arial"/>
          <w:sz w:val="24"/>
          <w:szCs w:val="24"/>
        </w:rPr>
      </w:pPr>
    </w:p>
    <w:p w:rsidR="00AC206B" w:rsidRPr="0001360A" w:rsidRDefault="00B53EF9" w:rsidP="00050022">
      <w:pPr>
        <w:pStyle w:val="Textoindependiente"/>
        <w:overflowPunct/>
        <w:adjustRightInd/>
        <w:spacing w:line="240" w:lineRule="auto"/>
        <w:rPr>
          <w:rFonts w:cs="Arial"/>
          <w:szCs w:val="24"/>
        </w:rPr>
      </w:pPr>
      <w:r>
        <w:rPr>
          <w:rFonts w:cs="Arial"/>
          <w:szCs w:val="24"/>
        </w:rPr>
        <w:t xml:space="preserve">Bogotá, </w:t>
      </w:r>
      <w:r w:rsidR="00AC206B" w:rsidRPr="0001360A">
        <w:rPr>
          <w:rFonts w:cs="Arial"/>
          <w:szCs w:val="24"/>
        </w:rPr>
        <w:t>D.C., dieciséis (16) de febrero de dos mil diecisiete (2017)</w:t>
      </w:r>
    </w:p>
    <w:p w:rsidR="00AC206B" w:rsidRPr="0001360A" w:rsidRDefault="00AC206B" w:rsidP="00050022">
      <w:pPr>
        <w:pStyle w:val="Sinespaciado"/>
        <w:jc w:val="both"/>
        <w:rPr>
          <w:rFonts w:ascii="Arial" w:hAnsi="Arial" w:cs="Arial"/>
          <w:b/>
          <w:sz w:val="24"/>
          <w:szCs w:val="24"/>
          <w:lang w:val="es-ES"/>
        </w:rPr>
      </w:pPr>
    </w:p>
    <w:p w:rsidR="00AC206B" w:rsidRPr="0001360A" w:rsidRDefault="006C0DF9" w:rsidP="00050022">
      <w:pPr>
        <w:pStyle w:val="Sinespaciado"/>
        <w:jc w:val="both"/>
        <w:rPr>
          <w:rFonts w:ascii="Arial" w:hAnsi="Arial" w:cs="Arial"/>
          <w:b/>
          <w:sz w:val="24"/>
          <w:szCs w:val="24"/>
          <w:lang w:val="es-ES"/>
        </w:rPr>
      </w:pPr>
      <w:r w:rsidRPr="0001360A">
        <w:rPr>
          <w:rFonts w:ascii="Arial" w:hAnsi="Arial" w:cs="Arial"/>
          <w:b/>
          <w:sz w:val="24"/>
          <w:szCs w:val="24"/>
          <w:lang w:val="es-ES"/>
        </w:rPr>
        <w:t xml:space="preserve">Radicación número: </w:t>
      </w:r>
      <w:r w:rsidR="00AC206B" w:rsidRPr="0001360A">
        <w:rPr>
          <w:rFonts w:ascii="Arial" w:hAnsi="Arial" w:cs="Arial"/>
          <w:b/>
          <w:sz w:val="24"/>
          <w:szCs w:val="24"/>
          <w:lang w:val="es-ES"/>
        </w:rPr>
        <w:t>11001</w:t>
      </w:r>
      <w:r w:rsidR="00294ED6" w:rsidRPr="0001360A">
        <w:rPr>
          <w:rFonts w:ascii="Arial" w:hAnsi="Arial" w:cs="Arial"/>
          <w:b/>
          <w:sz w:val="24"/>
          <w:szCs w:val="24"/>
          <w:lang w:val="es-ES"/>
        </w:rPr>
        <w:t>-</w:t>
      </w:r>
      <w:r w:rsidR="00AC206B" w:rsidRPr="0001360A">
        <w:rPr>
          <w:rFonts w:ascii="Arial" w:hAnsi="Arial" w:cs="Arial"/>
          <w:b/>
          <w:sz w:val="24"/>
          <w:szCs w:val="24"/>
          <w:lang w:val="es-ES"/>
        </w:rPr>
        <w:t>03</w:t>
      </w:r>
      <w:r w:rsidR="00294ED6" w:rsidRPr="0001360A">
        <w:rPr>
          <w:rFonts w:ascii="Arial" w:hAnsi="Arial" w:cs="Arial"/>
          <w:b/>
          <w:sz w:val="24"/>
          <w:szCs w:val="24"/>
          <w:lang w:val="es-ES"/>
        </w:rPr>
        <w:t>-</w:t>
      </w:r>
      <w:r w:rsidR="00AC206B" w:rsidRPr="0001360A">
        <w:rPr>
          <w:rFonts w:ascii="Arial" w:hAnsi="Arial" w:cs="Arial"/>
          <w:b/>
          <w:sz w:val="24"/>
          <w:szCs w:val="24"/>
          <w:lang w:val="es-ES"/>
        </w:rPr>
        <w:t>26</w:t>
      </w:r>
      <w:r w:rsidR="00294ED6" w:rsidRPr="0001360A">
        <w:rPr>
          <w:rFonts w:ascii="Arial" w:hAnsi="Arial" w:cs="Arial"/>
          <w:b/>
          <w:sz w:val="24"/>
          <w:szCs w:val="24"/>
          <w:lang w:val="es-ES"/>
        </w:rPr>
        <w:t>-</w:t>
      </w:r>
      <w:r w:rsidR="00AC206B" w:rsidRPr="0001360A">
        <w:rPr>
          <w:rFonts w:ascii="Arial" w:hAnsi="Arial" w:cs="Arial"/>
          <w:b/>
          <w:sz w:val="24"/>
          <w:szCs w:val="24"/>
          <w:lang w:val="es-ES"/>
        </w:rPr>
        <w:t>000</w:t>
      </w:r>
      <w:r w:rsidR="00294ED6" w:rsidRPr="0001360A">
        <w:rPr>
          <w:rFonts w:ascii="Arial" w:hAnsi="Arial" w:cs="Arial"/>
          <w:b/>
          <w:sz w:val="24"/>
          <w:szCs w:val="24"/>
          <w:lang w:val="es-ES"/>
        </w:rPr>
        <w:t>-</w:t>
      </w:r>
      <w:r w:rsidR="00AC206B" w:rsidRPr="0001360A">
        <w:rPr>
          <w:rFonts w:ascii="Arial" w:hAnsi="Arial" w:cs="Arial"/>
          <w:b/>
          <w:sz w:val="24"/>
          <w:szCs w:val="24"/>
          <w:lang w:val="es-ES"/>
        </w:rPr>
        <w:t>2017</w:t>
      </w:r>
      <w:r w:rsidR="00294ED6" w:rsidRPr="0001360A">
        <w:rPr>
          <w:rFonts w:ascii="Arial" w:hAnsi="Arial" w:cs="Arial"/>
          <w:b/>
          <w:sz w:val="24"/>
          <w:szCs w:val="24"/>
          <w:lang w:val="es-ES"/>
        </w:rPr>
        <w:t>-00006-</w:t>
      </w:r>
      <w:r w:rsidR="00AC206B" w:rsidRPr="0001360A">
        <w:rPr>
          <w:rFonts w:ascii="Arial" w:hAnsi="Arial" w:cs="Arial"/>
          <w:b/>
          <w:sz w:val="24"/>
          <w:szCs w:val="24"/>
          <w:lang w:val="es-ES"/>
        </w:rPr>
        <w:t>00</w:t>
      </w:r>
      <w:r w:rsidR="00294ED6" w:rsidRPr="0001360A">
        <w:rPr>
          <w:rFonts w:ascii="Arial" w:hAnsi="Arial" w:cs="Arial"/>
          <w:b/>
          <w:sz w:val="24"/>
          <w:szCs w:val="24"/>
          <w:lang w:val="es-ES"/>
        </w:rPr>
        <w:t>(58544)</w:t>
      </w:r>
    </w:p>
    <w:p w:rsidR="006C0DF9" w:rsidRPr="0001360A" w:rsidRDefault="006C0DF9" w:rsidP="00050022">
      <w:pPr>
        <w:pStyle w:val="Sinespaciado"/>
        <w:jc w:val="both"/>
        <w:rPr>
          <w:rFonts w:ascii="Arial" w:hAnsi="Arial" w:cs="Arial"/>
          <w:b/>
          <w:sz w:val="24"/>
          <w:szCs w:val="24"/>
          <w:lang w:val="es-ES"/>
        </w:rPr>
      </w:pPr>
    </w:p>
    <w:p w:rsidR="00AC206B" w:rsidRPr="0001360A" w:rsidRDefault="006C0DF9" w:rsidP="00050022">
      <w:pPr>
        <w:pStyle w:val="Sinespaciado"/>
        <w:jc w:val="both"/>
        <w:rPr>
          <w:rFonts w:ascii="Arial" w:hAnsi="Arial" w:cs="Arial"/>
          <w:b/>
          <w:sz w:val="24"/>
          <w:szCs w:val="24"/>
        </w:rPr>
      </w:pPr>
      <w:r w:rsidRPr="0001360A">
        <w:rPr>
          <w:rFonts w:ascii="Arial" w:hAnsi="Arial" w:cs="Arial"/>
          <w:b/>
          <w:sz w:val="24"/>
          <w:szCs w:val="24"/>
        </w:rPr>
        <w:t xml:space="preserve">Actor: </w:t>
      </w:r>
      <w:r w:rsidR="00AC206B" w:rsidRPr="0001360A">
        <w:rPr>
          <w:rFonts w:ascii="Arial" w:hAnsi="Arial" w:cs="Arial"/>
          <w:b/>
          <w:sz w:val="24"/>
          <w:szCs w:val="24"/>
        </w:rPr>
        <w:t>A</w:t>
      </w:r>
      <w:r w:rsidRPr="0001360A">
        <w:rPr>
          <w:rFonts w:ascii="Arial" w:hAnsi="Arial" w:cs="Arial"/>
          <w:b/>
          <w:sz w:val="24"/>
          <w:szCs w:val="24"/>
        </w:rPr>
        <w:t>UTORIDAD NACIONAL DE TELEVISION</w:t>
      </w:r>
    </w:p>
    <w:p w:rsidR="006C0DF9" w:rsidRPr="0001360A" w:rsidRDefault="006C0DF9" w:rsidP="00050022">
      <w:pPr>
        <w:pStyle w:val="Sinespaciado"/>
        <w:jc w:val="both"/>
        <w:rPr>
          <w:rFonts w:ascii="Arial" w:hAnsi="Arial" w:cs="Arial"/>
          <w:b/>
          <w:sz w:val="24"/>
          <w:szCs w:val="24"/>
        </w:rPr>
      </w:pPr>
    </w:p>
    <w:p w:rsidR="00AC206B" w:rsidRPr="0001360A" w:rsidRDefault="00D6775F" w:rsidP="00050022">
      <w:pPr>
        <w:pStyle w:val="Sinespaciado"/>
        <w:jc w:val="both"/>
        <w:rPr>
          <w:rFonts w:ascii="Arial" w:hAnsi="Arial" w:cs="Arial"/>
          <w:b/>
          <w:sz w:val="24"/>
          <w:szCs w:val="24"/>
        </w:rPr>
      </w:pPr>
      <w:r>
        <w:rPr>
          <w:rFonts w:ascii="Arial" w:hAnsi="Arial" w:cs="Arial"/>
          <w:b/>
          <w:sz w:val="24"/>
          <w:szCs w:val="24"/>
        </w:rPr>
        <w:t>Demandado: CARACOL TELEVISIO</w:t>
      </w:r>
      <w:r w:rsidR="006C0DF9" w:rsidRPr="0001360A">
        <w:rPr>
          <w:rFonts w:ascii="Arial" w:hAnsi="Arial" w:cs="Arial"/>
          <w:b/>
          <w:sz w:val="24"/>
          <w:szCs w:val="24"/>
        </w:rPr>
        <w:t>N S.A</w:t>
      </w:r>
    </w:p>
    <w:p w:rsidR="006C0DF9" w:rsidRPr="0001360A" w:rsidRDefault="006C0DF9" w:rsidP="00050022">
      <w:pPr>
        <w:pStyle w:val="Sinespaciado"/>
        <w:jc w:val="both"/>
        <w:rPr>
          <w:rFonts w:ascii="Arial" w:hAnsi="Arial" w:cs="Arial"/>
          <w:b/>
          <w:sz w:val="24"/>
          <w:szCs w:val="24"/>
        </w:rPr>
      </w:pPr>
    </w:p>
    <w:p w:rsidR="006C0DF9" w:rsidRPr="0001360A" w:rsidRDefault="006C0DF9" w:rsidP="00050022">
      <w:pPr>
        <w:pStyle w:val="Sinespaciado"/>
        <w:jc w:val="both"/>
        <w:rPr>
          <w:rFonts w:ascii="Arial" w:hAnsi="Arial" w:cs="Arial"/>
          <w:b/>
          <w:sz w:val="24"/>
          <w:szCs w:val="24"/>
        </w:rPr>
      </w:pPr>
    </w:p>
    <w:p w:rsidR="006C0DF9" w:rsidRPr="0001360A" w:rsidRDefault="006C0DF9" w:rsidP="00050022">
      <w:pPr>
        <w:pStyle w:val="Sinespaciado"/>
        <w:jc w:val="both"/>
        <w:rPr>
          <w:rFonts w:ascii="Arial" w:hAnsi="Arial" w:cs="Arial"/>
          <w:b/>
          <w:sz w:val="24"/>
          <w:szCs w:val="24"/>
        </w:rPr>
      </w:pPr>
    </w:p>
    <w:p w:rsidR="00AC206B" w:rsidRPr="0001360A" w:rsidRDefault="006C0DF9" w:rsidP="00050022">
      <w:pPr>
        <w:pStyle w:val="Sinespaciado"/>
        <w:jc w:val="both"/>
        <w:rPr>
          <w:rFonts w:ascii="Arial" w:hAnsi="Arial" w:cs="Arial"/>
          <w:b/>
          <w:sz w:val="24"/>
          <w:szCs w:val="24"/>
        </w:rPr>
      </w:pPr>
      <w:r w:rsidRPr="0001360A">
        <w:rPr>
          <w:rFonts w:ascii="Arial" w:hAnsi="Arial" w:cs="Arial"/>
          <w:b/>
          <w:sz w:val="24"/>
          <w:szCs w:val="24"/>
        </w:rPr>
        <w:t>Referencia: RECURSO ANULACIO</w:t>
      </w:r>
      <w:r w:rsidR="00AC206B" w:rsidRPr="0001360A">
        <w:rPr>
          <w:rFonts w:ascii="Arial" w:hAnsi="Arial" w:cs="Arial"/>
          <w:b/>
          <w:sz w:val="24"/>
          <w:szCs w:val="24"/>
        </w:rPr>
        <w:t>N LAUDO ARBITRAL</w:t>
      </w:r>
    </w:p>
    <w:p w:rsidR="00AC206B" w:rsidRPr="0001360A" w:rsidRDefault="00AC206B" w:rsidP="00050022">
      <w:pPr>
        <w:spacing w:after="0" w:line="240" w:lineRule="auto"/>
        <w:jc w:val="both"/>
        <w:rPr>
          <w:rFonts w:ascii="Arial" w:hAnsi="Arial" w:cs="Arial"/>
          <w:sz w:val="24"/>
          <w:szCs w:val="24"/>
          <w:highlight w:val="yellow"/>
        </w:rPr>
      </w:pPr>
    </w:p>
    <w:p w:rsidR="00AC206B" w:rsidRPr="0001360A" w:rsidRDefault="00AC206B" w:rsidP="00050022">
      <w:pPr>
        <w:tabs>
          <w:tab w:val="left" w:pos="1800"/>
        </w:tabs>
        <w:spacing w:after="0" w:line="360" w:lineRule="auto"/>
        <w:jc w:val="both"/>
        <w:rPr>
          <w:rFonts w:ascii="Arial" w:hAnsi="Arial" w:cs="Arial"/>
          <w:sz w:val="24"/>
          <w:szCs w:val="24"/>
        </w:rPr>
      </w:pPr>
      <w:r w:rsidRPr="0001360A">
        <w:rPr>
          <w:rFonts w:ascii="Arial" w:hAnsi="Arial" w:cs="Arial"/>
          <w:sz w:val="24"/>
          <w:szCs w:val="24"/>
        </w:rPr>
        <w:t>Corresponde al Despacho definir si avoca conocimiento del recurso de anulación interpuesto por la parte convocante, contra el laudo arbitral de 16 de octubre de 2016, dictado por el Tribunal de Arbitramento promovido por la AUTORIDAD NACIONAL DE TELEVISIÓN, contra el CARACOL TELEVISIÓN S.A.</w:t>
      </w:r>
    </w:p>
    <w:p w:rsidR="00AC206B" w:rsidRPr="0001360A" w:rsidRDefault="00AC206B" w:rsidP="00A26BA8">
      <w:pPr>
        <w:pStyle w:val="Sinespaciado"/>
        <w:rPr>
          <w:rFonts w:ascii="Arial" w:hAnsi="Arial" w:cs="Arial"/>
          <w:sz w:val="24"/>
          <w:szCs w:val="24"/>
          <w:highlight w:val="yellow"/>
        </w:rPr>
      </w:pPr>
    </w:p>
    <w:p w:rsidR="00AC206B" w:rsidRPr="0001360A" w:rsidRDefault="00AC206B" w:rsidP="00A26BA8">
      <w:pPr>
        <w:pStyle w:val="Textoindependiente2"/>
        <w:jc w:val="center"/>
        <w:rPr>
          <w:b/>
          <w:sz w:val="24"/>
        </w:rPr>
      </w:pPr>
      <w:r w:rsidRPr="0001360A">
        <w:rPr>
          <w:b/>
          <w:sz w:val="24"/>
        </w:rPr>
        <w:t>CONSIDERACIONES</w:t>
      </w:r>
    </w:p>
    <w:p w:rsidR="00AC206B" w:rsidRPr="0001360A" w:rsidRDefault="00AC206B" w:rsidP="00A26BA8">
      <w:pPr>
        <w:pStyle w:val="Textoindependiente2"/>
        <w:jc w:val="center"/>
        <w:rPr>
          <w:b/>
          <w:sz w:val="24"/>
        </w:rPr>
      </w:pPr>
    </w:p>
    <w:p w:rsidR="00AC206B" w:rsidRPr="0001360A" w:rsidRDefault="00AC206B" w:rsidP="00A26BA8">
      <w:pPr>
        <w:tabs>
          <w:tab w:val="left" w:pos="1800"/>
        </w:tabs>
        <w:spacing w:line="360" w:lineRule="auto"/>
        <w:jc w:val="both"/>
        <w:rPr>
          <w:rFonts w:ascii="Arial" w:hAnsi="Arial" w:cs="Arial"/>
          <w:sz w:val="24"/>
          <w:szCs w:val="24"/>
        </w:rPr>
      </w:pPr>
      <w:r w:rsidRPr="0001360A">
        <w:rPr>
          <w:rFonts w:ascii="Arial" w:hAnsi="Arial" w:cs="Arial"/>
          <w:sz w:val="24"/>
          <w:szCs w:val="24"/>
          <w:lang w:val="es-ES"/>
        </w:rPr>
        <w:t>La AUTORIDAD NACIONAL DE TELEVISIÓN</w:t>
      </w:r>
      <w:r w:rsidRPr="0001360A">
        <w:rPr>
          <w:rFonts w:ascii="Arial" w:hAnsi="Arial" w:cs="Arial"/>
          <w:sz w:val="24"/>
          <w:szCs w:val="24"/>
        </w:rPr>
        <w:t xml:space="preserve"> promovió Tribunal de Arbitramento contra CARACOL TELEVISIÓN S.A., en razón de la prórroga del contrato de concesión No. 136 de 1997, dicha demanda fue interpuesta el </w:t>
      </w:r>
      <w:r w:rsidRPr="0001360A">
        <w:rPr>
          <w:rFonts w:ascii="Arial" w:hAnsi="Arial" w:cs="Arial"/>
          <w:b/>
          <w:sz w:val="24"/>
          <w:szCs w:val="24"/>
        </w:rPr>
        <w:t>30 de mayo de 2014</w:t>
      </w:r>
      <w:r w:rsidRPr="0001360A">
        <w:rPr>
          <w:rFonts w:ascii="Arial" w:hAnsi="Arial" w:cs="Arial"/>
          <w:sz w:val="24"/>
          <w:szCs w:val="24"/>
        </w:rPr>
        <w:t xml:space="preserve">, </w:t>
      </w:r>
      <w:r w:rsidRPr="0001360A">
        <w:rPr>
          <w:rFonts w:ascii="Arial" w:hAnsi="Arial" w:cs="Arial"/>
          <w:sz w:val="24"/>
          <w:szCs w:val="24"/>
        </w:rPr>
        <w:lastRenderedPageBreak/>
        <w:t>fecha en la cual ya había entrado en vigencia la Ley 1563 de 2012 –</w:t>
      </w:r>
      <w:r w:rsidRPr="0001360A">
        <w:rPr>
          <w:rFonts w:ascii="Arial" w:hAnsi="Arial" w:cs="Arial"/>
          <w:i/>
          <w:sz w:val="24"/>
          <w:szCs w:val="24"/>
        </w:rPr>
        <w:t xml:space="preserve">Estatuto de Arbitraje Nacional e Internacional-, </w:t>
      </w:r>
      <w:r w:rsidRPr="0001360A">
        <w:rPr>
          <w:rFonts w:ascii="Arial" w:hAnsi="Arial" w:cs="Arial"/>
          <w:sz w:val="24"/>
          <w:szCs w:val="24"/>
        </w:rPr>
        <w:t xml:space="preserve">por lo que al presente caso le </w:t>
      </w:r>
      <w:r w:rsidRPr="0001360A">
        <w:rPr>
          <w:rFonts w:ascii="Arial" w:hAnsi="Arial" w:cs="Arial"/>
          <w:sz w:val="24"/>
          <w:szCs w:val="24"/>
          <w:lang w:val="es-ES"/>
        </w:rPr>
        <w:t>resulta aplicable las normas contenidas en dicho estatuto</w:t>
      </w:r>
      <w:r w:rsidRPr="0001360A">
        <w:rPr>
          <w:rStyle w:val="Refdenotaalpie"/>
          <w:rFonts w:ascii="Arial" w:hAnsi="Arial" w:cs="Arial"/>
          <w:i/>
          <w:sz w:val="24"/>
          <w:szCs w:val="24"/>
        </w:rPr>
        <w:footnoteReference w:id="1"/>
      </w:r>
      <w:r w:rsidRPr="0001360A">
        <w:rPr>
          <w:rFonts w:ascii="Arial" w:hAnsi="Arial" w:cs="Arial"/>
          <w:sz w:val="24"/>
          <w:szCs w:val="24"/>
        </w:rPr>
        <w:t>.</w:t>
      </w:r>
    </w:p>
    <w:p w:rsidR="00AC206B" w:rsidRPr="0001360A" w:rsidRDefault="00AC206B" w:rsidP="00A26BA8">
      <w:pPr>
        <w:pStyle w:val="Sinespaciado"/>
        <w:rPr>
          <w:sz w:val="24"/>
          <w:szCs w:val="24"/>
        </w:rPr>
      </w:pPr>
    </w:p>
    <w:p w:rsidR="00AC206B" w:rsidRPr="0001360A" w:rsidRDefault="00AC206B" w:rsidP="00A26BA8">
      <w:pPr>
        <w:pStyle w:val="Textoindependiente21"/>
        <w:spacing w:line="360" w:lineRule="auto"/>
        <w:rPr>
          <w:rFonts w:cs="Arial"/>
          <w:szCs w:val="24"/>
        </w:rPr>
      </w:pPr>
      <w:r w:rsidRPr="0001360A">
        <w:rPr>
          <w:rFonts w:cs="Arial"/>
          <w:szCs w:val="24"/>
        </w:rPr>
        <w:t>Ahora bien, se encuentra que la audiencia en la cual se profirió el laudo arbitral se celebró el 26 de octubre de 2016 y, lo decidido allí se notificó por estrados, por lo que el término para interponer el recurso de anulación contra el laudo arbitral corrió desde el 27 de octubre de 2016 hasta el 12 de diciembre del mismo año</w:t>
      </w:r>
      <w:r w:rsidRPr="0001360A">
        <w:rPr>
          <w:rStyle w:val="Refdenotaalpie"/>
          <w:rFonts w:cs="Arial"/>
          <w:szCs w:val="24"/>
        </w:rPr>
        <w:footnoteReference w:id="2"/>
      </w:r>
      <w:r w:rsidRPr="0001360A">
        <w:rPr>
          <w:rFonts w:cs="Arial"/>
          <w:szCs w:val="24"/>
        </w:rPr>
        <w:t>.</w:t>
      </w:r>
    </w:p>
    <w:p w:rsidR="00AC206B" w:rsidRPr="0001360A" w:rsidRDefault="00AC206B" w:rsidP="00A26BA8">
      <w:pPr>
        <w:pStyle w:val="Textoindependiente21"/>
        <w:spacing w:line="360" w:lineRule="auto"/>
        <w:rPr>
          <w:rFonts w:cs="Arial"/>
          <w:szCs w:val="24"/>
          <w:highlight w:val="yellow"/>
        </w:rPr>
      </w:pPr>
    </w:p>
    <w:p w:rsidR="00AC206B" w:rsidRPr="0001360A" w:rsidRDefault="00AC206B" w:rsidP="00A26BA8">
      <w:pPr>
        <w:pStyle w:val="Textoindependiente22"/>
        <w:spacing w:line="360" w:lineRule="auto"/>
        <w:rPr>
          <w:rFonts w:cs="Arial"/>
          <w:sz w:val="24"/>
          <w:szCs w:val="24"/>
          <w:lang w:val="es-CO"/>
        </w:rPr>
      </w:pPr>
      <w:r w:rsidRPr="0001360A">
        <w:rPr>
          <w:rFonts w:cs="Arial"/>
          <w:sz w:val="24"/>
          <w:szCs w:val="24"/>
          <w:lang w:val="es-CO"/>
        </w:rPr>
        <w:t>Una vez revisado el expediente se tiene que el recurso de anulación contra el laudo arbitral fue presentado el 25 de noviembre de 2016</w:t>
      </w:r>
      <w:r w:rsidRPr="0001360A">
        <w:rPr>
          <w:rStyle w:val="Refdenotaalpie"/>
          <w:rFonts w:cs="Arial"/>
          <w:sz w:val="24"/>
          <w:szCs w:val="24"/>
          <w:lang w:val="es-CO"/>
        </w:rPr>
        <w:footnoteReference w:id="3"/>
      </w:r>
      <w:r w:rsidRPr="0001360A">
        <w:rPr>
          <w:rFonts w:cs="Arial"/>
          <w:sz w:val="24"/>
          <w:szCs w:val="24"/>
          <w:lang w:val="es-CO"/>
        </w:rPr>
        <w:t xml:space="preserve"> en el cual alegó la causal 9 del artículo 41 de la Ley 1563 de 2012, de lo que es dable concluir que cumplió con los requisitos establecidos por los artículos 40 y 42 de dicha ley. De igual manera, se tiene que a folio 599 del cuaderno principal se encuentra correo electrónico expedido por la Secretaria del Tribunal de Arbitramento por medio de cual se le otorgó a la parte contraria el traslado de 15 días para que se pronunciara respecto del recurso interpuesto, razón por la cual ha de entenderse que se cumplen las exigencias para que resulte procedente avocar su conocimiento.</w:t>
      </w:r>
    </w:p>
    <w:p w:rsidR="00AC206B" w:rsidRPr="0001360A" w:rsidRDefault="00AC206B" w:rsidP="00A26BA8">
      <w:pPr>
        <w:tabs>
          <w:tab w:val="left" w:pos="8820"/>
        </w:tabs>
        <w:spacing w:after="120" w:line="360" w:lineRule="auto"/>
        <w:ind w:right="20"/>
        <w:jc w:val="both"/>
        <w:rPr>
          <w:rFonts w:ascii="Arial" w:hAnsi="Arial" w:cs="Arial"/>
          <w:sz w:val="24"/>
          <w:szCs w:val="24"/>
          <w:highlight w:val="yellow"/>
        </w:rPr>
      </w:pPr>
    </w:p>
    <w:p w:rsidR="00AC206B" w:rsidRPr="0001360A" w:rsidRDefault="00AC206B" w:rsidP="00A26BA8">
      <w:pPr>
        <w:tabs>
          <w:tab w:val="left" w:pos="8820"/>
        </w:tabs>
        <w:spacing w:after="120" w:line="360" w:lineRule="auto"/>
        <w:ind w:right="20"/>
        <w:jc w:val="both"/>
        <w:rPr>
          <w:rFonts w:ascii="Arial" w:hAnsi="Arial" w:cs="Arial"/>
          <w:sz w:val="24"/>
          <w:szCs w:val="24"/>
        </w:rPr>
      </w:pPr>
      <w:r w:rsidRPr="0001360A">
        <w:rPr>
          <w:rFonts w:ascii="Arial" w:hAnsi="Arial" w:cs="Arial"/>
          <w:sz w:val="24"/>
          <w:szCs w:val="24"/>
        </w:rPr>
        <w:t xml:space="preserve">Por último, encuentra el Despacho que no existe norma expresa respecto de la notificación de la admisión del recurso de anulación al Ministerio Público, no obstante lo cual se tiene que el numeral 3° del artículo 198 del Código de Procedimiento Administrativo y de lo Contencioso Administrativo establece que se le debe notificar personalmente a dicha entidad </w:t>
      </w:r>
      <w:r w:rsidRPr="0001360A">
        <w:rPr>
          <w:rFonts w:ascii="Arial" w:hAnsi="Arial" w:cs="Arial"/>
          <w:i/>
          <w:sz w:val="24"/>
          <w:szCs w:val="24"/>
        </w:rPr>
        <w:t>“el auto admisorio del recurso en segunda instancia o del recurso extraordinario en cuanto no actué como demandante o demandado”</w:t>
      </w:r>
      <w:r w:rsidRPr="0001360A">
        <w:rPr>
          <w:rFonts w:ascii="Arial" w:hAnsi="Arial" w:cs="Arial"/>
          <w:sz w:val="24"/>
          <w:szCs w:val="24"/>
        </w:rPr>
        <w:t xml:space="preserve"> y, dado que el recurso de anulación de laudo arbitral es extraordinario, se procederá a ordenar la notificación personal del presente proveído</w:t>
      </w:r>
      <w:r w:rsidR="006C0DF9" w:rsidRPr="0001360A">
        <w:rPr>
          <w:rFonts w:ascii="Arial" w:hAnsi="Arial" w:cs="Arial"/>
          <w:sz w:val="24"/>
          <w:szCs w:val="24"/>
        </w:rPr>
        <w:t xml:space="preserve"> al Ministerio Público. </w:t>
      </w:r>
    </w:p>
    <w:p w:rsidR="00AC206B" w:rsidRPr="0001360A" w:rsidRDefault="006C0DF9" w:rsidP="006C0DF9">
      <w:pPr>
        <w:tabs>
          <w:tab w:val="left" w:pos="8820"/>
        </w:tabs>
        <w:spacing w:after="120" w:line="360" w:lineRule="auto"/>
        <w:ind w:right="20"/>
        <w:jc w:val="both"/>
        <w:rPr>
          <w:rFonts w:ascii="Arial" w:hAnsi="Arial" w:cs="Arial"/>
          <w:sz w:val="24"/>
          <w:szCs w:val="24"/>
          <w:lang w:val="es-ES"/>
        </w:rPr>
      </w:pPr>
      <w:r w:rsidRPr="0001360A">
        <w:rPr>
          <w:rFonts w:ascii="Arial" w:hAnsi="Arial" w:cs="Arial"/>
          <w:sz w:val="24"/>
          <w:szCs w:val="24"/>
          <w:lang w:val="es-ES"/>
        </w:rPr>
        <w:t xml:space="preserve">Por lo expuesto, se, </w:t>
      </w:r>
    </w:p>
    <w:p w:rsidR="00AC206B" w:rsidRPr="0001360A" w:rsidRDefault="00AC206B" w:rsidP="00A26BA8">
      <w:pPr>
        <w:pStyle w:val="Ttulo1"/>
        <w:spacing w:line="360" w:lineRule="auto"/>
        <w:rPr>
          <w:lang w:val="es-ES"/>
        </w:rPr>
      </w:pPr>
      <w:r w:rsidRPr="0001360A">
        <w:rPr>
          <w:lang w:val="es-ES"/>
        </w:rPr>
        <w:lastRenderedPageBreak/>
        <w:t>RESUELVE:</w:t>
      </w:r>
    </w:p>
    <w:p w:rsidR="00AC206B" w:rsidRPr="0001360A" w:rsidRDefault="00AC206B" w:rsidP="00A26BA8">
      <w:pPr>
        <w:rPr>
          <w:rFonts w:ascii="Arial" w:hAnsi="Arial" w:cs="Arial"/>
          <w:sz w:val="24"/>
          <w:szCs w:val="24"/>
          <w:lang w:val="es-ES" w:eastAsia="es-ES"/>
        </w:rPr>
      </w:pPr>
    </w:p>
    <w:p w:rsidR="00AC206B" w:rsidRPr="0001360A" w:rsidRDefault="00AC206B" w:rsidP="00A26BA8">
      <w:pPr>
        <w:tabs>
          <w:tab w:val="left" w:pos="1800"/>
        </w:tabs>
        <w:spacing w:line="360" w:lineRule="auto"/>
        <w:jc w:val="both"/>
        <w:rPr>
          <w:rFonts w:ascii="Arial" w:hAnsi="Arial" w:cs="Arial"/>
          <w:sz w:val="24"/>
          <w:szCs w:val="24"/>
        </w:rPr>
      </w:pPr>
      <w:r w:rsidRPr="0001360A">
        <w:rPr>
          <w:rFonts w:ascii="Arial" w:hAnsi="Arial" w:cs="Arial"/>
          <w:b/>
          <w:sz w:val="24"/>
          <w:szCs w:val="24"/>
        </w:rPr>
        <w:t>PRIMERO: AVOCAR</w:t>
      </w:r>
      <w:r w:rsidRPr="0001360A">
        <w:rPr>
          <w:rFonts w:ascii="Arial" w:hAnsi="Arial" w:cs="Arial"/>
          <w:sz w:val="24"/>
          <w:szCs w:val="24"/>
        </w:rPr>
        <w:t xml:space="preserve"> el conocimiento del recurso de anulación interpuesto por la parte convocante, contra el laudo arbitral de 16 de octubre de 2016, dictado por el Tribunal de Arbitramento promovido por la AUTORIDAD NACIONAL DE TELEVISIÓN, co</w:t>
      </w:r>
      <w:r w:rsidR="006C0DF9" w:rsidRPr="0001360A">
        <w:rPr>
          <w:rFonts w:ascii="Arial" w:hAnsi="Arial" w:cs="Arial"/>
          <w:sz w:val="24"/>
          <w:szCs w:val="24"/>
        </w:rPr>
        <w:t>ntra el CARACOL TELEVISIÓN S.A.</w:t>
      </w:r>
    </w:p>
    <w:p w:rsidR="00AC206B" w:rsidRPr="0001360A" w:rsidRDefault="00AC206B" w:rsidP="006C0DF9">
      <w:pPr>
        <w:tabs>
          <w:tab w:val="left" w:pos="1800"/>
        </w:tabs>
        <w:spacing w:line="360" w:lineRule="auto"/>
        <w:jc w:val="both"/>
        <w:rPr>
          <w:rFonts w:ascii="Arial" w:hAnsi="Arial" w:cs="Arial"/>
          <w:sz w:val="24"/>
          <w:szCs w:val="24"/>
        </w:rPr>
      </w:pPr>
      <w:r w:rsidRPr="0001360A">
        <w:rPr>
          <w:rFonts w:ascii="Arial" w:hAnsi="Arial" w:cs="Arial"/>
          <w:b/>
          <w:sz w:val="24"/>
          <w:szCs w:val="24"/>
        </w:rPr>
        <w:t xml:space="preserve">SEGUNDO: </w:t>
      </w:r>
      <w:r w:rsidRPr="0001360A">
        <w:rPr>
          <w:rFonts w:ascii="Arial" w:hAnsi="Arial" w:cs="Arial"/>
          <w:sz w:val="24"/>
          <w:szCs w:val="24"/>
        </w:rPr>
        <w:t xml:space="preserve">Por Secretaría, </w:t>
      </w:r>
      <w:r w:rsidRPr="0001360A">
        <w:rPr>
          <w:rFonts w:ascii="Arial" w:hAnsi="Arial" w:cs="Arial"/>
          <w:b/>
          <w:sz w:val="24"/>
          <w:szCs w:val="24"/>
        </w:rPr>
        <w:t>NOTIFICAR</w:t>
      </w:r>
      <w:r w:rsidRPr="0001360A">
        <w:rPr>
          <w:rFonts w:ascii="Arial" w:hAnsi="Arial" w:cs="Arial"/>
          <w:sz w:val="24"/>
          <w:szCs w:val="24"/>
        </w:rPr>
        <w:t xml:space="preserve"> personalmente el contenido de este proveído al Ministerio Público.</w:t>
      </w:r>
    </w:p>
    <w:p w:rsidR="00AC206B" w:rsidRPr="0001360A" w:rsidRDefault="00AC206B" w:rsidP="006C0DF9">
      <w:pPr>
        <w:pStyle w:val="Textoindependiente"/>
        <w:jc w:val="center"/>
        <w:rPr>
          <w:rFonts w:cs="Arial"/>
          <w:b/>
          <w:szCs w:val="24"/>
        </w:rPr>
      </w:pPr>
      <w:r w:rsidRPr="0001360A">
        <w:rPr>
          <w:rFonts w:cs="Arial"/>
          <w:b/>
          <w:iCs/>
          <w:szCs w:val="24"/>
        </w:rPr>
        <w:t xml:space="preserve">NOTIFÍQUESE Y CÚMPLASE </w:t>
      </w:r>
    </w:p>
    <w:p w:rsidR="00AC206B" w:rsidRPr="0001360A" w:rsidRDefault="00AC206B" w:rsidP="00A26BA8">
      <w:pPr>
        <w:pStyle w:val="Textoindependiente"/>
        <w:spacing w:line="480" w:lineRule="auto"/>
        <w:jc w:val="center"/>
        <w:rPr>
          <w:rFonts w:cs="Arial"/>
          <w:b/>
          <w:noProof/>
          <w:szCs w:val="24"/>
        </w:rPr>
      </w:pPr>
    </w:p>
    <w:p w:rsidR="006A49BD" w:rsidRPr="0001360A" w:rsidRDefault="006C0DF9" w:rsidP="006C0DF9">
      <w:pPr>
        <w:pStyle w:val="Textoindependiente"/>
        <w:spacing w:line="480" w:lineRule="auto"/>
        <w:jc w:val="center"/>
        <w:rPr>
          <w:rFonts w:cs="Arial"/>
          <w:b/>
          <w:noProof/>
          <w:szCs w:val="24"/>
        </w:rPr>
      </w:pPr>
      <w:r w:rsidRPr="0001360A">
        <w:rPr>
          <w:rFonts w:cs="Arial"/>
          <w:b/>
          <w:noProof/>
          <w:szCs w:val="24"/>
        </w:rPr>
        <w:t>HERNÁN ANDRADE RINCÓ</w:t>
      </w:r>
    </w:p>
    <w:sectPr w:rsidR="006A49BD" w:rsidRPr="0001360A" w:rsidSect="00D42A56">
      <w:pgSz w:w="12242" w:h="18722" w:code="121"/>
      <w:pgMar w:top="1701" w:right="1701" w:bottom="1701" w:left="1701" w:header="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8796C" w:rsidRDefault="0018796C" w:rsidP="00AC206B">
      <w:pPr>
        <w:spacing w:after="0" w:line="240" w:lineRule="auto"/>
      </w:pPr>
      <w:r>
        <w:separator/>
      </w:r>
    </w:p>
  </w:endnote>
  <w:endnote w:type="continuationSeparator" w:id="0">
    <w:p w:rsidR="0018796C" w:rsidRDefault="0018796C" w:rsidP="00AC20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8796C" w:rsidRDefault="0018796C" w:rsidP="00AC206B">
      <w:pPr>
        <w:spacing w:after="0" w:line="240" w:lineRule="auto"/>
      </w:pPr>
      <w:r>
        <w:separator/>
      </w:r>
    </w:p>
  </w:footnote>
  <w:footnote w:type="continuationSeparator" w:id="0">
    <w:p w:rsidR="0018796C" w:rsidRDefault="0018796C" w:rsidP="00AC206B">
      <w:pPr>
        <w:spacing w:after="0" w:line="240" w:lineRule="auto"/>
      </w:pPr>
      <w:r>
        <w:continuationSeparator/>
      </w:r>
    </w:p>
  </w:footnote>
  <w:footnote w:id="1">
    <w:p w:rsidR="00AC206B" w:rsidRPr="00C24148" w:rsidRDefault="00AC206B" w:rsidP="00A26BA8">
      <w:pPr>
        <w:pStyle w:val="Textonotapie"/>
        <w:jc w:val="both"/>
        <w:rPr>
          <w:rFonts w:ascii="Arial" w:hAnsi="Arial" w:cs="Arial"/>
          <w:sz w:val="18"/>
          <w:szCs w:val="18"/>
          <w:lang w:val="es-CO"/>
        </w:rPr>
      </w:pPr>
      <w:r w:rsidRPr="00C24148">
        <w:rPr>
          <w:rStyle w:val="Refdenotaalpie"/>
          <w:rFonts w:ascii="Arial" w:hAnsi="Arial" w:cs="Arial"/>
          <w:sz w:val="18"/>
          <w:szCs w:val="18"/>
        </w:rPr>
        <w:footnoteRef/>
      </w:r>
      <w:r w:rsidRPr="00C24148">
        <w:rPr>
          <w:rFonts w:ascii="Arial" w:hAnsi="Arial" w:cs="Arial"/>
          <w:sz w:val="18"/>
          <w:szCs w:val="18"/>
        </w:rPr>
        <w:t xml:space="preserve"> Al respecto consultar: Consejo de Estado, Sección Tercera, Sala Plena, Expediente No. 11001-03-26-000-2013-00003-00(45922), auto del 6 de junio de 2013,Consejero Ponente: Jaime Orlando Santofimio Gamboa.</w:t>
      </w:r>
    </w:p>
  </w:footnote>
  <w:footnote w:id="2">
    <w:p w:rsidR="00AC206B" w:rsidRPr="00C24148" w:rsidRDefault="00AC206B" w:rsidP="00A26BA8">
      <w:pPr>
        <w:pStyle w:val="Textonotapie"/>
        <w:jc w:val="both"/>
        <w:rPr>
          <w:rFonts w:ascii="Arial" w:hAnsi="Arial" w:cs="Arial"/>
          <w:i/>
          <w:color w:val="000000"/>
          <w:sz w:val="18"/>
          <w:szCs w:val="18"/>
          <w:shd w:val="clear" w:color="auto" w:fill="FFFFFF"/>
        </w:rPr>
      </w:pPr>
      <w:r w:rsidRPr="00C24148">
        <w:rPr>
          <w:rStyle w:val="Refdenotaalpie"/>
          <w:rFonts w:ascii="Arial" w:hAnsi="Arial" w:cs="Arial"/>
          <w:i/>
          <w:sz w:val="18"/>
          <w:szCs w:val="18"/>
        </w:rPr>
        <w:footnoteRef/>
      </w:r>
      <w:r w:rsidRPr="00C24148">
        <w:rPr>
          <w:rFonts w:ascii="Arial" w:hAnsi="Arial" w:cs="Arial"/>
          <w:i/>
          <w:sz w:val="18"/>
          <w:szCs w:val="18"/>
        </w:rPr>
        <w:t xml:space="preserve"> </w:t>
      </w:r>
      <w:r w:rsidRPr="00C24148">
        <w:rPr>
          <w:rFonts w:ascii="Arial" w:hAnsi="Arial" w:cs="Arial"/>
          <w:bCs/>
          <w:i/>
          <w:color w:val="000000"/>
          <w:sz w:val="18"/>
          <w:szCs w:val="18"/>
          <w:shd w:val="clear" w:color="auto" w:fill="FFFFFF"/>
        </w:rPr>
        <w:t>Artículo 40.</w:t>
      </w:r>
      <w:r w:rsidRPr="00C24148">
        <w:rPr>
          <w:rStyle w:val="apple-converted-space"/>
          <w:rFonts w:ascii="Arial" w:hAnsi="Arial" w:cs="Arial"/>
          <w:bCs/>
          <w:i/>
          <w:color w:val="000000"/>
          <w:sz w:val="18"/>
          <w:szCs w:val="18"/>
          <w:shd w:val="clear" w:color="auto" w:fill="FFFFFF"/>
        </w:rPr>
        <w:t> </w:t>
      </w:r>
      <w:r w:rsidRPr="00C24148">
        <w:rPr>
          <w:rFonts w:ascii="Arial" w:hAnsi="Arial" w:cs="Arial"/>
          <w:bCs/>
          <w:i/>
          <w:iCs/>
          <w:color w:val="000000"/>
          <w:sz w:val="18"/>
          <w:szCs w:val="18"/>
          <w:shd w:val="clear" w:color="auto" w:fill="FFFFFF"/>
        </w:rPr>
        <w:t>Recurso extraordinario de anulación</w:t>
      </w:r>
      <w:r w:rsidRPr="00C24148">
        <w:rPr>
          <w:rFonts w:ascii="Arial" w:hAnsi="Arial" w:cs="Arial"/>
          <w:b/>
          <w:bCs/>
          <w:i/>
          <w:iCs/>
          <w:color w:val="000000"/>
          <w:sz w:val="18"/>
          <w:szCs w:val="18"/>
          <w:shd w:val="clear" w:color="auto" w:fill="FFFFFF"/>
        </w:rPr>
        <w:t>.</w:t>
      </w:r>
      <w:r w:rsidRPr="00C24148">
        <w:rPr>
          <w:rStyle w:val="apple-converted-space"/>
          <w:rFonts w:ascii="Arial" w:hAnsi="Arial" w:cs="Arial"/>
          <w:i/>
          <w:iCs/>
          <w:color w:val="000000"/>
          <w:sz w:val="18"/>
          <w:szCs w:val="18"/>
          <w:shd w:val="clear" w:color="auto" w:fill="FFFFFF"/>
        </w:rPr>
        <w:t> </w:t>
      </w:r>
      <w:r w:rsidRPr="00C24148">
        <w:rPr>
          <w:rFonts w:ascii="Arial" w:hAnsi="Arial" w:cs="Arial"/>
          <w:i/>
          <w:color w:val="000000"/>
          <w:sz w:val="18"/>
          <w:szCs w:val="18"/>
          <w:shd w:val="clear" w:color="auto" w:fill="FFFFFF"/>
        </w:rPr>
        <w:t>Contra el laudo arbitral procede el recurso extraordinario de anulación, que deberá interponerse debidamente sustentado, ante el tribunal arbitral, con indicación de las causales invocadas, dentro de los treinta (30) días siguientes a su notificación o la de la providencia que resuelva sobre su aclaración, corrección o adición. (…)</w:t>
      </w:r>
    </w:p>
    <w:p w:rsidR="00AC206B" w:rsidRPr="00C24148" w:rsidRDefault="00AC206B" w:rsidP="00A26BA8">
      <w:pPr>
        <w:pStyle w:val="Textonotapie"/>
        <w:jc w:val="both"/>
        <w:rPr>
          <w:rFonts w:ascii="Arial" w:hAnsi="Arial" w:cs="Arial"/>
          <w:i/>
          <w:sz w:val="18"/>
          <w:szCs w:val="18"/>
          <w:lang w:val="es-CO"/>
        </w:rPr>
      </w:pPr>
      <w:r w:rsidRPr="00C24148">
        <w:rPr>
          <w:rFonts w:ascii="Arial" w:hAnsi="Arial" w:cs="Arial"/>
          <w:i/>
          <w:sz w:val="18"/>
          <w:szCs w:val="18"/>
          <w:lang w:val="es-CO"/>
        </w:rPr>
        <w:t>Artículo 42. Trámite del recurso de anulación. La autoridad judicial competente rechazará de plano el recurso de anulación cuando su interposición fuere extemporánea, no se hubiere sustentando o las causales invocadas no correspondan a ninguna de las señaladas en esta ley.</w:t>
      </w:r>
    </w:p>
  </w:footnote>
  <w:footnote w:id="3">
    <w:p w:rsidR="00AC206B" w:rsidRPr="00C24148" w:rsidRDefault="00AC206B" w:rsidP="00A26BA8">
      <w:pPr>
        <w:pStyle w:val="Textonotapie"/>
        <w:rPr>
          <w:rFonts w:ascii="Arial" w:hAnsi="Arial" w:cs="Arial"/>
          <w:sz w:val="18"/>
          <w:szCs w:val="18"/>
          <w:lang w:val="es-CO"/>
        </w:rPr>
      </w:pPr>
      <w:r w:rsidRPr="00C24148">
        <w:rPr>
          <w:rStyle w:val="Refdenotaalpie"/>
          <w:rFonts w:ascii="Arial" w:hAnsi="Arial" w:cs="Arial"/>
          <w:sz w:val="18"/>
          <w:szCs w:val="18"/>
        </w:rPr>
        <w:footnoteRef/>
      </w:r>
      <w:r w:rsidRPr="00C24148">
        <w:rPr>
          <w:rFonts w:ascii="Arial" w:hAnsi="Arial" w:cs="Arial"/>
          <w:sz w:val="18"/>
          <w:szCs w:val="18"/>
        </w:rPr>
        <w:t xml:space="preserve"> </w:t>
      </w:r>
      <w:r w:rsidRPr="00C24148">
        <w:rPr>
          <w:rFonts w:ascii="Arial" w:hAnsi="Arial" w:cs="Arial"/>
          <w:sz w:val="18"/>
          <w:szCs w:val="18"/>
          <w:lang w:val="es-CO"/>
        </w:rPr>
        <w:t>Fls. 574 – 596 C. Ppal.</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24C4"/>
    <w:rsid w:val="0001360A"/>
    <w:rsid w:val="00050022"/>
    <w:rsid w:val="00120717"/>
    <w:rsid w:val="0018796C"/>
    <w:rsid w:val="001924C4"/>
    <w:rsid w:val="00294ED6"/>
    <w:rsid w:val="00394DA6"/>
    <w:rsid w:val="003F545F"/>
    <w:rsid w:val="004D7B86"/>
    <w:rsid w:val="005E2B38"/>
    <w:rsid w:val="00622B75"/>
    <w:rsid w:val="006A49BD"/>
    <w:rsid w:val="006B47DB"/>
    <w:rsid w:val="006C0DF9"/>
    <w:rsid w:val="008624A7"/>
    <w:rsid w:val="008C33E3"/>
    <w:rsid w:val="00940337"/>
    <w:rsid w:val="009C1285"/>
    <w:rsid w:val="00A14CE4"/>
    <w:rsid w:val="00A26BA8"/>
    <w:rsid w:val="00A71711"/>
    <w:rsid w:val="00AC206B"/>
    <w:rsid w:val="00B04008"/>
    <w:rsid w:val="00B53EF9"/>
    <w:rsid w:val="00B561F8"/>
    <w:rsid w:val="00C67F2A"/>
    <w:rsid w:val="00C845EB"/>
    <w:rsid w:val="00D42A56"/>
    <w:rsid w:val="00D53BD4"/>
    <w:rsid w:val="00D566B5"/>
    <w:rsid w:val="00D6775F"/>
    <w:rsid w:val="00F10C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FA99B"/>
  <w15:chartTrackingRefBased/>
  <w15:docId w15:val="{A6F0B2FE-03C9-40A3-A8DA-319FB0ABA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val="es-CO"/>
    </w:rPr>
  </w:style>
  <w:style w:type="paragraph" w:styleId="Ttulo1">
    <w:name w:val="heading 1"/>
    <w:basedOn w:val="Normal"/>
    <w:next w:val="Normal"/>
    <w:link w:val="Ttulo1Car"/>
    <w:qFormat/>
    <w:rsid w:val="00AC206B"/>
    <w:pPr>
      <w:keepNext/>
      <w:autoSpaceDE w:val="0"/>
      <w:autoSpaceDN w:val="0"/>
      <w:spacing w:after="0" w:line="240" w:lineRule="auto"/>
      <w:jc w:val="center"/>
      <w:outlineLvl w:val="0"/>
    </w:pPr>
    <w:rPr>
      <w:rFonts w:ascii="Arial" w:eastAsia="Times New Roman" w:hAnsi="Arial" w:cs="Arial"/>
      <w:b/>
      <w:bCs/>
      <w:sz w:val="24"/>
      <w:szCs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AC206B"/>
    <w:rPr>
      <w:rFonts w:ascii="Arial" w:eastAsia="Times New Roman" w:hAnsi="Arial" w:cs="Arial"/>
      <w:b/>
      <w:bCs/>
      <w:sz w:val="24"/>
      <w:szCs w:val="24"/>
      <w:lang w:val="es-ES_tradnl" w:eastAsia="es-ES"/>
    </w:rPr>
  </w:style>
  <w:style w:type="paragraph" w:styleId="Textoindependiente">
    <w:name w:val="Body Text"/>
    <w:basedOn w:val="Normal"/>
    <w:link w:val="TextoindependienteCar"/>
    <w:rsid w:val="00AC206B"/>
    <w:pPr>
      <w:overflowPunct w:val="0"/>
      <w:autoSpaceDE w:val="0"/>
      <w:autoSpaceDN w:val="0"/>
      <w:adjustRightInd w:val="0"/>
      <w:spacing w:after="0" w:line="360" w:lineRule="auto"/>
      <w:jc w:val="both"/>
    </w:pPr>
    <w:rPr>
      <w:rFonts w:ascii="Arial" w:eastAsia="Times New Roman" w:hAnsi="Arial"/>
      <w:sz w:val="24"/>
      <w:szCs w:val="20"/>
      <w:lang w:val="es-ES" w:eastAsia="es-ES"/>
    </w:rPr>
  </w:style>
  <w:style w:type="character" w:customStyle="1" w:styleId="TextoindependienteCar">
    <w:name w:val="Texto independiente Car"/>
    <w:link w:val="Textoindependiente"/>
    <w:rsid w:val="00AC206B"/>
    <w:rPr>
      <w:rFonts w:ascii="Arial" w:eastAsia="Times New Roman" w:hAnsi="Arial"/>
      <w:sz w:val="24"/>
      <w:lang w:val="es-ES" w:eastAsia="es-ES"/>
    </w:rPr>
  </w:style>
  <w:style w:type="paragraph" w:styleId="Textoindependiente2">
    <w:name w:val="Body Text 2"/>
    <w:basedOn w:val="Normal"/>
    <w:link w:val="Textoindependiente2Car"/>
    <w:rsid w:val="00AC206B"/>
    <w:pPr>
      <w:autoSpaceDE w:val="0"/>
      <w:autoSpaceDN w:val="0"/>
      <w:spacing w:after="0" w:line="360" w:lineRule="auto"/>
      <w:jc w:val="both"/>
    </w:pPr>
    <w:rPr>
      <w:rFonts w:ascii="Arial" w:eastAsia="Times New Roman" w:hAnsi="Arial" w:cs="Arial"/>
      <w:szCs w:val="24"/>
      <w:lang w:val="es-ES" w:eastAsia="es-ES"/>
    </w:rPr>
  </w:style>
  <w:style w:type="character" w:customStyle="1" w:styleId="Textoindependiente2Car">
    <w:name w:val="Texto independiente 2 Car"/>
    <w:link w:val="Textoindependiente2"/>
    <w:rsid w:val="00AC206B"/>
    <w:rPr>
      <w:rFonts w:ascii="Arial" w:eastAsia="Times New Roman" w:hAnsi="Arial" w:cs="Arial"/>
      <w:sz w:val="22"/>
      <w:szCs w:val="24"/>
      <w:lang w:val="es-ES" w:eastAsia="es-ES"/>
    </w:rPr>
  </w:style>
  <w:style w:type="paragraph" w:styleId="Ttulo">
    <w:name w:val="Title"/>
    <w:basedOn w:val="Normal"/>
    <w:link w:val="TtuloCar"/>
    <w:qFormat/>
    <w:rsid w:val="00AC206B"/>
    <w:pPr>
      <w:autoSpaceDE w:val="0"/>
      <w:autoSpaceDN w:val="0"/>
      <w:spacing w:after="0" w:line="240" w:lineRule="auto"/>
      <w:jc w:val="center"/>
    </w:pPr>
    <w:rPr>
      <w:rFonts w:ascii="Arial" w:eastAsia="Times New Roman" w:hAnsi="Arial" w:cs="Arial"/>
      <w:b/>
      <w:bCs/>
      <w:sz w:val="24"/>
      <w:szCs w:val="24"/>
      <w:lang w:val="es-ES" w:eastAsia="es-ES"/>
    </w:rPr>
  </w:style>
  <w:style w:type="character" w:customStyle="1" w:styleId="TtuloCar">
    <w:name w:val="Título Car"/>
    <w:link w:val="Ttulo"/>
    <w:rsid w:val="00AC206B"/>
    <w:rPr>
      <w:rFonts w:ascii="Arial" w:eastAsia="Times New Roman" w:hAnsi="Arial" w:cs="Arial"/>
      <w:b/>
      <w:bCs/>
      <w:sz w:val="24"/>
      <w:szCs w:val="24"/>
      <w:lang w:val="es-ES" w:eastAsia="es-ES"/>
    </w:rPr>
  </w:style>
  <w:style w:type="paragraph" w:styleId="Subttulo">
    <w:name w:val="Subtitle"/>
    <w:basedOn w:val="Normal"/>
    <w:link w:val="SubttuloCar"/>
    <w:qFormat/>
    <w:rsid w:val="00AC206B"/>
    <w:pPr>
      <w:autoSpaceDE w:val="0"/>
      <w:autoSpaceDN w:val="0"/>
      <w:spacing w:after="0" w:line="240" w:lineRule="auto"/>
      <w:jc w:val="center"/>
    </w:pPr>
    <w:rPr>
      <w:rFonts w:ascii="Arial" w:eastAsia="Times New Roman" w:hAnsi="Arial" w:cs="Arial"/>
      <w:b/>
      <w:bCs/>
      <w:sz w:val="24"/>
      <w:lang w:val="es-ES" w:eastAsia="es-ES"/>
    </w:rPr>
  </w:style>
  <w:style w:type="character" w:customStyle="1" w:styleId="SubttuloCar">
    <w:name w:val="Subtítulo Car"/>
    <w:link w:val="Subttulo"/>
    <w:rsid w:val="00AC206B"/>
    <w:rPr>
      <w:rFonts w:ascii="Arial" w:eastAsia="Times New Roman" w:hAnsi="Arial" w:cs="Arial"/>
      <w:b/>
      <w:bCs/>
      <w:sz w:val="24"/>
      <w:szCs w:val="22"/>
      <w:lang w:val="es-ES" w:eastAsia="es-ES"/>
    </w:rPr>
  </w:style>
  <w:style w:type="paragraph" w:customStyle="1" w:styleId="Textoindependiente21">
    <w:name w:val="Texto independiente 21"/>
    <w:basedOn w:val="Normal"/>
    <w:rsid w:val="00AC206B"/>
    <w:pPr>
      <w:spacing w:after="0" w:line="240" w:lineRule="auto"/>
      <w:jc w:val="both"/>
    </w:pPr>
    <w:rPr>
      <w:rFonts w:ascii="Arial" w:eastAsia="Times New Roman" w:hAnsi="Arial"/>
      <w:sz w:val="24"/>
      <w:szCs w:val="20"/>
      <w:lang w:eastAsia="es-ES"/>
    </w:rPr>
  </w:style>
  <w:style w:type="paragraph" w:styleId="Textonotapie">
    <w:name w:val="footnote text"/>
    <w:aliases w:val="Footnote reference,FA Fu,Footnote Text Char Char Char Char Char,Footnote Text Char Char Char Char,Footnote Text Char Char Char,Footnote Text Cha,FA Fußnotentext,FA Fuﬂnotentext,Footnote Text Char Char,FA Fu Car Car,texto de nota al p"/>
    <w:basedOn w:val="Normal"/>
    <w:link w:val="TextonotapieCar1"/>
    <w:uiPriority w:val="99"/>
    <w:rsid w:val="00AC206B"/>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uiPriority w:val="99"/>
    <w:semiHidden/>
    <w:rsid w:val="00AC206B"/>
    <w:rPr>
      <w:lang w:eastAsia="en-US"/>
    </w:rPr>
  </w:style>
  <w:style w:type="character" w:styleId="Refdenotaalpie">
    <w:name w:val="footnote reference"/>
    <w:aliases w:val="Ref. de nota al pie 2,Texto de nota al pie,Pie de Página,FC,Appel note de bas de page,Footnotes refss,Footnote number,referencia nota al pie,BVI fnr,f,4_G,16 Point,Superscript 6 Point,Texto nota al pie,Texto de nota al pi,Pie de Pàgi"/>
    <w:uiPriority w:val="99"/>
    <w:rsid w:val="00AC206B"/>
    <w:rPr>
      <w:vertAlign w:val="superscript"/>
    </w:rPr>
  </w:style>
  <w:style w:type="character" w:customStyle="1" w:styleId="TextonotapieCar1">
    <w:name w:val="Texto nota pie Car1"/>
    <w:aliases w:val="Footnote reference Car,FA Fu Car,Footnote Text Char Char Char Char Char Car,Footnote Text Char Char Char Char Car,Footnote Text Char Char Char Car,Footnote Text Cha Car,FA Fußnotentext Car,FA Fuﬂnotentext Car,FA Fu Car Car Car"/>
    <w:link w:val="Textonotapie"/>
    <w:uiPriority w:val="99"/>
    <w:rsid w:val="00AC206B"/>
    <w:rPr>
      <w:rFonts w:ascii="Times New Roman" w:eastAsia="Times New Roman" w:hAnsi="Times New Roman"/>
      <w:lang w:val="es-ES" w:eastAsia="es-ES"/>
    </w:rPr>
  </w:style>
  <w:style w:type="character" w:customStyle="1" w:styleId="apple-converted-space">
    <w:name w:val="apple-converted-space"/>
    <w:rsid w:val="00AC206B"/>
  </w:style>
  <w:style w:type="paragraph" w:styleId="Sinespaciado">
    <w:name w:val="No Spacing"/>
    <w:uiPriority w:val="1"/>
    <w:qFormat/>
    <w:rsid w:val="00AC206B"/>
    <w:rPr>
      <w:sz w:val="22"/>
      <w:szCs w:val="22"/>
      <w:lang w:val="es-CO"/>
    </w:rPr>
  </w:style>
  <w:style w:type="paragraph" w:customStyle="1" w:styleId="Textoindependiente22">
    <w:name w:val="Texto independiente 22"/>
    <w:basedOn w:val="Normal"/>
    <w:rsid w:val="00AC206B"/>
    <w:pPr>
      <w:spacing w:after="0" w:line="240" w:lineRule="auto"/>
      <w:jc w:val="both"/>
    </w:pPr>
    <w:rPr>
      <w:rFonts w:ascii="Arial" w:eastAsia="Times New Roman" w:hAnsi="Arial"/>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7A05DA7-E9C7-4F58-90AD-132D8088E7A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D713059-9886-4CBD-B1CC-661CAEDC65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9771A1A-F846-4430-94BA-0351F6DDA49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665</Words>
  <Characters>3793</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mquirogad</dc:creator>
  <cp:keywords/>
  <dc:description/>
  <cp:lastModifiedBy>Nina María Padrón</cp:lastModifiedBy>
  <cp:revision>2</cp:revision>
  <dcterms:created xsi:type="dcterms:W3CDTF">2020-06-15T03:47:00Z</dcterms:created>
  <dcterms:modified xsi:type="dcterms:W3CDTF">2020-06-15T03:47:00Z</dcterms:modified>
</cp:coreProperties>
</file>