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7E4192" w14:textId="7CD3B7FB" w:rsidR="00C11E9F" w:rsidRPr="0002042A" w:rsidRDefault="00C11E9F" w:rsidP="00C11E9F">
      <w:pPr>
        <w:jc w:val="both"/>
        <w:rPr>
          <w:rFonts w:ascii="Arial" w:hAnsi="Arial" w:cs="Arial"/>
          <w:b/>
          <w:lang w:val="es-ES" w:eastAsia="es-ES"/>
        </w:rPr>
      </w:pPr>
      <w:bookmarkStart w:id="0" w:name="_GoBack"/>
      <w:r w:rsidRPr="0002042A">
        <w:rPr>
          <w:rFonts w:ascii="Arial" w:hAnsi="Arial" w:cs="Arial"/>
          <w:b/>
          <w:lang w:val="es-ES" w:eastAsia="es-ES"/>
        </w:rPr>
        <w:t>REPARACIÓN DIRECTA</w:t>
      </w:r>
      <w:r w:rsidR="008179C3" w:rsidRPr="0002042A">
        <w:rPr>
          <w:rFonts w:ascii="Arial" w:hAnsi="Arial" w:cs="Arial"/>
          <w:b/>
          <w:lang w:val="es-ES" w:eastAsia="es-ES"/>
        </w:rPr>
        <w:t xml:space="preserve"> </w:t>
      </w:r>
      <w:r w:rsidR="0002042A" w:rsidRPr="0002042A">
        <w:rPr>
          <w:rFonts w:ascii="Arial" w:hAnsi="Arial" w:cs="Arial"/>
          <w:b/>
          <w:lang w:val="es-ES" w:eastAsia="es-ES"/>
        </w:rPr>
        <w:t xml:space="preserve">- Ocupación de inmuebles </w:t>
      </w:r>
      <w:r w:rsidRPr="0002042A">
        <w:rPr>
          <w:rFonts w:ascii="Arial" w:hAnsi="Arial" w:cs="Arial"/>
          <w:b/>
          <w:lang w:val="es-ES" w:eastAsia="es-ES"/>
        </w:rPr>
        <w:t>-</w:t>
      </w:r>
      <w:r w:rsidR="0002042A" w:rsidRPr="0002042A">
        <w:rPr>
          <w:rFonts w:ascii="Arial" w:hAnsi="Arial" w:cs="Arial"/>
          <w:lang w:val="es-ES" w:eastAsia="es-ES"/>
        </w:rPr>
        <w:t xml:space="preserve"> </w:t>
      </w:r>
      <w:r w:rsidR="0002042A" w:rsidRPr="0002042A">
        <w:rPr>
          <w:rFonts w:ascii="Arial" w:hAnsi="Arial" w:cs="Arial"/>
          <w:b/>
          <w:lang w:val="es-ES" w:eastAsia="es-ES"/>
        </w:rPr>
        <w:t>C</w:t>
      </w:r>
      <w:r w:rsidRPr="0002042A">
        <w:rPr>
          <w:rFonts w:ascii="Arial" w:hAnsi="Arial" w:cs="Arial"/>
          <w:b/>
          <w:lang w:val="es-ES" w:eastAsia="es-ES"/>
        </w:rPr>
        <w:t xml:space="preserve">aducidad </w:t>
      </w:r>
    </w:p>
    <w:p w14:paraId="5CA6649D" w14:textId="77777777" w:rsidR="008179C3" w:rsidRPr="0002042A" w:rsidRDefault="008179C3" w:rsidP="00C11E9F">
      <w:pPr>
        <w:jc w:val="both"/>
        <w:rPr>
          <w:rFonts w:ascii="Arial" w:hAnsi="Arial" w:cs="Arial"/>
          <w:lang w:val="es-ES" w:eastAsia="es-ES"/>
        </w:rPr>
      </w:pPr>
    </w:p>
    <w:p w14:paraId="766ECE6C" w14:textId="77777777" w:rsidR="008179C3" w:rsidRPr="0002042A" w:rsidRDefault="00C11E9F" w:rsidP="008179C3">
      <w:pPr>
        <w:jc w:val="both"/>
        <w:rPr>
          <w:rFonts w:ascii="Arial" w:hAnsi="Arial" w:cs="Arial"/>
          <w:lang w:eastAsia="es-ES"/>
        </w:rPr>
      </w:pPr>
      <w:r w:rsidRPr="0002042A">
        <w:rPr>
          <w:rFonts w:ascii="Arial" w:hAnsi="Arial" w:cs="Arial"/>
          <w:lang w:val="es-ES" w:eastAsia="es-ES"/>
        </w:rPr>
        <w:t>La caducidad es una sanción por el ejercicio extemporáneo de las acciones judiciales. De forma que, cuando la demanda se plantea por fuera de los términos establecidos en el Código Contencioso Administrativo se pierde la posibilidad de acudir al juez para hacer efectivo el derecho sustancial presuntamente desconocido o vulnerado. Como se puede observar, esta institución tiene aparejados al tiempo criterios de justicia y seguridad jurídica. Dada la época en que se produjeron los hechos objeto de este procesos es importante, inicialmente, recordar que la Ley 167 de 1941, tratándose de daños ocasionados por trabajos públicos, estatuyó un</w:t>
      </w:r>
      <w:r w:rsidR="008179C3" w:rsidRPr="0002042A">
        <w:rPr>
          <w:rFonts w:ascii="Arial" w:hAnsi="Arial" w:cs="Arial"/>
          <w:lang w:val="es-ES" w:eastAsia="es-ES"/>
        </w:rPr>
        <w:t xml:space="preserve"> </w:t>
      </w:r>
      <w:r w:rsidRPr="0002042A">
        <w:rPr>
          <w:rFonts w:ascii="Arial" w:hAnsi="Arial" w:cs="Arial"/>
          <w:lang w:val="es-ES" w:eastAsia="es-ES"/>
        </w:rPr>
        <w:t xml:space="preserve"> medio de control para la reparación de daños, que debía instaurarse dentro de los dos años siguientes </w:t>
      </w:r>
      <w:r w:rsidRPr="0002042A">
        <w:rPr>
          <w:rFonts w:ascii="Arial" w:hAnsi="Arial" w:cs="Arial"/>
          <w:lang w:eastAsia="es-ES"/>
        </w:rPr>
        <w:t>de ocurrido el daño o de verificada la ocupación, ante la Jurisdicción de lo Contencioso Administrativo. Realidad procesal que estuvo vigente hasta cuando la Corte Suprema de Justicia en sentencia del 20 de junio de 1955 declaró la inconstitucionalidad de los artículos 261 a 270 ibídem en lo que respecta a daños por ocupación permanente…De este modo, las acciones de responsabilidad por trabajos públicos, cuando no implicaran la ocupación permanente de bienes, continuaron en conocimiento de esta jurisdicción y debían seguir formulándose  en el término de dos años hasta el año 1964, cuando la Ley 528 amplió dicho termino a tres años  que debían contarse a partir de la realización del hecho u operación correspondiente.</w:t>
      </w:r>
      <w:r w:rsidRPr="0002042A">
        <w:rPr>
          <w:rFonts w:ascii="Arial" w:hAnsi="Arial" w:cs="Arial"/>
          <w:lang w:val="es-ES" w:eastAsia="es-ES"/>
        </w:rPr>
        <w:t xml:space="preserve">Con posterioridad en el año 1984, con la expedición del Decreto 01, nuevamente, se asignó el conocimiento de estas asuntos en toda su extensión a la Jurisdicción de lo Contencioso Administrativo. En el artículo 86 se estableció la acción de reparación con el objeto de indemnizar a quienes resulten afectados </w:t>
      </w:r>
      <w:r w:rsidRPr="0002042A">
        <w:rPr>
          <w:rFonts w:ascii="Arial" w:hAnsi="Arial" w:cs="Arial"/>
          <w:lang w:eastAsia="es-ES"/>
        </w:rPr>
        <w:t xml:space="preserve">por la ocupación temporal o permanente de un inmueble por causa de trabajos públicos o por cualquier otra causa, para lo cual se estableció un término preclusivo de dos años contados según el artículo 136 original a partir de la producción del hecho generador del perjuicio. </w:t>
      </w:r>
      <w:r w:rsidRPr="0002042A">
        <w:rPr>
          <w:rFonts w:ascii="Arial" w:hAnsi="Arial" w:cs="Arial"/>
          <w:lang w:val="es-ES" w:eastAsia="es-ES"/>
        </w:rPr>
        <w:t xml:space="preserve">Como se puede observar en el artículo 86 se reiteró que la reparación directa es la vía judicial para solicitar la reparación cuando la causa fuese </w:t>
      </w:r>
      <w:r w:rsidRPr="0002042A">
        <w:rPr>
          <w:rFonts w:ascii="Arial" w:hAnsi="Arial" w:cs="Arial"/>
          <w:lang w:eastAsia="es-ES"/>
        </w:rPr>
        <w:t xml:space="preserve">la ocupación temporal o permanente de inmuebles de dominio privado por causa de trabajos públicos o por cualquiera otra causa. Entre tanto, el numeral 8 del artículo 136 del Código Contencioso Administrativo </w:t>
      </w:r>
      <w:r w:rsidRPr="0002042A">
        <w:rPr>
          <w:rFonts w:ascii="Arial" w:hAnsi="Arial" w:cs="Arial"/>
          <w:lang w:val="es-ES" w:eastAsia="es-ES"/>
        </w:rPr>
        <w:t>mantuvo el término de dos años para el ejercicio de la acción, no obstante hizo una variación para su cómputo, pues estableció su inicio a partir del día siguiente a la ocurrencia del hecho, omisión, operación administrativa u ocupación temporal o permanente</w:t>
      </w:r>
      <w:r w:rsidR="008179C3" w:rsidRPr="0002042A">
        <w:rPr>
          <w:rFonts w:ascii="Arial" w:hAnsi="Arial" w:cs="Arial"/>
          <w:lang w:val="es-ES" w:eastAsia="es-ES"/>
        </w:rPr>
        <w:t xml:space="preserve">… Ahora, para el cómputo de la caducidad en el caso en estudio, la Sala echa de menos las pruebas que permitieran evidenciar de manera concreta las fechas que cada hecho ocurrió. No obstante, las aportadas al proceso, permiten establecer que el término de caducidad transcurrió en exceso si se tiene en cuenta el momento en que el demandante tuvo conocimiento de los hechos e interpuso la demanda, como lo concluyó el </w:t>
      </w:r>
      <w:r w:rsidR="008179C3" w:rsidRPr="0002042A">
        <w:rPr>
          <w:rFonts w:ascii="Arial" w:hAnsi="Arial" w:cs="Arial"/>
          <w:i/>
          <w:lang w:val="es-ES" w:eastAsia="es-ES"/>
        </w:rPr>
        <w:t>a quo</w:t>
      </w:r>
      <w:r w:rsidR="008179C3" w:rsidRPr="0002042A">
        <w:rPr>
          <w:rFonts w:ascii="Arial" w:hAnsi="Arial" w:cs="Arial"/>
          <w:lang w:val="es-ES" w:eastAsia="es-ES"/>
        </w:rPr>
        <w:t xml:space="preserve">. En efecto, se observa que al menos para el día 4 de diciembre de 1986, el señor Roa Bonilla tenía pleno conocimiento de los daños por los que ahora demanda y de la que a su juicio era su causa, el embalse de Chivor, pues se dirigió a la empresa demandada, Interconexión Eléctrica S.A. para poner de presente el deterioro general del predio La Unión,  el derrumbamiento de la vivienda familiar y del agrietamiento de la  vivienda de reemplazo construida hace año y medio, como consecuencia de la operación del embalse. Conocimiento que el demandante no negó tener cuando fue citado a rendir declaración de parte, pues al ser interrogado sobre la fecha en que tuvo conocimiento de los daños por los que demandó, precisó que estos ocurrieron con posterioridad al llenado del embalse, aproximadamente entre los años 1977 y 1978, época en la que se comenzaron a notar los daños al predio, a la primera vivienda y a la infraestructura del trapiche ubicado en una enramada. Igualmente, señaló que, al tiempo de terminarse la construcción de la segunda vivienda que temporalmente sitúa en el año 1988, ocurrió su agrietamiento, el que por cierto se constató en la diligencia de inspección judicial llevada a cabo en el tribunal en el año 2000.Lo anterior significa  que los daños ocurrieron en diferentes épocas entre los años 1977 y el año 1986, fecha esta última en  que el demandante tenía conocimiento pleno de los mismos, pues no de otra forma se explican sus intervenciones ante la propia entidad y frente a otras instancias como la Procuraduría para obtener por vía directa la reparación.  Intervenciones que no eran óbice para que, como lo hizo para obtener la reparación de los daños por la ocupación, presentara la demanda oportunamente en contra de la empresa demandada. En este punto debe advertirse, también que la existencia del concepto de Ingeominas emitido en el año 1993, tampoco era necesario para iniciar la demanda, como parece sugerirlo la impugnante, pues lo cierto es que antes, el demandante señaló con </w:t>
      </w:r>
      <w:r w:rsidR="008179C3" w:rsidRPr="0002042A">
        <w:rPr>
          <w:rFonts w:ascii="Arial" w:hAnsi="Arial" w:cs="Arial"/>
          <w:lang w:val="es-ES" w:eastAsia="es-ES"/>
        </w:rPr>
        <w:lastRenderedPageBreak/>
        <w:t>certeza a la empresa demandada como la causante de los daños a su propiedad. Empresa que tiempo atrás realizó visitas al predio y estudios geológicos, con el fin de atender las reclamaciones del demandante, mismos que fueron puestos en su conocimiento…De este modo, en lo que respecta al deterioro del inmueble, la destrucción de la vivienda familiar, el trapiche y el agrietamiento de la vivienda familiar deberá confirmarse la sentencia de primera instancia, pues se constató que la parte demandante no observó para el ejercicio de la acción los términos establecidos, bien en vigencia de la Ley 167 de 1941 o del Decreto 01 de 1984.</w:t>
      </w:r>
    </w:p>
    <w:p w14:paraId="13F1FAF3" w14:textId="77777777" w:rsidR="008179C3" w:rsidRPr="0002042A" w:rsidRDefault="00C11E9F" w:rsidP="00C11E9F">
      <w:pPr>
        <w:jc w:val="both"/>
        <w:rPr>
          <w:rFonts w:ascii="Arial" w:hAnsi="Arial" w:cs="Arial"/>
          <w:lang w:val="es-ES" w:eastAsia="es-ES"/>
        </w:rPr>
      </w:pPr>
      <w:r w:rsidRPr="0002042A">
        <w:rPr>
          <w:rFonts w:ascii="Arial" w:hAnsi="Arial" w:cs="Arial"/>
          <w:lang w:val="es-ES" w:eastAsia="es-ES"/>
        </w:rPr>
        <w:t xml:space="preserve"> </w:t>
      </w:r>
    </w:p>
    <w:p w14:paraId="4534FD8A" w14:textId="20FC5D71" w:rsidR="008179C3" w:rsidRPr="0002042A" w:rsidRDefault="008179C3" w:rsidP="00C11E9F">
      <w:pPr>
        <w:jc w:val="both"/>
        <w:rPr>
          <w:rFonts w:ascii="Arial" w:hAnsi="Arial" w:cs="Arial"/>
          <w:lang w:val="es-ES" w:eastAsia="es-ES"/>
        </w:rPr>
      </w:pPr>
      <w:r w:rsidRPr="0002042A">
        <w:rPr>
          <w:rFonts w:ascii="Arial" w:hAnsi="Arial" w:cs="Arial"/>
          <w:b/>
          <w:lang w:val="es-ES" w:eastAsia="es-ES"/>
        </w:rPr>
        <w:t xml:space="preserve">CADUCIDAD </w:t>
      </w:r>
      <w:r w:rsidR="0002042A" w:rsidRPr="0002042A">
        <w:rPr>
          <w:rFonts w:ascii="Arial" w:hAnsi="Arial" w:cs="Arial"/>
          <w:b/>
          <w:lang w:val="es-ES" w:eastAsia="es-ES"/>
        </w:rPr>
        <w:t xml:space="preserve">DE LA </w:t>
      </w:r>
      <w:r w:rsidRPr="0002042A">
        <w:rPr>
          <w:rFonts w:ascii="Arial" w:hAnsi="Arial" w:cs="Arial"/>
          <w:b/>
          <w:lang w:val="es-ES" w:eastAsia="es-ES"/>
        </w:rPr>
        <w:t>ACCIÓN</w:t>
      </w:r>
      <w:r w:rsidR="0002042A" w:rsidRPr="0002042A">
        <w:rPr>
          <w:rFonts w:ascii="Arial" w:hAnsi="Arial" w:cs="Arial"/>
          <w:b/>
          <w:lang w:val="es-ES" w:eastAsia="es-ES"/>
        </w:rPr>
        <w:t xml:space="preserve"> -</w:t>
      </w:r>
      <w:r w:rsidRPr="0002042A">
        <w:rPr>
          <w:rFonts w:ascii="Arial" w:hAnsi="Arial" w:cs="Arial"/>
          <w:b/>
          <w:lang w:val="es-ES" w:eastAsia="es-ES"/>
        </w:rPr>
        <w:t xml:space="preserve"> Casos especiales</w:t>
      </w:r>
      <w:r w:rsidRPr="0002042A">
        <w:rPr>
          <w:rFonts w:ascii="Arial" w:hAnsi="Arial" w:cs="Arial"/>
          <w:lang w:val="es-ES" w:eastAsia="es-ES"/>
        </w:rPr>
        <w:t xml:space="preserve"> </w:t>
      </w:r>
    </w:p>
    <w:p w14:paraId="1CEF78FE" w14:textId="77777777" w:rsidR="008179C3" w:rsidRPr="0002042A" w:rsidRDefault="008179C3" w:rsidP="00C11E9F">
      <w:pPr>
        <w:jc w:val="both"/>
        <w:rPr>
          <w:rFonts w:ascii="Arial" w:hAnsi="Arial" w:cs="Arial"/>
          <w:lang w:eastAsia="es-ES"/>
        </w:rPr>
      </w:pPr>
    </w:p>
    <w:p w14:paraId="2A01644B" w14:textId="77777777" w:rsidR="008179C3" w:rsidRPr="0002042A" w:rsidRDefault="00C11E9F" w:rsidP="00C11E9F">
      <w:pPr>
        <w:jc w:val="both"/>
        <w:rPr>
          <w:rFonts w:ascii="Arial" w:hAnsi="Arial" w:cs="Arial"/>
          <w:lang w:val="es-ES" w:eastAsia="es-ES"/>
        </w:rPr>
      </w:pPr>
      <w:r w:rsidRPr="0002042A">
        <w:rPr>
          <w:rFonts w:ascii="Arial" w:hAnsi="Arial" w:cs="Arial"/>
          <w:lang w:eastAsia="es-ES"/>
        </w:rPr>
        <w:t>Ahora bien, la aplicación de esta norma en la mayoría de los eventos, no ofrece problemas, pues se inicia el día siguiente de la producción del hecho dañoso, por ejemplo el accidente de tránsito en el que se produce una lesión o el enfrentamiento armado con saldo fatal, la muerte, y se prolonga hasta el último día de los dos años calendario. Sin embargo, existen casos especiales, en los cuales la manifestación del daño no coincide con el acaecimiento del hecho, por lo cual el conteo  del término se inicia desde que se tuvo conocimiento del mismo</w:t>
      </w:r>
      <w:r w:rsidRPr="0002042A">
        <w:rPr>
          <w:rFonts w:ascii="Arial" w:hAnsi="Arial" w:cs="Arial"/>
          <w:lang w:val="es-ES" w:eastAsia="es-ES"/>
        </w:rPr>
        <w:t xml:space="preserve"> o desde su cesación cuando se trata de un daño continuado o de tracto sucesivo.</w:t>
      </w:r>
      <w:r w:rsidRPr="0002042A">
        <w:rPr>
          <w:rFonts w:ascii="Arial" w:hAnsi="Arial" w:cs="Arial"/>
          <w:lang w:eastAsia="es-ES"/>
        </w:rPr>
        <w:t xml:space="preserve">como aquéllas en las cuales el daño se produce o se manifiesta con posterioridad a </w:t>
      </w:r>
      <w:r w:rsidRPr="0002042A">
        <w:rPr>
          <w:rFonts w:ascii="Arial" w:hAnsi="Arial" w:cs="Arial"/>
          <w:bCs/>
          <w:lang w:eastAsia="es-ES"/>
        </w:rPr>
        <w:t xml:space="preserve">la actuación o al hecho administrativo que lo causó, o </w:t>
      </w:r>
      <w:r w:rsidRPr="0002042A">
        <w:rPr>
          <w:rFonts w:ascii="Arial" w:hAnsi="Arial" w:cs="Arial"/>
          <w:lang w:val="es-ES_tradnl" w:eastAsia="es-ES"/>
        </w:rPr>
        <w:t xml:space="preserve">cuando el daño es de tracto sucesivo o ejecución continuada, se hace necesario </w:t>
      </w:r>
      <w:r w:rsidRPr="0002042A">
        <w:rPr>
          <w:rFonts w:ascii="Arial" w:hAnsi="Arial" w:cs="Arial"/>
          <w:bCs/>
          <w:lang w:eastAsia="es-ES"/>
        </w:rPr>
        <w:t xml:space="preserve">acoger una interpretación flexible –fundada en el principio </w:t>
      </w:r>
      <w:r w:rsidRPr="0002042A">
        <w:rPr>
          <w:rFonts w:ascii="Arial" w:hAnsi="Arial" w:cs="Arial"/>
          <w:bCs/>
          <w:i/>
          <w:lang w:eastAsia="es-ES"/>
        </w:rPr>
        <w:t>pro damato</w:t>
      </w:r>
      <w:r w:rsidRPr="0002042A">
        <w:rPr>
          <w:rFonts w:ascii="Arial" w:hAnsi="Arial" w:cs="Arial"/>
          <w:bCs/>
          <w:lang w:eastAsia="es-ES"/>
        </w:rPr>
        <w:t>– de la norma que establece el término de caducidad</w:t>
      </w:r>
      <w:r w:rsidR="008179C3" w:rsidRPr="0002042A">
        <w:rPr>
          <w:rFonts w:ascii="Arial" w:hAnsi="Arial" w:cs="Arial"/>
          <w:bCs/>
          <w:lang w:eastAsia="es-ES"/>
        </w:rPr>
        <w:t xml:space="preserve">. </w:t>
      </w:r>
      <w:r w:rsidRPr="0002042A">
        <w:rPr>
          <w:rFonts w:ascii="Arial" w:hAnsi="Arial" w:cs="Arial"/>
          <w:lang w:val="es-ES" w:eastAsia="es-ES"/>
        </w:rPr>
        <w:t xml:space="preserve">En el primer supuesto, la Sala ha ubicado eventos como  la muerte de una persona que se consideraba desaparecida, pues no sería razonable que el término para contabilizar la caducidad iniciará desde el momento en que ocurrió materialmente la muerte, sino desde cuando se tiene la noticia lo que, no en pocos casos ocurre años después. En el segundo, casos como </w:t>
      </w:r>
      <w:r w:rsidRPr="0002042A">
        <w:rPr>
          <w:rFonts w:ascii="Arial" w:hAnsi="Arial" w:cs="Arial"/>
          <w:bCs/>
          <w:lang w:val="es-ES" w:eastAsia="es-ES"/>
        </w:rPr>
        <w:t>la contaminación a un río, con ocasión de la fuga de una sustancia contaminante</w:t>
      </w:r>
      <w:r w:rsidRPr="0002042A">
        <w:rPr>
          <w:rFonts w:ascii="Arial" w:hAnsi="Arial" w:cs="Arial"/>
          <w:lang w:val="es-ES" w:eastAsia="es-ES"/>
        </w:rPr>
        <w:t xml:space="preserve">, pues en dicho evento los daños solo se evidencia cuando cesa el derrame, salvo que los daños se materialicen después, caso en el que se puede volver  al supuesto del conocimiento de daño. </w:t>
      </w:r>
    </w:p>
    <w:p w14:paraId="127157AF" w14:textId="77777777" w:rsidR="008179C3" w:rsidRPr="0002042A" w:rsidRDefault="008179C3" w:rsidP="00C11E9F">
      <w:pPr>
        <w:jc w:val="both"/>
        <w:rPr>
          <w:rFonts w:ascii="Arial" w:hAnsi="Arial" w:cs="Arial"/>
          <w:lang w:val="es-ES" w:eastAsia="es-ES"/>
        </w:rPr>
      </w:pPr>
    </w:p>
    <w:p w14:paraId="213D7E29" w14:textId="0C998A07" w:rsidR="007F2F14" w:rsidRPr="0002042A" w:rsidRDefault="00C11E9F" w:rsidP="00C11E9F">
      <w:pPr>
        <w:jc w:val="both"/>
        <w:rPr>
          <w:rFonts w:ascii="Arial" w:hAnsi="Arial" w:cs="Arial"/>
          <w:lang w:val="es-ES_tradnl" w:eastAsia="es-ES"/>
        </w:rPr>
      </w:pPr>
      <w:r w:rsidRPr="0002042A">
        <w:rPr>
          <w:rFonts w:ascii="Arial" w:hAnsi="Arial" w:cs="Arial"/>
          <w:b/>
          <w:lang w:val="es-ES_tradnl" w:eastAsia="es-ES"/>
        </w:rPr>
        <w:t>REPARACIÓN DIRECTA</w:t>
      </w:r>
      <w:r w:rsidR="008179C3" w:rsidRPr="0002042A">
        <w:rPr>
          <w:rFonts w:ascii="Arial" w:hAnsi="Arial" w:cs="Arial"/>
          <w:b/>
          <w:lang w:val="es-ES_tradnl" w:eastAsia="es-ES"/>
        </w:rPr>
        <w:t xml:space="preserve"> </w:t>
      </w:r>
      <w:r w:rsidRPr="0002042A">
        <w:rPr>
          <w:rFonts w:ascii="Arial" w:hAnsi="Arial" w:cs="Arial"/>
          <w:b/>
          <w:lang w:val="es-ES_tradnl" w:eastAsia="es-ES"/>
        </w:rPr>
        <w:t xml:space="preserve">- </w:t>
      </w:r>
      <w:r w:rsidR="008179C3" w:rsidRPr="0002042A">
        <w:rPr>
          <w:rFonts w:ascii="Arial" w:hAnsi="Arial" w:cs="Arial"/>
          <w:b/>
          <w:lang w:val="es-ES_tradnl" w:eastAsia="es-ES"/>
        </w:rPr>
        <w:t>L</w:t>
      </w:r>
      <w:r w:rsidRPr="0002042A">
        <w:rPr>
          <w:rFonts w:ascii="Arial" w:hAnsi="Arial" w:cs="Arial"/>
          <w:b/>
          <w:lang w:val="es-ES_tradnl" w:eastAsia="es-ES"/>
        </w:rPr>
        <w:t xml:space="preserve">egitimación </w:t>
      </w:r>
      <w:r w:rsidR="008179C3" w:rsidRPr="0002042A">
        <w:rPr>
          <w:rFonts w:ascii="Arial" w:hAnsi="Arial" w:cs="Arial"/>
          <w:b/>
          <w:lang w:val="es-MX" w:eastAsia="es-ES"/>
        </w:rPr>
        <w:t>material en la causa</w:t>
      </w:r>
    </w:p>
    <w:p w14:paraId="4F1DBD77" w14:textId="77777777" w:rsidR="00C11E9F" w:rsidRPr="0002042A" w:rsidRDefault="00C11E9F" w:rsidP="00C11E9F">
      <w:pPr>
        <w:jc w:val="both"/>
        <w:rPr>
          <w:rFonts w:ascii="Arial" w:hAnsi="Arial" w:cs="Arial"/>
          <w:lang w:val="es-ES_tradnl" w:eastAsia="es-ES"/>
        </w:rPr>
      </w:pPr>
    </w:p>
    <w:p w14:paraId="42FA5E83" w14:textId="77777777" w:rsidR="00C11E9F" w:rsidRPr="0002042A" w:rsidRDefault="00C11E9F" w:rsidP="00C11E9F">
      <w:pPr>
        <w:jc w:val="both"/>
        <w:rPr>
          <w:rFonts w:ascii="Arial" w:hAnsi="Arial" w:cs="Arial"/>
          <w:lang w:val="es-ES" w:eastAsia="es-ES"/>
        </w:rPr>
      </w:pPr>
      <w:r w:rsidRPr="0002042A">
        <w:rPr>
          <w:rFonts w:ascii="Arial" w:hAnsi="Arial" w:cs="Arial"/>
          <w:lang w:val="es-ES" w:eastAsia="es-ES"/>
        </w:rPr>
        <w:t>Pese a que los reclamos y en general todo el esfuerzo argumentativo y probatorio de la parte actora, se centran en los daños, tanto materiales como morales ocasionados al inmueble de su propiedad con ocasión de la puesta en funcionamiento de la represa Chivor, también, el señor Roa Bonilla hizo alusión a que el estado de zozobra y angustia que generó esta situación desencadenó la muerte de su madre la señora Elvinia Bonilla viuda de Roa. Situación por la que manifestó debían reconocerse entre otros perjuicios los gastos médicos, de asistencia y fúnebres en que se incurrió. Sobre el particular, la parte demandante solo afirmó pero no aportó ni solicitó prueba alguna para verificar los presupuestos procesales necesarios para decidir esta pretensión, como tampoco de cara al juicio de responsabilidad, pues en el plenario ni siquiera se aportó la prueba del fallecimiento de la antes nombrada.</w:t>
      </w:r>
      <w:r w:rsidR="008179C3" w:rsidRPr="0002042A">
        <w:rPr>
          <w:rFonts w:ascii="Arial" w:hAnsi="Arial" w:cs="Arial"/>
          <w:lang w:val="es-ES" w:eastAsia="es-ES"/>
        </w:rPr>
        <w:t xml:space="preserve"> </w:t>
      </w:r>
      <w:r w:rsidRPr="0002042A">
        <w:rPr>
          <w:rFonts w:ascii="Arial" w:hAnsi="Arial" w:cs="Arial"/>
          <w:lang w:val="es-ES" w:eastAsia="es-ES"/>
        </w:rPr>
        <w:t xml:space="preserve">En esta medida, la Sala se limitará a confirmar la decisión del tribunal de declarar la falta de legitimación material en la causa por activa, pues es cierto que no se acreditó la relación parental ni ninguna otra que permitiera tener al señor Roa Bonilla como damnificado por los daños que alega, situación esencial, pues como se sabe el daño para tenerse por estructurado debe ser personal. </w:t>
      </w:r>
      <w:r w:rsidRPr="0002042A">
        <w:rPr>
          <w:rFonts w:ascii="Arial" w:hAnsi="Arial" w:cs="Arial"/>
          <w:lang w:val="es-MX" w:eastAsia="es-ES"/>
        </w:rPr>
        <w:t xml:space="preserve">Igualmente, ha diferenciado la legitimación de hecho de la legitimación material  en la causa, señalando que esta primera es aquella  que se establece entre quien  demandada y el demandado y que surge a partir del momento en que se traba la </w:t>
      </w:r>
      <w:r w:rsidRPr="0002042A">
        <w:rPr>
          <w:rFonts w:ascii="Arial" w:hAnsi="Arial" w:cs="Arial"/>
          <w:i/>
          <w:lang w:val="es-MX" w:eastAsia="es-ES"/>
        </w:rPr>
        <w:t>litis</w:t>
      </w:r>
      <w:r w:rsidRPr="0002042A">
        <w:rPr>
          <w:rFonts w:ascii="Arial" w:hAnsi="Arial" w:cs="Arial"/>
          <w:lang w:val="es-MX" w:eastAsia="es-ES"/>
        </w:rPr>
        <w:t xml:space="preserve">, con la notificación del auto admisorio de la demanda y la segunda, como aquella que tiene una relación directa con el objeto de la </w:t>
      </w:r>
      <w:r w:rsidRPr="0002042A">
        <w:rPr>
          <w:rFonts w:ascii="Arial" w:hAnsi="Arial" w:cs="Arial"/>
          <w:i/>
          <w:lang w:val="es-MX" w:eastAsia="es-ES"/>
        </w:rPr>
        <w:t>litis</w:t>
      </w:r>
      <w:r w:rsidRPr="0002042A">
        <w:rPr>
          <w:rFonts w:ascii="Arial" w:hAnsi="Arial" w:cs="Arial"/>
          <w:lang w:val="es-MX" w:eastAsia="es-ES"/>
        </w:rPr>
        <w:t xml:space="preserve">, ya que tiene que ver con la participación real de las personas en el hecho que </w:t>
      </w:r>
      <w:r w:rsidRPr="0002042A">
        <w:rPr>
          <w:rFonts w:ascii="Arial" w:hAnsi="Arial" w:cs="Arial"/>
          <w:lang w:eastAsia="es-ES"/>
        </w:rPr>
        <w:t>da origen a la interposición de la demanda, independientemente de que hayan sido convocadas al proces</w:t>
      </w:r>
      <w:r w:rsidR="008179C3" w:rsidRPr="0002042A">
        <w:rPr>
          <w:rFonts w:ascii="Arial" w:hAnsi="Arial" w:cs="Arial"/>
          <w:lang w:eastAsia="es-ES"/>
        </w:rPr>
        <w:t>o</w:t>
      </w:r>
      <w:r w:rsidRPr="0002042A">
        <w:rPr>
          <w:rFonts w:ascii="Arial" w:hAnsi="Arial" w:cs="Arial"/>
          <w:lang w:eastAsia="es-ES"/>
        </w:rPr>
        <w:t>.</w:t>
      </w:r>
    </w:p>
    <w:bookmarkEnd w:id="0"/>
    <w:p w14:paraId="1A08B117" w14:textId="77777777" w:rsidR="007F2F14" w:rsidRDefault="007F2F14" w:rsidP="004B4BE6">
      <w:pPr>
        <w:jc w:val="center"/>
        <w:rPr>
          <w:rFonts w:ascii="Arial" w:hAnsi="Arial" w:cs="Arial"/>
          <w:b/>
          <w:sz w:val="24"/>
          <w:szCs w:val="24"/>
          <w:lang w:val="es-ES_tradnl" w:eastAsia="es-ES"/>
        </w:rPr>
      </w:pPr>
    </w:p>
    <w:p w14:paraId="5A7E8F9A" w14:textId="77777777" w:rsidR="007F2F14" w:rsidRDefault="007F2F14" w:rsidP="00C11E9F">
      <w:pPr>
        <w:rPr>
          <w:rFonts w:ascii="Arial" w:hAnsi="Arial" w:cs="Arial"/>
          <w:b/>
          <w:sz w:val="24"/>
          <w:szCs w:val="24"/>
          <w:lang w:val="es-ES_tradnl" w:eastAsia="es-ES"/>
        </w:rPr>
      </w:pPr>
    </w:p>
    <w:p w14:paraId="4457F564" w14:textId="77777777" w:rsidR="005F25EB" w:rsidRPr="00C234A4" w:rsidRDefault="005F25EB" w:rsidP="004B4BE6">
      <w:pPr>
        <w:jc w:val="center"/>
        <w:rPr>
          <w:rFonts w:ascii="Arial" w:hAnsi="Arial" w:cs="Arial"/>
          <w:b/>
          <w:sz w:val="24"/>
          <w:szCs w:val="24"/>
          <w:lang w:val="es-ES_tradnl" w:eastAsia="es-ES"/>
        </w:rPr>
      </w:pPr>
      <w:r w:rsidRPr="00C234A4">
        <w:rPr>
          <w:rFonts w:ascii="Arial" w:hAnsi="Arial" w:cs="Arial"/>
          <w:b/>
          <w:sz w:val="24"/>
          <w:szCs w:val="24"/>
          <w:lang w:val="es-ES_tradnl" w:eastAsia="es-ES"/>
        </w:rPr>
        <w:t>CONSEJO DE ESTADO</w:t>
      </w:r>
    </w:p>
    <w:p w14:paraId="7D6DCD20" w14:textId="77777777" w:rsidR="004B4BE6" w:rsidRPr="00C234A4" w:rsidRDefault="004B4BE6" w:rsidP="004B4BE6">
      <w:pPr>
        <w:jc w:val="center"/>
        <w:rPr>
          <w:rFonts w:ascii="Arial" w:hAnsi="Arial" w:cs="Arial"/>
          <w:b/>
          <w:sz w:val="24"/>
          <w:szCs w:val="24"/>
          <w:lang w:val="es-ES_tradnl" w:eastAsia="es-ES"/>
        </w:rPr>
      </w:pPr>
    </w:p>
    <w:p w14:paraId="78632F9F" w14:textId="77777777" w:rsidR="005F25EB" w:rsidRPr="00C234A4" w:rsidRDefault="005F25EB" w:rsidP="004B4BE6">
      <w:pPr>
        <w:jc w:val="center"/>
        <w:rPr>
          <w:rFonts w:ascii="Arial" w:hAnsi="Arial" w:cs="Arial"/>
          <w:b/>
          <w:sz w:val="24"/>
          <w:szCs w:val="24"/>
          <w:lang w:val="es-ES" w:eastAsia="es-ES"/>
        </w:rPr>
      </w:pPr>
      <w:r w:rsidRPr="00C234A4">
        <w:rPr>
          <w:rFonts w:ascii="Arial" w:hAnsi="Arial" w:cs="Arial"/>
          <w:b/>
          <w:sz w:val="24"/>
          <w:szCs w:val="24"/>
          <w:lang w:val="es-ES" w:eastAsia="es-ES"/>
        </w:rPr>
        <w:t>SALA DE LO CONTENCIOSO ADMINISTRATIVO</w:t>
      </w:r>
    </w:p>
    <w:p w14:paraId="1026CF4A" w14:textId="77777777" w:rsidR="004B4BE6" w:rsidRPr="00C234A4" w:rsidRDefault="004B4BE6" w:rsidP="004B4BE6">
      <w:pPr>
        <w:jc w:val="center"/>
        <w:rPr>
          <w:rFonts w:ascii="Arial" w:hAnsi="Arial" w:cs="Arial"/>
          <w:b/>
          <w:sz w:val="24"/>
          <w:szCs w:val="24"/>
          <w:lang w:val="es-ES" w:eastAsia="es-ES"/>
        </w:rPr>
      </w:pPr>
    </w:p>
    <w:p w14:paraId="3BEB0C58" w14:textId="77777777" w:rsidR="005F25EB" w:rsidRPr="00C234A4" w:rsidRDefault="004B4BE6" w:rsidP="004B4BE6">
      <w:pPr>
        <w:jc w:val="center"/>
        <w:rPr>
          <w:rFonts w:ascii="Arial" w:hAnsi="Arial" w:cs="Arial"/>
          <w:b/>
          <w:sz w:val="24"/>
          <w:szCs w:val="24"/>
          <w:lang w:val="es-ES" w:eastAsia="es-ES"/>
        </w:rPr>
      </w:pPr>
      <w:r w:rsidRPr="00C234A4">
        <w:rPr>
          <w:rFonts w:ascii="Arial" w:hAnsi="Arial" w:cs="Arial"/>
          <w:b/>
          <w:sz w:val="24"/>
          <w:szCs w:val="24"/>
          <w:lang w:val="es-ES" w:eastAsia="es-ES"/>
        </w:rPr>
        <w:lastRenderedPageBreak/>
        <w:t>SECCIO</w:t>
      </w:r>
      <w:r w:rsidR="005F25EB" w:rsidRPr="00C234A4">
        <w:rPr>
          <w:rFonts w:ascii="Arial" w:hAnsi="Arial" w:cs="Arial"/>
          <w:b/>
          <w:sz w:val="24"/>
          <w:szCs w:val="24"/>
          <w:lang w:val="es-ES" w:eastAsia="es-ES"/>
        </w:rPr>
        <w:t>N TERCERA</w:t>
      </w:r>
    </w:p>
    <w:p w14:paraId="43456A3B" w14:textId="77777777" w:rsidR="004B4BE6" w:rsidRPr="00C234A4" w:rsidRDefault="004B4BE6" w:rsidP="004B4BE6">
      <w:pPr>
        <w:jc w:val="center"/>
        <w:rPr>
          <w:rFonts w:ascii="Arial" w:hAnsi="Arial" w:cs="Arial"/>
          <w:b/>
          <w:sz w:val="24"/>
          <w:szCs w:val="24"/>
          <w:lang w:val="es-ES" w:eastAsia="es-ES"/>
        </w:rPr>
      </w:pPr>
    </w:p>
    <w:p w14:paraId="5909203D" w14:textId="77777777" w:rsidR="005F25EB" w:rsidRPr="00C234A4" w:rsidRDefault="004B4BE6" w:rsidP="004B4BE6">
      <w:pPr>
        <w:jc w:val="center"/>
        <w:rPr>
          <w:rFonts w:ascii="Arial" w:hAnsi="Arial" w:cs="Arial"/>
          <w:b/>
          <w:sz w:val="24"/>
          <w:szCs w:val="24"/>
          <w:lang w:val="es-ES" w:eastAsia="es-ES"/>
        </w:rPr>
      </w:pPr>
      <w:r w:rsidRPr="00C234A4">
        <w:rPr>
          <w:rFonts w:ascii="Arial" w:hAnsi="Arial" w:cs="Arial"/>
          <w:b/>
          <w:sz w:val="24"/>
          <w:szCs w:val="24"/>
          <w:lang w:val="es-ES" w:eastAsia="es-ES"/>
        </w:rPr>
        <w:t>SUBSECCIO</w:t>
      </w:r>
      <w:r w:rsidR="005F25EB" w:rsidRPr="00C234A4">
        <w:rPr>
          <w:rFonts w:ascii="Arial" w:hAnsi="Arial" w:cs="Arial"/>
          <w:b/>
          <w:sz w:val="24"/>
          <w:szCs w:val="24"/>
          <w:lang w:val="es-ES" w:eastAsia="es-ES"/>
        </w:rPr>
        <w:t xml:space="preserve">N </w:t>
      </w:r>
      <w:r w:rsidR="005F25EB" w:rsidRPr="00C234A4">
        <w:rPr>
          <w:rFonts w:ascii="Arial" w:hAnsi="Arial" w:cs="Arial"/>
          <w:b/>
          <w:iCs/>
          <w:sz w:val="24"/>
          <w:szCs w:val="24"/>
          <w:lang w:val="es-ES" w:eastAsia="es-ES"/>
        </w:rPr>
        <w:t>B</w:t>
      </w:r>
    </w:p>
    <w:p w14:paraId="4E26B6F3" w14:textId="77777777" w:rsidR="005F25EB" w:rsidRPr="00C234A4" w:rsidRDefault="005F25EB" w:rsidP="004B4BE6">
      <w:pPr>
        <w:jc w:val="center"/>
        <w:rPr>
          <w:rFonts w:ascii="Arial" w:hAnsi="Arial" w:cs="Arial"/>
          <w:b/>
          <w:sz w:val="24"/>
          <w:szCs w:val="24"/>
          <w:lang w:val="es-ES" w:eastAsia="es-ES"/>
        </w:rPr>
      </w:pPr>
    </w:p>
    <w:p w14:paraId="3E456C9B" w14:textId="77777777" w:rsidR="005F25EB" w:rsidRPr="00C234A4" w:rsidRDefault="004B4BE6" w:rsidP="004B4BE6">
      <w:pPr>
        <w:jc w:val="center"/>
        <w:rPr>
          <w:rFonts w:ascii="Arial" w:hAnsi="Arial" w:cs="Arial"/>
          <w:b/>
          <w:sz w:val="24"/>
          <w:szCs w:val="24"/>
          <w:lang w:val="es-ES" w:eastAsia="es-ES"/>
        </w:rPr>
      </w:pPr>
      <w:r w:rsidRPr="00C234A4">
        <w:rPr>
          <w:rFonts w:ascii="Arial" w:hAnsi="Arial" w:cs="Arial"/>
          <w:b/>
          <w:sz w:val="24"/>
          <w:szCs w:val="24"/>
          <w:lang w:val="es-ES" w:eastAsia="es-ES"/>
        </w:rPr>
        <w:t>Consejera ponente: STELLA CONTO DI</w:t>
      </w:r>
      <w:r w:rsidR="005F25EB" w:rsidRPr="00C234A4">
        <w:rPr>
          <w:rFonts w:ascii="Arial" w:hAnsi="Arial" w:cs="Arial"/>
          <w:b/>
          <w:sz w:val="24"/>
          <w:szCs w:val="24"/>
          <w:lang w:val="es-ES" w:eastAsia="es-ES"/>
        </w:rPr>
        <w:t>AZ DEL CASTILLO</w:t>
      </w:r>
    </w:p>
    <w:p w14:paraId="08645878" w14:textId="77777777" w:rsidR="005F25EB" w:rsidRPr="00C234A4" w:rsidRDefault="005F25EB" w:rsidP="004B4BE6">
      <w:pPr>
        <w:jc w:val="center"/>
        <w:rPr>
          <w:rFonts w:ascii="Arial" w:hAnsi="Arial" w:cs="Arial"/>
          <w:sz w:val="24"/>
          <w:szCs w:val="24"/>
          <w:lang w:val="es-ES" w:eastAsia="es-ES"/>
        </w:rPr>
      </w:pPr>
    </w:p>
    <w:p w14:paraId="0CA2A520" w14:textId="77777777" w:rsidR="005F25EB" w:rsidRPr="00C234A4" w:rsidRDefault="004B4BE6" w:rsidP="004B4BE6">
      <w:pPr>
        <w:rPr>
          <w:rFonts w:ascii="Arial" w:hAnsi="Arial" w:cs="Arial"/>
          <w:sz w:val="24"/>
          <w:szCs w:val="24"/>
          <w:lang w:val="es-ES" w:eastAsia="es-ES"/>
        </w:rPr>
      </w:pPr>
      <w:r w:rsidRPr="00C234A4">
        <w:rPr>
          <w:rFonts w:ascii="Arial" w:hAnsi="Arial" w:cs="Arial"/>
          <w:sz w:val="24"/>
          <w:szCs w:val="24"/>
          <w:lang w:val="es-ES" w:eastAsia="es-ES"/>
        </w:rPr>
        <w:t xml:space="preserve">Bogotá, D. C., </w:t>
      </w:r>
      <w:r w:rsidR="005F25EB" w:rsidRPr="00C234A4">
        <w:rPr>
          <w:rFonts w:ascii="Arial" w:hAnsi="Arial" w:cs="Arial"/>
          <w:sz w:val="24"/>
          <w:szCs w:val="24"/>
          <w:lang w:val="es-ES" w:eastAsia="es-ES"/>
        </w:rPr>
        <w:t>dos (2) de mayo de dos mil dieciséis (2016)</w:t>
      </w:r>
    </w:p>
    <w:p w14:paraId="56A57293" w14:textId="77777777" w:rsidR="005F25EB" w:rsidRPr="00C234A4" w:rsidRDefault="005F25EB" w:rsidP="004B4BE6">
      <w:pPr>
        <w:rPr>
          <w:rFonts w:ascii="Arial" w:hAnsi="Arial" w:cs="Arial"/>
          <w:sz w:val="24"/>
          <w:szCs w:val="24"/>
          <w:lang w:val="es-ES" w:eastAsia="es-ES"/>
        </w:rPr>
      </w:pPr>
    </w:p>
    <w:p w14:paraId="242942DA" w14:textId="77777777" w:rsidR="004B4BE6" w:rsidRPr="00C234A4" w:rsidRDefault="004B4BE6" w:rsidP="004B4BE6">
      <w:pPr>
        <w:rPr>
          <w:rFonts w:ascii="Arial" w:hAnsi="Arial" w:cs="Arial"/>
          <w:b/>
          <w:sz w:val="24"/>
          <w:szCs w:val="24"/>
          <w:lang w:val="es-ES" w:eastAsia="es-ES"/>
        </w:rPr>
      </w:pPr>
      <w:r w:rsidRPr="00C234A4">
        <w:rPr>
          <w:rFonts w:ascii="Arial" w:hAnsi="Arial" w:cs="Arial"/>
          <w:b/>
          <w:sz w:val="24"/>
          <w:szCs w:val="24"/>
          <w:lang w:val="es-ES" w:eastAsia="es-ES"/>
        </w:rPr>
        <w:t>Radicación número: 15001-23-31-000-1998-15692-01(34682)</w:t>
      </w:r>
    </w:p>
    <w:p w14:paraId="5DF669AE" w14:textId="77777777" w:rsidR="004B4BE6" w:rsidRPr="00C234A4" w:rsidRDefault="004B4BE6" w:rsidP="004B4BE6">
      <w:pPr>
        <w:rPr>
          <w:rFonts w:ascii="Arial" w:hAnsi="Arial" w:cs="Arial"/>
          <w:b/>
          <w:sz w:val="24"/>
          <w:szCs w:val="24"/>
          <w:lang w:val="es-ES" w:eastAsia="es-ES"/>
        </w:rPr>
      </w:pPr>
    </w:p>
    <w:p w14:paraId="514112CC" w14:textId="77777777" w:rsidR="004B4BE6" w:rsidRPr="00C234A4" w:rsidRDefault="004B4BE6" w:rsidP="004B4BE6">
      <w:pPr>
        <w:rPr>
          <w:rFonts w:ascii="Arial" w:hAnsi="Arial" w:cs="Arial"/>
          <w:b/>
          <w:sz w:val="24"/>
          <w:szCs w:val="24"/>
          <w:lang w:eastAsia="es-ES"/>
        </w:rPr>
      </w:pPr>
      <w:r w:rsidRPr="00C234A4">
        <w:rPr>
          <w:rFonts w:ascii="Arial" w:hAnsi="Arial" w:cs="Arial"/>
          <w:b/>
          <w:sz w:val="24"/>
          <w:szCs w:val="24"/>
          <w:lang w:val="es-ES" w:eastAsia="es-ES"/>
        </w:rPr>
        <w:t xml:space="preserve">Actor: </w:t>
      </w:r>
      <w:r w:rsidRPr="00C234A4">
        <w:rPr>
          <w:rFonts w:ascii="Arial" w:hAnsi="Arial" w:cs="Arial"/>
          <w:b/>
          <w:sz w:val="24"/>
          <w:szCs w:val="24"/>
          <w:lang w:eastAsia="es-ES"/>
        </w:rPr>
        <w:t>JESUS ANTONIO ROA BONILLA</w:t>
      </w:r>
    </w:p>
    <w:p w14:paraId="487B0D1A" w14:textId="77777777" w:rsidR="004B4BE6" w:rsidRPr="00C234A4" w:rsidRDefault="004B4BE6" w:rsidP="004B4BE6">
      <w:pPr>
        <w:rPr>
          <w:rFonts w:ascii="Arial" w:hAnsi="Arial" w:cs="Arial"/>
          <w:b/>
          <w:sz w:val="24"/>
          <w:szCs w:val="24"/>
          <w:lang w:eastAsia="es-ES"/>
        </w:rPr>
      </w:pPr>
    </w:p>
    <w:p w14:paraId="33B274FD" w14:textId="77777777" w:rsidR="004B4BE6" w:rsidRPr="00C234A4" w:rsidRDefault="004B4BE6" w:rsidP="004B4BE6">
      <w:pPr>
        <w:rPr>
          <w:rFonts w:ascii="Arial" w:hAnsi="Arial" w:cs="Arial"/>
          <w:b/>
          <w:sz w:val="24"/>
          <w:szCs w:val="24"/>
          <w:lang w:val="es-ES" w:eastAsia="es-ES"/>
        </w:rPr>
      </w:pPr>
      <w:r w:rsidRPr="00C234A4">
        <w:rPr>
          <w:rFonts w:ascii="Arial" w:hAnsi="Arial" w:cs="Arial"/>
          <w:b/>
          <w:sz w:val="24"/>
          <w:szCs w:val="24"/>
          <w:lang w:eastAsia="es-ES"/>
        </w:rPr>
        <w:t>Demandado: INTERCONEXION ELECTRICA S.A. E.SP</w:t>
      </w:r>
    </w:p>
    <w:p w14:paraId="603EDFE1" w14:textId="77777777" w:rsidR="004B4BE6" w:rsidRPr="00C234A4" w:rsidRDefault="004B4BE6" w:rsidP="004B4BE6">
      <w:pPr>
        <w:rPr>
          <w:rFonts w:ascii="Arial" w:hAnsi="Arial" w:cs="Arial"/>
          <w:sz w:val="24"/>
          <w:szCs w:val="24"/>
          <w:lang w:val="es-ES" w:eastAsia="es-ES"/>
        </w:rPr>
      </w:pPr>
    </w:p>
    <w:p w14:paraId="671FB000" w14:textId="77777777" w:rsidR="005F25EB" w:rsidRPr="00C234A4" w:rsidRDefault="005F25EB" w:rsidP="004B4BE6">
      <w:pPr>
        <w:rPr>
          <w:rFonts w:ascii="Arial" w:hAnsi="Arial" w:cs="Arial"/>
          <w:sz w:val="24"/>
          <w:szCs w:val="24"/>
          <w:lang w:val="es-ES" w:eastAsia="es-ES"/>
        </w:rPr>
      </w:pPr>
    </w:p>
    <w:p w14:paraId="45AFD41B" w14:textId="77777777" w:rsidR="004B4BE6" w:rsidRPr="00C234A4" w:rsidRDefault="004B4BE6" w:rsidP="004B4BE6">
      <w:pPr>
        <w:rPr>
          <w:rFonts w:ascii="Arial" w:hAnsi="Arial" w:cs="Arial"/>
          <w:sz w:val="24"/>
          <w:szCs w:val="24"/>
          <w:lang w:val="es-ES" w:eastAsia="es-ES"/>
        </w:rPr>
      </w:pPr>
    </w:p>
    <w:p w14:paraId="0568DD10" w14:textId="77777777" w:rsidR="004B4BE6" w:rsidRPr="00C234A4" w:rsidRDefault="004B4BE6" w:rsidP="004B4BE6">
      <w:pPr>
        <w:rPr>
          <w:rFonts w:ascii="Arial" w:hAnsi="Arial" w:cs="Arial"/>
          <w:b/>
          <w:sz w:val="24"/>
          <w:szCs w:val="24"/>
          <w:lang w:val="es-ES" w:eastAsia="es-ES"/>
        </w:rPr>
      </w:pPr>
      <w:r w:rsidRPr="00C234A4">
        <w:rPr>
          <w:rFonts w:ascii="Arial" w:hAnsi="Arial" w:cs="Arial"/>
          <w:b/>
          <w:sz w:val="24"/>
          <w:szCs w:val="24"/>
          <w:lang w:val="es-ES" w:eastAsia="es-ES"/>
        </w:rPr>
        <w:t>Referencia: APELACION SENTENCIA - ACCION DE REPARACION DIRECTA</w:t>
      </w:r>
    </w:p>
    <w:p w14:paraId="22F56CB5" w14:textId="77777777" w:rsidR="004B4BE6" w:rsidRPr="00C234A4" w:rsidRDefault="004B4BE6" w:rsidP="004B4BE6">
      <w:pPr>
        <w:rPr>
          <w:rFonts w:ascii="Arial" w:hAnsi="Arial" w:cs="Arial"/>
          <w:sz w:val="24"/>
          <w:szCs w:val="24"/>
          <w:lang w:val="es-ES" w:eastAsia="es-ES"/>
        </w:rPr>
      </w:pPr>
    </w:p>
    <w:p w14:paraId="3C581094" w14:textId="77777777" w:rsidR="004B4BE6" w:rsidRPr="00C234A4" w:rsidRDefault="004B4BE6" w:rsidP="004B4BE6">
      <w:pPr>
        <w:rPr>
          <w:rFonts w:ascii="Arial" w:hAnsi="Arial" w:cs="Arial"/>
          <w:sz w:val="24"/>
          <w:szCs w:val="24"/>
          <w:lang w:val="es-ES" w:eastAsia="es-ES"/>
        </w:rPr>
      </w:pPr>
    </w:p>
    <w:p w14:paraId="1980D9C8" w14:textId="77777777" w:rsidR="004B4BE6" w:rsidRPr="00C234A4" w:rsidRDefault="004B4BE6" w:rsidP="00CF224E">
      <w:pPr>
        <w:rPr>
          <w:rFonts w:ascii="Arial" w:hAnsi="Arial" w:cs="Arial"/>
          <w:sz w:val="24"/>
          <w:szCs w:val="24"/>
          <w:lang w:val="es-ES" w:eastAsia="es-ES"/>
        </w:rPr>
      </w:pPr>
    </w:p>
    <w:p w14:paraId="7F2F833A" w14:textId="77777777" w:rsidR="005F25EB" w:rsidRPr="00C234A4" w:rsidRDefault="005F25EB" w:rsidP="00D658E7">
      <w:pPr>
        <w:spacing w:line="360" w:lineRule="auto"/>
        <w:jc w:val="both"/>
        <w:rPr>
          <w:rFonts w:ascii="Arial" w:hAnsi="Arial" w:cs="Arial"/>
          <w:sz w:val="24"/>
          <w:szCs w:val="24"/>
          <w:lang w:eastAsia="es-ES"/>
        </w:rPr>
      </w:pPr>
      <w:r w:rsidRPr="00C234A4">
        <w:rPr>
          <w:rFonts w:ascii="Arial" w:hAnsi="Arial" w:cs="Arial"/>
          <w:sz w:val="24"/>
          <w:szCs w:val="24"/>
          <w:lang w:eastAsia="es-ES"/>
        </w:rPr>
        <w:t xml:space="preserve">Procede la Sala a resolver el recurso de apelación interpuesto por la parte demandante, contra la sentencia proferida el 12 de julio de 2007, </w:t>
      </w:r>
      <w:r w:rsidRPr="00C234A4">
        <w:rPr>
          <w:rFonts w:ascii="Arial" w:hAnsi="Arial" w:cs="Arial"/>
          <w:sz w:val="24"/>
          <w:szCs w:val="24"/>
        </w:rPr>
        <w:t>por medio de la cual el Tribunal Administrativo de Boyacá declaró probadas las excepciones de caducidad de la acción y falta de legitimación en la causa por activa.</w:t>
      </w:r>
    </w:p>
    <w:p w14:paraId="5CCA4367" w14:textId="77777777" w:rsidR="005F25EB" w:rsidRPr="00C234A4" w:rsidRDefault="005F25EB" w:rsidP="005F25EB">
      <w:pPr>
        <w:spacing w:line="360" w:lineRule="auto"/>
        <w:jc w:val="center"/>
        <w:rPr>
          <w:rFonts w:ascii="Arial" w:hAnsi="Arial" w:cs="Arial"/>
          <w:b/>
          <w:sz w:val="24"/>
          <w:szCs w:val="24"/>
          <w:lang w:eastAsia="es-ES"/>
        </w:rPr>
      </w:pPr>
    </w:p>
    <w:p w14:paraId="56889FA8" w14:textId="77777777" w:rsidR="005F25EB" w:rsidRPr="00C234A4" w:rsidRDefault="005F25EB" w:rsidP="005F25EB">
      <w:pPr>
        <w:numPr>
          <w:ilvl w:val="0"/>
          <w:numId w:val="47"/>
        </w:numPr>
        <w:spacing w:line="360" w:lineRule="auto"/>
        <w:jc w:val="center"/>
        <w:rPr>
          <w:rFonts w:ascii="Arial" w:hAnsi="Arial" w:cs="Arial"/>
          <w:b/>
          <w:sz w:val="24"/>
          <w:szCs w:val="24"/>
          <w:lang w:eastAsia="es-ES"/>
        </w:rPr>
      </w:pPr>
      <w:r w:rsidRPr="00C234A4">
        <w:rPr>
          <w:rFonts w:ascii="Arial" w:hAnsi="Arial" w:cs="Arial"/>
          <w:b/>
          <w:sz w:val="24"/>
          <w:szCs w:val="24"/>
          <w:lang w:eastAsia="es-ES"/>
        </w:rPr>
        <w:t>ANTECEDENTES</w:t>
      </w:r>
    </w:p>
    <w:p w14:paraId="5261D6AF" w14:textId="77777777" w:rsidR="005F25EB" w:rsidRPr="00C234A4" w:rsidRDefault="005F25EB" w:rsidP="005F25EB">
      <w:pPr>
        <w:spacing w:line="360" w:lineRule="auto"/>
        <w:ind w:left="1080"/>
        <w:rPr>
          <w:rFonts w:ascii="Arial" w:hAnsi="Arial" w:cs="Arial"/>
          <w:b/>
          <w:sz w:val="24"/>
          <w:szCs w:val="24"/>
          <w:lang w:eastAsia="es-ES"/>
        </w:rPr>
      </w:pPr>
    </w:p>
    <w:p w14:paraId="0E75CB92" w14:textId="77777777" w:rsidR="005F25EB" w:rsidRPr="00C234A4" w:rsidRDefault="005F25EB" w:rsidP="00D658E7">
      <w:pPr>
        <w:spacing w:line="360" w:lineRule="auto"/>
        <w:jc w:val="both"/>
        <w:rPr>
          <w:rFonts w:ascii="Arial" w:hAnsi="Arial" w:cs="Arial"/>
          <w:b/>
          <w:sz w:val="24"/>
          <w:szCs w:val="24"/>
          <w:lang w:val="es-ES"/>
        </w:rPr>
      </w:pPr>
      <w:r w:rsidRPr="00C234A4">
        <w:rPr>
          <w:rFonts w:ascii="Arial" w:hAnsi="Arial" w:cs="Arial"/>
          <w:b/>
          <w:sz w:val="24"/>
          <w:szCs w:val="24"/>
          <w:lang w:val="es-ES"/>
        </w:rPr>
        <w:t>1. Pretensiones</w:t>
      </w:r>
    </w:p>
    <w:p w14:paraId="580F6B44" w14:textId="77777777" w:rsidR="005F25EB" w:rsidRPr="00C234A4" w:rsidRDefault="005F25EB" w:rsidP="00D658E7">
      <w:pPr>
        <w:spacing w:line="360" w:lineRule="auto"/>
        <w:ind w:left="720"/>
        <w:jc w:val="both"/>
        <w:rPr>
          <w:rFonts w:ascii="Arial" w:hAnsi="Arial" w:cs="Arial"/>
          <w:b/>
          <w:sz w:val="24"/>
          <w:szCs w:val="24"/>
          <w:lang w:val="es-ES"/>
        </w:rPr>
      </w:pPr>
    </w:p>
    <w:p w14:paraId="6292F7A0" w14:textId="77777777" w:rsidR="005F25EB" w:rsidRPr="00C234A4" w:rsidRDefault="00C571F3" w:rsidP="00D658E7">
      <w:pPr>
        <w:spacing w:line="360" w:lineRule="auto"/>
        <w:jc w:val="both"/>
        <w:rPr>
          <w:rFonts w:ascii="Arial" w:hAnsi="Arial" w:cs="Arial"/>
          <w:sz w:val="24"/>
          <w:szCs w:val="24"/>
          <w:lang w:val="es-ES"/>
        </w:rPr>
      </w:pPr>
      <w:r>
        <w:rPr>
          <w:rFonts w:ascii="Arial" w:hAnsi="Arial" w:cs="Arial"/>
          <w:sz w:val="24"/>
          <w:szCs w:val="24"/>
          <w:lang w:val="es-ES"/>
        </w:rPr>
        <w:t>El 3 de mayo</w:t>
      </w:r>
      <w:r w:rsidR="005F25EB" w:rsidRPr="00C234A4">
        <w:rPr>
          <w:rFonts w:ascii="Arial" w:hAnsi="Arial" w:cs="Arial"/>
          <w:sz w:val="24"/>
          <w:szCs w:val="24"/>
          <w:lang w:val="es-ES"/>
        </w:rPr>
        <w:t xml:space="preserve"> de 1994, el señor Jesús Antonio Roa Bonilla formuló demanda contra la empresa Interconexión Eléctrica S.A. E.S.P. con fundamento en las siguientes pretensiones</w:t>
      </w:r>
      <w:r w:rsidR="005F25EB" w:rsidRPr="00C234A4">
        <w:rPr>
          <w:rStyle w:val="Refdenotaalpie"/>
          <w:rFonts w:ascii="Arial" w:hAnsi="Arial" w:cs="Arial"/>
          <w:sz w:val="24"/>
          <w:szCs w:val="24"/>
          <w:lang w:val="es-ES"/>
        </w:rPr>
        <w:footnoteReference w:id="1"/>
      </w:r>
      <w:r w:rsidR="005F25EB" w:rsidRPr="00C234A4">
        <w:rPr>
          <w:rFonts w:ascii="Arial" w:hAnsi="Arial" w:cs="Arial"/>
          <w:sz w:val="24"/>
          <w:szCs w:val="24"/>
          <w:lang w:val="es-ES"/>
        </w:rPr>
        <w:t>:</w:t>
      </w:r>
    </w:p>
    <w:p w14:paraId="3B32B2DB" w14:textId="77777777" w:rsidR="005F25EB" w:rsidRPr="00C234A4" w:rsidRDefault="005F25EB" w:rsidP="00D658E7">
      <w:pPr>
        <w:spacing w:line="360" w:lineRule="auto"/>
        <w:jc w:val="both"/>
        <w:rPr>
          <w:rFonts w:ascii="Arial" w:hAnsi="Arial" w:cs="Arial"/>
          <w:sz w:val="24"/>
          <w:szCs w:val="24"/>
          <w:lang w:val="es-ES"/>
        </w:rPr>
      </w:pPr>
    </w:p>
    <w:p w14:paraId="23044D75"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lang w:val="es-ES"/>
        </w:rPr>
        <w:t>“</w:t>
      </w:r>
      <w:r w:rsidR="0055244B">
        <w:rPr>
          <w:rFonts w:ascii="Arial" w:hAnsi="Arial" w:cs="Arial"/>
          <w:i/>
          <w:sz w:val="24"/>
          <w:szCs w:val="24"/>
        </w:rPr>
        <w:t xml:space="preserve">Primera: Que INTERCONEXIÓN </w:t>
      </w:r>
      <w:r w:rsidRPr="00C234A4">
        <w:rPr>
          <w:rFonts w:ascii="Arial" w:hAnsi="Arial" w:cs="Arial"/>
          <w:i/>
          <w:sz w:val="24"/>
          <w:szCs w:val="24"/>
        </w:rPr>
        <w:t>ELÉCTRICA  S.A. “ISA” con sus actos y omisiones ocasionó  perjuicios de carácter económico al demandante JESÚS ANTONIO ROA BONILLA, de condiciones civiles indicadas,  con motivo de la ejecución de las obras dirigidas a la construcción de la REPRESA  o ELBALSE EL CHIVOR, perjuicios  que se han venido causando desde el comienzo de la construcción hasta la fecha presente  en forma ininterrumpida y en proporciones cada vez más alarmantes por su gravedad.</w:t>
      </w:r>
    </w:p>
    <w:p w14:paraId="771C496F" w14:textId="77777777" w:rsidR="005F25EB" w:rsidRPr="00C234A4" w:rsidRDefault="005F25EB" w:rsidP="003B717E">
      <w:pPr>
        <w:ind w:left="567"/>
        <w:jc w:val="both"/>
        <w:rPr>
          <w:rFonts w:ascii="Arial" w:hAnsi="Arial" w:cs="Arial"/>
          <w:i/>
          <w:sz w:val="24"/>
          <w:szCs w:val="24"/>
        </w:rPr>
      </w:pPr>
    </w:p>
    <w:p w14:paraId="133A0F8D"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lastRenderedPageBreak/>
        <w:t>Segunda: Que se condene, en consecuencia, a la INTERCONEXIÓN  ELÉCTRICA S.A  “ISA” a pagar, como indemnización del daño ocasionado al demandante, JESÚS ANTONIO ROA BONILLA, o a quienes represente legalmente sus derechos, los perjuicios  de orden material y moral, objetivados y subjetivados, actuales y futuros causados, que se establezcan dentro del proceso o que se liquiden  con la justa condena, teniendo en cuenta la respectiva corrección monetaria, desde el momento en que se produjeron y hasta que el pago se verifique  o se produzca  y cuyo valor  considero superior a los TRESCIENTOS MILLONES DE PESOS ($300.000.000.oo).</w:t>
      </w:r>
    </w:p>
    <w:p w14:paraId="3573612D" w14:textId="77777777" w:rsidR="005F25EB" w:rsidRPr="00C234A4" w:rsidRDefault="005F25EB" w:rsidP="003B717E">
      <w:pPr>
        <w:ind w:left="567"/>
        <w:jc w:val="both"/>
        <w:rPr>
          <w:rFonts w:ascii="Arial" w:hAnsi="Arial" w:cs="Arial"/>
          <w:i/>
          <w:sz w:val="24"/>
          <w:szCs w:val="24"/>
        </w:rPr>
      </w:pPr>
    </w:p>
    <w:p w14:paraId="2663C3B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Tercera:  La demandada será condenada, además a realizar las obras necesarias para evitar daños que se puedan causar en el futuro y que fueron planeadas y diseñadas por los ingenieros al proyectar la obra que hoy denominan “Embalse Chivor”, obras necesarias  y proyectadas que aún no se han realizado.</w:t>
      </w:r>
    </w:p>
    <w:p w14:paraId="5C58A23E" w14:textId="77777777" w:rsidR="005F25EB" w:rsidRPr="00C234A4" w:rsidRDefault="005F25EB" w:rsidP="003B717E">
      <w:pPr>
        <w:ind w:left="567"/>
        <w:jc w:val="both"/>
        <w:rPr>
          <w:rFonts w:ascii="Arial" w:hAnsi="Arial" w:cs="Arial"/>
          <w:i/>
          <w:sz w:val="24"/>
          <w:szCs w:val="24"/>
        </w:rPr>
      </w:pPr>
    </w:p>
    <w:p w14:paraId="4F54FF0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Cuarta: La condena respectiva será actualizada de conformidad con lo previsto en el artículo 178 del C.C.A y se reconocerán los intereses legales desde la fecha de ocurrencia de los hechos hasta cuando se le de cabal cumplimiento a la sentencia que le ponga fin al proceso.</w:t>
      </w:r>
    </w:p>
    <w:p w14:paraId="0AC8E64C" w14:textId="77777777" w:rsidR="005F25EB" w:rsidRPr="00C234A4" w:rsidRDefault="005F25EB" w:rsidP="003B717E">
      <w:pPr>
        <w:ind w:left="567"/>
        <w:jc w:val="both"/>
        <w:rPr>
          <w:rFonts w:ascii="Arial" w:hAnsi="Arial" w:cs="Arial"/>
          <w:i/>
          <w:sz w:val="24"/>
          <w:szCs w:val="24"/>
        </w:rPr>
      </w:pPr>
    </w:p>
    <w:p w14:paraId="5837A5E8"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Quinta: Que se condene a INTERCONEXIÓN ELÉCTRICA  S.A. “ISA”  a cumplir con el fallo que se produzca, dentro de los términos de ley.</w:t>
      </w:r>
    </w:p>
    <w:p w14:paraId="69E4AD3D" w14:textId="77777777" w:rsidR="005F25EB" w:rsidRPr="00C234A4" w:rsidRDefault="005F25EB" w:rsidP="003B717E">
      <w:pPr>
        <w:ind w:left="567"/>
        <w:jc w:val="both"/>
        <w:rPr>
          <w:rFonts w:ascii="Arial" w:hAnsi="Arial" w:cs="Arial"/>
          <w:i/>
          <w:sz w:val="24"/>
          <w:szCs w:val="24"/>
        </w:rPr>
      </w:pPr>
    </w:p>
    <w:p w14:paraId="04D6F5F3"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Sexta: Que se condene a INTERCONEXIÓN ELÉCTRICA S.A. “ISA”  a pagar los gastos y costas que ocasione el presente proceso” </w:t>
      </w:r>
      <w:r w:rsidRPr="00C234A4">
        <w:rPr>
          <w:rFonts w:ascii="Arial" w:hAnsi="Arial" w:cs="Arial"/>
          <w:sz w:val="24"/>
          <w:szCs w:val="24"/>
        </w:rPr>
        <w:t>(fls. 37 a 39, c.1).</w:t>
      </w:r>
    </w:p>
    <w:p w14:paraId="45A61743" w14:textId="77777777" w:rsidR="005F25EB" w:rsidRPr="00C234A4" w:rsidRDefault="005F25EB" w:rsidP="003B717E">
      <w:pPr>
        <w:ind w:left="567"/>
        <w:jc w:val="both"/>
        <w:rPr>
          <w:rFonts w:ascii="Arial" w:hAnsi="Arial" w:cs="Arial"/>
          <w:i/>
          <w:sz w:val="24"/>
          <w:szCs w:val="24"/>
          <w:lang w:val="es-ES"/>
        </w:rPr>
      </w:pPr>
    </w:p>
    <w:p w14:paraId="0FD730B9" w14:textId="77777777" w:rsidR="005F25EB" w:rsidRPr="00C234A4" w:rsidRDefault="005F25EB" w:rsidP="003B717E">
      <w:pPr>
        <w:spacing w:line="360" w:lineRule="auto"/>
        <w:jc w:val="both"/>
        <w:rPr>
          <w:rFonts w:ascii="Arial" w:hAnsi="Arial" w:cs="Arial"/>
          <w:sz w:val="24"/>
          <w:szCs w:val="24"/>
          <w:lang w:val="es-ES"/>
        </w:rPr>
      </w:pPr>
    </w:p>
    <w:p w14:paraId="4D74D258" w14:textId="77777777" w:rsidR="005F25EB" w:rsidRPr="00C234A4" w:rsidRDefault="005F25EB" w:rsidP="003B717E">
      <w:pPr>
        <w:tabs>
          <w:tab w:val="left" w:pos="8280"/>
        </w:tabs>
        <w:spacing w:line="360" w:lineRule="auto"/>
        <w:jc w:val="both"/>
        <w:rPr>
          <w:rFonts w:ascii="Arial" w:eastAsia="Arial Unicode MS" w:hAnsi="Arial" w:cs="Arial"/>
          <w:b/>
          <w:bCs/>
          <w:iCs/>
          <w:sz w:val="24"/>
          <w:szCs w:val="24"/>
          <w:lang w:val="es-ES" w:eastAsia="es-ES"/>
        </w:rPr>
      </w:pPr>
      <w:r w:rsidRPr="00C234A4">
        <w:rPr>
          <w:rFonts w:ascii="Arial" w:eastAsia="Arial Unicode MS" w:hAnsi="Arial" w:cs="Arial"/>
          <w:b/>
          <w:sz w:val="24"/>
          <w:szCs w:val="24"/>
        </w:rPr>
        <w:t xml:space="preserve">2. </w:t>
      </w:r>
      <w:r w:rsidRPr="00C234A4">
        <w:rPr>
          <w:rFonts w:ascii="Arial" w:eastAsia="Arial Unicode MS" w:hAnsi="Arial" w:cs="Arial"/>
          <w:b/>
          <w:bCs/>
          <w:iCs/>
          <w:sz w:val="24"/>
          <w:szCs w:val="24"/>
          <w:lang w:val="es-ES" w:eastAsia="es-ES"/>
        </w:rPr>
        <w:t>Fundamentos de hecho</w:t>
      </w:r>
    </w:p>
    <w:p w14:paraId="15B64919" w14:textId="77777777" w:rsidR="005F25EB" w:rsidRPr="00C234A4" w:rsidRDefault="005F25EB" w:rsidP="003B717E">
      <w:pPr>
        <w:tabs>
          <w:tab w:val="left" w:pos="8280"/>
        </w:tabs>
        <w:spacing w:line="360" w:lineRule="auto"/>
        <w:jc w:val="both"/>
        <w:rPr>
          <w:rFonts w:ascii="Arial" w:eastAsia="Arial Unicode MS" w:hAnsi="Arial" w:cs="Arial"/>
          <w:bCs/>
          <w:iCs/>
          <w:sz w:val="24"/>
          <w:szCs w:val="24"/>
          <w:lang w:val="es-ES" w:eastAsia="es-ES"/>
        </w:rPr>
      </w:pPr>
    </w:p>
    <w:p w14:paraId="0D1EF05E" w14:textId="77777777" w:rsidR="005F25EB" w:rsidRPr="00C234A4" w:rsidRDefault="005F25EB" w:rsidP="003B717E">
      <w:pPr>
        <w:tabs>
          <w:tab w:val="left" w:pos="8280"/>
        </w:tabs>
        <w:spacing w:line="360" w:lineRule="auto"/>
        <w:jc w:val="both"/>
        <w:rPr>
          <w:rFonts w:ascii="Arial" w:eastAsia="Arial Unicode MS" w:hAnsi="Arial" w:cs="Arial"/>
          <w:bCs/>
          <w:iCs/>
          <w:sz w:val="24"/>
          <w:szCs w:val="24"/>
          <w:lang w:val="es-ES" w:eastAsia="es-ES"/>
        </w:rPr>
      </w:pPr>
      <w:r w:rsidRPr="00C234A4">
        <w:rPr>
          <w:rFonts w:ascii="Arial" w:eastAsia="Arial Unicode MS" w:hAnsi="Arial" w:cs="Arial"/>
          <w:bCs/>
          <w:iCs/>
          <w:sz w:val="24"/>
          <w:szCs w:val="24"/>
          <w:lang w:val="es-ES" w:eastAsia="es-ES"/>
        </w:rPr>
        <w:t>Sin perjuicio de la falta de claridad de la demanda, la Sala extrae los siguientes fundamentos fácticos:</w:t>
      </w:r>
    </w:p>
    <w:p w14:paraId="76F80709" w14:textId="77777777" w:rsidR="005F25EB" w:rsidRPr="00C234A4" w:rsidRDefault="005F25EB" w:rsidP="003B717E">
      <w:pPr>
        <w:ind w:left="567"/>
        <w:jc w:val="both"/>
        <w:rPr>
          <w:rFonts w:ascii="Arial" w:hAnsi="Arial" w:cs="Arial"/>
          <w:b/>
          <w:i/>
          <w:sz w:val="24"/>
          <w:szCs w:val="24"/>
        </w:rPr>
      </w:pPr>
    </w:p>
    <w:p w14:paraId="2432C9A6" w14:textId="77777777" w:rsidR="005F25EB" w:rsidRPr="00C234A4" w:rsidRDefault="005F25EB" w:rsidP="003B717E">
      <w:pPr>
        <w:spacing w:line="360" w:lineRule="auto"/>
        <w:jc w:val="both"/>
        <w:rPr>
          <w:rFonts w:ascii="Arial" w:hAnsi="Arial" w:cs="Arial"/>
          <w:b/>
          <w:sz w:val="24"/>
          <w:szCs w:val="24"/>
          <w:lang w:val="es-ES"/>
        </w:rPr>
      </w:pPr>
      <w:r w:rsidRPr="00C234A4">
        <w:rPr>
          <w:rFonts w:ascii="Arial" w:hAnsi="Arial" w:cs="Arial"/>
          <w:b/>
          <w:sz w:val="24"/>
          <w:szCs w:val="24"/>
        </w:rPr>
        <w:t xml:space="preserve"> </w:t>
      </w:r>
    </w:p>
    <w:p w14:paraId="4B6EB601"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1. El señor Jesús Antonio Roa Bonilla es propietario de una finca conocida como La Unión, que se encuentra ubicada en la desembocadura  de la quebrada Cuya  al río Batá, en el sitio conocido como Las Juntas, en el municipio de Guateque.</w:t>
      </w:r>
    </w:p>
    <w:p w14:paraId="71490FE3" w14:textId="77777777" w:rsidR="005F25EB" w:rsidRPr="00C234A4" w:rsidRDefault="005F25EB" w:rsidP="003B717E">
      <w:pPr>
        <w:spacing w:line="360" w:lineRule="auto"/>
        <w:jc w:val="both"/>
        <w:rPr>
          <w:rFonts w:ascii="Arial" w:hAnsi="Arial" w:cs="Arial"/>
          <w:sz w:val="24"/>
          <w:szCs w:val="24"/>
          <w:lang w:val="es-ES"/>
        </w:rPr>
      </w:pPr>
    </w:p>
    <w:p w14:paraId="1AF37B44"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2. La empresa Interconexión Eléctrica S.A. E.S.P., en desarrollo de su objeto social, construyó  el embalse de Chivor. Obra para la cual se recomendó la construcción de un muro de contención en el sector de Las Juntas, como también de canales de aguas lluvias con el fin de evitar daños a los terrenos y construcciones por cuenta de deslizamientos de tierra generados por el represamiento de la quebrada La Cuya.</w:t>
      </w:r>
    </w:p>
    <w:p w14:paraId="09CCA6AA" w14:textId="77777777" w:rsidR="005F25EB" w:rsidRPr="00C234A4" w:rsidRDefault="005F25EB" w:rsidP="005F25EB">
      <w:pPr>
        <w:spacing w:line="360" w:lineRule="auto"/>
        <w:rPr>
          <w:rFonts w:ascii="Arial" w:hAnsi="Arial" w:cs="Arial"/>
          <w:sz w:val="24"/>
          <w:szCs w:val="24"/>
          <w:lang w:val="es-ES"/>
        </w:rPr>
      </w:pPr>
    </w:p>
    <w:p w14:paraId="0B227BC3"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La represa se puso en funcionamiento en el año 1976.</w:t>
      </w:r>
    </w:p>
    <w:p w14:paraId="44F29D90" w14:textId="77777777" w:rsidR="005F25EB" w:rsidRPr="00C234A4" w:rsidRDefault="005F25EB" w:rsidP="003B717E">
      <w:pPr>
        <w:spacing w:line="360" w:lineRule="auto"/>
        <w:jc w:val="both"/>
        <w:rPr>
          <w:rFonts w:ascii="Arial" w:hAnsi="Arial" w:cs="Arial"/>
          <w:sz w:val="24"/>
          <w:szCs w:val="24"/>
          <w:lang w:val="es-ES"/>
        </w:rPr>
      </w:pPr>
    </w:p>
    <w:p w14:paraId="2A938038"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lastRenderedPageBreak/>
        <w:t>3.  Las anteriores recomendaciones y otros compromisos que adquirió la empresa con la comunidad para mitigar los efectos de la operación del embalse se incumplieron. En consecuencia, la casa en la que vivía la madre y hermanos del señor Roa Bonilla  se agrietó y terminó en el suelo. Misma suerte que corrió la casa que se construyó en reemplazo y un trapiche.</w:t>
      </w:r>
    </w:p>
    <w:p w14:paraId="77AAB530" w14:textId="77777777" w:rsidR="005F25EB" w:rsidRPr="00C234A4" w:rsidRDefault="005F25EB" w:rsidP="003B717E">
      <w:pPr>
        <w:spacing w:line="360" w:lineRule="auto"/>
        <w:jc w:val="both"/>
        <w:rPr>
          <w:rFonts w:ascii="Arial" w:hAnsi="Arial" w:cs="Arial"/>
          <w:sz w:val="24"/>
          <w:szCs w:val="24"/>
          <w:lang w:val="es-ES"/>
        </w:rPr>
      </w:pPr>
    </w:p>
    <w:p w14:paraId="6AF5F243"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Se advirtió que, esta situación, también, generó un incremento en los niveles del agua de la quebrada y el río  que propició la inutilización de buena parte del predio y zozobra y temor en la familia debido al riesgo de deslizamiento.</w:t>
      </w:r>
    </w:p>
    <w:p w14:paraId="785BF00B" w14:textId="77777777" w:rsidR="005F25EB" w:rsidRPr="00C234A4" w:rsidRDefault="005F25EB" w:rsidP="003B717E">
      <w:pPr>
        <w:spacing w:line="360" w:lineRule="auto"/>
        <w:jc w:val="both"/>
        <w:rPr>
          <w:rFonts w:ascii="Arial" w:hAnsi="Arial" w:cs="Arial"/>
          <w:sz w:val="24"/>
          <w:szCs w:val="24"/>
          <w:lang w:val="es-ES"/>
        </w:rPr>
      </w:pPr>
    </w:p>
    <w:p w14:paraId="7A14D200"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4. Las irregularidades en comento quedaron parcialmente al descubierto en el estudio que contrató el Ministerio de Minas y Energía a solicitud del señor Roa Bonilla. En el que si bien se advirtió la relación de causalidad entre los daños ocasionados al terreno y la obra pública, se hizo constar que el inmueble de remplazo fue construido sin sujeción a las normas de sismo resistencia aplicables para zonas de riesgo intermedio. Conclusión que el actor objetó.</w:t>
      </w:r>
    </w:p>
    <w:p w14:paraId="0BC93B85" w14:textId="77777777" w:rsidR="005F25EB" w:rsidRPr="00C234A4" w:rsidRDefault="005F25EB" w:rsidP="003B717E">
      <w:pPr>
        <w:spacing w:line="360" w:lineRule="auto"/>
        <w:jc w:val="both"/>
        <w:rPr>
          <w:rFonts w:ascii="Arial" w:hAnsi="Arial" w:cs="Arial"/>
          <w:sz w:val="24"/>
          <w:szCs w:val="24"/>
          <w:lang w:val="es-ES"/>
        </w:rPr>
      </w:pPr>
    </w:p>
    <w:p w14:paraId="41FD17FC"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 xml:space="preserve">5. En este contexto, se concluye que la puesta en funcionamiento del embalse de Chivor causó perjuicios de orden material, representados en el deterioro del terreno, la destrucción de los inmuebles destinados a la vivienda y trabajo. Y,  perjuicios morales que terminaron por acelerar la muerte de la señora Elvinia Bonilla viuda de Roa. </w:t>
      </w:r>
    </w:p>
    <w:p w14:paraId="258E0101" w14:textId="77777777" w:rsidR="005F25EB" w:rsidRPr="00C234A4" w:rsidRDefault="005F25EB" w:rsidP="003B717E">
      <w:pPr>
        <w:spacing w:line="360" w:lineRule="auto"/>
        <w:jc w:val="both"/>
        <w:rPr>
          <w:rFonts w:ascii="Arial" w:hAnsi="Arial" w:cs="Arial"/>
          <w:sz w:val="24"/>
          <w:szCs w:val="24"/>
          <w:lang w:val="es-ES"/>
        </w:rPr>
      </w:pPr>
    </w:p>
    <w:p w14:paraId="53C950C3"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Daños que se trataron de arreglar de manera directa sin resultado (fls. 39 a 51, c.1).</w:t>
      </w:r>
    </w:p>
    <w:p w14:paraId="6D2C3B07" w14:textId="77777777" w:rsidR="005F25EB" w:rsidRPr="00C234A4" w:rsidRDefault="005F25EB" w:rsidP="003B717E">
      <w:pPr>
        <w:spacing w:line="360" w:lineRule="auto"/>
        <w:jc w:val="both"/>
        <w:rPr>
          <w:rFonts w:ascii="Arial" w:hAnsi="Arial" w:cs="Arial"/>
          <w:sz w:val="24"/>
          <w:szCs w:val="24"/>
          <w:lang w:val="es-ES"/>
        </w:rPr>
      </w:pPr>
    </w:p>
    <w:p w14:paraId="54E174DA" w14:textId="77777777" w:rsidR="005F25EB" w:rsidRPr="00C234A4" w:rsidRDefault="005F25EB" w:rsidP="003B717E">
      <w:pPr>
        <w:spacing w:line="360" w:lineRule="auto"/>
        <w:jc w:val="both"/>
        <w:rPr>
          <w:rFonts w:ascii="Arial" w:hAnsi="Arial" w:cs="Arial"/>
          <w:b/>
          <w:sz w:val="24"/>
          <w:szCs w:val="24"/>
          <w:lang w:val="es-ES"/>
        </w:rPr>
      </w:pPr>
      <w:r w:rsidRPr="00C234A4">
        <w:rPr>
          <w:rFonts w:ascii="Arial" w:hAnsi="Arial" w:cs="Arial"/>
          <w:b/>
          <w:sz w:val="24"/>
          <w:szCs w:val="24"/>
          <w:lang w:val="es-ES"/>
        </w:rPr>
        <w:t xml:space="preserve">2. Oposición a la demanda </w:t>
      </w:r>
    </w:p>
    <w:p w14:paraId="684CAC08" w14:textId="77777777" w:rsidR="005F25EB" w:rsidRPr="00C234A4" w:rsidRDefault="005F25EB" w:rsidP="003B717E">
      <w:pPr>
        <w:spacing w:line="360" w:lineRule="auto"/>
        <w:jc w:val="both"/>
        <w:rPr>
          <w:rFonts w:ascii="Arial" w:hAnsi="Arial" w:cs="Arial"/>
          <w:sz w:val="24"/>
          <w:szCs w:val="24"/>
          <w:lang w:val="es-ES"/>
        </w:rPr>
      </w:pPr>
    </w:p>
    <w:p w14:paraId="60708AC4"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 xml:space="preserve">La empresa Interconexión Eléctrica S.A.  E.S.P. se opuso a las pretensiones de la demanda, para el efecto propuso las excepciones de </w:t>
      </w:r>
      <w:r w:rsidRPr="00C234A4">
        <w:rPr>
          <w:rFonts w:ascii="Arial" w:hAnsi="Arial" w:cs="Arial"/>
          <w:i/>
          <w:sz w:val="24"/>
          <w:szCs w:val="24"/>
          <w:lang w:val="es-ES"/>
        </w:rPr>
        <w:t>i)</w:t>
      </w:r>
      <w:r w:rsidRPr="00C234A4">
        <w:rPr>
          <w:rFonts w:ascii="Arial" w:hAnsi="Arial" w:cs="Arial"/>
          <w:sz w:val="24"/>
          <w:szCs w:val="24"/>
          <w:lang w:val="es-ES"/>
        </w:rPr>
        <w:t xml:space="preserve"> </w:t>
      </w:r>
      <w:r w:rsidRPr="00C234A4">
        <w:rPr>
          <w:rFonts w:ascii="Arial" w:hAnsi="Arial" w:cs="Arial"/>
          <w:i/>
          <w:sz w:val="24"/>
          <w:szCs w:val="24"/>
          <w:lang w:val="es-ES"/>
        </w:rPr>
        <w:t>inexistencia de la causa del derecho que se pretende</w:t>
      </w:r>
      <w:r w:rsidRPr="00C234A4">
        <w:rPr>
          <w:rFonts w:ascii="Arial" w:hAnsi="Arial" w:cs="Arial"/>
          <w:sz w:val="24"/>
          <w:szCs w:val="24"/>
          <w:lang w:val="es-ES"/>
        </w:rPr>
        <w:t xml:space="preserve">, habida cuenta que los daños que se demandan no se presentaron y, por tanto, no podrán demostrarse; </w:t>
      </w:r>
      <w:r w:rsidRPr="00C234A4">
        <w:rPr>
          <w:rFonts w:ascii="Arial" w:hAnsi="Arial" w:cs="Arial"/>
          <w:i/>
          <w:sz w:val="24"/>
          <w:szCs w:val="24"/>
          <w:lang w:val="es-ES"/>
        </w:rPr>
        <w:t>ii)</w:t>
      </w:r>
      <w:r w:rsidRPr="00C234A4">
        <w:rPr>
          <w:rFonts w:ascii="Arial" w:hAnsi="Arial" w:cs="Arial"/>
          <w:sz w:val="24"/>
          <w:szCs w:val="24"/>
          <w:lang w:val="es-ES"/>
        </w:rPr>
        <w:t xml:space="preserve"> </w:t>
      </w:r>
      <w:r w:rsidRPr="00C234A4">
        <w:rPr>
          <w:rFonts w:ascii="Arial" w:hAnsi="Arial" w:cs="Arial"/>
          <w:i/>
          <w:sz w:val="24"/>
          <w:szCs w:val="24"/>
          <w:lang w:val="es-ES"/>
        </w:rPr>
        <w:t>falta de legitimación en la causa por activa</w:t>
      </w:r>
      <w:r w:rsidRPr="00C234A4">
        <w:rPr>
          <w:rFonts w:ascii="Arial" w:hAnsi="Arial" w:cs="Arial"/>
          <w:sz w:val="24"/>
          <w:szCs w:val="24"/>
          <w:lang w:val="es-ES"/>
        </w:rPr>
        <w:t xml:space="preserve">, toda vez que el señor Jesús Antonio Roa Bonilla no acreditó la calidad que invoca, en contravención de lo dispuesto en el numeral </w:t>
      </w:r>
      <w:r w:rsidRPr="00C234A4">
        <w:rPr>
          <w:rFonts w:ascii="Arial" w:hAnsi="Arial" w:cs="Arial"/>
          <w:color w:val="000000"/>
          <w:sz w:val="24"/>
          <w:szCs w:val="24"/>
          <w:shd w:val="clear" w:color="auto" w:fill="FFFFFF"/>
        </w:rPr>
        <w:t xml:space="preserve"> 5 del artículo 77 del Código de Procedimiento Civil; </w:t>
      </w:r>
      <w:r w:rsidRPr="00C234A4">
        <w:rPr>
          <w:rFonts w:ascii="Arial" w:hAnsi="Arial" w:cs="Arial"/>
          <w:i/>
          <w:color w:val="000000"/>
          <w:sz w:val="24"/>
          <w:szCs w:val="24"/>
          <w:shd w:val="clear" w:color="auto" w:fill="FFFFFF"/>
        </w:rPr>
        <w:t>iii) de caducidad</w:t>
      </w:r>
      <w:r w:rsidRPr="00C234A4">
        <w:rPr>
          <w:rFonts w:ascii="Arial" w:hAnsi="Arial" w:cs="Arial"/>
          <w:color w:val="000000"/>
          <w:sz w:val="24"/>
          <w:szCs w:val="24"/>
          <w:shd w:val="clear" w:color="auto" w:fill="FFFFFF"/>
        </w:rPr>
        <w:t xml:space="preserve">, en tanto entre el momento de ocurrencia de los presuntos daños y la presentación de la demanda pasaron más de dos años; </w:t>
      </w:r>
      <w:r w:rsidRPr="00C234A4">
        <w:rPr>
          <w:rFonts w:ascii="Arial" w:hAnsi="Arial" w:cs="Arial"/>
          <w:i/>
          <w:color w:val="000000"/>
          <w:sz w:val="24"/>
          <w:szCs w:val="24"/>
          <w:shd w:val="clear" w:color="auto" w:fill="FFFFFF"/>
        </w:rPr>
        <w:t>iv)</w:t>
      </w:r>
      <w:r w:rsidRPr="00C234A4">
        <w:rPr>
          <w:rFonts w:ascii="Arial" w:hAnsi="Arial" w:cs="Arial"/>
          <w:color w:val="000000"/>
          <w:sz w:val="24"/>
          <w:szCs w:val="24"/>
          <w:shd w:val="clear" w:color="auto" w:fill="FFFFFF"/>
        </w:rPr>
        <w:t xml:space="preserve"> </w:t>
      </w:r>
      <w:r w:rsidRPr="00C234A4">
        <w:rPr>
          <w:rFonts w:ascii="Arial" w:hAnsi="Arial" w:cs="Arial"/>
          <w:i/>
          <w:color w:val="000000"/>
          <w:sz w:val="24"/>
          <w:szCs w:val="24"/>
          <w:shd w:val="clear" w:color="auto" w:fill="FFFFFF"/>
        </w:rPr>
        <w:t>ineptitud de la demanda</w:t>
      </w:r>
      <w:r w:rsidRPr="00C234A4">
        <w:rPr>
          <w:rFonts w:ascii="Arial" w:hAnsi="Arial" w:cs="Arial"/>
          <w:color w:val="000000"/>
          <w:sz w:val="24"/>
          <w:szCs w:val="24"/>
          <w:shd w:val="clear" w:color="auto" w:fill="FFFFFF"/>
        </w:rPr>
        <w:t xml:space="preserve">, porque en el acápite de hechos se incluyeron conceptos personales y subjetivos que contradicen el principio de </w:t>
      </w:r>
      <w:r w:rsidRPr="00C234A4">
        <w:rPr>
          <w:rFonts w:ascii="Arial" w:hAnsi="Arial" w:cs="Arial"/>
          <w:color w:val="000000"/>
          <w:sz w:val="24"/>
          <w:szCs w:val="24"/>
          <w:shd w:val="clear" w:color="auto" w:fill="FFFFFF"/>
        </w:rPr>
        <w:lastRenderedPageBreak/>
        <w:t xml:space="preserve">precisión y porque no se aportaron los anexos para acreditar la legitimación en la causa y </w:t>
      </w:r>
      <w:r w:rsidRPr="00C234A4">
        <w:rPr>
          <w:rFonts w:ascii="Arial" w:hAnsi="Arial" w:cs="Arial"/>
          <w:i/>
          <w:color w:val="000000"/>
          <w:sz w:val="24"/>
          <w:szCs w:val="24"/>
          <w:shd w:val="clear" w:color="auto" w:fill="FFFFFF"/>
        </w:rPr>
        <w:t>v)</w:t>
      </w:r>
      <w:r w:rsidRPr="00C234A4">
        <w:rPr>
          <w:rFonts w:ascii="Arial" w:hAnsi="Arial" w:cs="Arial"/>
          <w:color w:val="000000"/>
          <w:sz w:val="24"/>
          <w:szCs w:val="24"/>
          <w:shd w:val="clear" w:color="auto" w:fill="FFFFFF"/>
        </w:rPr>
        <w:t xml:space="preserve"> </w:t>
      </w:r>
      <w:r w:rsidRPr="00C234A4">
        <w:rPr>
          <w:rFonts w:ascii="Arial" w:hAnsi="Arial" w:cs="Arial"/>
          <w:i/>
          <w:color w:val="000000"/>
          <w:sz w:val="24"/>
          <w:szCs w:val="24"/>
          <w:shd w:val="clear" w:color="auto" w:fill="FFFFFF"/>
        </w:rPr>
        <w:t>de cosa juzgada</w:t>
      </w:r>
      <w:r w:rsidRPr="00C234A4">
        <w:rPr>
          <w:rFonts w:ascii="Arial" w:hAnsi="Arial" w:cs="Arial"/>
          <w:color w:val="000000"/>
          <w:sz w:val="24"/>
          <w:szCs w:val="24"/>
          <w:shd w:val="clear" w:color="auto" w:fill="FFFFFF"/>
        </w:rPr>
        <w:t>, pues el Tribunal Administrativo de Boyacá decidió en sentencia del 11 de abril de 1991 sobre algunas de la pretensiones que ahora se plantean como los daños al terreno (fls. 242 a 249, c.1).</w:t>
      </w:r>
    </w:p>
    <w:p w14:paraId="58887591" w14:textId="77777777" w:rsidR="005F25EB" w:rsidRPr="00C234A4" w:rsidRDefault="005F25EB" w:rsidP="003B717E">
      <w:pPr>
        <w:spacing w:line="360" w:lineRule="auto"/>
        <w:jc w:val="both"/>
        <w:rPr>
          <w:rFonts w:ascii="Arial" w:hAnsi="Arial" w:cs="Arial"/>
          <w:sz w:val="24"/>
          <w:szCs w:val="24"/>
          <w:lang w:val="es-ES"/>
        </w:rPr>
      </w:pPr>
    </w:p>
    <w:p w14:paraId="061318E4" w14:textId="77777777" w:rsidR="005F25EB" w:rsidRPr="00C234A4" w:rsidRDefault="005F25EB" w:rsidP="003B717E">
      <w:pPr>
        <w:spacing w:line="360" w:lineRule="auto"/>
        <w:jc w:val="both"/>
        <w:rPr>
          <w:rFonts w:ascii="Arial" w:hAnsi="Arial" w:cs="Arial"/>
          <w:b/>
          <w:sz w:val="24"/>
          <w:szCs w:val="24"/>
        </w:rPr>
      </w:pPr>
      <w:r w:rsidRPr="00C234A4">
        <w:rPr>
          <w:rFonts w:ascii="Arial" w:hAnsi="Arial" w:cs="Arial"/>
          <w:b/>
          <w:sz w:val="24"/>
          <w:szCs w:val="24"/>
          <w:lang w:val="es-ES"/>
        </w:rPr>
        <w:t>3.</w:t>
      </w:r>
      <w:r w:rsidRPr="00C234A4">
        <w:rPr>
          <w:rFonts w:ascii="Arial" w:hAnsi="Arial" w:cs="Arial"/>
          <w:sz w:val="24"/>
          <w:szCs w:val="24"/>
          <w:lang w:val="es-ES"/>
        </w:rPr>
        <w:t xml:space="preserve"> </w:t>
      </w:r>
      <w:r w:rsidRPr="00C234A4">
        <w:rPr>
          <w:rFonts w:ascii="Arial" w:hAnsi="Arial" w:cs="Arial"/>
          <w:b/>
          <w:sz w:val="24"/>
          <w:szCs w:val="24"/>
        </w:rPr>
        <w:t>Denuncia del Pleito</w:t>
      </w:r>
    </w:p>
    <w:p w14:paraId="25AE94CF" w14:textId="77777777" w:rsidR="005F25EB" w:rsidRPr="00C234A4" w:rsidRDefault="005F25EB" w:rsidP="003B717E">
      <w:pPr>
        <w:jc w:val="both"/>
        <w:rPr>
          <w:rFonts w:ascii="Arial" w:hAnsi="Arial" w:cs="Arial"/>
          <w:b/>
          <w:sz w:val="24"/>
          <w:szCs w:val="24"/>
        </w:rPr>
      </w:pPr>
    </w:p>
    <w:p w14:paraId="358F8298"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La empresa Interconexión Eléctrica S.A. E.S.P. formuló denuncia del pleito, ya que a partir de su escisión se dio origen a la empresa Isagen S.A. E.S.P.  con quien se suscribió un acuerdo interadministrativo que dejó bajo responsabilidad de la última la administración del embalse e incluyó el manejo de los proceso judiciales (fl. 250, c.1).</w:t>
      </w:r>
    </w:p>
    <w:p w14:paraId="5D91E04D" w14:textId="77777777" w:rsidR="005F25EB" w:rsidRPr="00C234A4" w:rsidRDefault="005F25EB" w:rsidP="003B717E">
      <w:pPr>
        <w:spacing w:line="360" w:lineRule="auto"/>
        <w:jc w:val="both"/>
        <w:rPr>
          <w:rFonts w:ascii="Arial" w:hAnsi="Arial" w:cs="Arial"/>
          <w:b/>
          <w:sz w:val="24"/>
          <w:szCs w:val="24"/>
        </w:rPr>
      </w:pPr>
    </w:p>
    <w:p w14:paraId="4056D712"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 xml:space="preserve">El tribunal aceptó la denuncia del pleito (fls. 1 y 2, c.3). </w:t>
      </w:r>
    </w:p>
    <w:p w14:paraId="5E8592FF" w14:textId="77777777" w:rsidR="005F25EB" w:rsidRPr="00C234A4" w:rsidRDefault="005F25EB" w:rsidP="003B717E">
      <w:pPr>
        <w:spacing w:line="360" w:lineRule="auto"/>
        <w:jc w:val="both"/>
        <w:rPr>
          <w:rFonts w:ascii="Arial" w:hAnsi="Arial" w:cs="Arial"/>
          <w:sz w:val="24"/>
          <w:szCs w:val="24"/>
        </w:rPr>
      </w:pPr>
    </w:p>
    <w:p w14:paraId="45652916"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 xml:space="preserve">Por su parte, Isagen  S.A. E.S.P. contesto la demanda y la denuncia, en el sentido de dejar sentado que </w:t>
      </w:r>
      <w:r w:rsidRPr="00C234A4">
        <w:rPr>
          <w:rFonts w:ascii="Arial" w:hAnsi="Arial" w:cs="Arial"/>
          <w:i/>
          <w:sz w:val="24"/>
          <w:szCs w:val="24"/>
        </w:rPr>
        <w:t>i)</w:t>
      </w:r>
      <w:r w:rsidRPr="00C234A4">
        <w:rPr>
          <w:rFonts w:ascii="Arial" w:hAnsi="Arial" w:cs="Arial"/>
          <w:sz w:val="24"/>
          <w:szCs w:val="24"/>
        </w:rPr>
        <w:t xml:space="preserve"> es ajena a los hechos, dado que se constituyó el 4 de abril de 1995, tiempo después de los hechos que motivan el proceso; </w:t>
      </w:r>
      <w:r w:rsidRPr="00C234A4">
        <w:rPr>
          <w:rFonts w:ascii="Arial" w:hAnsi="Arial" w:cs="Arial"/>
          <w:i/>
          <w:sz w:val="24"/>
          <w:szCs w:val="24"/>
        </w:rPr>
        <w:t xml:space="preserve">ii) </w:t>
      </w:r>
      <w:r w:rsidRPr="00C234A4">
        <w:rPr>
          <w:rFonts w:ascii="Arial" w:hAnsi="Arial" w:cs="Arial"/>
          <w:sz w:val="24"/>
          <w:szCs w:val="24"/>
        </w:rPr>
        <w:t xml:space="preserve">en virtud del acuerdo interadministrativo, ISA S.A. E.S.P. debía informar sobre la existencia de los procesos judiciales, una vez se notificara la demanda y como el compromiso no se cumplió, la omisión exonera de responsabilidad a Isagen S.A. E.S.P; </w:t>
      </w:r>
      <w:r w:rsidRPr="00C234A4">
        <w:rPr>
          <w:rFonts w:ascii="Arial" w:hAnsi="Arial" w:cs="Arial"/>
          <w:i/>
          <w:sz w:val="24"/>
          <w:szCs w:val="24"/>
        </w:rPr>
        <w:t>iii)</w:t>
      </w:r>
      <w:r w:rsidRPr="00C234A4">
        <w:rPr>
          <w:rFonts w:ascii="Arial" w:hAnsi="Arial" w:cs="Arial"/>
          <w:sz w:val="24"/>
          <w:szCs w:val="24"/>
        </w:rPr>
        <w:t xml:space="preserve"> los hechos que fundamentan la demanda se atribuyen a funcionarios de ISA S.A. E.S.P.  por lo cual no se le puede imputar una responsabilidad ajena y </w:t>
      </w:r>
      <w:r w:rsidRPr="00C234A4">
        <w:rPr>
          <w:rFonts w:ascii="Arial" w:hAnsi="Arial" w:cs="Arial"/>
          <w:i/>
          <w:sz w:val="24"/>
          <w:szCs w:val="24"/>
        </w:rPr>
        <w:t>iv)</w:t>
      </w:r>
      <w:r w:rsidRPr="00C234A4">
        <w:rPr>
          <w:rFonts w:ascii="Arial" w:hAnsi="Arial" w:cs="Arial"/>
          <w:sz w:val="24"/>
          <w:szCs w:val="24"/>
        </w:rPr>
        <w:t xml:space="preserve"> no existe relación sustancial entre el denunciante y la denunciada, por tanto no se cumplen los presupuestos establecidos en el artículo 54 del Código de Procedimiento Civil (fls. 53 y 54, c. 3).</w:t>
      </w:r>
    </w:p>
    <w:p w14:paraId="54E612C6" w14:textId="77777777" w:rsidR="005F25EB" w:rsidRPr="00C234A4" w:rsidRDefault="005F25EB" w:rsidP="003B717E">
      <w:pPr>
        <w:jc w:val="both"/>
        <w:rPr>
          <w:rFonts w:ascii="Arial" w:hAnsi="Arial" w:cs="Arial"/>
          <w:sz w:val="24"/>
          <w:szCs w:val="24"/>
        </w:rPr>
      </w:pPr>
    </w:p>
    <w:p w14:paraId="196B1158" w14:textId="77777777" w:rsidR="005F25EB" w:rsidRPr="00C234A4" w:rsidRDefault="005F25EB" w:rsidP="003B717E">
      <w:pPr>
        <w:jc w:val="both"/>
        <w:rPr>
          <w:rFonts w:ascii="Arial" w:hAnsi="Arial" w:cs="Arial"/>
          <w:sz w:val="24"/>
          <w:szCs w:val="24"/>
        </w:rPr>
      </w:pPr>
    </w:p>
    <w:p w14:paraId="3B852786" w14:textId="77777777" w:rsidR="005F25EB" w:rsidRPr="00C234A4" w:rsidRDefault="005F25EB" w:rsidP="003B717E">
      <w:pPr>
        <w:spacing w:line="360" w:lineRule="auto"/>
        <w:jc w:val="both"/>
        <w:rPr>
          <w:rFonts w:ascii="Arial" w:hAnsi="Arial" w:cs="Arial"/>
          <w:b/>
          <w:bCs/>
          <w:sz w:val="24"/>
          <w:szCs w:val="24"/>
        </w:rPr>
      </w:pPr>
      <w:r w:rsidRPr="00C234A4">
        <w:rPr>
          <w:rFonts w:ascii="Arial" w:hAnsi="Arial" w:cs="Arial"/>
          <w:b/>
          <w:bCs/>
          <w:sz w:val="24"/>
          <w:szCs w:val="24"/>
        </w:rPr>
        <w:t>4. Alegatos</w:t>
      </w:r>
    </w:p>
    <w:p w14:paraId="7E4A0F40" w14:textId="77777777" w:rsidR="005F25EB" w:rsidRPr="00C234A4" w:rsidRDefault="005F25EB" w:rsidP="003B717E">
      <w:pPr>
        <w:spacing w:line="360" w:lineRule="auto"/>
        <w:jc w:val="both"/>
        <w:rPr>
          <w:rFonts w:ascii="Arial" w:hAnsi="Arial" w:cs="Arial"/>
          <w:b/>
          <w:bCs/>
          <w:sz w:val="24"/>
          <w:szCs w:val="24"/>
        </w:rPr>
      </w:pPr>
    </w:p>
    <w:p w14:paraId="7A3806B4"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4.1 En este estadio procesal, Interconexión Eléctrica S.A. E.S.P. insiste en la caducidad, toda vez que el demandante en el libelo y en la declaración rendida puso de presente que entre la ocurrencia de los hechos y la presentación de la demanda transcurrieron más de dos años.  Esto, en tanto,  confesó que la destrucción de la primera vivienda y del trapiche ocurrió una vez se puso en funcionamiento el embalse, entre los años 1977 y 1978 y la segunda vivienda se agrietó en el año 1988, de donde la demanda presentada el 24 de marzo de 1994 es extemporánea.</w:t>
      </w:r>
    </w:p>
    <w:p w14:paraId="52661C5A" w14:textId="77777777" w:rsidR="005F25EB" w:rsidRPr="00C234A4" w:rsidRDefault="005F25EB" w:rsidP="003B717E">
      <w:pPr>
        <w:spacing w:line="360" w:lineRule="auto"/>
        <w:jc w:val="both"/>
        <w:rPr>
          <w:rFonts w:ascii="Arial" w:hAnsi="Arial" w:cs="Arial"/>
          <w:bCs/>
          <w:sz w:val="24"/>
          <w:szCs w:val="24"/>
        </w:rPr>
      </w:pPr>
    </w:p>
    <w:p w14:paraId="325A975E"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lastRenderedPageBreak/>
        <w:t xml:space="preserve">Sin perjuicio de lo anterior, señaló que en el </w:t>
      </w:r>
      <w:r w:rsidRPr="00C234A4">
        <w:rPr>
          <w:rFonts w:ascii="Arial" w:hAnsi="Arial" w:cs="Arial"/>
          <w:bCs/>
          <w:i/>
          <w:sz w:val="24"/>
          <w:szCs w:val="24"/>
        </w:rPr>
        <w:t>sub lite</w:t>
      </w:r>
      <w:r w:rsidRPr="00C234A4">
        <w:rPr>
          <w:rFonts w:ascii="Arial" w:hAnsi="Arial" w:cs="Arial"/>
          <w:bCs/>
          <w:sz w:val="24"/>
          <w:szCs w:val="24"/>
        </w:rPr>
        <w:t>, no habría lugar a proferir sentencia condenatoria, toda vez que la prueba técnica devela que los daños que se demandan no tienen relación con la construcción y puesta en funcionamiento de la represa de Chivor, si se tiene en cuenta que el predio objeto del proceso no solo tiene una especial ubicación geográfica y composición, sino que se encuentra en una zona de alta incidencia sísmica, agravada por la presencia de lluvias  frecuentes y las crecientes naturales de la quebrada La Cuya que incide en su estabilidad.</w:t>
      </w:r>
    </w:p>
    <w:p w14:paraId="586DAF7D" w14:textId="77777777" w:rsidR="005F25EB" w:rsidRPr="00C234A4" w:rsidRDefault="005F25EB" w:rsidP="003B717E">
      <w:pPr>
        <w:spacing w:line="360" w:lineRule="auto"/>
        <w:jc w:val="both"/>
        <w:rPr>
          <w:rFonts w:ascii="Arial" w:hAnsi="Arial" w:cs="Arial"/>
          <w:bCs/>
          <w:sz w:val="24"/>
          <w:szCs w:val="24"/>
        </w:rPr>
      </w:pPr>
    </w:p>
    <w:p w14:paraId="02F22D0C"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Llama la atención de que se pretende atribuir responsabilidad al Estado por la edificación de un embalse que se construyó después del daño y que no colinda con el predio.  Es decir, una obra que en lugar de afectar el predio contribuye a la regulación de las aguas naturales, entre otras de la quebrada La Cuya (fls. 549 a 552, c.1).</w:t>
      </w:r>
    </w:p>
    <w:p w14:paraId="1FB6E8A6" w14:textId="77777777" w:rsidR="005F25EB" w:rsidRPr="00C234A4" w:rsidRDefault="005F25EB" w:rsidP="003B717E">
      <w:pPr>
        <w:spacing w:line="360" w:lineRule="auto"/>
        <w:jc w:val="both"/>
        <w:rPr>
          <w:rFonts w:ascii="Arial" w:hAnsi="Arial" w:cs="Arial"/>
          <w:bCs/>
          <w:sz w:val="24"/>
          <w:szCs w:val="24"/>
        </w:rPr>
      </w:pPr>
    </w:p>
    <w:p w14:paraId="4707E021"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4.2 Isagen S.A. reiteró los planteamientos que formuló al contestar la demanda y la denuncia del pleito (fls. 563 a 566, c.1).</w:t>
      </w:r>
    </w:p>
    <w:p w14:paraId="142E28D5" w14:textId="77777777" w:rsidR="005F25EB" w:rsidRPr="00C234A4" w:rsidRDefault="005F25EB" w:rsidP="003B717E">
      <w:pPr>
        <w:spacing w:line="360" w:lineRule="auto"/>
        <w:jc w:val="both"/>
        <w:rPr>
          <w:rFonts w:ascii="Arial" w:hAnsi="Arial" w:cs="Arial"/>
          <w:bCs/>
          <w:sz w:val="24"/>
          <w:szCs w:val="24"/>
        </w:rPr>
      </w:pPr>
    </w:p>
    <w:p w14:paraId="49E13ADC"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4.3 La parte actora, además de reiterar lo sostenido en la demanda, se refirió a la prueba técnica. Advirtió  la necesidad de hacer una análisis riguroso, con sujeción al concepto técnico que se aportó y que en su momento, realizó el Ingeominas para determinar las casusas de los daños alegados (fls. 533 a 562, c. 1).</w:t>
      </w:r>
    </w:p>
    <w:p w14:paraId="609BEEB3" w14:textId="77777777" w:rsidR="005F25EB" w:rsidRPr="00C234A4" w:rsidRDefault="005F25EB" w:rsidP="003B717E">
      <w:pPr>
        <w:spacing w:line="360" w:lineRule="auto"/>
        <w:jc w:val="both"/>
        <w:rPr>
          <w:rFonts w:ascii="Arial" w:hAnsi="Arial" w:cs="Arial"/>
          <w:sz w:val="24"/>
          <w:szCs w:val="24"/>
        </w:rPr>
      </w:pPr>
    </w:p>
    <w:p w14:paraId="59212EA1" w14:textId="77777777" w:rsidR="005F25EB" w:rsidRPr="00C234A4" w:rsidRDefault="005F25EB" w:rsidP="003B717E">
      <w:pPr>
        <w:spacing w:line="360" w:lineRule="auto"/>
        <w:jc w:val="both"/>
        <w:rPr>
          <w:rFonts w:ascii="Arial" w:hAnsi="Arial" w:cs="Arial"/>
          <w:b/>
          <w:bCs/>
          <w:sz w:val="24"/>
          <w:szCs w:val="24"/>
        </w:rPr>
      </w:pPr>
      <w:r w:rsidRPr="00C234A4">
        <w:rPr>
          <w:rFonts w:ascii="Arial" w:hAnsi="Arial" w:cs="Arial"/>
          <w:b/>
          <w:bCs/>
          <w:sz w:val="24"/>
          <w:szCs w:val="24"/>
        </w:rPr>
        <w:t>5. Sentencia de primera instancia</w:t>
      </w:r>
    </w:p>
    <w:p w14:paraId="6906BC04" w14:textId="77777777" w:rsidR="005F25EB" w:rsidRPr="00C234A4" w:rsidRDefault="005F25EB" w:rsidP="003B717E">
      <w:pPr>
        <w:spacing w:line="360" w:lineRule="auto"/>
        <w:jc w:val="both"/>
        <w:rPr>
          <w:rFonts w:ascii="Arial" w:hAnsi="Arial" w:cs="Arial"/>
          <w:sz w:val="24"/>
          <w:szCs w:val="24"/>
        </w:rPr>
      </w:pPr>
    </w:p>
    <w:p w14:paraId="4267C403"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El 12 de julio de 2007, el Tribunal Administrativo de Boyacá declaró probada la excepción de caducidad de la acción de reparación directa y de falta legitimación en la causa por activa del señor Roa Bonilla para reclamar los perjuicios derivados de la muerte de la señora Elvinia Bonilla viuda de Roa su madre.  Concluyó:</w:t>
      </w:r>
    </w:p>
    <w:p w14:paraId="21D789C6" w14:textId="77777777" w:rsidR="005F25EB" w:rsidRPr="00C234A4" w:rsidRDefault="005F25EB" w:rsidP="003B717E">
      <w:pPr>
        <w:spacing w:line="360" w:lineRule="auto"/>
        <w:jc w:val="both"/>
        <w:rPr>
          <w:rFonts w:ascii="Arial" w:hAnsi="Arial" w:cs="Arial"/>
          <w:sz w:val="24"/>
          <w:szCs w:val="24"/>
        </w:rPr>
      </w:pPr>
    </w:p>
    <w:p w14:paraId="64CD2CDF"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“Expresa ISA S.A. E.S.P. que han transcurrido más de dos años entre la fecha de presentación de la demanda con respecto al acaecimiento de los hechos generadores de los daños causados al actor.</w:t>
      </w:r>
    </w:p>
    <w:p w14:paraId="2E3F4CD7" w14:textId="77777777" w:rsidR="005F25EB" w:rsidRPr="00C234A4" w:rsidRDefault="005F25EB" w:rsidP="003B717E">
      <w:pPr>
        <w:ind w:left="567"/>
        <w:jc w:val="both"/>
        <w:rPr>
          <w:rFonts w:ascii="Arial" w:hAnsi="Arial" w:cs="Arial"/>
          <w:i/>
          <w:sz w:val="24"/>
          <w:szCs w:val="24"/>
        </w:rPr>
      </w:pPr>
    </w:p>
    <w:p w14:paraId="4D73A82D"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Lo primero que precisará la Sala es que la demanda que ahora ocupa su atención fue presentada el 3 de mayo de 1994 ante el Juzgado Civil del Circuito de Guateque (fl. 56) y luego de surtirse diversos pronunciamiento tanto de la justicia ordinaria como de la contencioso administrativa, finalmente,  en auto de junio 11 de 1997 (fl. 123) y en cumplimiento de la decisión tomada por el Consejo Superior de la Judicatura al dirimir el conflicto de competencias planteado, ella fue admitida.</w:t>
      </w:r>
    </w:p>
    <w:p w14:paraId="6907988B" w14:textId="77777777" w:rsidR="005F25EB" w:rsidRPr="00C234A4" w:rsidRDefault="005F25EB" w:rsidP="003B717E">
      <w:pPr>
        <w:ind w:left="567"/>
        <w:jc w:val="both"/>
        <w:rPr>
          <w:rFonts w:ascii="Arial" w:hAnsi="Arial" w:cs="Arial"/>
          <w:i/>
          <w:sz w:val="24"/>
          <w:szCs w:val="24"/>
        </w:rPr>
      </w:pPr>
    </w:p>
    <w:p w14:paraId="6373F04C"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lastRenderedPageBreak/>
        <w:t>En las pretensiones de la demanda se precisó  que ISA S.A.  debía indemnizar los perjuicios “…con motivo de la ejecución de las obras dirigidas a la construcción de la REPRESA O EMBALSE DE CHIVOR, perjuicios que ha venido ocasionando desde el comienzo de la construcción hasta la fecha presente en forma ininterrumpida y en proporciones cada vez más alarmantes por su gravedad” (fl.2).</w:t>
      </w:r>
    </w:p>
    <w:p w14:paraId="71D691B6" w14:textId="77777777" w:rsidR="005F25EB" w:rsidRPr="00C234A4" w:rsidRDefault="005F25EB" w:rsidP="003B717E">
      <w:pPr>
        <w:ind w:left="567"/>
        <w:jc w:val="both"/>
        <w:rPr>
          <w:rFonts w:ascii="Arial" w:hAnsi="Arial" w:cs="Arial"/>
          <w:i/>
          <w:sz w:val="24"/>
          <w:szCs w:val="24"/>
        </w:rPr>
      </w:pPr>
    </w:p>
    <w:p w14:paraId="4FA0E7D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Luego, en los hechos de la demanda y para los efectos que interesan a fin de resolver la excepción de caducidad, se encuentra lo siguiente:</w:t>
      </w:r>
    </w:p>
    <w:p w14:paraId="6AEB9665" w14:textId="77777777" w:rsidR="005F25EB" w:rsidRPr="00C234A4" w:rsidRDefault="005F25EB" w:rsidP="003B717E">
      <w:pPr>
        <w:ind w:left="567"/>
        <w:jc w:val="both"/>
        <w:rPr>
          <w:rFonts w:ascii="Arial" w:hAnsi="Arial" w:cs="Arial"/>
          <w:i/>
          <w:sz w:val="24"/>
          <w:szCs w:val="24"/>
        </w:rPr>
      </w:pPr>
    </w:p>
    <w:p w14:paraId="6AF598B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w:t>
      </w:r>
    </w:p>
    <w:p w14:paraId="6AF0F11B" w14:textId="77777777" w:rsidR="005F25EB" w:rsidRPr="00C234A4" w:rsidRDefault="005F25EB" w:rsidP="003B717E">
      <w:pPr>
        <w:ind w:left="567"/>
        <w:jc w:val="both"/>
        <w:rPr>
          <w:rFonts w:ascii="Arial" w:hAnsi="Arial" w:cs="Arial"/>
          <w:i/>
          <w:sz w:val="24"/>
          <w:szCs w:val="24"/>
        </w:rPr>
      </w:pPr>
    </w:p>
    <w:p w14:paraId="385E9B6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Así pues, aunque las pretensiones de la demanda no son lo suficientemente concretas en cuanto a los daños que dan lugar a ellas, de la lectura integral del libelo, tal como fueron señalados, se infiere que ellos se contraen a los hechos relacionados con la enfermedad de la madre de la actora y los daños causados a las viviendas y, en general, a los bienes ubicados en la finca La Unión. Veamos lo que al respecto se infiere del material probatorio.</w:t>
      </w:r>
    </w:p>
    <w:p w14:paraId="207CD5B3" w14:textId="77777777" w:rsidR="005F25EB" w:rsidRPr="00C234A4" w:rsidRDefault="005F25EB" w:rsidP="003B717E">
      <w:pPr>
        <w:ind w:left="567"/>
        <w:jc w:val="both"/>
        <w:rPr>
          <w:rFonts w:ascii="Arial" w:hAnsi="Arial" w:cs="Arial"/>
          <w:i/>
          <w:sz w:val="24"/>
          <w:szCs w:val="24"/>
        </w:rPr>
      </w:pPr>
    </w:p>
    <w:p w14:paraId="701F039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En primer lugar, en lo que tiene que ver con la viviendas, se encuentra que la primera fue construida, como lo dice la actora aproximadamente entre los años de 1930 – 1935, según el interrogatorio absuelto el 29 de abril de 1999 al expresar “…la primera vivienda y única que tenían mis padres data por ahí del año 1930 o 1935 y que comenzó a agrietarse al poco tiempo de estar en funcionamiento el embalse el Chivor…”: (fl. 452) conforme a los hechos de la demanda, como quedó señalado, el embalse empezó a funcionar en 1976; y la segunda vivienda  fue construida  entre el año de 1985 y 1986 según el mismo interrogatorio en el que expresó “…me vi obligado a construir una nueva vivienda dentro de mi propiedad,  por ahí como en el año, ochenta y cinco no recuerdo la fecha…” situación ratificada en el informe rendido por los peritos  el 11 de septiembre de 2000 quienes manifestaron: “….la casa de habitación del demandante puede tener unos trece años de construida…) y con el informe de INGEOMINAS que manifiesta que “…se trata de una casa construida hace 7 años (1985), según indicaciones del propietario…)” (fl. 261).</w:t>
      </w:r>
    </w:p>
    <w:p w14:paraId="70DA0109" w14:textId="77777777" w:rsidR="005F25EB" w:rsidRPr="00C234A4" w:rsidRDefault="005F25EB" w:rsidP="003B717E">
      <w:pPr>
        <w:ind w:left="567"/>
        <w:jc w:val="both"/>
        <w:rPr>
          <w:rFonts w:ascii="Arial" w:hAnsi="Arial" w:cs="Arial"/>
          <w:i/>
          <w:sz w:val="24"/>
          <w:szCs w:val="24"/>
        </w:rPr>
      </w:pPr>
    </w:p>
    <w:p w14:paraId="7666AB3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En cuanto a los daños ocasionados a cada una de las viviendas se tiene que, respecto de la primera los sufrió, según el actor, en el año 1977, así lo manifestó en el interrogatorio absuelto el 31 de marzo de 2004 “…en el año setenta y siete empezó la primera vivienda a agrietarse, la primera vivienda antigua…” (fl. 461); en relación con la segunda vivienda, según informó el demandante en el interrogatorio antes referido aparecieron así “…la segunda casa al poco tiempo de construida empezó a agrietarse y vemos hoy las consecuencias en que se halla de derrumbarse totalmente, esa vivienda por ahí en el ochenta y ocho como consecuencia de la construcción de la primera vivienda”.</w:t>
      </w:r>
    </w:p>
    <w:p w14:paraId="5BC3E51A" w14:textId="77777777" w:rsidR="005F25EB" w:rsidRPr="00C234A4" w:rsidRDefault="005F25EB" w:rsidP="003B717E">
      <w:pPr>
        <w:ind w:left="567"/>
        <w:jc w:val="both"/>
        <w:rPr>
          <w:rFonts w:ascii="Arial" w:hAnsi="Arial" w:cs="Arial"/>
          <w:i/>
          <w:sz w:val="24"/>
          <w:szCs w:val="24"/>
        </w:rPr>
      </w:pPr>
    </w:p>
    <w:p w14:paraId="0538FB3A"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De lo anterior se deduce que los daños ocasionados a las viviendas referidas fueron de pleno conocimiento del actor en la década de los setenta y ochenta,  en especial la segunda vivienda que según lo descrito comenzó a sufrir los daños poco tiempo después de construidas, específicamente en el año 1988</w:t>
      </w:r>
      <w:r w:rsidRPr="00C234A4">
        <w:rPr>
          <w:rFonts w:ascii="Arial" w:hAnsi="Arial" w:cs="Arial"/>
          <w:i/>
          <w:color w:val="FF0000"/>
          <w:sz w:val="24"/>
          <w:szCs w:val="24"/>
        </w:rPr>
        <w:t>.</w:t>
      </w:r>
      <w:r w:rsidRPr="00C234A4">
        <w:rPr>
          <w:rFonts w:ascii="Arial" w:hAnsi="Arial" w:cs="Arial"/>
          <w:i/>
          <w:sz w:val="24"/>
          <w:szCs w:val="24"/>
        </w:rPr>
        <w:t xml:space="preserve">  Aunado a lo anterior, de acuerdo  al material probatorio  en memorandos originados por personal que laboraba para la demandada en fechas 19 de febrero, 26 de mayo de 1987 (fls. 57 y 58 del cuaderno 3) se infiere con certeza de que a esa fecha ya existían los daños alegados al embalse pueden ser de otro tipo (defectos de estructura o en los materiales utilizados)…” “la casa </w:t>
      </w:r>
      <w:r w:rsidRPr="00C234A4">
        <w:rPr>
          <w:rFonts w:ascii="Arial" w:hAnsi="Arial" w:cs="Arial"/>
          <w:i/>
          <w:sz w:val="24"/>
          <w:szCs w:val="24"/>
        </w:rPr>
        <w:lastRenderedPageBreak/>
        <w:t>presenta grietas verticales y en forma transversal todo debido a asentamientos diferenciales, una grieta o cada lado de la casa…”.</w:t>
      </w:r>
    </w:p>
    <w:p w14:paraId="760A9F4F" w14:textId="77777777" w:rsidR="005F25EB" w:rsidRPr="00C234A4" w:rsidRDefault="005F25EB" w:rsidP="003B717E">
      <w:pPr>
        <w:jc w:val="both"/>
        <w:rPr>
          <w:rFonts w:ascii="Arial" w:hAnsi="Arial" w:cs="Arial"/>
          <w:i/>
          <w:sz w:val="24"/>
          <w:szCs w:val="24"/>
        </w:rPr>
      </w:pPr>
    </w:p>
    <w:p w14:paraId="108E7F3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w:t>
      </w:r>
    </w:p>
    <w:p w14:paraId="45B3B2B4" w14:textId="77777777" w:rsidR="005F25EB" w:rsidRPr="00C234A4" w:rsidRDefault="005F25EB" w:rsidP="003B717E">
      <w:pPr>
        <w:ind w:left="567"/>
        <w:jc w:val="both"/>
        <w:rPr>
          <w:rFonts w:ascii="Arial" w:hAnsi="Arial" w:cs="Arial"/>
          <w:i/>
          <w:sz w:val="24"/>
          <w:szCs w:val="24"/>
        </w:rPr>
      </w:pPr>
    </w:p>
    <w:p w14:paraId="19DB8D0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La actora afirma que los daños son consecuencia de la entrada en funcionamiento  del embalse, pero no podría  acudirse a tal momento pues sólo después de ello se presentan los daños  que causan la demanda. Ahora, tal como quedó explicado de tales hechos conoció la demandante en los años 1977 y 1988 sin que, por la presencia actual de los mismos al momento de la demanda,  pueda afirmarse  que ellos son de aquellos conocidos como de tracto sucesivo, propio de situaciones como la que deriva de la ocupación permanente de inmuebles, precisamente, por esa condición  de permanencia. Pero en este caso se trata de agrietamiento y derrumbamiento de viviendas que se concreta en un momento determinado.</w:t>
      </w:r>
    </w:p>
    <w:p w14:paraId="16BE96D2" w14:textId="77777777" w:rsidR="005F25EB" w:rsidRPr="00C234A4" w:rsidRDefault="005F25EB" w:rsidP="003B717E">
      <w:pPr>
        <w:ind w:left="567"/>
        <w:jc w:val="both"/>
        <w:rPr>
          <w:rFonts w:ascii="Arial" w:hAnsi="Arial" w:cs="Arial"/>
          <w:i/>
          <w:sz w:val="24"/>
          <w:szCs w:val="24"/>
        </w:rPr>
      </w:pPr>
    </w:p>
    <w:p w14:paraId="28ACB621"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Si bien no existe fecha exacta  de la ocurrencia  de los hechos,  día mes y año, se aprecia probatoriamente que,  en este caso,  los hechos fueron conocidos  por la actora entre los años 1977 y 1988, como lo manifiesta  la demanda y se ratifica  en las pruebas recaudadas; razón por al  (sic) momento de acudir a la jurisdicción en el año 1994 estaba más que caducada la acción.</w:t>
      </w:r>
    </w:p>
    <w:p w14:paraId="04D3E08A" w14:textId="77777777" w:rsidR="005F25EB" w:rsidRPr="00C234A4" w:rsidRDefault="005F25EB" w:rsidP="003B717E">
      <w:pPr>
        <w:ind w:left="567"/>
        <w:jc w:val="both"/>
        <w:rPr>
          <w:rFonts w:ascii="Arial" w:hAnsi="Arial" w:cs="Arial"/>
          <w:i/>
          <w:sz w:val="24"/>
          <w:szCs w:val="24"/>
        </w:rPr>
      </w:pPr>
    </w:p>
    <w:p w14:paraId="4F59CBB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Ahora, aunque la demanda no es, como se dijo, lo suficientemente  descriptiva de los hechos,  se infiere  de los (sic) ellos y de los perjuicios que se tasan,  que se contraerían también a deslizamientos generales del predio y a la imposibilidad de laborarlo.</w:t>
      </w:r>
    </w:p>
    <w:p w14:paraId="42E95DE3" w14:textId="77777777" w:rsidR="005F25EB" w:rsidRPr="00C234A4" w:rsidRDefault="005F25EB" w:rsidP="003B717E">
      <w:pPr>
        <w:ind w:left="567"/>
        <w:jc w:val="both"/>
        <w:rPr>
          <w:rFonts w:ascii="Arial" w:hAnsi="Arial" w:cs="Arial"/>
          <w:i/>
          <w:sz w:val="24"/>
          <w:szCs w:val="24"/>
        </w:rPr>
      </w:pPr>
    </w:p>
    <w:p w14:paraId="0DC3939A"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Al respecto encuentra la Sala que en la sentencia proferida por este Tribunal el 26 de octubre de 1989 que, si bien declaró la improsperidad de la excepción  de caducidad, por cuanto la situación se regulaba por la prescripción  regulada por la normatividad civil, no es menos cierto que se trataba en ese caso de la ocupación permanente del inmueble, lo cual implica la permanencia del daño, ella sirve como prueba de que los daños que ahora alega la actora y que solicita en esta demanda le sean resarcidos, venían de tiempo atrás y que eran conocidos  por lo menos desde que cursara la primera demanda  por la construcción  de una carretera en tal finca que fue presentada, necesariamente,  antes del 26 de octubre de 1989, cuando fue fallado el proceso…</w:t>
      </w:r>
    </w:p>
    <w:p w14:paraId="23022F06" w14:textId="77777777" w:rsidR="005F25EB" w:rsidRPr="00C234A4" w:rsidRDefault="005F25EB" w:rsidP="003B717E">
      <w:pPr>
        <w:ind w:left="567"/>
        <w:jc w:val="both"/>
        <w:rPr>
          <w:rFonts w:ascii="Arial" w:hAnsi="Arial" w:cs="Arial"/>
          <w:i/>
          <w:sz w:val="24"/>
          <w:szCs w:val="24"/>
        </w:rPr>
      </w:pPr>
    </w:p>
    <w:p w14:paraId="25D2B5E0"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Que la actora haya omitido para entonces reclamar los perjuicios que, a su juicio, se causaban sobre el predio como consecuencia de la intervención estatal para la construcción del embalse no implica que pueda,  años después afirmar que ellos continúan y habilitar de manera inadecuada el término de caducidad.  De aceptarse la tesis de la demandante podría llegarse al absurdo de considerar que como la muerte es permanente en caso de que ella generara responsabilidad estatal, entonces, la demanda podría presentarse en cualquier tiempo, la existencia del daño no puede confundirse con la permanencia.</w:t>
      </w:r>
    </w:p>
    <w:p w14:paraId="1F980ACC" w14:textId="77777777" w:rsidR="005F25EB" w:rsidRPr="00C234A4" w:rsidRDefault="005F25EB" w:rsidP="003B717E">
      <w:pPr>
        <w:ind w:left="567"/>
        <w:jc w:val="both"/>
        <w:rPr>
          <w:rFonts w:ascii="Arial" w:hAnsi="Arial" w:cs="Arial"/>
          <w:i/>
          <w:sz w:val="24"/>
          <w:szCs w:val="24"/>
        </w:rPr>
      </w:pPr>
    </w:p>
    <w:p w14:paraId="26E30555"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De otra parte, la actora expresa que antes de promover el ejercicio de la acción de reparación directa esperó a que la demandada le brindara una solución al problema, que realizó  diferentes reclamaciones y que no le fue resuelto el problema, situación que no puede ser acogida por la Sala para extender el término de caducidad y que, más bien, confirma, nuevamente, que conocía los hechos con mucho antes de iniciar la acción que ahora se examina…</w:t>
      </w:r>
    </w:p>
    <w:p w14:paraId="6E5063D2" w14:textId="77777777" w:rsidR="005F25EB" w:rsidRPr="00C234A4" w:rsidRDefault="005F25EB" w:rsidP="003B717E">
      <w:pPr>
        <w:ind w:left="567"/>
        <w:jc w:val="both"/>
        <w:rPr>
          <w:rFonts w:ascii="Arial" w:hAnsi="Arial" w:cs="Arial"/>
          <w:i/>
          <w:sz w:val="24"/>
          <w:szCs w:val="24"/>
        </w:rPr>
      </w:pPr>
    </w:p>
    <w:p w14:paraId="1D12563E"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lastRenderedPageBreak/>
        <w:t xml:space="preserve">Finalmente, por los perjuicios que se deprecan por la enfermedad y fallecimiento de la señora Elvia Bonilla Vda. de Roa </w:t>
      </w:r>
      <w:r w:rsidRPr="00C234A4">
        <w:rPr>
          <w:rFonts w:ascii="Arial" w:hAnsi="Arial" w:cs="Arial"/>
          <w:sz w:val="24"/>
          <w:szCs w:val="24"/>
        </w:rPr>
        <w:t>(sic)</w:t>
      </w:r>
      <w:r w:rsidRPr="00C234A4">
        <w:rPr>
          <w:rFonts w:ascii="Arial" w:hAnsi="Arial" w:cs="Arial"/>
          <w:i/>
          <w:sz w:val="24"/>
          <w:szCs w:val="24"/>
        </w:rPr>
        <w:t xml:space="preserve"> basta señalar que en este proceso no se probó siquiera la fecha de su fallecimiento y, mucho menos, relación de parentesco entre la mencionada y la actora </w:t>
      </w:r>
      <w:r w:rsidRPr="00C234A4">
        <w:rPr>
          <w:rFonts w:ascii="Arial" w:hAnsi="Arial" w:cs="Arial"/>
          <w:sz w:val="24"/>
          <w:szCs w:val="24"/>
        </w:rPr>
        <w:t>(sic)</w:t>
      </w:r>
      <w:r w:rsidRPr="00C234A4">
        <w:rPr>
          <w:rFonts w:ascii="Arial" w:hAnsi="Arial" w:cs="Arial"/>
          <w:i/>
          <w:sz w:val="24"/>
          <w:szCs w:val="24"/>
        </w:rPr>
        <w:t xml:space="preserve">; en consecuencia, tal carga, que correspondía a la actora </w:t>
      </w:r>
      <w:r w:rsidRPr="00C234A4">
        <w:rPr>
          <w:rFonts w:ascii="Arial" w:hAnsi="Arial" w:cs="Arial"/>
          <w:sz w:val="24"/>
          <w:szCs w:val="24"/>
        </w:rPr>
        <w:t>(sic)</w:t>
      </w:r>
      <w:r w:rsidRPr="00C234A4">
        <w:rPr>
          <w:rFonts w:ascii="Arial" w:hAnsi="Arial" w:cs="Arial"/>
          <w:i/>
          <w:sz w:val="24"/>
          <w:szCs w:val="24"/>
        </w:rPr>
        <w:t>, impide determinar si la demanda, en cuanta hace a esta pretensión, está afectada por caducidad de la acción. Pero, lo anterior no obsta para considerar que se configura frente a esta pretensión, tomada como tal en una lectura integral del libelo  con los perjuicios, falta de legitimación en la causa por activa, lo cual también da lugar a un pronunciamiento inhibitorio.</w:t>
      </w:r>
    </w:p>
    <w:p w14:paraId="6383522D" w14:textId="77777777" w:rsidR="005F25EB" w:rsidRPr="00C234A4" w:rsidRDefault="005F25EB" w:rsidP="003B717E">
      <w:pPr>
        <w:ind w:left="567"/>
        <w:jc w:val="both"/>
        <w:rPr>
          <w:rFonts w:ascii="Arial" w:hAnsi="Arial" w:cs="Arial"/>
          <w:i/>
          <w:sz w:val="24"/>
          <w:szCs w:val="24"/>
        </w:rPr>
      </w:pPr>
    </w:p>
    <w:p w14:paraId="3FF47764"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Y, se observa también, que si se quisiera atender la pretensión de la actora </w:t>
      </w:r>
      <w:r w:rsidRPr="00C234A4">
        <w:rPr>
          <w:rFonts w:ascii="Arial" w:hAnsi="Arial" w:cs="Arial"/>
          <w:sz w:val="24"/>
          <w:szCs w:val="24"/>
        </w:rPr>
        <w:t xml:space="preserve">(sic) </w:t>
      </w:r>
      <w:r w:rsidRPr="00C234A4">
        <w:rPr>
          <w:rFonts w:ascii="Arial" w:hAnsi="Arial" w:cs="Arial"/>
          <w:i/>
          <w:sz w:val="24"/>
          <w:szCs w:val="24"/>
        </w:rPr>
        <w:t xml:space="preserve">en condición de representante legal de la señora ELVIA BONILLA VDA DE ROA </w:t>
      </w:r>
      <w:r w:rsidRPr="00C234A4">
        <w:rPr>
          <w:rFonts w:ascii="Arial" w:hAnsi="Arial" w:cs="Arial"/>
          <w:sz w:val="24"/>
          <w:szCs w:val="24"/>
        </w:rPr>
        <w:t>(sic)</w:t>
      </w:r>
      <w:r w:rsidRPr="00C234A4">
        <w:rPr>
          <w:rFonts w:ascii="Arial" w:hAnsi="Arial" w:cs="Arial"/>
          <w:i/>
          <w:sz w:val="24"/>
          <w:szCs w:val="24"/>
        </w:rPr>
        <w:t>, aceptado que se trata de la madre, es claro que el hijo no ostenta tal calidad. Es decir, que también por esta razón se presenta falta de legitimación en la causa por activa.</w:t>
      </w:r>
    </w:p>
    <w:p w14:paraId="20951883" w14:textId="77777777" w:rsidR="005F25EB" w:rsidRPr="00C234A4" w:rsidRDefault="005F25EB" w:rsidP="003B717E">
      <w:pPr>
        <w:ind w:left="567"/>
        <w:jc w:val="both"/>
        <w:rPr>
          <w:rFonts w:ascii="Arial" w:hAnsi="Arial" w:cs="Arial"/>
          <w:i/>
          <w:sz w:val="24"/>
          <w:szCs w:val="24"/>
        </w:rPr>
      </w:pPr>
    </w:p>
    <w:p w14:paraId="12DA239F" w14:textId="77777777" w:rsidR="005F25EB" w:rsidRPr="00C234A4" w:rsidRDefault="005F25EB" w:rsidP="003B717E">
      <w:pPr>
        <w:ind w:left="567"/>
        <w:jc w:val="both"/>
        <w:rPr>
          <w:rFonts w:ascii="Arial" w:hAnsi="Arial" w:cs="Arial"/>
          <w:sz w:val="24"/>
          <w:szCs w:val="24"/>
        </w:rPr>
      </w:pPr>
      <w:r w:rsidRPr="00C234A4">
        <w:rPr>
          <w:rFonts w:ascii="Arial" w:hAnsi="Arial" w:cs="Arial"/>
          <w:i/>
          <w:sz w:val="24"/>
          <w:szCs w:val="24"/>
        </w:rPr>
        <w:t xml:space="preserve">Por último, precisará la Sala que, si bien algunos de los hechos estuvieron cobijados por la prescripción extintiva de 20 años prevista para las acciones por responsabilidad extracontractual regida por normas civiles, la entrada en vigencia del Decreto 01 de 1984 y el que la demanda se haya presentado con posterioridad a esta norma, ello resulta suficiente para predicar la caducidad de dos años, regulada en la norma mencionada de manera expresa para la acción de reparación directa por responsabilidad del Estado. En efecto, la interesada </w:t>
      </w:r>
      <w:r w:rsidRPr="00C234A4">
        <w:rPr>
          <w:rFonts w:ascii="Arial" w:hAnsi="Arial" w:cs="Arial"/>
          <w:sz w:val="24"/>
          <w:szCs w:val="24"/>
        </w:rPr>
        <w:t>(sic)</w:t>
      </w:r>
      <w:r w:rsidRPr="00C234A4">
        <w:rPr>
          <w:rFonts w:ascii="Arial" w:hAnsi="Arial" w:cs="Arial"/>
          <w:i/>
          <w:sz w:val="24"/>
          <w:szCs w:val="24"/>
        </w:rPr>
        <w:t xml:space="preserve"> no había accionado cuando se produjo el aludido cambio legislativo, quedando su situación gobernada por la nueva ley…”</w:t>
      </w:r>
      <w:r w:rsidRPr="00C234A4">
        <w:rPr>
          <w:rFonts w:ascii="Arial" w:hAnsi="Arial" w:cs="Arial"/>
          <w:sz w:val="24"/>
          <w:szCs w:val="24"/>
        </w:rPr>
        <w:t xml:space="preserve"> .</w:t>
      </w:r>
    </w:p>
    <w:p w14:paraId="55954FEB" w14:textId="77777777" w:rsidR="005F25EB" w:rsidRPr="00C234A4" w:rsidRDefault="005F25EB" w:rsidP="003B717E">
      <w:pPr>
        <w:jc w:val="both"/>
        <w:rPr>
          <w:rFonts w:ascii="Arial" w:hAnsi="Arial" w:cs="Arial"/>
          <w:sz w:val="24"/>
          <w:szCs w:val="24"/>
        </w:rPr>
      </w:pPr>
    </w:p>
    <w:p w14:paraId="5C27DD4F" w14:textId="77777777" w:rsidR="005F25EB" w:rsidRPr="00C234A4" w:rsidRDefault="005F25EB" w:rsidP="003B717E">
      <w:pPr>
        <w:jc w:val="both"/>
        <w:rPr>
          <w:rFonts w:ascii="Arial" w:hAnsi="Arial" w:cs="Arial"/>
          <w:sz w:val="24"/>
          <w:szCs w:val="24"/>
        </w:rPr>
      </w:pPr>
    </w:p>
    <w:p w14:paraId="006211F8" w14:textId="77777777" w:rsidR="005F25EB" w:rsidRPr="00C234A4" w:rsidRDefault="005F25EB" w:rsidP="003B717E">
      <w:pPr>
        <w:jc w:val="both"/>
        <w:rPr>
          <w:rFonts w:ascii="Arial" w:hAnsi="Arial" w:cs="Arial"/>
          <w:sz w:val="24"/>
          <w:szCs w:val="24"/>
        </w:rPr>
      </w:pPr>
      <w:r w:rsidRPr="00C234A4">
        <w:rPr>
          <w:rFonts w:ascii="Arial" w:hAnsi="Arial" w:cs="Arial"/>
          <w:sz w:val="24"/>
          <w:szCs w:val="24"/>
        </w:rPr>
        <w:t>Y resolvió:</w:t>
      </w:r>
    </w:p>
    <w:p w14:paraId="4D580AA5" w14:textId="77777777" w:rsidR="005F25EB" w:rsidRPr="00C234A4" w:rsidRDefault="005F25EB" w:rsidP="003B717E">
      <w:pPr>
        <w:jc w:val="both"/>
        <w:rPr>
          <w:rFonts w:ascii="Arial" w:hAnsi="Arial" w:cs="Arial"/>
          <w:sz w:val="24"/>
          <w:szCs w:val="24"/>
        </w:rPr>
      </w:pPr>
    </w:p>
    <w:p w14:paraId="459D3495" w14:textId="77777777" w:rsidR="005F25EB" w:rsidRPr="00C234A4" w:rsidRDefault="005F25EB" w:rsidP="003B717E">
      <w:pPr>
        <w:jc w:val="both"/>
        <w:rPr>
          <w:rFonts w:ascii="Arial" w:hAnsi="Arial" w:cs="Arial"/>
          <w:sz w:val="24"/>
          <w:szCs w:val="24"/>
        </w:rPr>
      </w:pPr>
    </w:p>
    <w:p w14:paraId="3AF71BC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“PRIMERO.- Declárase probada la excepción de falta de legitimación en la causa por activa propuesta por INTERCONEXIÓN ELÉCTRICA S.A. E.S.P. en cuanto se refiere a la pretensión de pago de perjuicios como consecuencia de la enfermedad y fallecimiento de la señora Elvia Bonilla Vda de Roa </w:t>
      </w:r>
      <w:r w:rsidRPr="00C234A4">
        <w:rPr>
          <w:rFonts w:ascii="Arial" w:hAnsi="Arial" w:cs="Arial"/>
          <w:sz w:val="24"/>
          <w:szCs w:val="24"/>
        </w:rPr>
        <w:t>(sic)</w:t>
      </w:r>
      <w:r w:rsidRPr="00C234A4">
        <w:rPr>
          <w:rFonts w:ascii="Arial" w:hAnsi="Arial" w:cs="Arial"/>
          <w:i/>
          <w:sz w:val="24"/>
          <w:szCs w:val="24"/>
        </w:rPr>
        <w:t>.</w:t>
      </w:r>
    </w:p>
    <w:p w14:paraId="34F1B7D3" w14:textId="77777777" w:rsidR="005F25EB" w:rsidRPr="00C234A4" w:rsidRDefault="005F25EB" w:rsidP="003B717E">
      <w:pPr>
        <w:ind w:left="567"/>
        <w:jc w:val="both"/>
        <w:rPr>
          <w:rFonts w:ascii="Arial" w:hAnsi="Arial" w:cs="Arial"/>
          <w:i/>
          <w:sz w:val="24"/>
          <w:szCs w:val="24"/>
        </w:rPr>
      </w:pPr>
    </w:p>
    <w:p w14:paraId="3825F045" w14:textId="77777777" w:rsidR="005F25EB" w:rsidRPr="00C234A4" w:rsidRDefault="005F25EB" w:rsidP="003B717E">
      <w:pPr>
        <w:ind w:left="567"/>
        <w:jc w:val="both"/>
        <w:rPr>
          <w:rFonts w:ascii="Arial" w:hAnsi="Arial" w:cs="Arial"/>
          <w:sz w:val="24"/>
          <w:szCs w:val="24"/>
        </w:rPr>
      </w:pPr>
      <w:r w:rsidRPr="00C234A4">
        <w:rPr>
          <w:rFonts w:ascii="Arial" w:hAnsi="Arial" w:cs="Arial"/>
          <w:i/>
          <w:sz w:val="24"/>
          <w:szCs w:val="24"/>
        </w:rPr>
        <w:t xml:space="preserve">SEGUNDO.- Declárase probada la excepción de caducidad de la acción propuesta por INTERCONEXIÓN  ELÉCTRICA S.A. E.S.P. conforme a la motivación expuesta, en cuanto a las demás pretensiones de la demanda…” </w:t>
      </w:r>
      <w:r w:rsidRPr="00C234A4">
        <w:rPr>
          <w:rFonts w:ascii="Arial" w:hAnsi="Arial" w:cs="Arial"/>
          <w:sz w:val="24"/>
          <w:szCs w:val="24"/>
        </w:rPr>
        <w:t>(fls. 582 a 594, c. ppal.).</w:t>
      </w:r>
    </w:p>
    <w:p w14:paraId="227F6002" w14:textId="77777777" w:rsidR="005F25EB" w:rsidRPr="00C234A4" w:rsidRDefault="005F25EB" w:rsidP="005F25EB">
      <w:pPr>
        <w:ind w:left="567"/>
        <w:rPr>
          <w:rFonts w:ascii="Arial" w:hAnsi="Arial" w:cs="Arial"/>
          <w:sz w:val="24"/>
          <w:szCs w:val="24"/>
        </w:rPr>
      </w:pPr>
    </w:p>
    <w:p w14:paraId="0B92F782" w14:textId="77777777" w:rsidR="005F25EB" w:rsidRPr="00C234A4" w:rsidRDefault="005F25EB" w:rsidP="005F25EB">
      <w:pPr>
        <w:ind w:left="567"/>
        <w:rPr>
          <w:rFonts w:ascii="Arial" w:hAnsi="Arial" w:cs="Arial"/>
          <w:sz w:val="24"/>
          <w:szCs w:val="24"/>
        </w:rPr>
      </w:pPr>
    </w:p>
    <w:p w14:paraId="202DF458" w14:textId="77777777" w:rsidR="005F25EB" w:rsidRPr="00C234A4" w:rsidRDefault="005F25EB" w:rsidP="005F25EB">
      <w:pPr>
        <w:ind w:left="567"/>
        <w:rPr>
          <w:rFonts w:ascii="Arial" w:hAnsi="Arial" w:cs="Arial"/>
          <w:sz w:val="24"/>
          <w:szCs w:val="24"/>
        </w:rPr>
      </w:pPr>
    </w:p>
    <w:p w14:paraId="1E039DB3" w14:textId="77777777" w:rsidR="005F25EB" w:rsidRPr="00C234A4" w:rsidRDefault="005F25EB" w:rsidP="003B717E">
      <w:pPr>
        <w:jc w:val="both"/>
        <w:rPr>
          <w:rFonts w:ascii="Arial" w:hAnsi="Arial" w:cs="Arial"/>
          <w:b/>
          <w:bCs/>
          <w:sz w:val="24"/>
          <w:szCs w:val="24"/>
        </w:rPr>
      </w:pPr>
      <w:r w:rsidRPr="00C234A4">
        <w:rPr>
          <w:rFonts w:ascii="Arial" w:hAnsi="Arial" w:cs="Arial"/>
          <w:b/>
          <w:bCs/>
          <w:sz w:val="24"/>
          <w:szCs w:val="24"/>
        </w:rPr>
        <w:t>6. Recurso de apelación</w:t>
      </w:r>
    </w:p>
    <w:p w14:paraId="0BC5ABAE" w14:textId="77777777" w:rsidR="005F25EB" w:rsidRPr="00C234A4" w:rsidRDefault="005F25EB" w:rsidP="003B717E">
      <w:pPr>
        <w:spacing w:line="360" w:lineRule="auto"/>
        <w:jc w:val="both"/>
        <w:rPr>
          <w:rFonts w:ascii="Arial" w:hAnsi="Arial" w:cs="Arial"/>
          <w:sz w:val="24"/>
          <w:szCs w:val="24"/>
          <w:lang w:eastAsia="es-ES"/>
        </w:rPr>
      </w:pPr>
    </w:p>
    <w:p w14:paraId="3957E8E9"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La parte demandante impugna la decisión del tribunal. Sobre la sustentación se pueden extraer los siguientes argumentos:</w:t>
      </w:r>
    </w:p>
    <w:p w14:paraId="7C8EFD0C" w14:textId="77777777" w:rsidR="005F25EB" w:rsidRPr="00C234A4" w:rsidRDefault="005F25EB" w:rsidP="003B717E">
      <w:pPr>
        <w:spacing w:line="360" w:lineRule="auto"/>
        <w:jc w:val="both"/>
        <w:rPr>
          <w:rFonts w:ascii="Arial" w:hAnsi="Arial" w:cs="Arial"/>
          <w:sz w:val="24"/>
          <w:szCs w:val="24"/>
        </w:rPr>
      </w:pPr>
    </w:p>
    <w:p w14:paraId="148E9D5D"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 xml:space="preserve">6.1 Inicialmente, pone de presente que el predio La Unión, originalmente de propiedad de los herederos del señor Marco Antonio Roa Piñeros, no pudo ser adquirido por la empresa Interconexión Eléctrica  S.A. E.S.P. en la etapa de </w:t>
      </w:r>
      <w:r w:rsidRPr="00C234A4">
        <w:rPr>
          <w:rFonts w:ascii="Arial" w:hAnsi="Arial" w:cs="Arial"/>
          <w:sz w:val="24"/>
          <w:szCs w:val="24"/>
        </w:rPr>
        <w:lastRenderedPageBreak/>
        <w:t>adquisición de predios para la construcción del embalse Chivor, pese haberse celebrado una promesa de compraventa y efectuado el primer pago</w:t>
      </w:r>
      <w:r w:rsidRPr="00C234A4">
        <w:rPr>
          <w:rStyle w:val="Refdenotaalpie"/>
          <w:rFonts w:ascii="Arial" w:hAnsi="Arial" w:cs="Arial"/>
          <w:sz w:val="24"/>
          <w:szCs w:val="24"/>
        </w:rPr>
        <w:footnoteReference w:id="2"/>
      </w:r>
      <w:r w:rsidRPr="00C234A4">
        <w:rPr>
          <w:rFonts w:ascii="Arial" w:hAnsi="Arial" w:cs="Arial"/>
          <w:sz w:val="24"/>
          <w:szCs w:val="24"/>
        </w:rPr>
        <w:t xml:space="preserve">. </w:t>
      </w:r>
    </w:p>
    <w:p w14:paraId="3E37B0C2" w14:textId="77777777" w:rsidR="005F25EB" w:rsidRPr="00C234A4" w:rsidRDefault="005F25EB" w:rsidP="003B717E">
      <w:pPr>
        <w:spacing w:line="360" w:lineRule="auto"/>
        <w:jc w:val="both"/>
        <w:rPr>
          <w:rFonts w:ascii="Arial" w:hAnsi="Arial" w:cs="Arial"/>
          <w:sz w:val="24"/>
          <w:szCs w:val="24"/>
        </w:rPr>
      </w:pPr>
    </w:p>
    <w:p w14:paraId="7984D040"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Manifiesta que la entrada en operación del embalse ocasionó la inundación de la vía que conducía a Almeida, lo que obligó en el año 1983 a la empresa Interconexión Eléctrica S.A. E.S.P. a cambiar su trazado lo que significó la ocupación de parte de la finca La Unión y daños por cuenta de la ejecución como tal de la obra.</w:t>
      </w:r>
    </w:p>
    <w:p w14:paraId="773615EB" w14:textId="77777777" w:rsidR="005F25EB" w:rsidRPr="00C234A4" w:rsidRDefault="005F25EB" w:rsidP="003B717E">
      <w:pPr>
        <w:spacing w:line="360" w:lineRule="auto"/>
        <w:jc w:val="both"/>
        <w:rPr>
          <w:rFonts w:ascii="Arial" w:hAnsi="Arial" w:cs="Arial"/>
          <w:sz w:val="24"/>
          <w:szCs w:val="24"/>
        </w:rPr>
      </w:pPr>
    </w:p>
    <w:p w14:paraId="70F3BD26"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De otra parte señala, que la puesta en funcionamiento del embalse generó un proceso de socavación, sedimentación y erosión a todos los predios ubicados a la margen derecha del embalse, que solo se hizo visible hacía el año 1992, momento en el que el señor Roa Bonilla inició una serie de reclamaciones ante la empresa demandada y otras instancias gubernamentales, entre ellas el Ministerio de Minas y Energías, quien  solicitó al Ingeominas un estudio en el que finalmente se constataron dichos fenómenos naturales.</w:t>
      </w:r>
    </w:p>
    <w:p w14:paraId="51AC407B" w14:textId="77777777" w:rsidR="005F25EB" w:rsidRPr="00C234A4" w:rsidRDefault="005F25EB" w:rsidP="003B717E">
      <w:pPr>
        <w:spacing w:line="360" w:lineRule="auto"/>
        <w:jc w:val="both"/>
        <w:rPr>
          <w:rFonts w:ascii="Arial" w:hAnsi="Arial" w:cs="Arial"/>
          <w:sz w:val="24"/>
          <w:szCs w:val="24"/>
        </w:rPr>
      </w:pPr>
    </w:p>
    <w:p w14:paraId="58329B41"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 xml:space="preserve">6.2 En relación al tratamiento y conclusiones a las que se llegó en primera instancia el tribunal, sostiene que el </w:t>
      </w:r>
      <w:r w:rsidRPr="00C234A4">
        <w:rPr>
          <w:rFonts w:ascii="Arial" w:hAnsi="Arial" w:cs="Arial"/>
          <w:bCs/>
          <w:i/>
          <w:sz w:val="24"/>
          <w:szCs w:val="24"/>
        </w:rPr>
        <w:t>a quo</w:t>
      </w:r>
      <w:r w:rsidRPr="00C234A4">
        <w:rPr>
          <w:rFonts w:ascii="Arial" w:hAnsi="Arial" w:cs="Arial"/>
          <w:bCs/>
          <w:sz w:val="24"/>
          <w:szCs w:val="24"/>
        </w:rPr>
        <w:t xml:space="preserve"> parte de un supuesto equivocado, esto es la existencia de un día determinado para el inicio del cómputo de caducidad, cuando en el </w:t>
      </w:r>
      <w:r w:rsidRPr="00C234A4">
        <w:rPr>
          <w:rFonts w:ascii="Arial" w:hAnsi="Arial" w:cs="Arial"/>
          <w:bCs/>
          <w:i/>
          <w:sz w:val="24"/>
          <w:szCs w:val="24"/>
        </w:rPr>
        <w:t xml:space="preserve">sub lite </w:t>
      </w:r>
      <w:r w:rsidRPr="00C234A4">
        <w:rPr>
          <w:rFonts w:ascii="Arial" w:hAnsi="Arial" w:cs="Arial"/>
          <w:bCs/>
          <w:sz w:val="24"/>
          <w:szCs w:val="24"/>
        </w:rPr>
        <w:t>todos los hechos ocurrieron en forma escalonada, situación corroborada por la prueba técnica aportada y practicada.</w:t>
      </w:r>
    </w:p>
    <w:p w14:paraId="287AEE06" w14:textId="77777777" w:rsidR="005F25EB" w:rsidRPr="00C234A4" w:rsidRDefault="005F25EB" w:rsidP="003B717E">
      <w:pPr>
        <w:spacing w:line="360" w:lineRule="auto"/>
        <w:jc w:val="both"/>
        <w:rPr>
          <w:rFonts w:ascii="Arial" w:hAnsi="Arial" w:cs="Arial"/>
          <w:bCs/>
          <w:sz w:val="24"/>
          <w:szCs w:val="24"/>
        </w:rPr>
      </w:pPr>
    </w:p>
    <w:p w14:paraId="0F0A14C1"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Así, aduce que es equivocado pensar que el punto de partida de la caducidad tiene que ver con la fecha de la primera reclamación que se hizo a la entidad demandada.</w:t>
      </w:r>
    </w:p>
    <w:p w14:paraId="10CAE8EA" w14:textId="77777777" w:rsidR="005F25EB" w:rsidRPr="00C234A4" w:rsidRDefault="005F25EB" w:rsidP="003B717E">
      <w:pPr>
        <w:spacing w:line="360" w:lineRule="auto"/>
        <w:jc w:val="both"/>
        <w:rPr>
          <w:rFonts w:ascii="Arial" w:hAnsi="Arial" w:cs="Arial"/>
          <w:bCs/>
          <w:sz w:val="24"/>
          <w:szCs w:val="24"/>
        </w:rPr>
      </w:pPr>
    </w:p>
    <w:p w14:paraId="53560058"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Pone de presente que no es dable concluir como el tribunal que desde el año 1986 se tuvo conocimiento pleno de los daños, pues debe considerarse que en la sentencia de 30 de mayo de 1987, dictada con motivo de los perjuicios que ocasionó la construcción de la carretera se dejó en claro, pese a que la demanda fue por la ocupación que los daños a los inmuebles, tenían una causa diferente. Razón por la que insistió ante el Ministerio de Minas y Energía para la realización de un estudio técnico.</w:t>
      </w:r>
    </w:p>
    <w:p w14:paraId="255817AC"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 xml:space="preserve"> </w:t>
      </w:r>
    </w:p>
    <w:p w14:paraId="3F90E3F2"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lastRenderedPageBreak/>
        <w:t>Señala que conforme el artículo 44 de la Ley 153 de 1887, para el momento de la presentación de la demanda, la acción de reparación directa no había prescrito, si se tiene en cuenta que en el año 1976, una de las fechas en la que según el tribunal se tuvo conocimiento de los hechos, estaba en rigor el criterio establecido por la Corte Suprema en razón de la declaratoria de inexequilibilidad de los artículos 261 a 268 de la Ley 167 de 1941. Esto es que los daños por ocupación  permanente de inmuebles eran de su conocimiento y que  el término de la prescripción extintiva era de 20 años.</w:t>
      </w:r>
    </w:p>
    <w:p w14:paraId="3485992D" w14:textId="77777777" w:rsidR="005F25EB" w:rsidRPr="00C234A4" w:rsidRDefault="005F25EB" w:rsidP="003B717E">
      <w:pPr>
        <w:spacing w:line="360" w:lineRule="auto"/>
        <w:jc w:val="both"/>
        <w:rPr>
          <w:rFonts w:ascii="Arial" w:hAnsi="Arial" w:cs="Arial"/>
          <w:bCs/>
          <w:sz w:val="24"/>
          <w:szCs w:val="24"/>
        </w:rPr>
      </w:pPr>
    </w:p>
    <w:p w14:paraId="04521A29"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Manifiesta que, dado el crecimiento del volumen de las aguas y la necesidad de aumentar la capacidad del embalse, la administradora actual del embalse, ha propuesto la compra de otros predios, lo que devela  que aún no se puede precisar cuándo terminará la ocupación permanente de los inmuebles ribereños, por lo tanto  si la acción no se puede iniciar porque el daño aún no se consolida, no puede aducirse la caducidad para negar las pretensiones.</w:t>
      </w:r>
    </w:p>
    <w:p w14:paraId="5CC23CF5" w14:textId="77777777" w:rsidR="005F25EB" w:rsidRPr="00C234A4" w:rsidRDefault="005F25EB" w:rsidP="003B717E">
      <w:pPr>
        <w:spacing w:line="360" w:lineRule="auto"/>
        <w:jc w:val="both"/>
        <w:rPr>
          <w:rFonts w:ascii="Arial" w:hAnsi="Arial" w:cs="Arial"/>
          <w:bCs/>
          <w:sz w:val="24"/>
          <w:szCs w:val="24"/>
        </w:rPr>
      </w:pPr>
    </w:p>
    <w:p w14:paraId="22A96756"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6.3 Finalmente, hizo referencia a las excepciones que planteó la empresa demandada, especialmente a la de caducidad y falta de legitimación en la causa, para precisar su alcance e insistir en los anteriores argumento</w:t>
      </w:r>
      <w:r w:rsidR="005C5B54" w:rsidRPr="00C234A4">
        <w:rPr>
          <w:rFonts w:ascii="Arial" w:hAnsi="Arial" w:cs="Arial"/>
          <w:bCs/>
          <w:sz w:val="24"/>
          <w:szCs w:val="24"/>
        </w:rPr>
        <w:t>s   (fls. 607 a 615, c. ppal.).</w:t>
      </w:r>
    </w:p>
    <w:p w14:paraId="57EE0A09" w14:textId="77777777" w:rsidR="005F25EB" w:rsidRPr="00C234A4" w:rsidRDefault="005F25EB" w:rsidP="003B717E">
      <w:pPr>
        <w:spacing w:line="360" w:lineRule="auto"/>
        <w:jc w:val="both"/>
        <w:rPr>
          <w:rFonts w:ascii="Arial" w:hAnsi="Arial" w:cs="Arial"/>
          <w:b/>
          <w:bCs/>
          <w:sz w:val="24"/>
          <w:szCs w:val="24"/>
        </w:rPr>
      </w:pPr>
    </w:p>
    <w:p w14:paraId="6203D329" w14:textId="77777777" w:rsidR="005F25EB" w:rsidRPr="00C234A4" w:rsidRDefault="005F25EB" w:rsidP="003B717E">
      <w:pPr>
        <w:spacing w:line="360" w:lineRule="auto"/>
        <w:jc w:val="both"/>
        <w:rPr>
          <w:rFonts w:ascii="Arial" w:hAnsi="Arial" w:cs="Arial"/>
          <w:b/>
          <w:bCs/>
          <w:sz w:val="24"/>
          <w:szCs w:val="24"/>
        </w:rPr>
      </w:pPr>
      <w:r w:rsidRPr="00C234A4">
        <w:rPr>
          <w:rFonts w:ascii="Arial" w:hAnsi="Arial" w:cs="Arial"/>
          <w:b/>
          <w:bCs/>
          <w:sz w:val="24"/>
          <w:szCs w:val="24"/>
        </w:rPr>
        <w:t>7. Alegatos de conclusión</w:t>
      </w:r>
      <w:r w:rsidRPr="00C234A4">
        <w:rPr>
          <w:rStyle w:val="Refdenotaalpie"/>
          <w:rFonts w:ascii="Arial" w:hAnsi="Arial" w:cs="Arial"/>
          <w:b/>
          <w:bCs/>
          <w:sz w:val="24"/>
          <w:szCs w:val="24"/>
        </w:rPr>
        <w:footnoteReference w:id="3"/>
      </w:r>
    </w:p>
    <w:p w14:paraId="47C8A835"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 xml:space="preserve"> </w:t>
      </w:r>
    </w:p>
    <w:p w14:paraId="77E9CAB3"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7.1 Isagen S.A, en este estadio procesal, se limitó a solicitar la confirmación de la sentencia de primera instancia, pues a su juicio se ajusta a lo establecido en el proceso (fls. 620 y 621).</w:t>
      </w:r>
    </w:p>
    <w:p w14:paraId="5F121FE0" w14:textId="77777777" w:rsidR="005F25EB" w:rsidRPr="00C234A4" w:rsidRDefault="005F25EB" w:rsidP="003B717E">
      <w:pPr>
        <w:spacing w:line="360" w:lineRule="auto"/>
        <w:jc w:val="both"/>
        <w:rPr>
          <w:rFonts w:ascii="Arial" w:hAnsi="Arial" w:cs="Arial"/>
          <w:bCs/>
          <w:sz w:val="24"/>
          <w:szCs w:val="24"/>
        </w:rPr>
      </w:pPr>
    </w:p>
    <w:p w14:paraId="555DAF1D"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7.2 La parte actora, en esencia reprodujo los argumentos que presentó al sustentar su inconformidad (fls. 622 a 629, c. ppal.).</w:t>
      </w:r>
    </w:p>
    <w:p w14:paraId="0613C41B" w14:textId="77777777" w:rsidR="005F25EB" w:rsidRPr="00C234A4" w:rsidRDefault="005F25EB" w:rsidP="003B717E">
      <w:pPr>
        <w:spacing w:line="360" w:lineRule="auto"/>
        <w:jc w:val="both"/>
        <w:rPr>
          <w:rFonts w:ascii="Arial" w:hAnsi="Arial" w:cs="Arial"/>
          <w:bCs/>
          <w:sz w:val="24"/>
          <w:szCs w:val="24"/>
        </w:rPr>
      </w:pPr>
    </w:p>
    <w:p w14:paraId="3F56E7BF"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7.3 Interconexión Eléctrica S.A. E.S.P. señala que los eventuales daños cuya reparación se solicita,  no pueden ser considerados de tracto sucesivo, como lo pretende la parte actora, ya que tanto el derrumbe de la primera edificación como el agrietamiento de la segunda fueron hechos concretos, cuyo conocimiento habilitaban el ejercicio de la acción de reparación directa.</w:t>
      </w:r>
    </w:p>
    <w:p w14:paraId="04055D1D" w14:textId="77777777" w:rsidR="005F25EB" w:rsidRPr="00C234A4" w:rsidRDefault="005F25EB" w:rsidP="003B717E">
      <w:pPr>
        <w:spacing w:line="360" w:lineRule="auto"/>
        <w:jc w:val="both"/>
        <w:rPr>
          <w:rFonts w:ascii="Arial" w:hAnsi="Arial" w:cs="Arial"/>
          <w:bCs/>
          <w:sz w:val="24"/>
          <w:szCs w:val="24"/>
        </w:rPr>
      </w:pPr>
    </w:p>
    <w:p w14:paraId="5CD1C307" w14:textId="77777777" w:rsidR="005F25EB" w:rsidRPr="00C234A4" w:rsidRDefault="005F25EB" w:rsidP="003B717E">
      <w:pPr>
        <w:spacing w:line="360" w:lineRule="auto"/>
        <w:jc w:val="both"/>
        <w:rPr>
          <w:rFonts w:ascii="Arial" w:hAnsi="Arial" w:cs="Arial"/>
          <w:bCs/>
          <w:sz w:val="24"/>
          <w:szCs w:val="24"/>
        </w:rPr>
      </w:pPr>
      <w:r w:rsidRPr="00C234A4">
        <w:rPr>
          <w:rFonts w:ascii="Arial" w:hAnsi="Arial" w:cs="Arial"/>
          <w:bCs/>
          <w:sz w:val="24"/>
          <w:szCs w:val="24"/>
        </w:rPr>
        <w:t>En estos términos, manifiesta que, según lo dicho por el propio demandante, esos hechos dañosos se evidenciaron entre el año 1976 y 1978, lo que significa que para el momento de presentación de la demanda, 3 de mayo de 1994, el término establecido en el artículo 136 había transcurrido en exceso.</w:t>
      </w:r>
    </w:p>
    <w:p w14:paraId="7633C4CC" w14:textId="77777777" w:rsidR="005F25EB" w:rsidRPr="00C234A4" w:rsidRDefault="005F25EB" w:rsidP="003B717E">
      <w:pPr>
        <w:spacing w:line="360" w:lineRule="auto"/>
        <w:jc w:val="both"/>
        <w:rPr>
          <w:rFonts w:ascii="Arial" w:hAnsi="Arial" w:cs="Arial"/>
          <w:bCs/>
          <w:sz w:val="24"/>
          <w:szCs w:val="24"/>
        </w:rPr>
      </w:pPr>
    </w:p>
    <w:p w14:paraId="3B11BD79" w14:textId="77777777" w:rsidR="005F25EB" w:rsidRPr="00C234A4" w:rsidRDefault="005F25EB" w:rsidP="005C5B54">
      <w:pPr>
        <w:spacing w:line="360" w:lineRule="auto"/>
        <w:jc w:val="both"/>
        <w:rPr>
          <w:rFonts w:ascii="Arial" w:hAnsi="Arial" w:cs="Arial"/>
          <w:sz w:val="24"/>
          <w:szCs w:val="24"/>
        </w:rPr>
      </w:pPr>
      <w:r w:rsidRPr="00C234A4">
        <w:rPr>
          <w:rFonts w:ascii="Arial" w:hAnsi="Arial" w:cs="Arial"/>
          <w:bCs/>
          <w:sz w:val="24"/>
          <w:szCs w:val="24"/>
        </w:rPr>
        <w:t xml:space="preserve">Sin perjuicio de lo anterior, insiste en que los daños tienen origen en causas ajenas a ISA S.A. E.S.P. </w:t>
      </w:r>
      <w:r w:rsidR="005C5B54" w:rsidRPr="00C234A4">
        <w:rPr>
          <w:rFonts w:ascii="Arial" w:hAnsi="Arial" w:cs="Arial"/>
          <w:sz w:val="24"/>
          <w:szCs w:val="24"/>
        </w:rPr>
        <w:t xml:space="preserve">  (fls. 630 a 632, c. ppal.)</w:t>
      </w:r>
    </w:p>
    <w:p w14:paraId="329E8C12" w14:textId="77777777" w:rsidR="005F25EB" w:rsidRPr="00C234A4" w:rsidRDefault="005F25EB" w:rsidP="003B717E">
      <w:pPr>
        <w:jc w:val="both"/>
        <w:rPr>
          <w:rFonts w:ascii="Arial" w:hAnsi="Arial" w:cs="Arial"/>
          <w:sz w:val="24"/>
          <w:szCs w:val="24"/>
        </w:rPr>
      </w:pPr>
    </w:p>
    <w:p w14:paraId="07706276" w14:textId="77777777" w:rsidR="005F25EB" w:rsidRPr="00C234A4" w:rsidRDefault="005F25EB" w:rsidP="003B717E">
      <w:pPr>
        <w:spacing w:line="360" w:lineRule="auto"/>
        <w:jc w:val="both"/>
        <w:rPr>
          <w:rFonts w:ascii="Arial" w:hAnsi="Arial" w:cs="Arial"/>
          <w:sz w:val="24"/>
          <w:szCs w:val="24"/>
          <w:lang w:eastAsia="es-ES"/>
        </w:rPr>
      </w:pPr>
    </w:p>
    <w:p w14:paraId="7D7E0D20" w14:textId="77777777" w:rsidR="005F25EB" w:rsidRPr="00C234A4" w:rsidRDefault="005F25EB" w:rsidP="005C5B54">
      <w:pPr>
        <w:spacing w:line="360" w:lineRule="auto"/>
        <w:jc w:val="center"/>
        <w:rPr>
          <w:rFonts w:ascii="Arial" w:hAnsi="Arial" w:cs="Arial"/>
          <w:b/>
          <w:sz w:val="24"/>
          <w:szCs w:val="24"/>
        </w:rPr>
      </w:pPr>
      <w:r w:rsidRPr="00C234A4">
        <w:rPr>
          <w:rFonts w:ascii="Arial" w:hAnsi="Arial" w:cs="Arial"/>
          <w:b/>
          <w:sz w:val="24"/>
          <w:szCs w:val="24"/>
        </w:rPr>
        <w:t>II. CONSIDERACIONES DE LA SALA</w:t>
      </w:r>
    </w:p>
    <w:p w14:paraId="67CA70AB" w14:textId="77777777" w:rsidR="005F25EB" w:rsidRPr="00C234A4" w:rsidRDefault="005F25EB" w:rsidP="003B717E">
      <w:pPr>
        <w:spacing w:line="360" w:lineRule="auto"/>
        <w:jc w:val="both"/>
        <w:rPr>
          <w:rFonts w:ascii="Arial" w:hAnsi="Arial" w:cs="Arial"/>
          <w:sz w:val="24"/>
          <w:szCs w:val="24"/>
        </w:rPr>
      </w:pPr>
    </w:p>
    <w:p w14:paraId="5C514DA0" w14:textId="77777777" w:rsidR="005F25EB" w:rsidRPr="00C234A4" w:rsidRDefault="005F25EB" w:rsidP="003B717E">
      <w:pPr>
        <w:pStyle w:val="Textoindependiente21"/>
        <w:spacing w:line="360" w:lineRule="auto"/>
        <w:rPr>
          <w:b/>
          <w:szCs w:val="24"/>
        </w:rPr>
      </w:pPr>
      <w:r w:rsidRPr="00C234A4">
        <w:rPr>
          <w:rFonts w:eastAsia="Arial Unicode MS"/>
          <w:b/>
          <w:szCs w:val="24"/>
        </w:rPr>
        <w:t>1.</w:t>
      </w:r>
      <w:r w:rsidRPr="00C234A4">
        <w:rPr>
          <w:b/>
          <w:szCs w:val="24"/>
        </w:rPr>
        <w:t xml:space="preserve"> Competencia </w:t>
      </w:r>
    </w:p>
    <w:p w14:paraId="361BD67B" w14:textId="77777777" w:rsidR="005F25EB" w:rsidRPr="00C234A4" w:rsidRDefault="005F25EB" w:rsidP="003B717E">
      <w:pPr>
        <w:pStyle w:val="Textoindependiente21"/>
        <w:spacing w:line="360" w:lineRule="auto"/>
        <w:rPr>
          <w:szCs w:val="24"/>
        </w:rPr>
      </w:pPr>
    </w:p>
    <w:p w14:paraId="650000FA" w14:textId="77777777" w:rsidR="005F25EB" w:rsidRPr="00C234A4" w:rsidRDefault="005F25EB" w:rsidP="003B717E">
      <w:pPr>
        <w:pStyle w:val="Textoindependiente21"/>
        <w:spacing w:line="360" w:lineRule="auto"/>
        <w:rPr>
          <w:szCs w:val="24"/>
        </w:rPr>
      </w:pPr>
      <w:r w:rsidRPr="00C234A4">
        <w:rPr>
          <w:szCs w:val="24"/>
        </w:rPr>
        <w:t>La Sala es competente para conocer del presente asunto, en razón del recurso de apelación interpuesto por la parte demandante contra la sentencia de primera instancia, dado que la cuantía de las pretensiones alcanza la exigida en vigencia de la Ley 446 de 1998</w:t>
      </w:r>
      <w:r w:rsidRPr="00C234A4">
        <w:rPr>
          <w:rStyle w:val="Refdenotaalpie"/>
          <w:rFonts w:eastAsia="Calibri"/>
          <w:szCs w:val="24"/>
        </w:rPr>
        <w:footnoteReference w:id="4"/>
      </w:r>
      <w:r w:rsidRPr="00C234A4">
        <w:rPr>
          <w:szCs w:val="24"/>
        </w:rPr>
        <w:t>, para que un proceso adelantado en ejercicio de la acción de reparación directa tuviera vocación de segunda instancia ante esta Corporación.</w:t>
      </w:r>
    </w:p>
    <w:p w14:paraId="4C325DEC" w14:textId="77777777" w:rsidR="005F25EB" w:rsidRPr="00C234A4" w:rsidRDefault="005F25EB" w:rsidP="003B717E">
      <w:pPr>
        <w:pStyle w:val="Textonotapie"/>
        <w:spacing w:line="360" w:lineRule="auto"/>
        <w:rPr>
          <w:rFonts w:cs="Arial"/>
          <w:b/>
          <w:sz w:val="24"/>
          <w:szCs w:val="24"/>
          <w:lang w:val="es-CO"/>
        </w:rPr>
      </w:pPr>
      <w:bookmarkStart w:id="1" w:name="131254e0b6aa58c6__ftnref1"/>
    </w:p>
    <w:p w14:paraId="4349FE2D" w14:textId="77777777" w:rsidR="005F25EB" w:rsidRPr="00C234A4" w:rsidRDefault="005F25EB" w:rsidP="003B717E">
      <w:pPr>
        <w:pStyle w:val="Textonotapie"/>
        <w:spacing w:line="360" w:lineRule="auto"/>
        <w:rPr>
          <w:rFonts w:cs="Arial"/>
          <w:b/>
          <w:sz w:val="24"/>
          <w:szCs w:val="24"/>
        </w:rPr>
      </w:pPr>
      <w:r w:rsidRPr="00C234A4">
        <w:rPr>
          <w:rFonts w:cs="Arial"/>
          <w:b/>
          <w:sz w:val="24"/>
          <w:szCs w:val="24"/>
          <w:lang w:val="es-CO"/>
        </w:rPr>
        <w:t xml:space="preserve">2. </w:t>
      </w:r>
      <w:r w:rsidRPr="00C234A4">
        <w:rPr>
          <w:rFonts w:cs="Arial"/>
          <w:b/>
          <w:sz w:val="24"/>
          <w:szCs w:val="24"/>
        </w:rPr>
        <w:t>Problema jurídico</w:t>
      </w:r>
    </w:p>
    <w:p w14:paraId="08A8DD37" w14:textId="77777777" w:rsidR="005F25EB" w:rsidRPr="00C234A4" w:rsidRDefault="005F25EB" w:rsidP="003B717E">
      <w:pPr>
        <w:pStyle w:val="Textonotapie"/>
        <w:spacing w:line="360" w:lineRule="auto"/>
        <w:rPr>
          <w:rFonts w:cs="Arial"/>
          <w:b/>
          <w:sz w:val="24"/>
          <w:szCs w:val="24"/>
        </w:rPr>
      </w:pPr>
    </w:p>
    <w:p w14:paraId="513B4ACA" w14:textId="77777777" w:rsidR="005F25EB" w:rsidRPr="00C234A4" w:rsidRDefault="005F25EB" w:rsidP="003B717E">
      <w:pPr>
        <w:spacing w:line="360" w:lineRule="auto"/>
        <w:jc w:val="both"/>
        <w:rPr>
          <w:rFonts w:ascii="Arial" w:hAnsi="Arial" w:cs="Arial"/>
          <w:i/>
          <w:sz w:val="24"/>
          <w:szCs w:val="24"/>
        </w:rPr>
      </w:pPr>
      <w:r w:rsidRPr="00C234A4">
        <w:rPr>
          <w:rFonts w:ascii="Arial" w:hAnsi="Arial" w:cs="Arial"/>
          <w:sz w:val="24"/>
          <w:szCs w:val="24"/>
        </w:rPr>
        <w:t>Corresponde a la Sala resolver el recurso de apelación, en orden a determinar si la demanda presentada por los daños causados al señor Jesús Antonio Roa Bonilla, con motivo de la puesta en funcionamiento del embalse de</w:t>
      </w:r>
      <w:r w:rsidRPr="00C234A4">
        <w:rPr>
          <w:rFonts w:ascii="Arial" w:hAnsi="Arial" w:cs="Arial"/>
          <w:color w:val="FF0000"/>
          <w:sz w:val="24"/>
          <w:szCs w:val="24"/>
        </w:rPr>
        <w:t xml:space="preserve"> </w:t>
      </w:r>
      <w:r w:rsidRPr="00C234A4">
        <w:rPr>
          <w:rFonts w:ascii="Arial" w:hAnsi="Arial" w:cs="Arial"/>
          <w:sz w:val="24"/>
          <w:szCs w:val="24"/>
        </w:rPr>
        <w:t>Chivor, satisface los presupuestos procesales de la acción, en especial el relativo a la demanda en tiempo establecido en el artículo  136 del Código Contencioso Administrativo.</w:t>
      </w:r>
    </w:p>
    <w:p w14:paraId="6AB10FFB" w14:textId="77777777" w:rsidR="005F25EB" w:rsidRPr="00C234A4" w:rsidRDefault="005F25EB" w:rsidP="003B717E">
      <w:pPr>
        <w:spacing w:line="360" w:lineRule="auto"/>
        <w:jc w:val="both"/>
        <w:rPr>
          <w:rFonts w:ascii="Arial" w:hAnsi="Arial" w:cs="Arial"/>
          <w:sz w:val="24"/>
          <w:szCs w:val="24"/>
        </w:rPr>
      </w:pPr>
    </w:p>
    <w:p w14:paraId="25BEFFE7" w14:textId="77777777" w:rsidR="005F25EB" w:rsidRPr="00C234A4" w:rsidRDefault="005F25EB" w:rsidP="003B717E">
      <w:pPr>
        <w:spacing w:line="360" w:lineRule="auto"/>
        <w:jc w:val="both"/>
        <w:rPr>
          <w:rFonts w:ascii="Arial" w:hAnsi="Arial" w:cs="Arial"/>
          <w:b/>
          <w:sz w:val="24"/>
          <w:szCs w:val="24"/>
        </w:rPr>
      </w:pPr>
      <w:r w:rsidRPr="00C234A4">
        <w:rPr>
          <w:rFonts w:ascii="Arial" w:hAnsi="Arial" w:cs="Arial"/>
          <w:b/>
          <w:sz w:val="24"/>
          <w:szCs w:val="24"/>
        </w:rPr>
        <w:t>3</w:t>
      </w:r>
      <w:r w:rsidRPr="00C234A4">
        <w:rPr>
          <w:rFonts w:ascii="Arial" w:hAnsi="Arial" w:cs="Arial"/>
          <w:sz w:val="24"/>
          <w:szCs w:val="24"/>
        </w:rPr>
        <w:t>.</w:t>
      </w:r>
      <w:r w:rsidRPr="00C234A4">
        <w:rPr>
          <w:rFonts w:ascii="Arial" w:hAnsi="Arial" w:cs="Arial"/>
          <w:b/>
          <w:bCs/>
          <w:sz w:val="24"/>
          <w:szCs w:val="24"/>
          <w:lang w:val="es-MX"/>
        </w:rPr>
        <w:t xml:space="preserve"> </w:t>
      </w:r>
      <w:r w:rsidRPr="00C234A4">
        <w:rPr>
          <w:rFonts w:ascii="Arial" w:hAnsi="Arial" w:cs="Arial"/>
          <w:b/>
          <w:sz w:val="24"/>
          <w:szCs w:val="24"/>
        </w:rPr>
        <w:t>Análisis del Caso</w:t>
      </w:r>
    </w:p>
    <w:p w14:paraId="2B6C1417" w14:textId="77777777" w:rsidR="005F25EB" w:rsidRPr="00C234A4" w:rsidRDefault="005F25EB" w:rsidP="003B717E">
      <w:pPr>
        <w:spacing w:line="360" w:lineRule="auto"/>
        <w:jc w:val="both"/>
        <w:rPr>
          <w:rFonts w:ascii="Arial" w:hAnsi="Arial" w:cs="Arial"/>
          <w:b/>
          <w:sz w:val="24"/>
          <w:szCs w:val="24"/>
        </w:rPr>
      </w:pPr>
    </w:p>
    <w:p w14:paraId="6C4B81A8" w14:textId="77777777" w:rsidR="005F25EB" w:rsidRPr="00C234A4" w:rsidRDefault="005F25EB" w:rsidP="003B717E">
      <w:pPr>
        <w:spacing w:line="360" w:lineRule="auto"/>
        <w:jc w:val="both"/>
        <w:rPr>
          <w:rFonts w:ascii="Arial" w:hAnsi="Arial" w:cs="Arial"/>
          <w:b/>
          <w:sz w:val="24"/>
          <w:szCs w:val="24"/>
        </w:rPr>
      </w:pPr>
      <w:r w:rsidRPr="00C234A4">
        <w:rPr>
          <w:rFonts w:ascii="Arial" w:hAnsi="Arial" w:cs="Arial"/>
          <w:b/>
          <w:sz w:val="24"/>
          <w:szCs w:val="24"/>
        </w:rPr>
        <w:t xml:space="preserve">3.1. Hechos probados </w:t>
      </w:r>
    </w:p>
    <w:p w14:paraId="27B9F8ED" w14:textId="77777777" w:rsidR="005F25EB" w:rsidRPr="00C234A4" w:rsidRDefault="005F25EB" w:rsidP="003B717E">
      <w:pPr>
        <w:spacing w:line="360" w:lineRule="auto"/>
        <w:jc w:val="both"/>
        <w:rPr>
          <w:rFonts w:ascii="Arial" w:hAnsi="Arial" w:cs="Arial"/>
          <w:b/>
          <w:sz w:val="24"/>
          <w:szCs w:val="24"/>
        </w:rPr>
      </w:pPr>
    </w:p>
    <w:p w14:paraId="248F6F58"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lastRenderedPageBreak/>
        <w:t>En el proceso se pueden tener por probados los siguientes hechos relevantes para la solución de la impugnación</w:t>
      </w:r>
      <w:r w:rsidRPr="00C234A4">
        <w:rPr>
          <w:rStyle w:val="Refdenotaalpie"/>
          <w:rFonts w:ascii="Arial" w:hAnsi="Arial" w:cs="Arial"/>
          <w:sz w:val="24"/>
          <w:szCs w:val="24"/>
        </w:rPr>
        <w:footnoteReference w:id="5"/>
      </w:r>
      <w:r w:rsidRPr="00C234A4">
        <w:rPr>
          <w:rFonts w:ascii="Arial" w:hAnsi="Arial" w:cs="Arial"/>
          <w:sz w:val="24"/>
          <w:szCs w:val="24"/>
        </w:rPr>
        <w:t>:</w:t>
      </w:r>
    </w:p>
    <w:p w14:paraId="2DAF553E" w14:textId="77777777" w:rsidR="005F25EB" w:rsidRPr="00C234A4" w:rsidRDefault="005F25EB" w:rsidP="003B717E">
      <w:pPr>
        <w:spacing w:line="360" w:lineRule="auto"/>
        <w:jc w:val="both"/>
        <w:rPr>
          <w:rFonts w:ascii="Arial" w:hAnsi="Arial" w:cs="Arial"/>
          <w:sz w:val="24"/>
          <w:szCs w:val="24"/>
        </w:rPr>
      </w:pPr>
    </w:p>
    <w:p w14:paraId="3A65EFEF"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3.1.1 El 27 de febrero de 1984, el señor Jesús Antonio Roa formuló demanda contra la empresa Interconexión Eléctrica por la ocupación y los perjuicios que generó el cambio de trazado de la carretera que del sector de las Juntas conducía al municipio de Almeida, realizado con motivo de la construcción de la represa Chivor. Esta Corporación negó  la pretensión por ocupación permanente, en tanto se demostró que la franja ocupada por la carretera fue objeto de negociación directa y accedió al pago de los  perjuicios ocasionados al predio, básicamente los costos de recuperación de su capacidad productiva y lo dejado de percibir (fls. 193 a 205 y 206 a 214, c.1)</w:t>
      </w:r>
      <w:r w:rsidRPr="00C234A4">
        <w:rPr>
          <w:rStyle w:val="Refdenotaalpie"/>
          <w:rFonts w:ascii="Arial" w:hAnsi="Arial" w:cs="Arial"/>
          <w:sz w:val="24"/>
          <w:szCs w:val="24"/>
        </w:rPr>
        <w:footnoteReference w:id="6"/>
      </w:r>
      <w:r w:rsidRPr="00C234A4">
        <w:rPr>
          <w:rFonts w:ascii="Arial" w:hAnsi="Arial" w:cs="Arial"/>
          <w:sz w:val="24"/>
          <w:szCs w:val="24"/>
        </w:rPr>
        <w:t xml:space="preserve">. </w:t>
      </w:r>
    </w:p>
    <w:p w14:paraId="73B27771" w14:textId="77777777" w:rsidR="005F25EB" w:rsidRPr="00C234A4" w:rsidRDefault="005F25EB" w:rsidP="003B717E">
      <w:pPr>
        <w:spacing w:line="360" w:lineRule="auto"/>
        <w:jc w:val="both"/>
        <w:rPr>
          <w:rFonts w:ascii="Arial" w:hAnsi="Arial" w:cs="Arial"/>
          <w:sz w:val="24"/>
          <w:szCs w:val="24"/>
        </w:rPr>
      </w:pPr>
    </w:p>
    <w:p w14:paraId="209D1F2A"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3.1.2 El 4 de diciembre de 1986</w:t>
      </w:r>
      <w:r w:rsidRPr="00C234A4">
        <w:rPr>
          <w:rStyle w:val="Refdenotaalpie"/>
          <w:rFonts w:ascii="Arial" w:hAnsi="Arial" w:cs="Arial"/>
          <w:sz w:val="24"/>
          <w:szCs w:val="24"/>
        </w:rPr>
        <w:footnoteReference w:id="7"/>
      </w:r>
      <w:r w:rsidRPr="00C234A4">
        <w:rPr>
          <w:rFonts w:ascii="Arial" w:hAnsi="Arial" w:cs="Arial"/>
          <w:sz w:val="24"/>
          <w:szCs w:val="24"/>
        </w:rPr>
        <w:t xml:space="preserve">, el señor Jesús Antonio Roa Bonilla se dirigió al gerente de Interconexión Eléctrica S.A  con el fin de ponerle de presente los daños producidos a su propiedad con ocasión de la operación del embalse Chivor: </w:t>
      </w:r>
    </w:p>
    <w:p w14:paraId="46C16480" w14:textId="77777777" w:rsidR="005F25EB" w:rsidRPr="00C234A4" w:rsidRDefault="005F25EB" w:rsidP="003B717E">
      <w:pPr>
        <w:spacing w:line="360" w:lineRule="auto"/>
        <w:jc w:val="both"/>
        <w:rPr>
          <w:rFonts w:ascii="Arial" w:hAnsi="Arial" w:cs="Arial"/>
          <w:b/>
          <w:sz w:val="24"/>
          <w:szCs w:val="24"/>
        </w:rPr>
      </w:pPr>
    </w:p>
    <w:p w14:paraId="04395EF7"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“Por medio de la presente, quiero manifestarle y poner en su conocimiento la situación que enfrentamos a causa del Embalse Chivor, que inunda  parte de nuestra finca situada en la vereda de Boya Segunda de Somondoco y que a causa del deslizamiento que está ocasionando al terreno desde hace varios años, nuestra casa de habitación se agrietó y </w:t>
      </w:r>
      <w:r w:rsidRPr="00C234A4">
        <w:rPr>
          <w:rFonts w:ascii="Arial" w:hAnsi="Arial" w:cs="Arial"/>
          <w:sz w:val="24"/>
          <w:szCs w:val="24"/>
        </w:rPr>
        <w:t>(sic)</w:t>
      </w:r>
      <w:r w:rsidRPr="00C234A4">
        <w:rPr>
          <w:rFonts w:ascii="Arial" w:hAnsi="Arial" w:cs="Arial"/>
          <w:i/>
          <w:sz w:val="24"/>
          <w:szCs w:val="24"/>
        </w:rPr>
        <w:t xml:space="preserve"> en peligro de derrumbarse con peligro para nuestras vidas, ante esta situación nos vimos en la necesidad de construir una nueva casa para vivir sin peligro.</w:t>
      </w:r>
    </w:p>
    <w:p w14:paraId="27FCE2C1" w14:textId="77777777" w:rsidR="005F25EB" w:rsidRPr="00C234A4" w:rsidRDefault="005F25EB" w:rsidP="003B717E">
      <w:pPr>
        <w:ind w:left="567"/>
        <w:jc w:val="both"/>
        <w:rPr>
          <w:rFonts w:ascii="Arial" w:hAnsi="Arial" w:cs="Arial"/>
          <w:i/>
          <w:sz w:val="24"/>
          <w:szCs w:val="24"/>
        </w:rPr>
      </w:pPr>
    </w:p>
    <w:p w14:paraId="2B93C25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Hace aproximadamente año y medio que se construyó la nueva casa con sus buenas bases, vigas de amarre y con el fin de prevenir que se destruyera a causa de los deslizamiento por el embalse y hoy vemos con angustia que nuestra casa se agrietó por distintas partes con el consiguiente peligro que encara para nuestras vidas y nuestra economía, es por esto señor gerente que acudo a usted para que se le dé solución a esta grave situación y a otros hechos que estamos afrontando a raíz  de la construcción de la represa de Chivor.</w:t>
      </w:r>
    </w:p>
    <w:p w14:paraId="5E93F865" w14:textId="77777777" w:rsidR="005F25EB" w:rsidRPr="00C234A4" w:rsidRDefault="005F25EB" w:rsidP="003B717E">
      <w:pPr>
        <w:ind w:left="567"/>
        <w:jc w:val="both"/>
        <w:rPr>
          <w:rFonts w:ascii="Arial" w:hAnsi="Arial" w:cs="Arial"/>
          <w:i/>
          <w:sz w:val="24"/>
          <w:szCs w:val="24"/>
        </w:rPr>
      </w:pPr>
    </w:p>
    <w:p w14:paraId="6DAD24A3"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lastRenderedPageBreak/>
        <w:t xml:space="preserve">Solicito muy respetuosamente  señor gerente el envío de una persona con poder decisorio para que constate personalmente sobre los hechos que acá denuncie y que nos dé una pronta respuesta y positiva solución a nuestra angustiosa situación…” </w:t>
      </w:r>
      <w:r w:rsidRPr="00C234A4">
        <w:rPr>
          <w:rFonts w:ascii="Arial" w:hAnsi="Arial" w:cs="Arial"/>
          <w:sz w:val="24"/>
          <w:szCs w:val="24"/>
        </w:rPr>
        <w:t>(fl. 96, c.11).</w:t>
      </w:r>
    </w:p>
    <w:p w14:paraId="26637B46" w14:textId="77777777" w:rsidR="005F25EB" w:rsidRPr="00C234A4" w:rsidRDefault="005F25EB" w:rsidP="003B717E">
      <w:pPr>
        <w:spacing w:line="360" w:lineRule="auto"/>
        <w:jc w:val="both"/>
        <w:rPr>
          <w:rFonts w:ascii="Arial" w:hAnsi="Arial" w:cs="Arial"/>
          <w:b/>
          <w:sz w:val="24"/>
          <w:szCs w:val="24"/>
        </w:rPr>
      </w:pPr>
    </w:p>
    <w:p w14:paraId="517D0239"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 xml:space="preserve">3.1.3 El 10 de octubre de 1987, el Juzgado Promiscuo Municipal de Somondoco  dentro del proceso de sucesión del </w:t>
      </w:r>
      <w:r w:rsidRPr="00C234A4">
        <w:rPr>
          <w:rFonts w:ascii="Arial" w:hAnsi="Arial" w:cs="Arial"/>
          <w:i/>
          <w:sz w:val="24"/>
          <w:szCs w:val="24"/>
        </w:rPr>
        <w:t>de cujus</w:t>
      </w:r>
      <w:r w:rsidRPr="00C234A4">
        <w:rPr>
          <w:rFonts w:ascii="Arial" w:hAnsi="Arial" w:cs="Arial"/>
          <w:sz w:val="24"/>
          <w:szCs w:val="24"/>
        </w:rPr>
        <w:t xml:space="preserve"> Marco Antonio Rojas adjudicó el predio La Unión a  la señora María Elvinia Bonilla viuda de Roa y al señor Jesús Antonio Roa Bonilla (anotación n.º 2  de 3 de marzo de 1988 -  certificado de tradición y libertad - fl. 8 vto. c.1). </w:t>
      </w:r>
    </w:p>
    <w:p w14:paraId="43CB1DB9" w14:textId="77777777" w:rsidR="005F25EB" w:rsidRPr="00C234A4" w:rsidRDefault="005F25EB" w:rsidP="003B717E">
      <w:pPr>
        <w:spacing w:line="360" w:lineRule="auto"/>
        <w:jc w:val="both"/>
        <w:rPr>
          <w:rFonts w:ascii="Arial" w:hAnsi="Arial" w:cs="Arial"/>
          <w:sz w:val="24"/>
          <w:szCs w:val="24"/>
        </w:rPr>
      </w:pPr>
    </w:p>
    <w:p w14:paraId="624013F4"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 xml:space="preserve">3.1.4 El 13 de mayo de 1988, la Procuraduría Agraria Zona III de Tunja  por solicitud del señor Jesús Antonio Roa Bonilla instó a la empresa Interconexión Eléctrica para que cancele  al señor Jesús  Antonio  Roa Bonilla la indemnización por los presuntos daños que se le ocasionaron a su casa de habitación por los movimientos ocasionados con la puesta en funcionamiento del embalse Chivor. </w:t>
      </w:r>
    </w:p>
    <w:p w14:paraId="4F4A57FF" w14:textId="77777777" w:rsidR="005F25EB" w:rsidRPr="00C234A4" w:rsidRDefault="005F25EB" w:rsidP="003B717E">
      <w:pPr>
        <w:spacing w:line="360" w:lineRule="auto"/>
        <w:jc w:val="both"/>
        <w:rPr>
          <w:rFonts w:ascii="Arial" w:hAnsi="Arial" w:cs="Arial"/>
          <w:sz w:val="24"/>
          <w:szCs w:val="24"/>
        </w:rPr>
      </w:pPr>
    </w:p>
    <w:p w14:paraId="721EC21A"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3.1.5 El 17 de junio siguiente, la empresa demandada dio respuesta a la anterior petición. En sus palabras:</w:t>
      </w:r>
    </w:p>
    <w:p w14:paraId="210951F0" w14:textId="77777777" w:rsidR="005F25EB" w:rsidRPr="00C234A4" w:rsidRDefault="005F25EB" w:rsidP="003B717E">
      <w:pPr>
        <w:spacing w:line="360" w:lineRule="auto"/>
        <w:jc w:val="both"/>
        <w:rPr>
          <w:rFonts w:ascii="Arial" w:hAnsi="Arial" w:cs="Arial"/>
          <w:sz w:val="24"/>
          <w:szCs w:val="24"/>
        </w:rPr>
      </w:pPr>
    </w:p>
    <w:p w14:paraId="7D992CA4"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“…es cierta la observación de la Procuraduría  en el sentido de que esta oficina con fecha 14 de abril del año en curso expresó al señor Jesús Antonio  Roa B. que ISA no reconocería pago alguno por los daños presentados a la construcción de éste, por cuando de un estudio realizado  en el predio</w:t>
      </w:r>
      <w:r w:rsidRPr="00C234A4">
        <w:rPr>
          <w:rStyle w:val="Refdenotaalpie"/>
          <w:rFonts w:ascii="Arial" w:hAnsi="Arial" w:cs="Arial"/>
          <w:i/>
          <w:sz w:val="24"/>
          <w:szCs w:val="24"/>
        </w:rPr>
        <w:footnoteReference w:id="8"/>
      </w:r>
      <w:r w:rsidRPr="00C234A4">
        <w:rPr>
          <w:rFonts w:ascii="Arial" w:hAnsi="Arial" w:cs="Arial"/>
          <w:i/>
          <w:sz w:val="24"/>
          <w:szCs w:val="24"/>
        </w:rPr>
        <w:t xml:space="preserve">  se </w:t>
      </w:r>
      <w:r w:rsidRPr="00C234A4">
        <w:rPr>
          <w:rFonts w:ascii="Arial" w:hAnsi="Arial" w:cs="Arial"/>
          <w:i/>
          <w:sz w:val="24"/>
          <w:szCs w:val="24"/>
        </w:rPr>
        <w:lastRenderedPageBreak/>
        <w:t>desprendía que la situación denunciada obedecía a un proceso natural ligado a las características  de la ladera, en un todo independiente de las obras  de la empresa Interconexión Eléctrica S.A.</w:t>
      </w:r>
    </w:p>
    <w:p w14:paraId="78528237" w14:textId="77777777" w:rsidR="005F25EB" w:rsidRPr="00C234A4" w:rsidRDefault="005F25EB" w:rsidP="003B717E">
      <w:pPr>
        <w:ind w:left="567"/>
        <w:jc w:val="both"/>
        <w:rPr>
          <w:rFonts w:ascii="Arial" w:hAnsi="Arial" w:cs="Arial"/>
          <w:i/>
          <w:sz w:val="24"/>
          <w:szCs w:val="24"/>
        </w:rPr>
      </w:pPr>
    </w:p>
    <w:p w14:paraId="105A74E4"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4. Se estima respetuosamente que no es acertada, la conclusión a que llega ese despacho en el punto cuarto del oficio 038, pues allí se está deduciendo una relación de causalidad partiendo de supuestos alejados de la realidad. En efecto, en la comunicación remitida al señor Roa, se expresó por ISA que los daños obedecieron a un proceso natural </w:t>
      </w:r>
      <w:r w:rsidRPr="00C234A4">
        <w:rPr>
          <w:rFonts w:ascii="Arial" w:hAnsi="Arial" w:cs="Arial"/>
          <w:i/>
          <w:sz w:val="24"/>
          <w:szCs w:val="24"/>
          <w:u w:val="single"/>
        </w:rPr>
        <w:t>o de la naturaleza</w:t>
      </w:r>
      <w:r w:rsidRPr="00C234A4">
        <w:rPr>
          <w:rFonts w:ascii="Arial" w:hAnsi="Arial" w:cs="Arial"/>
          <w:i/>
          <w:sz w:val="24"/>
          <w:szCs w:val="24"/>
        </w:rPr>
        <w:t>,  ligado a las características de la ladera, con lo cual se estaba manifestando en la zona donde se encuentra ubicado el inmueble en mención se presentan fenómenos de inestabilidad superficiaria naturales y ajenos a ISA, por no tener relación alguna con las obras realizadas por la empresa. Atenta contra la lógica que se asuma una responsabilidad por una persona natural o jurídica por hechos o circunstancias extrañas a su conducta o proceder. Entonces, no existe relación de causalidad entre Interconexión Eléctrica y los daños aludidos por el quejoso.</w:t>
      </w:r>
    </w:p>
    <w:p w14:paraId="7942FA82" w14:textId="77777777" w:rsidR="005F25EB" w:rsidRPr="00C234A4" w:rsidRDefault="005F25EB" w:rsidP="003B717E">
      <w:pPr>
        <w:ind w:left="567"/>
        <w:jc w:val="both"/>
        <w:rPr>
          <w:rFonts w:ascii="Arial" w:hAnsi="Arial" w:cs="Arial"/>
          <w:i/>
          <w:sz w:val="24"/>
          <w:szCs w:val="24"/>
        </w:rPr>
      </w:pPr>
    </w:p>
    <w:p w14:paraId="19914976"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5. Ahora bien, no tiene ningún fundamento en la realidad, ni respaldo probatorio la temeraria afirmación del señor Jesús A. Roa  de que la empresa ISA es responsable del desalojo de su primera vivienda. Realmente es sorprendente que exista la posibilidad de lanzar este tipo de acusaciones sin responsabilidad alguna </w:t>
      </w:r>
      <w:r w:rsidRPr="00C234A4">
        <w:rPr>
          <w:rFonts w:ascii="Arial" w:hAnsi="Arial" w:cs="Arial"/>
          <w:sz w:val="24"/>
          <w:szCs w:val="24"/>
        </w:rPr>
        <w:t>(fls. 53 a 55, c.2).</w:t>
      </w:r>
    </w:p>
    <w:p w14:paraId="75BBEDA2" w14:textId="77777777" w:rsidR="005F25EB" w:rsidRPr="00C234A4" w:rsidRDefault="005F25EB" w:rsidP="003B717E">
      <w:pPr>
        <w:spacing w:line="360" w:lineRule="auto"/>
        <w:jc w:val="both"/>
        <w:rPr>
          <w:rFonts w:ascii="Arial" w:hAnsi="Arial" w:cs="Arial"/>
          <w:sz w:val="24"/>
          <w:szCs w:val="24"/>
        </w:rPr>
      </w:pPr>
    </w:p>
    <w:p w14:paraId="459861C7"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3.1.6 El 24 de mayo de 1989, el señor Roa Bonilla compró a la señora María Elvinia Bonilla viuda de Roa su participación en el predio La Unión, consolidando a su favor el total de la propiedad (anotación n.º 4 del certificado de tradición y libertad – fl. 8 vto. c.1)</w:t>
      </w:r>
    </w:p>
    <w:p w14:paraId="01EBE7F0" w14:textId="77777777" w:rsidR="005F25EB" w:rsidRPr="00C234A4" w:rsidRDefault="005F25EB" w:rsidP="003B717E">
      <w:pPr>
        <w:spacing w:line="360" w:lineRule="auto"/>
        <w:jc w:val="both"/>
        <w:rPr>
          <w:rFonts w:ascii="Arial" w:hAnsi="Arial" w:cs="Arial"/>
          <w:sz w:val="24"/>
          <w:szCs w:val="24"/>
        </w:rPr>
      </w:pPr>
    </w:p>
    <w:p w14:paraId="522D9118"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3.1.7 El señor Jesús Antonio Roa Bonilla fue citado por el tribunal a interrogatorio de parte, al ser preguntado por la época en que ocurrieron los daños por los que demanda contestó:</w:t>
      </w:r>
    </w:p>
    <w:p w14:paraId="39241452" w14:textId="77777777" w:rsidR="005F25EB" w:rsidRPr="00C234A4" w:rsidRDefault="005F25EB" w:rsidP="003B717E">
      <w:pPr>
        <w:spacing w:line="360" w:lineRule="auto"/>
        <w:jc w:val="both"/>
        <w:rPr>
          <w:rFonts w:ascii="Arial" w:hAnsi="Arial" w:cs="Arial"/>
          <w:sz w:val="24"/>
          <w:szCs w:val="24"/>
        </w:rPr>
      </w:pPr>
    </w:p>
    <w:p w14:paraId="382C6D06"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lastRenderedPageBreak/>
        <w:t>“…La empresa ISA me ha obligado a iniciar dos procesos</w:t>
      </w:r>
      <w:r w:rsidRPr="00C234A4">
        <w:rPr>
          <w:rStyle w:val="Refdenotaalpie"/>
          <w:rFonts w:ascii="Arial" w:hAnsi="Arial" w:cs="Arial"/>
          <w:i/>
          <w:sz w:val="24"/>
          <w:szCs w:val="24"/>
        </w:rPr>
        <w:footnoteReference w:id="9"/>
      </w:r>
      <w:r w:rsidRPr="00C234A4">
        <w:rPr>
          <w:rFonts w:ascii="Arial" w:hAnsi="Arial" w:cs="Arial"/>
          <w:i/>
          <w:sz w:val="24"/>
          <w:szCs w:val="24"/>
        </w:rPr>
        <w:t xml:space="preserve"> como consecuencia de la ocupación cuando comenzaron las obras de la represa de Chivor sobre la construcción de una carretera de reposición que atravesó toda la propiedad y del proceso ya hubo sentencia, confirmada inclusive por parte de la misma o sea por ISA,  donde fueron pagados los perjuicios únicamente y exclusivamente  por la franja de la carretera sin pagar el terreno, adjuntaré fotocopia  sobre la confirmación de la misma empresa,  pero con las consecuencias del embalse que cubrió parte de la propiedad y estando está dentro de toda el área o zona del embalse sumados al represamiento de la quebrada La Cuya, que impedía continuar su curse natural,  ha producido una socavación y desestabilización del resto de la propiedad afectando principalmente las viviendas, primero lo que usualmente teníamos y que al tiempo del llenado del embalse empezó a destruirse con lo cual me vi obligado a construir una nueva, con materiales modernos, viga de amarre, varilla, cemento, sin imaginar las consecuencias que irían a suceder al poco tiempo empezó su destrucción también la casa nueva, peligro al cual fue sometido y estoy sometido aun, ya que no cuento con los medios para construir una nueva casa ni para reubicarme…PREGUNTADO: Precisando su respuesta anterior, sírvase detallar al Juzgado cuáles fueron los daños o perjuicios reclamados en el proceso que usted manifiesta ya fue  decidido judicialmente y pagados por la empresa. CONTESTÓ: Los perjuicios reclamados  y reconocidos dentro del proceso  anterior, se relacionan única y exclusivamente sobre la franja de carretera, sin incluir  ni las viviendas ni una enramada con su trapiche  como ya lo dije antes y en un interrogatorio anterior también lo dije, y del cual adjunto copia…</w:t>
      </w:r>
      <w:r w:rsidRPr="00C234A4">
        <w:rPr>
          <w:rStyle w:val="Refdenotaalpie"/>
          <w:rFonts w:ascii="Arial" w:hAnsi="Arial" w:cs="Arial"/>
          <w:i/>
          <w:sz w:val="24"/>
          <w:szCs w:val="24"/>
        </w:rPr>
        <w:footnoteReference w:id="10"/>
      </w:r>
      <w:r w:rsidRPr="00C234A4">
        <w:rPr>
          <w:rFonts w:ascii="Arial" w:hAnsi="Arial" w:cs="Arial"/>
          <w:i/>
          <w:sz w:val="24"/>
          <w:szCs w:val="24"/>
        </w:rPr>
        <w:t xml:space="preserve">PREGUNTADO: En el proceso según sus respuestas anteriores usted está reclamando la ocurrencia de perjuicios en dos viviendas, una enrramada y trapiche y daños en el terreno colindante con la quebrada La Cuya. Sírvase manifestar al juzgado cuando ocurrieron los perjuicios que usted ha relacionado. CONTESTÓ: Después de llenado el embalse  aproximadamente en el año 1977 y 1978 no estoy muy seguro, empezó a subir el embalse, ya que la carretera había sido en el año setenta y dos o setenta y cuatro, ya hacía varios años de la carretera, por eso afirmó que después de llenado el embalse que cubrió parte de la propiedad, comenzó la desestabilización del terreno por las causas anteriormente dichas, en el año setenta y siete empezó la primera casa a agrietarse, la primera vivienda antigua, la misma desestabilización empezó afectar la enrramada donde estaba el trapiche, ya que prácticamente era contiguo a la casa,  la segunda casa al poco tiempo de construida empezó a agrietarse y vemos hoy las </w:t>
      </w:r>
      <w:r w:rsidRPr="00C234A4">
        <w:rPr>
          <w:rFonts w:ascii="Arial" w:hAnsi="Arial" w:cs="Arial"/>
          <w:i/>
          <w:sz w:val="24"/>
          <w:szCs w:val="24"/>
        </w:rPr>
        <w:lastRenderedPageBreak/>
        <w:t>consecuencias en que se encuentra de derrumbarse totalmente, esa vivienda por allí en el ochenta y ocho como consecuencia de la destrucción de la primera vivienda …(fls. 460 a 463, c.1)</w:t>
      </w:r>
      <w:r w:rsidRPr="00C234A4">
        <w:rPr>
          <w:rStyle w:val="Refdenotaalpie"/>
          <w:rFonts w:ascii="Arial" w:hAnsi="Arial" w:cs="Arial"/>
          <w:i/>
          <w:sz w:val="24"/>
          <w:szCs w:val="24"/>
        </w:rPr>
        <w:footnoteReference w:id="11"/>
      </w:r>
      <w:r w:rsidRPr="00C234A4">
        <w:rPr>
          <w:rFonts w:ascii="Arial" w:hAnsi="Arial" w:cs="Arial"/>
          <w:i/>
          <w:sz w:val="24"/>
          <w:szCs w:val="24"/>
        </w:rPr>
        <w:t>.</w:t>
      </w:r>
    </w:p>
    <w:p w14:paraId="1B5F53DA" w14:textId="77777777" w:rsidR="005F25EB" w:rsidRPr="00C234A4" w:rsidRDefault="005F25EB" w:rsidP="003B717E">
      <w:pPr>
        <w:spacing w:line="360" w:lineRule="auto"/>
        <w:jc w:val="both"/>
        <w:rPr>
          <w:rFonts w:ascii="Arial" w:hAnsi="Arial" w:cs="Arial"/>
          <w:sz w:val="24"/>
          <w:szCs w:val="24"/>
        </w:rPr>
      </w:pPr>
    </w:p>
    <w:p w14:paraId="33208F6A" w14:textId="77777777" w:rsidR="005F25EB" w:rsidRPr="00C234A4" w:rsidRDefault="005F25EB" w:rsidP="003B717E">
      <w:pPr>
        <w:spacing w:line="360" w:lineRule="auto"/>
        <w:jc w:val="both"/>
        <w:rPr>
          <w:rFonts w:ascii="Arial" w:hAnsi="Arial" w:cs="Arial"/>
          <w:b/>
          <w:sz w:val="24"/>
          <w:szCs w:val="24"/>
        </w:rPr>
      </w:pPr>
      <w:r w:rsidRPr="00C234A4">
        <w:rPr>
          <w:rFonts w:ascii="Arial" w:hAnsi="Arial" w:cs="Arial"/>
          <w:b/>
          <w:sz w:val="24"/>
          <w:szCs w:val="24"/>
        </w:rPr>
        <w:t>3.2 La prueba técnica aportada al proceso</w:t>
      </w:r>
      <w:r w:rsidRPr="00C234A4">
        <w:rPr>
          <w:rStyle w:val="Refdenotaalpie"/>
          <w:rFonts w:ascii="Arial" w:hAnsi="Arial" w:cs="Arial"/>
          <w:b/>
          <w:sz w:val="24"/>
          <w:szCs w:val="24"/>
        </w:rPr>
        <w:footnoteReference w:id="12"/>
      </w:r>
    </w:p>
    <w:p w14:paraId="032A9859"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Al proceso se aportó con el fin de demostrar las causas del deterioro que sufrieron los bienes del señor Roa Bonilla las siguientes pruebas:</w:t>
      </w:r>
    </w:p>
    <w:p w14:paraId="142342B6" w14:textId="77777777" w:rsidR="005F25EB" w:rsidRPr="00C234A4" w:rsidRDefault="005F25EB" w:rsidP="003B717E">
      <w:pPr>
        <w:spacing w:line="360" w:lineRule="auto"/>
        <w:jc w:val="both"/>
        <w:rPr>
          <w:rFonts w:ascii="Arial" w:hAnsi="Arial" w:cs="Arial"/>
          <w:b/>
          <w:sz w:val="24"/>
          <w:szCs w:val="24"/>
        </w:rPr>
      </w:pPr>
    </w:p>
    <w:p w14:paraId="27C2F253"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3.2.1</w:t>
      </w:r>
      <w:r w:rsidRPr="00C234A4">
        <w:rPr>
          <w:rFonts w:ascii="Arial" w:hAnsi="Arial" w:cs="Arial"/>
          <w:b/>
          <w:sz w:val="24"/>
          <w:szCs w:val="24"/>
        </w:rPr>
        <w:t xml:space="preserve">  </w:t>
      </w:r>
      <w:r w:rsidRPr="00C234A4">
        <w:rPr>
          <w:rFonts w:ascii="Arial" w:hAnsi="Arial" w:cs="Arial"/>
          <w:sz w:val="24"/>
          <w:szCs w:val="24"/>
        </w:rPr>
        <w:t>En el mes de septiembre de 1993, a solicitud del Ministerio de Minas y Energía, Ingeominas emitió el concepto técnico “</w:t>
      </w:r>
      <w:r w:rsidRPr="00C234A4">
        <w:rPr>
          <w:rFonts w:ascii="Arial" w:hAnsi="Arial" w:cs="Arial"/>
          <w:i/>
          <w:sz w:val="24"/>
          <w:szCs w:val="24"/>
        </w:rPr>
        <w:t>sobre la parte baja de la cuenta de la quebrada Cuya - finca de Jesús Antonio Roa - Embalse Chivor</w:t>
      </w:r>
      <w:r w:rsidRPr="00C234A4">
        <w:rPr>
          <w:rFonts w:ascii="Arial" w:hAnsi="Arial" w:cs="Arial"/>
          <w:sz w:val="24"/>
          <w:szCs w:val="24"/>
        </w:rPr>
        <w:t>”, en el informe se concluyó:</w:t>
      </w:r>
    </w:p>
    <w:p w14:paraId="7CD71917" w14:textId="77777777" w:rsidR="005F25EB" w:rsidRPr="00C234A4" w:rsidRDefault="005F25EB" w:rsidP="003B717E">
      <w:pPr>
        <w:spacing w:line="360" w:lineRule="auto"/>
        <w:jc w:val="both"/>
        <w:rPr>
          <w:rFonts w:ascii="Arial" w:hAnsi="Arial" w:cs="Arial"/>
          <w:sz w:val="24"/>
          <w:szCs w:val="24"/>
        </w:rPr>
      </w:pPr>
    </w:p>
    <w:p w14:paraId="62EA775F"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“…De la visita al sitio, de los resultados de las pruebas de laboratorio, de la información consultada y estudiada y de los análisis efectuados con las limitaciones técnicas de exploración y ensayos que se tuvieron, se pueden extraer las siguientes conclusiones:</w:t>
      </w:r>
    </w:p>
    <w:p w14:paraId="57F266A1" w14:textId="77777777" w:rsidR="005F25EB" w:rsidRPr="00C234A4" w:rsidRDefault="005F25EB" w:rsidP="003B717E">
      <w:pPr>
        <w:spacing w:line="360" w:lineRule="auto"/>
        <w:jc w:val="both"/>
        <w:rPr>
          <w:rFonts w:ascii="Arial" w:hAnsi="Arial" w:cs="Arial"/>
          <w:sz w:val="24"/>
          <w:szCs w:val="24"/>
        </w:rPr>
      </w:pPr>
    </w:p>
    <w:p w14:paraId="095816A4"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El valle de la quebrada Cuya es un valle sinclinal en cuya parte axial se encuentra ubicada la finca del señor Roa.</w:t>
      </w:r>
    </w:p>
    <w:p w14:paraId="1369577D"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Hacía la parte central de la estructura afloran parcialmente rocas lutitas arcillo-limosas de la formación Fómeque. En general las lutitas presentan un pobre comportamiento geotécnico ante la construcción de obras civiles, característica que debe tenerse en cuenta cuando estos se ejecuten.</w:t>
      </w:r>
    </w:p>
    <w:p w14:paraId="4B4E1BF1"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Durante los últimos 20 años ha ocurrido una importante sedimentación en el sector donde la quebrada Cuya entrega sus aguas al embalse de Chivor, ocasionando  la formación de un importante delta.</w:t>
      </w:r>
    </w:p>
    <w:p w14:paraId="0E92DBF9"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La carretera carece de drenaje y el agua proveniente de la vía, sumada a la escorrentía superficial normal acelera los movimientos de las masas de los cuerpos inestables ubicados aguas abajo.</w:t>
      </w:r>
    </w:p>
    <w:p w14:paraId="330D96C1"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lastRenderedPageBreak/>
        <w:t>-Dentro de los terrenos de la finca de Jesús A. Roa existen varios cuerpos en movimiento, los cuales es indispensable tratarlos, especialmente con drenaje para mitigar sus efectos, estos drenajes deben efectuarse también para la carretera.</w:t>
      </w:r>
    </w:p>
    <w:p w14:paraId="2B5D45E7"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El llenado del embalse de Chivor (año 1977) alteró la dinámica fluvial de la desembocadura de la quebrada Cuya, originando en el transcurso de los años; variaciones locales en la dirección de su cauce, elevación de su nivel base y aparición de un delta. Esta nueva situación ha originado que en épocas de creciente de la quebrada, sus aguas  estén  erosionando  y socavando  las orillas y generando  fenómenos de remoción  en masa, estos se encuentran ubicados en sus dos márgenes y algunos de ellos están emplazados en predios de la finca del señor Roa. En la margen izquierda de la quebrada Cuya inmediatamente aguas arriba del puente  de la vía a Almeida, se ha reactivado  un antiguo  deslizamiento  de grandes proporciones, que amerita medidas inmediatas de estabilización.</w:t>
      </w:r>
    </w:p>
    <w:p w14:paraId="344F75F3"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La construcción de la vía a Almeida requirió efectuar descapotes y cortes, parte de cuyo  material fue ubicado en fincas adyacentes, ocasionando  sobrecargas en los taludes, contribuyendo a su desestabilización. Igualmente, la ausencia o inoperancia de drenajes convenientes  ha ocasionado la acumulación de agua en terrenos adyacentes a esta vía, produciendo  la saturación de estos, y aportando otro ingrediente a la inestabilidad de la zona.  La finca del señor Roa  ha sido afectada por estas dos acciones.</w:t>
      </w:r>
    </w:p>
    <w:p w14:paraId="676CCC9B" w14:textId="77777777" w:rsidR="005F25EB" w:rsidRPr="00C234A4" w:rsidRDefault="005F25EB" w:rsidP="003B717E">
      <w:pPr>
        <w:ind w:left="454"/>
        <w:jc w:val="both"/>
        <w:rPr>
          <w:rFonts w:ascii="Arial" w:hAnsi="Arial" w:cs="Arial"/>
          <w:i/>
          <w:sz w:val="24"/>
          <w:szCs w:val="24"/>
        </w:rPr>
      </w:pPr>
    </w:p>
    <w:p w14:paraId="53F254A3"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La acumulación de materiales aluviales de la quebrada en la base de los taludes del sector, puede perturbar el drenaje natural de estos, acelerando procesos de alteración como el ablandamiento y generando posibles incrementos en la presión de agua de poros, contribuyendo a la inestabilidad.</w:t>
      </w:r>
    </w:p>
    <w:p w14:paraId="12A5D47F"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En todo el sector existen diversos fenómenos de remoción en masa, incluyendo hundimientos y reptación. Como factores contribuyentes  a la inestabilidad están: sobrecarga por materiales botados, saturación del terreno por ausencia de drenajes en la vía a Almeida, socavación por la corriente de la quebrada Cuya en la pata de los taludes y naturalmente de los materiales presentes.</w:t>
      </w:r>
    </w:p>
    <w:p w14:paraId="7ED5D976"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Los materiales encontrados en inmediaciones de la casa nueva del señor Roa tienen las siguientes propiedades: naturaleza expansiva, su capacidad de portante es adecuada para las cargas aplicadas y no deben tener mayores asentamientos a menos que el suelo de cimentación no sea uniforme pudiendo aparecer asentamientos diferenciales.</w:t>
      </w:r>
    </w:p>
    <w:p w14:paraId="6D046F16"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El tipo de construcción de la casa nueva del señor Roa soporta convenientemente las cargas verticales, pero según el Código colombiano de construcciones sismoresistentes  no es conveniente, ya que  debido a consideraciones sísmicas la mampostería no reforzada no se debe utilizar en zonas con riesgo sísmico intermedio, como la del presente estudio. En estas circunstancias la casa nueva no es segura ante eventos sísmicos y menos  en estado de deterioro en que se encuentra.</w:t>
      </w:r>
    </w:p>
    <w:p w14:paraId="5E269C7F"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En cercanías  de la casa del señor Roa existe una zona en reptación y un hundimiento del terreno. En principio no se percibieron superficies de falla, ni evidencias morfológicas que hagan creer que la casa está afectada directamente por estos. No se descarta  que si continúa el deterioro general del sector, la casa pueda llegar a estar en peligro.</w:t>
      </w:r>
    </w:p>
    <w:p w14:paraId="0A4E9792" w14:textId="77777777" w:rsidR="005F25EB" w:rsidRPr="00C234A4" w:rsidRDefault="005F25EB" w:rsidP="003B717E">
      <w:pPr>
        <w:ind w:left="454"/>
        <w:jc w:val="both"/>
        <w:rPr>
          <w:rFonts w:ascii="Arial" w:hAnsi="Arial" w:cs="Arial"/>
          <w:i/>
          <w:sz w:val="24"/>
          <w:szCs w:val="24"/>
        </w:rPr>
      </w:pPr>
      <w:r w:rsidRPr="00C234A4">
        <w:rPr>
          <w:rFonts w:ascii="Arial" w:hAnsi="Arial" w:cs="Arial"/>
          <w:i/>
          <w:sz w:val="24"/>
          <w:szCs w:val="24"/>
        </w:rPr>
        <w:t>- La variación de niveles en el embalse de Chivor pueden originar algunas fallas en taludes adyacentes a este, pero la zona de la casa del señor Roa está ubicada a una distancia que hace creer que no está afectada directamente por el embalse.</w:t>
      </w:r>
    </w:p>
    <w:p w14:paraId="041970F1" w14:textId="77777777" w:rsidR="005F25EB" w:rsidRPr="00C234A4" w:rsidRDefault="005F25EB" w:rsidP="003B717E">
      <w:pPr>
        <w:ind w:left="454"/>
        <w:jc w:val="both"/>
        <w:rPr>
          <w:rFonts w:ascii="Arial" w:hAnsi="Arial" w:cs="Arial"/>
          <w:sz w:val="24"/>
          <w:szCs w:val="24"/>
        </w:rPr>
      </w:pPr>
      <w:r w:rsidRPr="00C234A4">
        <w:rPr>
          <w:rFonts w:ascii="Arial" w:hAnsi="Arial" w:cs="Arial"/>
          <w:i/>
          <w:sz w:val="24"/>
          <w:szCs w:val="24"/>
        </w:rPr>
        <w:lastRenderedPageBreak/>
        <w:t>- Con relación a la estabilidad de la casa nueva del sector Roa, si bien puede haber alguna influencia de los movimientos en masa aledaños a ésta, por efecto de pérdidas de confinamiento lateral, la orientación de las grietas presentes en muros  y pisos hace pensar que la vivienda ha estado  sometida a presiones verticales  de expansión  que le han afectado. Este hecho natural se confirma  por las pruebas de laboratorio; lo anterior pudo combinarse con asentamientos diferenciales al existir posibles variaciones en los materiales y cotas de cimentación…”</w:t>
      </w:r>
      <w:r w:rsidRPr="00C234A4">
        <w:rPr>
          <w:rFonts w:ascii="Arial" w:hAnsi="Arial" w:cs="Arial"/>
          <w:sz w:val="24"/>
          <w:szCs w:val="24"/>
        </w:rPr>
        <w:t xml:space="preserve"> (fls. 31 a 33, c.2)</w:t>
      </w:r>
      <w:r w:rsidRPr="00C234A4">
        <w:rPr>
          <w:rStyle w:val="Refdenotaalpie"/>
          <w:rFonts w:ascii="Arial" w:hAnsi="Arial" w:cs="Arial"/>
          <w:sz w:val="24"/>
          <w:szCs w:val="24"/>
        </w:rPr>
        <w:footnoteReference w:id="13"/>
      </w:r>
      <w:r w:rsidRPr="00C234A4">
        <w:rPr>
          <w:rFonts w:ascii="Arial" w:hAnsi="Arial" w:cs="Arial"/>
          <w:sz w:val="24"/>
          <w:szCs w:val="24"/>
        </w:rPr>
        <w:t>.</w:t>
      </w:r>
    </w:p>
    <w:p w14:paraId="5F0E8A2B" w14:textId="77777777" w:rsidR="005F25EB" w:rsidRPr="00C234A4" w:rsidRDefault="005F25EB" w:rsidP="003B717E">
      <w:pPr>
        <w:ind w:left="454"/>
        <w:jc w:val="both"/>
        <w:rPr>
          <w:rFonts w:ascii="Arial" w:hAnsi="Arial" w:cs="Arial"/>
          <w:sz w:val="24"/>
          <w:szCs w:val="24"/>
        </w:rPr>
      </w:pPr>
    </w:p>
    <w:p w14:paraId="4BD76B70"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 xml:space="preserve">3.2.2  Finalmente,  obra en el expediente  la diligencia de inspección judicial con intervención de peritos practicada a instancia del </w:t>
      </w:r>
      <w:r w:rsidRPr="00C234A4">
        <w:rPr>
          <w:rFonts w:ascii="Arial" w:hAnsi="Arial" w:cs="Arial"/>
          <w:i/>
          <w:sz w:val="24"/>
          <w:szCs w:val="24"/>
        </w:rPr>
        <w:t>a quo</w:t>
      </w:r>
      <w:r w:rsidRPr="00C234A4">
        <w:rPr>
          <w:rFonts w:ascii="Arial" w:hAnsi="Arial" w:cs="Arial"/>
          <w:sz w:val="24"/>
          <w:szCs w:val="24"/>
        </w:rPr>
        <w:t>. En el acta se dejó la siguiente constancia sobre lo observado en el predio:</w:t>
      </w:r>
    </w:p>
    <w:p w14:paraId="22417D08" w14:textId="77777777" w:rsidR="005F25EB" w:rsidRPr="00C234A4" w:rsidRDefault="005F25EB" w:rsidP="003B717E">
      <w:pPr>
        <w:spacing w:line="360" w:lineRule="auto"/>
        <w:jc w:val="both"/>
        <w:rPr>
          <w:rFonts w:ascii="Arial" w:hAnsi="Arial" w:cs="Arial"/>
          <w:sz w:val="24"/>
          <w:szCs w:val="24"/>
        </w:rPr>
      </w:pPr>
    </w:p>
    <w:p w14:paraId="45667179" w14:textId="77777777" w:rsidR="005F25EB" w:rsidRPr="00C234A4" w:rsidRDefault="005F25EB" w:rsidP="003B717E">
      <w:pPr>
        <w:ind w:left="454"/>
        <w:jc w:val="both"/>
        <w:rPr>
          <w:rFonts w:ascii="Arial" w:hAnsi="Arial" w:cs="Arial"/>
          <w:sz w:val="24"/>
          <w:szCs w:val="24"/>
        </w:rPr>
      </w:pPr>
      <w:r w:rsidRPr="00C234A4">
        <w:rPr>
          <w:rFonts w:ascii="Arial" w:hAnsi="Arial" w:cs="Arial"/>
          <w:sz w:val="24"/>
          <w:szCs w:val="24"/>
        </w:rPr>
        <w:t>“…</w:t>
      </w:r>
      <w:r w:rsidRPr="00C234A4">
        <w:rPr>
          <w:rFonts w:ascii="Arial" w:hAnsi="Arial" w:cs="Arial"/>
          <w:i/>
          <w:sz w:val="24"/>
          <w:szCs w:val="24"/>
        </w:rPr>
        <w:t xml:space="preserve">Dentro de la heredad se pudo apreciar las siguientes construcciones: casa de habitación que consta de dos plantas, en la primera tenemos un baño, sala, dos habitaciones; en la segunda planta existen tres habitaciones y un baño. En la actualidad presenta fisuras apreciables longitudinalmente; asimismo en el piso son visibles las escoriaciones y fisuras. Adyacentemente a esta construcción se encuentra construida una cocina de ladrillo, teja de eternit y totalmente pañetada. Además, presenta su respectivo servicio de agua para esta parte de la construcción. Y por último existe una construcción antigua en adobe, tapia  pisada y deteriorada en lo referente a su cubierta. Son visibles sus muestras de deterioro y abandono. Seguidamente a esta construcción  encontramos  una ramada donde funcionó un trapiche </w:t>
      </w:r>
      <w:r w:rsidRPr="00C234A4">
        <w:rPr>
          <w:rFonts w:ascii="Arial" w:hAnsi="Arial" w:cs="Arial"/>
          <w:sz w:val="24"/>
          <w:szCs w:val="24"/>
        </w:rPr>
        <w:t>(fls. 62 a 64, c. 4)</w:t>
      </w:r>
      <w:r w:rsidRPr="00C234A4">
        <w:rPr>
          <w:rStyle w:val="Refdenotaalpie"/>
          <w:rFonts w:ascii="Arial" w:hAnsi="Arial" w:cs="Arial"/>
          <w:sz w:val="24"/>
          <w:szCs w:val="24"/>
        </w:rPr>
        <w:footnoteReference w:id="14"/>
      </w:r>
      <w:r w:rsidRPr="00C234A4">
        <w:rPr>
          <w:rFonts w:ascii="Arial" w:hAnsi="Arial" w:cs="Arial"/>
          <w:sz w:val="24"/>
          <w:szCs w:val="24"/>
        </w:rPr>
        <w:t>.</w:t>
      </w:r>
    </w:p>
    <w:p w14:paraId="061C196F" w14:textId="77777777" w:rsidR="005F25EB" w:rsidRPr="00C234A4" w:rsidRDefault="005F25EB" w:rsidP="003B717E">
      <w:pPr>
        <w:spacing w:line="360" w:lineRule="auto"/>
        <w:jc w:val="both"/>
        <w:rPr>
          <w:rFonts w:ascii="Arial" w:hAnsi="Arial" w:cs="Arial"/>
          <w:sz w:val="24"/>
          <w:szCs w:val="24"/>
        </w:rPr>
      </w:pPr>
    </w:p>
    <w:p w14:paraId="7F086F11"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A su turno,  los expertos, en ingeniería civil, conceptuaron:</w:t>
      </w:r>
    </w:p>
    <w:p w14:paraId="0199E4C7" w14:textId="77777777" w:rsidR="005F25EB" w:rsidRPr="00C234A4" w:rsidRDefault="005F25EB" w:rsidP="003B717E">
      <w:pPr>
        <w:spacing w:line="360" w:lineRule="auto"/>
        <w:jc w:val="both"/>
        <w:rPr>
          <w:rFonts w:ascii="Arial" w:hAnsi="Arial" w:cs="Arial"/>
          <w:b/>
          <w:sz w:val="24"/>
          <w:szCs w:val="24"/>
        </w:rPr>
      </w:pPr>
    </w:p>
    <w:p w14:paraId="07EA54AD"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“…Efectivamente la acumulación de sedimentos de la quebrada afecto el drenaje natural del lecho de la quebrada, creando descompensación de factores hídricos causantes de este tipo de problemas, pues al modificar el nivel base de la quebrada, la corriente cambia su dirección y hay socavación lateral y fenómenos de remoción en masa.</w:t>
      </w:r>
    </w:p>
    <w:p w14:paraId="43BF350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 xml:space="preserve">5. Estimamos que la presencia del embalse y la elevación del nivel del agua no afectan el deterioro de la casa. La distancia entre el lecho de la quebrada, el nivel del embalse, la proximidad, ubicación de la vivienda, son criterios que tuvimos en cuenta para este análisis. Si bien la casa está afectada totalmente en su construcción verificamos que este deterioro es causado entre otras cosas por una alcantarilla (falta) ubicada en la parte alta superior de la carretera y que por sus características pueden almacenar considerable agua que se filtra  y al buscar su salida atraviesa por debajo de la casa esta corriente  de agua, causando los daños que se pueden ver. Es más, existe un </w:t>
      </w:r>
      <w:r w:rsidRPr="00C234A4">
        <w:rPr>
          <w:rFonts w:ascii="Arial" w:hAnsi="Arial" w:cs="Arial"/>
          <w:i/>
          <w:sz w:val="24"/>
          <w:szCs w:val="24"/>
        </w:rPr>
        <w:lastRenderedPageBreak/>
        <w:t>hundimiento  de terreno en donde se filtra el agua y que definitivamente afecta la estabilidad de la construcción.</w:t>
      </w:r>
    </w:p>
    <w:p w14:paraId="1962647D" w14:textId="77777777" w:rsidR="005F25EB" w:rsidRPr="00C234A4" w:rsidRDefault="005F25EB" w:rsidP="003B717E">
      <w:pPr>
        <w:ind w:left="567"/>
        <w:jc w:val="both"/>
        <w:rPr>
          <w:rFonts w:ascii="Arial" w:hAnsi="Arial" w:cs="Arial"/>
          <w:i/>
          <w:sz w:val="24"/>
          <w:szCs w:val="24"/>
        </w:rPr>
      </w:pPr>
    </w:p>
    <w:p w14:paraId="6EB5D2D8"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Los deterioros en la construcción antigua próxima a la nueva, resiste el mismo análisis y su deterioro depende de la filtración de aguas subterráneas causadas por la no presencia de una alcantarilla en la parte superior de la carretera…</w:t>
      </w:r>
    </w:p>
    <w:p w14:paraId="50669497" w14:textId="77777777" w:rsidR="005F25EB" w:rsidRPr="00C234A4" w:rsidRDefault="005F25EB" w:rsidP="003B717E">
      <w:pPr>
        <w:ind w:left="567"/>
        <w:jc w:val="both"/>
        <w:rPr>
          <w:rFonts w:ascii="Arial" w:hAnsi="Arial" w:cs="Arial"/>
          <w:i/>
          <w:sz w:val="24"/>
          <w:szCs w:val="24"/>
        </w:rPr>
      </w:pPr>
    </w:p>
    <w:p w14:paraId="0A5F42E5"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A continuación y de acuerdo a lo solicitado por la parte demandada y que resumiendo concluimos.</w:t>
      </w:r>
    </w:p>
    <w:p w14:paraId="0395FD19" w14:textId="77777777" w:rsidR="005F25EB" w:rsidRPr="00C234A4" w:rsidRDefault="005F25EB" w:rsidP="003B717E">
      <w:pPr>
        <w:spacing w:line="360" w:lineRule="auto"/>
        <w:jc w:val="both"/>
        <w:rPr>
          <w:rFonts w:ascii="Arial" w:hAnsi="Arial" w:cs="Arial"/>
          <w:sz w:val="24"/>
          <w:szCs w:val="24"/>
        </w:rPr>
      </w:pPr>
    </w:p>
    <w:p w14:paraId="2C1B5A83"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…4 La casa de habitación del demandante puede tener unos 13 años de construida con mampostería estructural no reforzada, tampoco  confinada sin viga de amarre, pero con algunas vigas de soporte en la primera y lagunas individuales en el segundo piso. Adyacente a esta construcción se encuentra una cocina con pequeñas grietas pero básicamente de iguales características, en su construcción aunque más reciente. La vivienda para su estabilidad y para el buen comportamiento de los esfuerzos de comprensión y de corte son resistidos por la mampostería; per los de tracción (esfuerzos), afectan el comportamiento de toda la construcción y obligan a que se coloque acero de refuerzo para observarlos.  Con esto queremos significar que la pendiente, el tipo  de material, puede ser no tenidos en cuenta siempre y cuando la construcción cumpla con las consideraciones técnicas apropiadas (vigas de amarre y columnas de concreto armado). Normas técnicas no tenidas en cuenta.</w:t>
      </w:r>
    </w:p>
    <w:p w14:paraId="306C106F" w14:textId="77777777" w:rsidR="005F25EB" w:rsidRPr="00C234A4" w:rsidRDefault="005F25EB" w:rsidP="003B717E">
      <w:pPr>
        <w:ind w:left="567"/>
        <w:jc w:val="both"/>
        <w:rPr>
          <w:rFonts w:ascii="Arial" w:hAnsi="Arial" w:cs="Arial"/>
          <w:i/>
          <w:sz w:val="24"/>
          <w:szCs w:val="24"/>
        </w:rPr>
      </w:pPr>
    </w:p>
    <w:p w14:paraId="3CBF38AF"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La distancia entre la represa de Chivor y la vivienda es de aproximadamente 1 kilómetro. A la quebrada La Cuya 20 m y por todo la margen izquierda hasta llegar al embalse de Chivor (de la quebrada a la casa).</w:t>
      </w:r>
    </w:p>
    <w:p w14:paraId="0EEE5A8F" w14:textId="77777777" w:rsidR="005F25EB" w:rsidRPr="00C234A4" w:rsidRDefault="005F25EB" w:rsidP="003B717E">
      <w:pPr>
        <w:ind w:left="567"/>
        <w:jc w:val="both"/>
        <w:rPr>
          <w:rFonts w:ascii="Arial" w:hAnsi="Arial" w:cs="Arial"/>
          <w:i/>
          <w:sz w:val="24"/>
          <w:szCs w:val="24"/>
        </w:rPr>
      </w:pPr>
    </w:p>
    <w:p w14:paraId="6914D047"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Las aguas de escorrentía no son manejadas adecuadamente, incluso una alcantarilla que se ubica en la parte superior del predio creemos que afectó enormemente la casa.</w:t>
      </w:r>
    </w:p>
    <w:p w14:paraId="5E8713B3" w14:textId="77777777" w:rsidR="005F25EB" w:rsidRPr="00C234A4" w:rsidRDefault="005F25EB" w:rsidP="003B717E">
      <w:pPr>
        <w:ind w:left="567"/>
        <w:jc w:val="both"/>
        <w:rPr>
          <w:rFonts w:ascii="Arial" w:hAnsi="Arial" w:cs="Arial"/>
          <w:i/>
          <w:sz w:val="24"/>
          <w:szCs w:val="24"/>
        </w:rPr>
      </w:pPr>
    </w:p>
    <w:p w14:paraId="7F0BA70B"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5. La quebrada la Cuya arrastra material de forma natural (diferentes gradientes) ver fotos, como consecuencia de lluvias ocurridas en su parte más alta con abundante flujo de aguas.</w:t>
      </w:r>
    </w:p>
    <w:p w14:paraId="7D145C36" w14:textId="77777777" w:rsidR="005F25EB" w:rsidRPr="00C234A4" w:rsidRDefault="005F25EB" w:rsidP="003B717E">
      <w:pPr>
        <w:ind w:left="567"/>
        <w:jc w:val="both"/>
        <w:rPr>
          <w:rFonts w:ascii="Arial" w:hAnsi="Arial" w:cs="Arial"/>
          <w:i/>
          <w:sz w:val="24"/>
          <w:szCs w:val="24"/>
        </w:rPr>
      </w:pPr>
    </w:p>
    <w:p w14:paraId="11227057"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Como es de pensar y comprender, para que exista un arrastre de material se necesita un considerable volumen de agua en las cabeceras de las cuencas hidrográficas, el problema puede presentarse cuando hay almacenamiento de estos materiales, o bien en el arrastre o por algún impedimento en su evacuación (taponamiento). La presencia de material relativamente grande (piedras grandes), pueden mostrarnos que este tipo de arrastre en ocasiones puede ser destructivo e impredecible.</w:t>
      </w:r>
    </w:p>
    <w:p w14:paraId="713C82A8" w14:textId="77777777" w:rsidR="005F25EB" w:rsidRPr="00C234A4" w:rsidRDefault="005F25EB" w:rsidP="003B717E">
      <w:pPr>
        <w:ind w:left="567"/>
        <w:jc w:val="both"/>
        <w:rPr>
          <w:rFonts w:ascii="Arial" w:hAnsi="Arial" w:cs="Arial"/>
          <w:i/>
          <w:sz w:val="24"/>
          <w:szCs w:val="24"/>
        </w:rPr>
      </w:pPr>
    </w:p>
    <w:p w14:paraId="396D6B0E"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La amplitud de la quebrada La Esmeralda, en el trayecto de la colindancia puede tener entre 100, 120 y 200 metros en la parte de confluencia, con la represa alcanza su valor máximo. Ha existido desde hace unos 10 años una importante sedimentación en el lecho del rio que eleva el nivel base de la quebrada Garagoa que forma un dique que tapona la salida de la quebrada de La Cuya en el momento  de dar esta sus aguas al embalse. Presentándose un incremento de nivel en la quebrada que puede socavar la rivera izquierda con taludes hasta de 3 metros. En su costado opuesto no presenta erosión alguna.</w:t>
      </w:r>
    </w:p>
    <w:p w14:paraId="35B0D406" w14:textId="77777777" w:rsidR="005F25EB" w:rsidRPr="00C234A4" w:rsidRDefault="005F25EB" w:rsidP="003B717E">
      <w:pPr>
        <w:ind w:left="567"/>
        <w:jc w:val="both"/>
        <w:rPr>
          <w:rFonts w:ascii="Arial" w:hAnsi="Arial" w:cs="Arial"/>
          <w:i/>
          <w:sz w:val="24"/>
          <w:szCs w:val="24"/>
        </w:rPr>
      </w:pPr>
    </w:p>
    <w:p w14:paraId="5BC2BF26"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lastRenderedPageBreak/>
        <w:t>6. El deterioro de la vivienda es progresivo y de acuerdo a la periodicidad de la lluvia que como dijimos anteriormente afectan el terreno en su parte de estabilidad seguirá deteriorando permanentemente la construcción y el terreno indefinidamente.</w:t>
      </w:r>
    </w:p>
    <w:p w14:paraId="592BEDE5" w14:textId="77777777" w:rsidR="005F25EB" w:rsidRPr="00C234A4" w:rsidRDefault="005F25EB" w:rsidP="003B717E">
      <w:pPr>
        <w:ind w:left="567"/>
        <w:jc w:val="both"/>
        <w:rPr>
          <w:rFonts w:ascii="Arial" w:hAnsi="Arial" w:cs="Arial"/>
          <w:i/>
          <w:sz w:val="24"/>
          <w:szCs w:val="24"/>
        </w:rPr>
      </w:pPr>
    </w:p>
    <w:p w14:paraId="055242E9"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7. Estos fenómenos abrasivos se presentan en épocas de lluvias por obvias razones.</w:t>
      </w:r>
    </w:p>
    <w:p w14:paraId="3FDD9A85" w14:textId="77777777" w:rsidR="005F25EB" w:rsidRPr="00C234A4" w:rsidRDefault="005F25EB" w:rsidP="003B717E">
      <w:pPr>
        <w:ind w:left="567"/>
        <w:jc w:val="both"/>
        <w:rPr>
          <w:rFonts w:ascii="Arial" w:hAnsi="Arial" w:cs="Arial"/>
          <w:i/>
          <w:sz w:val="24"/>
          <w:szCs w:val="24"/>
        </w:rPr>
      </w:pPr>
    </w:p>
    <w:p w14:paraId="337DAACC"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8. Creemos que los daños al predio se limitan al deterioro de la casa de habitación, a la socavación lateral de la rivera y algunos hundimientos que desestabilizan el terreno.</w:t>
      </w:r>
    </w:p>
    <w:p w14:paraId="770E1CB6" w14:textId="77777777" w:rsidR="005F25EB" w:rsidRPr="00C234A4" w:rsidRDefault="005F25EB" w:rsidP="003B717E">
      <w:pPr>
        <w:ind w:left="567"/>
        <w:jc w:val="both"/>
        <w:rPr>
          <w:rFonts w:ascii="Arial" w:hAnsi="Arial" w:cs="Arial"/>
          <w:i/>
          <w:sz w:val="24"/>
          <w:szCs w:val="24"/>
        </w:rPr>
      </w:pPr>
    </w:p>
    <w:p w14:paraId="737072B1"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La construcción nunca fue hecha técnicamente desde su cimentación, vigas de amarre, columnas y vigas de coronación lo que pueden influir enormemente en el deterioro de la misma. En la actualidad recomendamos la demolición de la misma por los altos riesgos que presenta.</w:t>
      </w:r>
    </w:p>
    <w:p w14:paraId="3BECE4D1" w14:textId="77777777" w:rsidR="005F25EB" w:rsidRPr="00C234A4" w:rsidRDefault="005F25EB" w:rsidP="003B717E">
      <w:pPr>
        <w:ind w:left="567"/>
        <w:jc w:val="both"/>
        <w:rPr>
          <w:rFonts w:ascii="Arial" w:hAnsi="Arial" w:cs="Arial"/>
          <w:i/>
          <w:sz w:val="24"/>
          <w:szCs w:val="24"/>
        </w:rPr>
      </w:pPr>
    </w:p>
    <w:p w14:paraId="0A12EACA"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9. El embalse del Chivor presenta un factor de regulación para la quebrada La Cuya. El problema es el arrastre del material hídrico.</w:t>
      </w:r>
    </w:p>
    <w:p w14:paraId="12C5F817" w14:textId="77777777" w:rsidR="005F25EB" w:rsidRPr="00C234A4" w:rsidRDefault="005F25EB" w:rsidP="003B717E">
      <w:pPr>
        <w:ind w:left="567"/>
        <w:jc w:val="both"/>
        <w:rPr>
          <w:rFonts w:ascii="Arial" w:hAnsi="Arial" w:cs="Arial"/>
          <w:i/>
          <w:sz w:val="24"/>
          <w:szCs w:val="24"/>
        </w:rPr>
      </w:pPr>
    </w:p>
    <w:p w14:paraId="4FCB4061" w14:textId="77777777" w:rsidR="005F25EB" w:rsidRPr="00C234A4" w:rsidRDefault="005F25EB" w:rsidP="003B717E">
      <w:pPr>
        <w:ind w:left="567"/>
        <w:jc w:val="both"/>
        <w:rPr>
          <w:rFonts w:ascii="Arial" w:hAnsi="Arial" w:cs="Arial"/>
          <w:sz w:val="24"/>
          <w:szCs w:val="24"/>
        </w:rPr>
      </w:pPr>
      <w:r w:rsidRPr="00C234A4">
        <w:rPr>
          <w:rFonts w:ascii="Arial" w:hAnsi="Arial" w:cs="Arial"/>
          <w:i/>
          <w:sz w:val="24"/>
          <w:szCs w:val="24"/>
        </w:rPr>
        <w:t>Las aguas del embalse de Chivor generan energía para la central hidroeléctrica. Estas aguas son reguladas en sus niveles máximos de tolerancia por unas compuertas, que según sea el caso se pueden abrir…”</w:t>
      </w:r>
      <w:r w:rsidRPr="00C234A4">
        <w:rPr>
          <w:rFonts w:ascii="Arial" w:hAnsi="Arial" w:cs="Arial"/>
          <w:sz w:val="24"/>
          <w:szCs w:val="24"/>
        </w:rPr>
        <w:t xml:space="preserve"> (fls. 258 a 263, c.1).</w:t>
      </w:r>
    </w:p>
    <w:p w14:paraId="4371A1A7" w14:textId="77777777" w:rsidR="005F25EB" w:rsidRPr="00C234A4" w:rsidRDefault="005F25EB" w:rsidP="003B717E">
      <w:pPr>
        <w:spacing w:line="360" w:lineRule="auto"/>
        <w:jc w:val="both"/>
        <w:rPr>
          <w:rFonts w:ascii="Arial" w:hAnsi="Arial" w:cs="Arial"/>
          <w:sz w:val="24"/>
          <w:szCs w:val="24"/>
        </w:rPr>
      </w:pPr>
    </w:p>
    <w:p w14:paraId="79536A64"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z w:val="24"/>
          <w:szCs w:val="24"/>
        </w:rPr>
        <w:t>En el término de traslado la parte actora solicitó aclaración al dictamen para que se amplíe el sustento de las conclusiones</w:t>
      </w:r>
      <w:r w:rsidRPr="00C234A4">
        <w:rPr>
          <w:rStyle w:val="Refdenotaalpie"/>
          <w:rFonts w:ascii="Arial" w:hAnsi="Arial" w:cs="Arial"/>
          <w:sz w:val="24"/>
          <w:szCs w:val="24"/>
        </w:rPr>
        <w:footnoteReference w:id="15"/>
      </w:r>
      <w:r w:rsidRPr="00C234A4">
        <w:rPr>
          <w:rFonts w:ascii="Arial" w:hAnsi="Arial" w:cs="Arial"/>
          <w:sz w:val="24"/>
          <w:szCs w:val="24"/>
        </w:rPr>
        <w:t>. Por su parte, la demandada objetó el dictamen por error grave</w:t>
      </w:r>
      <w:r w:rsidRPr="00C234A4">
        <w:rPr>
          <w:rStyle w:val="Refdenotaalpie"/>
          <w:rFonts w:ascii="Arial" w:hAnsi="Arial" w:cs="Arial"/>
          <w:sz w:val="24"/>
          <w:szCs w:val="24"/>
        </w:rPr>
        <w:footnoteReference w:id="16"/>
      </w:r>
      <w:r w:rsidRPr="00C234A4">
        <w:rPr>
          <w:rFonts w:ascii="Arial" w:hAnsi="Arial" w:cs="Arial"/>
          <w:sz w:val="24"/>
          <w:szCs w:val="24"/>
        </w:rPr>
        <w:t>, pues a su juicio los peritos asocian parcialmente el deterioro de los bienes del señor Roa Bonilla a la operación del embalse Chivor, desconociendo la presencia de factores de la naturaleza.</w:t>
      </w:r>
    </w:p>
    <w:p w14:paraId="10257FA8" w14:textId="77777777" w:rsidR="005F25EB" w:rsidRPr="00C234A4" w:rsidRDefault="005F25EB" w:rsidP="003B717E">
      <w:pPr>
        <w:spacing w:line="360" w:lineRule="auto"/>
        <w:jc w:val="both"/>
        <w:rPr>
          <w:rFonts w:ascii="Arial" w:hAnsi="Arial" w:cs="Arial"/>
          <w:b/>
          <w:sz w:val="24"/>
          <w:szCs w:val="24"/>
        </w:rPr>
      </w:pPr>
    </w:p>
    <w:p w14:paraId="099F174B" w14:textId="77777777" w:rsidR="005F25EB" w:rsidRPr="00C234A4" w:rsidRDefault="005F25EB" w:rsidP="003B717E">
      <w:pPr>
        <w:spacing w:line="360" w:lineRule="auto"/>
        <w:jc w:val="both"/>
        <w:rPr>
          <w:rFonts w:ascii="Arial" w:hAnsi="Arial" w:cs="Arial"/>
          <w:b/>
          <w:sz w:val="24"/>
          <w:szCs w:val="24"/>
        </w:rPr>
      </w:pPr>
      <w:r w:rsidRPr="00C234A4">
        <w:rPr>
          <w:rFonts w:ascii="Arial" w:hAnsi="Arial" w:cs="Arial"/>
          <w:b/>
          <w:sz w:val="24"/>
          <w:szCs w:val="24"/>
        </w:rPr>
        <w:t>3.3 Caso concreto</w:t>
      </w:r>
    </w:p>
    <w:p w14:paraId="374D41C2" w14:textId="77777777" w:rsidR="005F25EB" w:rsidRPr="00C234A4" w:rsidRDefault="005F25EB" w:rsidP="003B717E">
      <w:pPr>
        <w:spacing w:line="360" w:lineRule="auto"/>
        <w:jc w:val="both"/>
        <w:rPr>
          <w:rFonts w:ascii="Arial" w:hAnsi="Arial" w:cs="Arial"/>
          <w:b/>
          <w:sz w:val="24"/>
          <w:szCs w:val="24"/>
        </w:rPr>
      </w:pPr>
    </w:p>
    <w:bookmarkEnd w:id="1"/>
    <w:p w14:paraId="29E07B15" w14:textId="77777777" w:rsidR="005F25EB" w:rsidRPr="00C234A4" w:rsidRDefault="005F25EB" w:rsidP="003B717E">
      <w:pPr>
        <w:spacing w:line="360" w:lineRule="auto"/>
        <w:jc w:val="both"/>
        <w:rPr>
          <w:rFonts w:ascii="Arial" w:hAnsi="Arial" w:cs="Arial"/>
          <w:b/>
          <w:sz w:val="24"/>
          <w:szCs w:val="24"/>
          <w:lang w:val="es-ES"/>
        </w:rPr>
      </w:pPr>
      <w:r w:rsidRPr="00C234A4">
        <w:rPr>
          <w:rFonts w:ascii="Arial" w:hAnsi="Arial" w:cs="Arial"/>
          <w:b/>
          <w:sz w:val="24"/>
          <w:szCs w:val="24"/>
          <w:lang w:val="es-ES"/>
        </w:rPr>
        <w:t xml:space="preserve">3.3.1  La oportunidad para presentar la demanda </w:t>
      </w:r>
    </w:p>
    <w:p w14:paraId="23DE92AC" w14:textId="77777777" w:rsidR="005F25EB" w:rsidRPr="00C234A4" w:rsidRDefault="005F25EB" w:rsidP="003B717E">
      <w:pPr>
        <w:spacing w:line="360" w:lineRule="auto"/>
        <w:jc w:val="both"/>
        <w:rPr>
          <w:rFonts w:ascii="Arial" w:hAnsi="Arial" w:cs="Arial"/>
          <w:sz w:val="24"/>
          <w:szCs w:val="24"/>
          <w:lang w:val="es-ES"/>
        </w:rPr>
      </w:pPr>
    </w:p>
    <w:p w14:paraId="2CAD933F"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3.3.1.1 La cad</w:t>
      </w:r>
      <w:r w:rsidR="00FB05B9">
        <w:rPr>
          <w:rFonts w:ascii="Arial" w:hAnsi="Arial" w:cs="Arial"/>
          <w:sz w:val="24"/>
          <w:szCs w:val="24"/>
          <w:lang w:val="es-ES"/>
        </w:rPr>
        <w:t xml:space="preserve">ucidad </w:t>
      </w:r>
      <w:r w:rsidRPr="00C234A4">
        <w:rPr>
          <w:rFonts w:ascii="Arial" w:hAnsi="Arial" w:cs="Arial"/>
          <w:sz w:val="24"/>
          <w:szCs w:val="24"/>
          <w:lang w:val="es-ES"/>
        </w:rPr>
        <w:t xml:space="preserve">es una sanción por el ejercicio extemporáneo de las acciones judiciales. De forma que, cuando la demanda se plantea por fuera de los términos establecidos en el Código Contencioso Administrativo se pierde la posibilidad de acudir al juez para hacer efectivo el derecho sustancial presuntamente desconocido </w:t>
      </w:r>
      <w:r w:rsidRPr="00C234A4">
        <w:rPr>
          <w:rFonts w:ascii="Arial" w:hAnsi="Arial" w:cs="Arial"/>
          <w:sz w:val="24"/>
          <w:szCs w:val="24"/>
          <w:lang w:val="es-ES"/>
        </w:rPr>
        <w:lastRenderedPageBreak/>
        <w:t>o vulnerado. Como se puede observar, esta institución tiene aparejados al tiempo criterios de justicia  y seguridad jurídica.</w:t>
      </w:r>
    </w:p>
    <w:p w14:paraId="19F6ABA9" w14:textId="77777777" w:rsidR="005F25EB" w:rsidRPr="00C234A4" w:rsidRDefault="005F25EB" w:rsidP="003B717E">
      <w:pPr>
        <w:spacing w:line="360" w:lineRule="auto"/>
        <w:jc w:val="both"/>
        <w:rPr>
          <w:rFonts w:ascii="Arial" w:hAnsi="Arial" w:cs="Arial"/>
          <w:sz w:val="24"/>
          <w:szCs w:val="24"/>
          <w:lang w:val="es-ES"/>
        </w:rPr>
      </w:pPr>
    </w:p>
    <w:p w14:paraId="272428B8" w14:textId="77777777" w:rsidR="005F25EB" w:rsidRPr="00C234A4" w:rsidRDefault="005F25EB" w:rsidP="003B717E">
      <w:pPr>
        <w:spacing w:line="360" w:lineRule="auto"/>
        <w:jc w:val="both"/>
        <w:rPr>
          <w:rFonts w:ascii="Arial" w:hAnsi="Arial" w:cs="Arial"/>
          <w:color w:val="000000"/>
          <w:sz w:val="24"/>
          <w:szCs w:val="24"/>
        </w:rPr>
      </w:pPr>
      <w:r w:rsidRPr="00C234A4">
        <w:rPr>
          <w:rFonts w:ascii="Arial" w:hAnsi="Arial" w:cs="Arial"/>
          <w:sz w:val="24"/>
          <w:szCs w:val="24"/>
          <w:lang w:val="es-ES"/>
        </w:rPr>
        <w:t>Dada la época en que se produjeron los hechos objeto de este procesos es importante, inicialmente,  recordar que la Ley 167 de 1941</w:t>
      </w:r>
      <w:r w:rsidRPr="00C234A4">
        <w:rPr>
          <w:rStyle w:val="Refdenotaalpie"/>
          <w:rFonts w:ascii="Arial" w:hAnsi="Arial" w:cs="Arial"/>
          <w:sz w:val="24"/>
          <w:szCs w:val="24"/>
          <w:lang w:val="es-ES"/>
        </w:rPr>
        <w:footnoteReference w:id="17"/>
      </w:r>
      <w:r w:rsidRPr="00C234A4">
        <w:rPr>
          <w:rFonts w:ascii="Arial" w:hAnsi="Arial" w:cs="Arial"/>
          <w:sz w:val="24"/>
          <w:szCs w:val="24"/>
          <w:lang w:val="es-ES"/>
        </w:rPr>
        <w:t xml:space="preserve">, tratándose de daños ocasionados por trabajos públicos, estatuyó un  medio de control para la reparación de daños, que debía instaurarse dentro de los dos años siguientes  </w:t>
      </w:r>
      <w:r w:rsidRPr="00C234A4">
        <w:rPr>
          <w:rFonts w:ascii="Arial" w:hAnsi="Arial" w:cs="Arial"/>
          <w:color w:val="000000"/>
          <w:sz w:val="24"/>
          <w:szCs w:val="24"/>
        </w:rPr>
        <w:t xml:space="preserve">de ocurrido el daño o de verificada la ocupación, ante la Jurisdicción de lo Contencioso Administrativo. </w:t>
      </w:r>
    </w:p>
    <w:p w14:paraId="313AE8C5" w14:textId="77777777" w:rsidR="005F25EB" w:rsidRPr="00C234A4" w:rsidRDefault="005F25EB" w:rsidP="003B717E">
      <w:pPr>
        <w:spacing w:line="360" w:lineRule="auto"/>
        <w:jc w:val="both"/>
        <w:rPr>
          <w:rFonts w:ascii="Arial" w:hAnsi="Arial" w:cs="Arial"/>
          <w:color w:val="000000"/>
          <w:sz w:val="24"/>
          <w:szCs w:val="24"/>
        </w:rPr>
      </w:pPr>
    </w:p>
    <w:p w14:paraId="3C00A3CF" w14:textId="77777777" w:rsidR="005F25EB" w:rsidRPr="00C234A4" w:rsidRDefault="005F25EB" w:rsidP="003B717E">
      <w:pPr>
        <w:spacing w:line="360" w:lineRule="auto"/>
        <w:jc w:val="both"/>
        <w:rPr>
          <w:rFonts w:ascii="Arial" w:hAnsi="Arial" w:cs="Arial"/>
          <w:color w:val="000000"/>
          <w:sz w:val="24"/>
          <w:szCs w:val="24"/>
        </w:rPr>
      </w:pPr>
      <w:r w:rsidRPr="00C234A4">
        <w:rPr>
          <w:rFonts w:ascii="Arial" w:hAnsi="Arial" w:cs="Arial"/>
          <w:color w:val="000000"/>
          <w:sz w:val="24"/>
          <w:szCs w:val="24"/>
        </w:rPr>
        <w:t>Realidad procesal que estuvo vigente hasta cuando la Corte Suprema de Justicia en sentencia del 20 de junio de 1955 declaró la inconstitucionalidad de los artículos 261 a 270 ibídem en lo que respecta a daños por ocupación permanente.  La Corte resolvió:</w:t>
      </w:r>
    </w:p>
    <w:p w14:paraId="7F9918A8" w14:textId="77777777" w:rsidR="005F25EB" w:rsidRPr="00C234A4" w:rsidRDefault="005F25EB" w:rsidP="003B717E">
      <w:pPr>
        <w:spacing w:line="360" w:lineRule="auto"/>
        <w:jc w:val="both"/>
        <w:rPr>
          <w:rFonts w:ascii="Arial" w:hAnsi="Arial" w:cs="Arial"/>
          <w:color w:val="000000"/>
          <w:sz w:val="24"/>
          <w:szCs w:val="24"/>
        </w:rPr>
      </w:pPr>
    </w:p>
    <w:p w14:paraId="2F53EAC8" w14:textId="77777777" w:rsidR="005F25EB" w:rsidRPr="00C234A4" w:rsidRDefault="005F25EB" w:rsidP="003B717E">
      <w:pPr>
        <w:ind w:left="567"/>
        <w:jc w:val="both"/>
        <w:rPr>
          <w:rFonts w:ascii="Arial" w:hAnsi="Arial" w:cs="Arial"/>
          <w:i/>
          <w:color w:val="000000"/>
          <w:sz w:val="24"/>
          <w:szCs w:val="24"/>
        </w:rPr>
      </w:pPr>
      <w:r w:rsidRPr="00C234A4">
        <w:rPr>
          <w:rFonts w:ascii="Arial" w:hAnsi="Arial" w:cs="Arial"/>
          <w:i/>
          <w:color w:val="000000"/>
          <w:sz w:val="24"/>
          <w:szCs w:val="24"/>
        </w:rPr>
        <w:t>“…1. Es inexequible el artículo 269 de la Ley 167 de 1941;</w:t>
      </w:r>
    </w:p>
    <w:p w14:paraId="4162B6F9" w14:textId="77777777" w:rsidR="005F25EB" w:rsidRPr="00C234A4" w:rsidRDefault="005F25EB" w:rsidP="003B717E">
      <w:pPr>
        <w:ind w:left="567"/>
        <w:jc w:val="both"/>
        <w:rPr>
          <w:rFonts w:ascii="Arial" w:hAnsi="Arial" w:cs="Arial"/>
          <w:i/>
          <w:color w:val="000000"/>
          <w:sz w:val="24"/>
          <w:szCs w:val="24"/>
        </w:rPr>
      </w:pPr>
    </w:p>
    <w:p w14:paraId="031250C4" w14:textId="77777777" w:rsidR="005F25EB" w:rsidRPr="00C234A4" w:rsidRDefault="005F25EB" w:rsidP="003B717E">
      <w:pPr>
        <w:ind w:left="567"/>
        <w:jc w:val="both"/>
        <w:rPr>
          <w:rFonts w:ascii="Arial" w:hAnsi="Arial" w:cs="Arial"/>
          <w:i/>
          <w:color w:val="000000"/>
          <w:sz w:val="24"/>
          <w:szCs w:val="24"/>
        </w:rPr>
      </w:pPr>
      <w:r w:rsidRPr="00C234A4">
        <w:rPr>
          <w:rFonts w:ascii="Arial" w:hAnsi="Arial" w:cs="Arial"/>
          <w:i/>
          <w:color w:val="000000"/>
          <w:sz w:val="24"/>
          <w:szCs w:val="24"/>
        </w:rPr>
        <w:t>2. Son inexequibles  los artículos 261, 262, 263, 264, 265, 266, 267 y 268 de la misma ley, pero sólo en cuanto reglamentan el ejercicio ante la jurisdicción de lo contencioso administrativo de las acciones por indemnización de perjuicios por trabajos públicos, con motivo de ocupación permanente de propiedad privada por la administración pública;</w:t>
      </w:r>
    </w:p>
    <w:p w14:paraId="70B12EAA" w14:textId="77777777" w:rsidR="005F25EB" w:rsidRPr="00C234A4" w:rsidRDefault="005F25EB" w:rsidP="003B717E">
      <w:pPr>
        <w:ind w:left="567"/>
        <w:jc w:val="both"/>
        <w:rPr>
          <w:rFonts w:ascii="Arial" w:hAnsi="Arial" w:cs="Arial"/>
          <w:i/>
          <w:color w:val="000000"/>
          <w:sz w:val="24"/>
          <w:szCs w:val="24"/>
        </w:rPr>
      </w:pPr>
    </w:p>
    <w:p w14:paraId="58582A31" w14:textId="77777777" w:rsidR="005F25EB" w:rsidRPr="00C234A4" w:rsidRDefault="005F25EB" w:rsidP="003B717E">
      <w:pPr>
        <w:ind w:left="567"/>
        <w:jc w:val="both"/>
        <w:rPr>
          <w:rFonts w:ascii="Arial" w:hAnsi="Arial" w:cs="Arial"/>
          <w:i/>
          <w:color w:val="000000"/>
          <w:sz w:val="24"/>
          <w:szCs w:val="24"/>
        </w:rPr>
      </w:pPr>
      <w:r w:rsidRPr="00C234A4">
        <w:rPr>
          <w:rFonts w:ascii="Arial" w:hAnsi="Arial" w:cs="Arial"/>
          <w:i/>
          <w:color w:val="000000"/>
          <w:sz w:val="24"/>
          <w:szCs w:val="24"/>
        </w:rPr>
        <w:t>3. Es exequible el artículo 270 de la misma Ley…”</w:t>
      </w:r>
      <w:r w:rsidRPr="00C234A4">
        <w:rPr>
          <w:rStyle w:val="Refdenotaalpie"/>
          <w:rFonts w:ascii="Arial" w:hAnsi="Arial" w:cs="Arial"/>
          <w:i/>
          <w:color w:val="000000"/>
          <w:sz w:val="24"/>
          <w:szCs w:val="24"/>
        </w:rPr>
        <w:footnoteReference w:id="18"/>
      </w:r>
      <w:r w:rsidRPr="00C234A4">
        <w:rPr>
          <w:rFonts w:ascii="Arial" w:hAnsi="Arial" w:cs="Arial"/>
          <w:i/>
          <w:color w:val="000000"/>
          <w:sz w:val="24"/>
          <w:szCs w:val="24"/>
        </w:rPr>
        <w:t>.</w:t>
      </w:r>
    </w:p>
    <w:p w14:paraId="49578313" w14:textId="77777777" w:rsidR="005F25EB" w:rsidRPr="00C234A4" w:rsidRDefault="005F25EB" w:rsidP="003B717E">
      <w:pPr>
        <w:spacing w:line="360" w:lineRule="auto"/>
        <w:jc w:val="both"/>
        <w:rPr>
          <w:rFonts w:ascii="Arial" w:hAnsi="Arial" w:cs="Arial"/>
          <w:color w:val="000000"/>
          <w:sz w:val="24"/>
          <w:szCs w:val="24"/>
        </w:rPr>
      </w:pPr>
    </w:p>
    <w:p w14:paraId="3D4C519C" w14:textId="77777777" w:rsidR="005F25EB" w:rsidRPr="00C234A4" w:rsidRDefault="005F25EB" w:rsidP="003B717E">
      <w:pPr>
        <w:spacing w:line="360" w:lineRule="auto"/>
        <w:jc w:val="both"/>
        <w:rPr>
          <w:rFonts w:ascii="Arial" w:eastAsia="Times New Roman" w:hAnsi="Arial" w:cs="Arial"/>
          <w:sz w:val="24"/>
          <w:szCs w:val="24"/>
          <w:bdr w:val="none" w:sz="0" w:space="0" w:color="auto" w:frame="1"/>
          <w:lang w:eastAsia="es-CO"/>
        </w:rPr>
      </w:pPr>
      <w:r w:rsidRPr="00C234A4">
        <w:rPr>
          <w:rFonts w:ascii="Arial" w:hAnsi="Arial" w:cs="Arial"/>
          <w:color w:val="000000"/>
          <w:sz w:val="24"/>
          <w:szCs w:val="24"/>
        </w:rPr>
        <w:t>Como consecuencia de esta decisión se trasladó el conocimiento de estos asuntos a la jurisdicción ordinaria especialidad civil</w:t>
      </w:r>
      <w:r w:rsidRPr="00C234A4">
        <w:rPr>
          <w:rFonts w:ascii="Arial" w:eastAsia="Times New Roman" w:hAnsi="Arial" w:cs="Arial"/>
          <w:color w:val="2D2D2D"/>
          <w:sz w:val="24"/>
          <w:szCs w:val="24"/>
          <w:bdr w:val="none" w:sz="0" w:space="0" w:color="auto" w:frame="1"/>
          <w:lang w:eastAsia="es-CO"/>
        </w:rPr>
        <w:t xml:space="preserve">, </w:t>
      </w:r>
      <w:r w:rsidRPr="00C234A4">
        <w:rPr>
          <w:rFonts w:ascii="Arial" w:eastAsia="Times New Roman" w:hAnsi="Arial" w:cs="Arial"/>
          <w:sz w:val="24"/>
          <w:szCs w:val="24"/>
          <w:bdr w:val="none" w:sz="0" w:space="0" w:color="auto" w:frame="1"/>
          <w:lang w:eastAsia="es-CO"/>
        </w:rPr>
        <w:t xml:space="preserve">por la vía del proceso ordinario regido por la norma de la prescripción extintiva de 20 años, pero en lo referente a las acciones iniciadas por ocupación, pues así lo condicionó la Corte y lo reiteró en </w:t>
      </w:r>
      <w:r w:rsidRPr="00C234A4">
        <w:rPr>
          <w:rFonts w:ascii="Arial" w:eastAsia="Times New Roman" w:hAnsi="Arial" w:cs="Arial"/>
          <w:sz w:val="24"/>
          <w:szCs w:val="24"/>
          <w:bdr w:val="none" w:sz="0" w:space="0" w:color="auto" w:frame="1"/>
          <w:lang w:eastAsia="es-CO"/>
        </w:rPr>
        <w:lastRenderedPageBreak/>
        <w:t>providencia posterior, si se considera que el artículo 261 se mantenía vigente en lo que tenía que ver con la indemnización por trabajos públicos:</w:t>
      </w:r>
    </w:p>
    <w:p w14:paraId="33E3A21E" w14:textId="77777777" w:rsidR="005F25EB" w:rsidRPr="00C234A4" w:rsidRDefault="005F25EB" w:rsidP="003B717E">
      <w:pPr>
        <w:spacing w:line="360" w:lineRule="auto"/>
        <w:jc w:val="both"/>
        <w:rPr>
          <w:rFonts w:ascii="Arial" w:eastAsia="Times New Roman" w:hAnsi="Arial" w:cs="Arial"/>
          <w:sz w:val="24"/>
          <w:szCs w:val="24"/>
          <w:bdr w:val="none" w:sz="0" w:space="0" w:color="auto" w:frame="1"/>
          <w:lang w:eastAsia="es-CO"/>
        </w:rPr>
      </w:pPr>
    </w:p>
    <w:p w14:paraId="3ECF2793" w14:textId="77777777" w:rsidR="005F25EB" w:rsidRPr="00C234A4" w:rsidRDefault="005F25EB" w:rsidP="003B717E">
      <w:pPr>
        <w:ind w:left="567"/>
        <w:jc w:val="both"/>
        <w:rPr>
          <w:rFonts w:ascii="Arial" w:eastAsia="Times New Roman" w:hAnsi="Arial" w:cs="Arial"/>
          <w:i/>
          <w:sz w:val="24"/>
          <w:szCs w:val="24"/>
          <w:bdr w:val="none" w:sz="0" w:space="0" w:color="auto" w:frame="1"/>
          <w:lang w:eastAsia="es-CO"/>
        </w:rPr>
      </w:pPr>
      <w:r w:rsidRPr="00C234A4">
        <w:rPr>
          <w:rFonts w:ascii="Arial" w:eastAsia="Times New Roman" w:hAnsi="Arial" w:cs="Arial"/>
          <w:i/>
          <w:sz w:val="24"/>
          <w:szCs w:val="24"/>
          <w:bdr w:val="none" w:sz="0" w:space="0" w:color="auto" w:frame="1"/>
          <w:lang w:eastAsia="es-CO"/>
        </w:rPr>
        <w:t>“…obvio es entonces que tratándose de una acción para obtener del Estado simplemente indemnización de perjuicios por trabajos públicos, sin ocupación permanente de la propiedad privada, el citado artículo 261 es exequible y, por tanto, el conocimiento de esa acción corresponde al Consejo de Estado (auto del 10 de abril de 1956, Sala de Negocios Generales de la Corte Suprema de Justicia)</w:t>
      </w:r>
      <w:r w:rsidRPr="00C234A4">
        <w:rPr>
          <w:rStyle w:val="Refdenotaalpie"/>
          <w:rFonts w:ascii="Arial" w:eastAsia="Times New Roman" w:hAnsi="Arial" w:cs="Arial"/>
          <w:i/>
          <w:sz w:val="24"/>
          <w:szCs w:val="24"/>
          <w:bdr w:val="none" w:sz="0" w:space="0" w:color="auto" w:frame="1"/>
          <w:lang w:eastAsia="es-CO"/>
        </w:rPr>
        <w:footnoteReference w:id="19"/>
      </w:r>
      <w:r w:rsidRPr="00C234A4">
        <w:rPr>
          <w:rFonts w:ascii="Arial" w:eastAsia="Times New Roman" w:hAnsi="Arial" w:cs="Arial"/>
          <w:i/>
          <w:sz w:val="24"/>
          <w:szCs w:val="24"/>
          <w:bdr w:val="none" w:sz="0" w:space="0" w:color="auto" w:frame="1"/>
          <w:lang w:eastAsia="es-CO"/>
        </w:rPr>
        <w:t>.</w:t>
      </w:r>
    </w:p>
    <w:p w14:paraId="2C2E019A" w14:textId="77777777" w:rsidR="005F25EB" w:rsidRPr="00C234A4" w:rsidRDefault="005F25EB" w:rsidP="003B717E">
      <w:pPr>
        <w:ind w:left="567"/>
        <w:jc w:val="both"/>
        <w:rPr>
          <w:rFonts w:ascii="Arial" w:eastAsia="Times New Roman" w:hAnsi="Arial" w:cs="Arial"/>
          <w:i/>
          <w:sz w:val="24"/>
          <w:szCs w:val="24"/>
          <w:bdr w:val="none" w:sz="0" w:space="0" w:color="auto" w:frame="1"/>
          <w:lang w:eastAsia="es-CO"/>
        </w:rPr>
      </w:pPr>
    </w:p>
    <w:p w14:paraId="7C004A8E" w14:textId="77777777" w:rsidR="005F25EB" w:rsidRPr="00C234A4" w:rsidRDefault="005F25EB" w:rsidP="003B717E">
      <w:pPr>
        <w:spacing w:line="360" w:lineRule="auto"/>
        <w:jc w:val="both"/>
        <w:rPr>
          <w:rFonts w:ascii="Arial" w:eastAsia="Times New Roman" w:hAnsi="Arial" w:cs="Arial"/>
          <w:sz w:val="24"/>
          <w:szCs w:val="24"/>
          <w:bdr w:val="none" w:sz="0" w:space="0" w:color="auto" w:frame="1"/>
          <w:lang w:eastAsia="es-CO"/>
        </w:rPr>
      </w:pPr>
    </w:p>
    <w:p w14:paraId="32393315" w14:textId="77777777" w:rsidR="005F25EB" w:rsidRPr="00C234A4" w:rsidRDefault="005F25EB" w:rsidP="003B717E">
      <w:pPr>
        <w:spacing w:line="360" w:lineRule="auto"/>
        <w:jc w:val="both"/>
        <w:rPr>
          <w:rFonts w:ascii="Arial" w:eastAsia="Times New Roman" w:hAnsi="Arial" w:cs="Arial"/>
          <w:sz w:val="24"/>
          <w:szCs w:val="24"/>
          <w:bdr w:val="none" w:sz="0" w:space="0" w:color="auto" w:frame="1"/>
          <w:lang w:eastAsia="es-CO"/>
        </w:rPr>
      </w:pPr>
      <w:r w:rsidRPr="00C234A4">
        <w:rPr>
          <w:rFonts w:ascii="Arial" w:eastAsia="Times New Roman" w:hAnsi="Arial" w:cs="Arial"/>
          <w:sz w:val="24"/>
          <w:szCs w:val="24"/>
          <w:bdr w:val="none" w:sz="0" w:space="0" w:color="auto" w:frame="1"/>
          <w:lang w:eastAsia="es-CO"/>
        </w:rPr>
        <w:t>De este modo, las acciones de responsabilidad por trabajos públicos, cuando no implicaran la ocupación permanente de bienes, continuaron en conocimiento de esta jurisdicción y debían seguir formulándose  en el término de dos años hasta el año 1964, cuando la Ley 528 amplió dicho termino a tres años  que debían contarse a partir de la realización del hecho u operación correspondiente.</w:t>
      </w:r>
    </w:p>
    <w:p w14:paraId="57696C18" w14:textId="77777777" w:rsidR="005F25EB" w:rsidRPr="00C234A4" w:rsidRDefault="005F25EB" w:rsidP="003B717E">
      <w:pPr>
        <w:spacing w:line="360" w:lineRule="auto"/>
        <w:jc w:val="both"/>
        <w:rPr>
          <w:rFonts w:ascii="Arial" w:eastAsia="Times New Roman" w:hAnsi="Arial" w:cs="Arial"/>
          <w:sz w:val="24"/>
          <w:szCs w:val="24"/>
          <w:bdr w:val="none" w:sz="0" w:space="0" w:color="auto" w:frame="1"/>
          <w:lang w:eastAsia="es-CO"/>
        </w:rPr>
      </w:pPr>
    </w:p>
    <w:p w14:paraId="0264A8CB" w14:textId="77777777" w:rsidR="005F25EB" w:rsidRPr="00C234A4" w:rsidRDefault="005F25EB" w:rsidP="003B717E">
      <w:pPr>
        <w:spacing w:line="360" w:lineRule="auto"/>
        <w:jc w:val="both"/>
        <w:rPr>
          <w:rFonts w:ascii="Arial" w:eastAsia="Times New Roman" w:hAnsi="Arial" w:cs="Arial"/>
          <w:color w:val="2D2D2D"/>
          <w:sz w:val="24"/>
          <w:szCs w:val="24"/>
          <w:bdr w:val="none" w:sz="0" w:space="0" w:color="auto" w:frame="1"/>
          <w:lang w:eastAsia="es-CO"/>
        </w:rPr>
      </w:pPr>
      <w:r w:rsidRPr="00C234A4">
        <w:rPr>
          <w:rFonts w:ascii="Arial" w:hAnsi="Arial" w:cs="Arial"/>
          <w:sz w:val="24"/>
          <w:szCs w:val="24"/>
          <w:lang w:val="es-ES"/>
        </w:rPr>
        <w:t>Con posterioridad en el año 1984, con la expedición del Decreto 01</w:t>
      </w:r>
      <w:r w:rsidRPr="00C234A4">
        <w:rPr>
          <w:rStyle w:val="Refdenotaalpie"/>
          <w:rFonts w:ascii="Arial" w:hAnsi="Arial" w:cs="Arial"/>
          <w:sz w:val="24"/>
          <w:szCs w:val="24"/>
          <w:lang w:val="es-ES"/>
        </w:rPr>
        <w:footnoteReference w:id="20"/>
      </w:r>
      <w:r w:rsidRPr="00C234A4">
        <w:rPr>
          <w:rFonts w:ascii="Arial" w:hAnsi="Arial" w:cs="Arial"/>
          <w:sz w:val="24"/>
          <w:szCs w:val="24"/>
          <w:lang w:val="es-ES"/>
        </w:rPr>
        <w:t xml:space="preserve">, nuevamente, se asignó el conocimiento de estas asuntos en toda su extensión a la Jurisdicción de lo Contencioso Administrativo. En el artículo 86 se estableció la acción de reparación con el objeto de  indemnizar a quienes resulten afectados </w:t>
      </w:r>
      <w:r w:rsidRPr="00C234A4">
        <w:rPr>
          <w:rFonts w:ascii="Arial" w:eastAsia="Times New Roman" w:hAnsi="Arial" w:cs="Arial"/>
          <w:color w:val="2D2D2D"/>
          <w:sz w:val="24"/>
          <w:szCs w:val="24"/>
          <w:bdr w:val="none" w:sz="0" w:space="0" w:color="auto" w:frame="1"/>
          <w:lang w:eastAsia="es-CO"/>
        </w:rPr>
        <w:t>por la ocupación temporal o permanente de un inmueble por causa de trabajos públicos o por cualquier otra causa, para lo cual se estableció un término preclusivo de dos años contados según el artículo 136 original a partir de la producción del hecho generador del perjuicio</w:t>
      </w:r>
      <w:r w:rsidRPr="00C234A4">
        <w:rPr>
          <w:rStyle w:val="Refdenotaalpie"/>
          <w:rFonts w:ascii="Arial" w:eastAsia="Times New Roman" w:hAnsi="Arial" w:cs="Arial"/>
          <w:color w:val="2D2D2D"/>
          <w:sz w:val="24"/>
          <w:szCs w:val="24"/>
          <w:bdr w:val="none" w:sz="0" w:space="0" w:color="auto" w:frame="1"/>
          <w:lang w:eastAsia="es-CO"/>
        </w:rPr>
        <w:footnoteReference w:id="21"/>
      </w:r>
      <w:r w:rsidRPr="00C234A4">
        <w:rPr>
          <w:rFonts w:ascii="Arial" w:eastAsia="Times New Roman" w:hAnsi="Arial" w:cs="Arial"/>
          <w:color w:val="2D2D2D"/>
          <w:sz w:val="24"/>
          <w:szCs w:val="24"/>
          <w:bdr w:val="none" w:sz="0" w:space="0" w:color="auto" w:frame="1"/>
          <w:lang w:eastAsia="es-CO"/>
        </w:rPr>
        <w:t xml:space="preserve">. </w:t>
      </w:r>
    </w:p>
    <w:p w14:paraId="6AAC1F94" w14:textId="77777777" w:rsidR="005F25EB" w:rsidRPr="00C234A4" w:rsidRDefault="005F25EB" w:rsidP="003B717E">
      <w:pPr>
        <w:spacing w:line="360" w:lineRule="auto"/>
        <w:jc w:val="both"/>
        <w:rPr>
          <w:rFonts w:ascii="Arial" w:eastAsia="Times New Roman" w:hAnsi="Arial" w:cs="Arial"/>
          <w:color w:val="2D2D2D"/>
          <w:sz w:val="24"/>
          <w:szCs w:val="24"/>
          <w:bdr w:val="none" w:sz="0" w:space="0" w:color="auto" w:frame="1"/>
          <w:lang w:eastAsia="es-CO"/>
        </w:rPr>
      </w:pPr>
    </w:p>
    <w:p w14:paraId="68445492" w14:textId="77777777" w:rsidR="005F25EB" w:rsidRPr="00C234A4" w:rsidRDefault="005F25EB" w:rsidP="003B717E">
      <w:pPr>
        <w:spacing w:line="360" w:lineRule="auto"/>
        <w:jc w:val="both"/>
        <w:rPr>
          <w:rFonts w:ascii="Arial" w:eastAsia="Times New Roman" w:hAnsi="Arial" w:cs="Arial"/>
          <w:color w:val="2D2D2D"/>
          <w:sz w:val="24"/>
          <w:szCs w:val="24"/>
          <w:bdr w:val="none" w:sz="0" w:space="0" w:color="auto" w:frame="1"/>
          <w:lang w:eastAsia="es-CO"/>
        </w:rPr>
      </w:pPr>
      <w:r w:rsidRPr="00C234A4">
        <w:rPr>
          <w:rFonts w:ascii="Arial" w:eastAsia="Times New Roman" w:hAnsi="Arial" w:cs="Arial"/>
          <w:color w:val="2D2D2D"/>
          <w:sz w:val="24"/>
          <w:szCs w:val="24"/>
          <w:bdr w:val="none" w:sz="0" w:space="0" w:color="auto" w:frame="1"/>
          <w:lang w:eastAsia="es-CO"/>
        </w:rPr>
        <w:t>En el año 1998, el artículo 86 y el numeral  8 del artículo 136 del Código Contencioso Administrativo fueron sub</w:t>
      </w:r>
      <w:r w:rsidR="00681598">
        <w:rPr>
          <w:rFonts w:ascii="Arial" w:eastAsia="Times New Roman" w:hAnsi="Arial" w:cs="Arial"/>
          <w:color w:val="2D2D2D"/>
          <w:sz w:val="24"/>
          <w:szCs w:val="24"/>
          <w:bdr w:val="none" w:sz="0" w:space="0" w:color="auto" w:frame="1"/>
          <w:lang w:eastAsia="es-CO"/>
        </w:rPr>
        <w:t>rogados por la Ley 446 de 1998,</w:t>
      </w:r>
      <w:r w:rsidRPr="00C234A4">
        <w:rPr>
          <w:rFonts w:ascii="Arial" w:eastAsia="Times New Roman" w:hAnsi="Arial" w:cs="Arial"/>
          <w:color w:val="2D2D2D"/>
          <w:sz w:val="24"/>
          <w:szCs w:val="24"/>
          <w:bdr w:val="none" w:sz="0" w:space="0" w:color="auto" w:frame="1"/>
          <w:lang w:eastAsia="es-CO"/>
        </w:rPr>
        <w:t xml:space="preserve"> en los siguientes términos:</w:t>
      </w:r>
    </w:p>
    <w:p w14:paraId="206D53C9" w14:textId="77777777" w:rsidR="005F25EB" w:rsidRPr="00C234A4" w:rsidRDefault="005F25EB" w:rsidP="003B717E">
      <w:pPr>
        <w:spacing w:line="360" w:lineRule="auto"/>
        <w:jc w:val="both"/>
        <w:rPr>
          <w:rFonts w:ascii="Arial" w:eastAsia="Times New Roman" w:hAnsi="Arial" w:cs="Arial"/>
          <w:color w:val="2D2D2D"/>
          <w:sz w:val="24"/>
          <w:szCs w:val="24"/>
          <w:bdr w:val="none" w:sz="0" w:space="0" w:color="auto" w:frame="1"/>
          <w:lang w:eastAsia="es-CO"/>
        </w:rPr>
      </w:pPr>
    </w:p>
    <w:p w14:paraId="1D340B55" w14:textId="77777777" w:rsidR="005F25EB" w:rsidRPr="00C234A4" w:rsidRDefault="005F25EB" w:rsidP="003B717E">
      <w:pPr>
        <w:pStyle w:val="nueve"/>
        <w:ind w:left="567"/>
        <w:jc w:val="both"/>
        <w:rPr>
          <w:rFonts w:ascii="Arial" w:hAnsi="Arial" w:cs="Arial"/>
        </w:rPr>
      </w:pPr>
      <w:r w:rsidRPr="00C234A4">
        <w:rPr>
          <w:rFonts w:ascii="Arial" w:hAnsi="Arial" w:cs="Arial"/>
          <w:i/>
          <w:iCs/>
          <w:lang w:val="es-CO"/>
        </w:rPr>
        <w:lastRenderedPageBreak/>
        <w:t>“Acción de reparación directa. La persona interesada podrá demandar directamente la reparación del daño cuando la causa sea un hecho, una omisión, una operación administrativa o la ocupación temporal o permanente del inmueble por causa de trabajos públicos o por cualquiera otra causa”.</w:t>
      </w:r>
    </w:p>
    <w:p w14:paraId="70A37007" w14:textId="77777777" w:rsidR="005F25EB" w:rsidRPr="00C234A4" w:rsidRDefault="005F25EB" w:rsidP="003B717E">
      <w:pPr>
        <w:ind w:left="567"/>
        <w:jc w:val="both"/>
        <w:rPr>
          <w:rFonts w:ascii="Arial" w:eastAsia="Times New Roman" w:hAnsi="Arial" w:cs="Arial"/>
          <w:color w:val="2D2D2D"/>
          <w:sz w:val="24"/>
          <w:szCs w:val="24"/>
          <w:bdr w:val="none" w:sz="0" w:space="0" w:color="auto" w:frame="1"/>
          <w:lang w:eastAsia="es-CO"/>
        </w:rPr>
      </w:pPr>
      <w:r w:rsidRPr="00C234A4">
        <w:rPr>
          <w:rFonts w:ascii="Arial" w:eastAsia="Times New Roman" w:hAnsi="Arial" w:cs="Arial"/>
          <w:color w:val="2D2D2D"/>
          <w:sz w:val="24"/>
          <w:szCs w:val="24"/>
          <w:bdr w:val="none" w:sz="0" w:space="0" w:color="auto" w:frame="1"/>
          <w:lang w:eastAsia="es-CO"/>
        </w:rPr>
        <w:t>(…)</w:t>
      </w:r>
    </w:p>
    <w:p w14:paraId="490DA691" w14:textId="77777777" w:rsidR="005F25EB" w:rsidRPr="00C234A4" w:rsidRDefault="005F25EB" w:rsidP="003B717E">
      <w:pPr>
        <w:ind w:left="567"/>
        <w:jc w:val="both"/>
        <w:rPr>
          <w:rFonts w:ascii="Arial" w:eastAsia="Times New Roman" w:hAnsi="Arial" w:cs="Arial"/>
          <w:color w:val="2D2D2D"/>
          <w:sz w:val="24"/>
          <w:szCs w:val="24"/>
          <w:bdr w:val="none" w:sz="0" w:space="0" w:color="auto" w:frame="1"/>
          <w:lang w:eastAsia="es-CO"/>
        </w:rPr>
      </w:pPr>
    </w:p>
    <w:p w14:paraId="2BBBE36A" w14:textId="77777777" w:rsidR="005F25EB" w:rsidRPr="00C234A4" w:rsidRDefault="005F25EB" w:rsidP="003B717E">
      <w:pPr>
        <w:ind w:left="567"/>
        <w:jc w:val="both"/>
        <w:rPr>
          <w:rFonts w:ascii="Arial" w:hAnsi="Arial" w:cs="Arial"/>
          <w:i/>
          <w:sz w:val="24"/>
          <w:szCs w:val="24"/>
        </w:rPr>
      </w:pPr>
      <w:r w:rsidRPr="00C234A4">
        <w:rPr>
          <w:rFonts w:ascii="Arial" w:hAnsi="Arial" w:cs="Arial"/>
          <w:i/>
          <w:sz w:val="24"/>
          <w:szCs w:val="24"/>
        </w:rPr>
        <w:t>“…8. La de reparación directa caducará al vencimiento del plazo de dos (2) años, contados a partir del día siguiente del acaecimiento del hecho, omisión u operación administrativa o de ocurrida la ocupación temporal o permanente del inmueble de propiedad ajena por causa de trabajo público o por cualquiera otra causa.</w:t>
      </w:r>
    </w:p>
    <w:p w14:paraId="62103212" w14:textId="77777777" w:rsidR="005F25EB" w:rsidRPr="00C234A4" w:rsidRDefault="005F25EB" w:rsidP="003B717E">
      <w:pPr>
        <w:ind w:left="567"/>
        <w:jc w:val="both"/>
        <w:rPr>
          <w:rFonts w:ascii="Arial" w:hAnsi="Arial" w:cs="Arial"/>
          <w:i/>
          <w:sz w:val="24"/>
          <w:szCs w:val="24"/>
        </w:rPr>
      </w:pPr>
    </w:p>
    <w:p w14:paraId="225DD134" w14:textId="77777777" w:rsidR="005F25EB" w:rsidRPr="00C234A4" w:rsidRDefault="005F25EB" w:rsidP="003B717E">
      <w:pPr>
        <w:spacing w:line="360" w:lineRule="auto"/>
        <w:jc w:val="both"/>
        <w:rPr>
          <w:rFonts w:ascii="Arial" w:eastAsia="Times New Roman" w:hAnsi="Arial" w:cs="Arial"/>
          <w:color w:val="2D2D2D"/>
          <w:sz w:val="24"/>
          <w:szCs w:val="24"/>
          <w:bdr w:val="none" w:sz="0" w:space="0" w:color="auto" w:frame="1"/>
          <w:lang w:eastAsia="es-CO"/>
        </w:rPr>
      </w:pPr>
    </w:p>
    <w:p w14:paraId="042F8A9E" w14:textId="77777777" w:rsidR="005F25EB" w:rsidRPr="00C234A4" w:rsidRDefault="005F25EB" w:rsidP="003B717E">
      <w:pPr>
        <w:spacing w:after="360" w:line="360" w:lineRule="auto"/>
        <w:jc w:val="both"/>
        <w:rPr>
          <w:rFonts w:ascii="Arial" w:hAnsi="Arial" w:cs="Arial"/>
          <w:sz w:val="24"/>
          <w:szCs w:val="24"/>
          <w:lang w:val="es-ES"/>
        </w:rPr>
      </w:pPr>
      <w:r w:rsidRPr="00C234A4">
        <w:rPr>
          <w:rFonts w:ascii="Arial" w:hAnsi="Arial" w:cs="Arial"/>
          <w:sz w:val="24"/>
          <w:szCs w:val="24"/>
          <w:lang w:val="es-ES"/>
        </w:rPr>
        <w:t xml:space="preserve">Como se puede observar en el artículo 86 se reiteró que la reparación directa es la vía judicial para solicitar la reparación cuando la causa fuese </w:t>
      </w:r>
      <w:r w:rsidRPr="00C234A4">
        <w:rPr>
          <w:rFonts w:ascii="Arial" w:hAnsi="Arial" w:cs="Arial"/>
          <w:sz w:val="24"/>
          <w:szCs w:val="24"/>
        </w:rPr>
        <w:t xml:space="preserve">la ocupación temporal o permanente de inmuebles de dominio privado por causa de trabajos públicos o por cualquiera otra causa. Entre tanto, el numeral 8 del artículo 136 del Código Contencioso Administrativo </w:t>
      </w:r>
      <w:r w:rsidRPr="00C234A4">
        <w:rPr>
          <w:rFonts w:ascii="Arial" w:hAnsi="Arial" w:cs="Arial"/>
          <w:sz w:val="24"/>
          <w:szCs w:val="24"/>
          <w:lang w:val="es-ES"/>
        </w:rPr>
        <w:t>mantuvo el término de dos años para el ejercicio de la acción, no obstante hizo una variación para su cómputo, pues estableció su inicio a partir del día siguiente a la ocurrencia del hecho, omisión, operación administrativa u ocupación temporal o permanente</w:t>
      </w:r>
      <w:r w:rsidRPr="00C234A4">
        <w:rPr>
          <w:rStyle w:val="Refdenotaalpie"/>
          <w:rFonts w:ascii="Arial" w:hAnsi="Arial" w:cs="Arial"/>
          <w:sz w:val="24"/>
          <w:szCs w:val="24"/>
          <w:lang w:val="es-ES"/>
        </w:rPr>
        <w:footnoteReference w:id="22"/>
      </w:r>
      <w:r w:rsidRPr="00C234A4">
        <w:rPr>
          <w:rFonts w:ascii="Arial" w:hAnsi="Arial" w:cs="Arial"/>
          <w:sz w:val="24"/>
          <w:szCs w:val="24"/>
          <w:lang w:val="es-ES"/>
        </w:rPr>
        <w:t xml:space="preserve">. </w:t>
      </w:r>
    </w:p>
    <w:p w14:paraId="2EE570E5"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hAnsi="Arial" w:cs="Arial"/>
          <w:sz w:val="24"/>
          <w:szCs w:val="24"/>
        </w:rPr>
        <w:t>Ahora bien, la aplicación de esta norma en la mayoría de los eventos, no ofrece problemas, pues se inicia el día siguiente de la producción del hecho dañoso, por ejemplo el accidente de tránsito en el que se produce una lesión o el enfrentamiento arma</w:t>
      </w:r>
      <w:r w:rsidR="00ED0E4F">
        <w:rPr>
          <w:rFonts w:ascii="Arial" w:hAnsi="Arial" w:cs="Arial"/>
          <w:sz w:val="24"/>
          <w:szCs w:val="24"/>
        </w:rPr>
        <w:t xml:space="preserve">do con saldo fatal, la muerte, </w:t>
      </w:r>
      <w:r w:rsidRPr="00C234A4">
        <w:rPr>
          <w:rFonts w:ascii="Arial" w:hAnsi="Arial" w:cs="Arial"/>
          <w:sz w:val="24"/>
          <w:szCs w:val="24"/>
        </w:rPr>
        <w:t>y se prolonga hasta el último día de los dos años calendario. Sin embargo, existen casos especiales, en los cuales la manifestación del daño no coincide con el acaecimiento del hecho, por lo cual el conteo  del término se inicia desde que se tuvo conocimiento del mismo</w:t>
      </w:r>
      <w:r w:rsidRPr="00C234A4">
        <w:rPr>
          <w:rFonts w:ascii="Arial" w:hAnsi="Arial" w:cs="Arial"/>
          <w:sz w:val="24"/>
          <w:szCs w:val="24"/>
          <w:vertAlign w:val="superscript"/>
        </w:rPr>
        <w:footnoteReference w:id="23"/>
      </w:r>
      <w:r w:rsidRPr="00C234A4">
        <w:rPr>
          <w:rFonts w:ascii="Arial" w:eastAsia="Times New Roman" w:hAnsi="Arial" w:cs="Arial"/>
          <w:sz w:val="24"/>
          <w:szCs w:val="24"/>
          <w:lang w:val="es-ES" w:eastAsia="es-ES"/>
        </w:rPr>
        <w:t xml:space="preserve"> o desde su cesación cuando se trata de un daño continuado o de tracto sucesivo</w:t>
      </w:r>
      <w:r w:rsidRPr="00C234A4">
        <w:rPr>
          <w:rFonts w:ascii="Arial" w:eastAsia="Times New Roman" w:hAnsi="Arial" w:cs="Arial"/>
          <w:sz w:val="24"/>
          <w:szCs w:val="24"/>
          <w:vertAlign w:val="superscript"/>
          <w:lang w:val="es-ES" w:eastAsia="es-ES"/>
        </w:rPr>
        <w:footnoteReference w:id="24"/>
      </w:r>
      <w:r w:rsidRPr="00C234A4">
        <w:rPr>
          <w:rFonts w:ascii="Arial" w:eastAsia="Times New Roman" w:hAnsi="Arial" w:cs="Arial"/>
          <w:sz w:val="24"/>
          <w:szCs w:val="24"/>
          <w:lang w:val="es-ES" w:eastAsia="es-ES"/>
        </w:rPr>
        <w:t>.</w:t>
      </w:r>
    </w:p>
    <w:p w14:paraId="3328BC16"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3CC468FD"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hAnsi="Arial" w:cs="Arial"/>
          <w:sz w:val="24"/>
          <w:szCs w:val="24"/>
        </w:rPr>
        <w:t xml:space="preserve">como aquéllas en las cuales el daño se produce o se manifiesta con posterioridad a </w:t>
      </w:r>
      <w:r w:rsidRPr="00C234A4">
        <w:rPr>
          <w:rFonts w:ascii="Arial" w:hAnsi="Arial" w:cs="Arial"/>
          <w:bCs/>
          <w:sz w:val="24"/>
          <w:szCs w:val="24"/>
        </w:rPr>
        <w:t xml:space="preserve">la actuación o al hecho administrativo que lo causó, o </w:t>
      </w:r>
      <w:r w:rsidRPr="00C234A4">
        <w:rPr>
          <w:rFonts w:ascii="Arial" w:hAnsi="Arial" w:cs="Arial"/>
          <w:sz w:val="24"/>
          <w:szCs w:val="24"/>
          <w:lang w:val="es-ES_tradnl"/>
        </w:rPr>
        <w:t xml:space="preserve">cuando el daño es de tracto sucesivo o ejecución continuada, se hace necesario </w:t>
      </w:r>
      <w:r w:rsidRPr="00C234A4">
        <w:rPr>
          <w:rFonts w:ascii="Arial" w:hAnsi="Arial" w:cs="Arial"/>
          <w:bCs/>
          <w:sz w:val="24"/>
          <w:szCs w:val="24"/>
        </w:rPr>
        <w:t xml:space="preserve">acoger una interpretación flexible –fundada en el principio </w:t>
      </w:r>
      <w:r w:rsidRPr="00C234A4">
        <w:rPr>
          <w:rFonts w:ascii="Arial" w:hAnsi="Arial" w:cs="Arial"/>
          <w:bCs/>
          <w:i/>
          <w:sz w:val="24"/>
          <w:szCs w:val="24"/>
        </w:rPr>
        <w:t>pro damato</w:t>
      </w:r>
      <w:r w:rsidRPr="00C234A4">
        <w:rPr>
          <w:rFonts w:ascii="Arial" w:hAnsi="Arial" w:cs="Arial"/>
          <w:bCs/>
          <w:sz w:val="24"/>
          <w:szCs w:val="24"/>
          <w:vertAlign w:val="superscript"/>
        </w:rPr>
        <w:footnoteReference w:id="25"/>
      </w:r>
      <w:r w:rsidRPr="00C234A4">
        <w:rPr>
          <w:rFonts w:ascii="Arial" w:hAnsi="Arial" w:cs="Arial"/>
          <w:bCs/>
          <w:sz w:val="24"/>
          <w:szCs w:val="24"/>
        </w:rPr>
        <w:t>– de la norma que establece el término de caducidad</w:t>
      </w:r>
    </w:p>
    <w:p w14:paraId="55FC994F"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56925F03"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En el primer supuesto,  la Sala ha ubicado eventos como  la muerte de una persona que se consideraba desaparecida, pues no sería razonable que el término para contabilizar la caducidad iniciará desde el momento en que ocurrió materialmente la muerte, sino desde cuando se tiene la noticia lo que, no en pocos casos ocurre años después. En el segundo, casos como </w:t>
      </w:r>
      <w:r w:rsidRPr="00C234A4">
        <w:rPr>
          <w:rFonts w:ascii="Arial" w:hAnsi="Arial" w:cs="Arial"/>
          <w:bCs/>
          <w:sz w:val="24"/>
          <w:szCs w:val="24"/>
          <w:lang w:val="es-ES"/>
        </w:rPr>
        <w:t>la contaminación a un río, con ocasión de la fuga de una sustancia contaminante</w:t>
      </w:r>
      <w:r w:rsidRPr="00C234A4">
        <w:rPr>
          <w:rFonts w:ascii="Arial" w:eastAsia="Times New Roman" w:hAnsi="Arial" w:cs="Arial"/>
          <w:sz w:val="24"/>
          <w:szCs w:val="24"/>
          <w:lang w:val="es-ES" w:eastAsia="es-ES"/>
        </w:rPr>
        <w:t>, pues en dicho evento los daños solo se evidencia cuando cesa el derrame, salvo que los daños se materialicen después, caso en el que se puede volver  al supuesto del conocimiento de daño</w:t>
      </w:r>
      <w:r w:rsidRPr="00C234A4">
        <w:rPr>
          <w:rStyle w:val="Refdenotaalpie"/>
          <w:rFonts w:ascii="Arial" w:eastAsia="Times New Roman" w:hAnsi="Arial" w:cs="Arial"/>
          <w:sz w:val="24"/>
          <w:szCs w:val="24"/>
          <w:lang w:val="es-ES" w:eastAsia="es-ES"/>
        </w:rPr>
        <w:footnoteReference w:id="26"/>
      </w:r>
      <w:r w:rsidRPr="00C234A4">
        <w:rPr>
          <w:rFonts w:ascii="Arial" w:eastAsia="Times New Roman" w:hAnsi="Arial" w:cs="Arial"/>
          <w:sz w:val="24"/>
          <w:szCs w:val="24"/>
          <w:lang w:val="es-ES" w:eastAsia="es-ES"/>
        </w:rPr>
        <w:t xml:space="preserve">. </w:t>
      </w:r>
    </w:p>
    <w:p w14:paraId="4853E4D5"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557EAB0D"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hAnsi="Arial" w:cs="Arial"/>
          <w:sz w:val="24"/>
          <w:szCs w:val="24"/>
          <w:lang w:val="es-ES"/>
        </w:rPr>
        <w:t xml:space="preserve">3.3.1.2 </w:t>
      </w:r>
      <w:r w:rsidRPr="00C234A4">
        <w:rPr>
          <w:rFonts w:ascii="Arial" w:eastAsia="Times New Roman" w:hAnsi="Arial" w:cs="Arial"/>
          <w:sz w:val="24"/>
          <w:szCs w:val="24"/>
          <w:lang w:val="es-ES" w:eastAsia="es-ES"/>
        </w:rPr>
        <w:t>Con fundamento en lo anterior, la Sala debe empezar por precisar que la norma procesal aplicable dada la fecha de ocurrencia de los hechos, y la presentación de la demanda</w:t>
      </w:r>
      <w:r w:rsidRPr="00C234A4">
        <w:rPr>
          <w:rStyle w:val="Refdenotaalpie"/>
          <w:rFonts w:ascii="Arial" w:hAnsi="Arial" w:cs="Arial"/>
          <w:sz w:val="24"/>
          <w:szCs w:val="24"/>
          <w:lang w:val="es-ES"/>
        </w:rPr>
        <w:footnoteReference w:id="27"/>
      </w:r>
      <w:r w:rsidRPr="00C234A4">
        <w:rPr>
          <w:rFonts w:ascii="Arial" w:eastAsia="Times New Roman" w:hAnsi="Arial" w:cs="Arial"/>
          <w:sz w:val="24"/>
          <w:szCs w:val="24"/>
          <w:lang w:val="es-ES" w:eastAsia="es-ES"/>
        </w:rPr>
        <w:t>, 3 de</w:t>
      </w:r>
      <w:r w:rsidR="008C6153">
        <w:rPr>
          <w:rFonts w:ascii="Arial" w:eastAsia="Times New Roman" w:hAnsi="Arial" w:cs="Arial"/>
          <w:sz w:val="24"/>
          <w:szCs w:val="24"/>
          <w:lang w:val="es-ES" w:eastAsia="es-ES"/>
        </w:rPr>
        <w:t xml:space="preserve"> mayo de 1994, era el artículo </w:t>
      </w:r>
      <w:r w:rsidRPr="00C234A4">
        <w:rPr>
          <w:rFonts w:ascii="Arial" w:hAnsi="Arial" w:cs="Arial"/>
          <w:sz w:val="24"/>
          <w:szCs w:val="24"/>
          <w:lang w:val="es-ES"/>
        </w:rPr>
        <w:t>136 del Código Contencioso Administrativo, sin la modificación introducida por la Ley 446 de 1998</w:t>
      </w:r>
      <w:r w:rsidR="008C6153">
        <w:rPr>
          <w:rFonts w:ascii="Arial" w:hAnsi="Arial" w:cs="Arial"/>
          <w:sz w:val="24"/>
          <w:szCs w:val="24"/>
          <w:lang w:val="es-ES"/>
        </w:rPr>
        <w:t xml:space="preserve">, lo que implicaba que aquella </w:t>
      </w:r>
      <w:r w:rsidRPr="00C234A4">
        <w:rPr>
          <w:rFonts w:ascii="Arial" w:hAnsi="Arial" w:cs="Arial"/>
          <w:sz w:val="24"/>
          <w:szCs w:val="24"/>
          <w:lang w:val="es-ES"/>
        </w:rPr>
        <w:t>debía presentarse dentro de los dos años siguientes a la ocurrencia de los hechos.</w:t>
      </w:r>
    </w:p>
    <w:p w14:paraId="7774EC3C" w14:textId="77777777" w:rsidR="005F25EB" w:rsidRPr="00C234A4" w:rsidRDefault="005F25EB" w:rsidP="003B717E">
      <w:pPr>
        <w:spacing w:line="360" w:lineRule="auto"/>
        <w:jc w:val="both"/>
        <w:rPr>
          <w:rFonts w:ascii="Arial" w:hAnsi="Arial" w:cs="Arial"/>
          <w:sz w:val="24"/>
          <w:szCs w:val="24"/>
          <w:lang w:val="es-ES"/>
        </w:rPr>
      </w:pPr>
    </w:p>
    <w:p w14:paraId="5B97A3D2"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Sin perjuicio de lo anterior, debe señalarse que si bien, como se verá a continuación, algunos de los hechos pudieron acaecer en vigencia de la norma procesal anterior. Aquella no es la aducida por el impugnante, es decir el artículo 2536 del Código Civil -</w:t>
      </w:r>
      <w:r w:rsidRPr="00C234A4">
        <w:rPr>
          <w:rFonts w:ascii="Arial" w:hAnsi="Arial" w:cs="Arial"/>
          <w:i/>
          <w:sz w:val="24"/>
          <w:szCs w:val="24"/>
          <w:lang w:val="es-ES"/>
        </w:rPr>
        <w:t xml:space="preserve">como se precisó en las consideraciones ut supra, la acción de responsabilidad por </w:t>
      </w:r>
      <w:r w:rsidRPr="00C234A4">
        <w:rPr>
          <w:rFonts w:ascii="Arial" w:hAnsi="Arial" w:cs="Arial"/>
          <w:i/>
          <w:sz w:val="24"/>
          <w:szCs w:val="24"/>
          <w:lang w:val="es-ES"/>
        </w:rPr>
        <w:lastRenderedPageBreak/>
        <w:t>trabajos públicos establecida en el artículo 261 de la Ley 167 de 1941 se mantuvo siempre en conocimiento de esta jurisdicción cuando su causa no fuese la ocupación</w:t>
      </w:r>
      <w:r w:rsidRPr="00C234A4">
        <w:rPr>
          <w:rFonts w:ascii="Arial" w:hAnsi="Arial" w:cs="Arial"/>
          <w:sz w:val="24"/>
          <w:szCs w:val="24"/>
          <w:lang w:val="es-ES"/>
        </w:rPr>
        <w:t>- sino el artículo 263 de la Ley 167 de 1941 modificado por el artículo 28 de la Lay 528 de 1964, que amplió el término de caducidad a tres años.</w:t>
      </w:r>
    </w:p>
    <w:p w14:paraId="63748A06" w14:textId="77777777" w:rsidR="005F25EB" w:rsidRPr="00C234A4" w:rsidRDefault="005F25EB" w:rsidP="003B717E">
      <w:pPr>
        <w:spacing w:line="360" w:lineRule="auto"/>
        <w:jc w:val="both"/>
        <w:rPr>
          <w:rFonts w:ascii="Arial" w:hAnsi="Arial" w:cs="Arial"/>
          <w:sz w:val="24"/>
          <w:szCs w:val="24"/>
          <w:lang w:val="es-ES"/>
        </w:rPr>
      </w:pPr>
    </w:p>
    <w:p w14:paraId="08E0071D" w14:textId="77777777" w:rsidR="005F25EB" w:rsidRPr="00C234A4" w:rsidRDefault="00E947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3.3.1.3 </w:t>
      </w:r>
      <w:r w:rsidR="005F25EB" w:rsidRPr="00C234A4">
        <w:rPr>
          <w:rFonts w:ascii="Arial" w:eastAsia="Times New Roman" w:hAnsi="Arial" w:cs="Arial"/>
          <w:sz w:val="24"/>
          <w:szCs w:val="24"/>
          <w:lang w:val="es-ES" w:eastAsia="es-ES"/>
        </w:rPr>
        <w:t xml:space="preserve">Ahora bien, en el presente caso, la parte demandante señala que la puesta en operación del embalse de Chivor le generó daños de orden material e inmaterial, pues la inestabilidad que ello produjo en el terreno de la finca La Unión trajo </w:t>
      </w:r>
      <w:r w:rsidR="00C6171C" w:rsidRPr="00C234A4">
        <w:rPr>
          <w:rFonts w:ascii="Arial" w:eastAsia="Times New Roman" w:hAnsi="Arial" w:cs="Arial"/>
          <w:sz w:val="24"/>
          <w:szCs w:val="24"/>
          <w:lang w:val="es-ES" w:eastAsia="es-ES"/>
        </w:rPr>
        <w:t>consigo la</w:t>
      </w:r>
      <w:r w:rsidR="005F25EB" w:rsidRPr="00C234A4">
        <w:rPr>
          <w:rFonts w:ascii="Arial" w:eastAsia="Times New Roman" w:hAnsi="Arial" w:cs="Arial"/>
          <w:sz w:val="24"/>
          <w:szCs w:val="24"/>
          <w:lang w:val="es-ES" w:eastAsia="es-ES"/>
        </w:rPr>
        <w:t xml:space="preserve"> destrucción de la vivienda familiar y de un trapiche, el agrietamiento de la vivienda </w:t>
      </w:r>
      <w:r w:rsidR="00C6171C" w:rsidRPr="00C234A4">
        <w:rPr>
          <w:rFonts w:ascii="Arial" w:eastAsia="Times New Roman" w:hAnsi="Arial" w:cs="Arial"/>
          <w:sz w:val="24"/>
          <w:szCs w:val="24"/>
          <w:lang w:val="es-ES" w:eastAsia="es-ES"/>
        </w:rPr>
        <w:t>que se</w:t>
      </w:r>
      <w:r w:rsidR="005F25EB" w:rsidRPr="00C234A4">
        <w:rPr>
          <w:rFonts w:ascii="Arial" w:eastAsia="Times New Roman" w:hAnsi="Arial" w:cs="Arial"/>
          <w:sz w:val="24"/>
          <w:szCs w:val="24"/>
          <w:lang w:val="es-ES" w:eastAsia="es-ES"/>
        </w:rPr>
        <w:t xml:space="preserve"> construyó en reemplazo. También, altos grados de zozobra y angustia</w:t>
      </w:r>
      <w:r w:rsidR="005F25EB" w:rsidRPr="00C234A4">
        <w:rPr>
          <w:rFonts w:ascii="Arial" w:eastAsia="Times New Roman" w:hAnsi="Arial" w:cs="Arial"/>
          <w:color w:val="FF0000"/>
          <w:sz w:val="24"/>
          <w:szCs w:val="24"/>
          <w:lang w:val="es-ES" w:eastAsia="es-ES"/>
        </w:rPr>
        <w:t xml:space="preserve">, </w:t>
      </w:r>
      <w:r w:rsidR="005F25EB" w:rsidRPr="00C234A4">
        <w:rPr>
          <w:rFonts w:ascii="Arial" w:eastAsia="Times New Roman" w:hAnsi="Arial" w:cs="Arial"/>
          <w:sz w:val="24"/>
          <w:szCs w:val="24"/>
          <w:lang w:val="es-ES" w:eastAsia="es-ES"/>
        </w:rPr>
        <w:t xml:space="preserve">que a su juicio aceleraron la muerte de la señora Elvinia Bonilla. Por esto último, </w:t>
      </w:r>
      <w:r w:rsidR="00C6171C" w:rsidRPr="00C234A4">
        <w:rPr>
          <w:rFonts w:ascii="Arial" w:eastAsia="Times New Roman" w:hAnsi="Arial" w:cs="Arial"/>
          <w:sz w:val="24"/>
          <w:szCs w:val="24"/>
          <w:lang w:val="es-ES" w:eastAsia="es-ES"/>
        </w:rPr>
        <w:t>se solicitó</w:t>
      </w:r>
      <w:r w:rsidR="005F25EB" w:rsidRPr="00C234A4">
        <w:rPr>
          <w:rFonts w:ascii="Arial" w:eastAsia="Times New Roman" w:hAnsi="Arial" w:cs="Arial"/>
          <w:sz w:val="24"/>
          <w:szCs w:val="24"/>
          <w:lang w:val="es-ES" w:eastAsia="es-ES"/>
        </w:rPr>
        <w:t xml:space="preserve"> ente otros, los gastos médicos</w:t>
      </w:r>
      <w:r w:rsidR="00C6171C" w:rsidRPr="00C234A4">
        <w:rPr>
          <w:rFonts w:ascii="Arial" w:eastAsia="Times New Roman" w:hAnsi="Arial" w:cs="Arial"/>
          <w:sz w:val="24"/>
          <w:szCs w:val="24"/>
          <w:lang w:val="es-ES" w:eastAsia="es-ES"/>
        </w:rPr>
        <w:t>, de</w:t>
      </w:r>
      <w:r w:rsidR="005F25EB" w:rsidRPr="00C234A4">
        <w:rPr>
          <w:rFonts w:ascii="Arial" w:eastAsia="Times New Roman" w:hAnsi="Arial" w:cs="Arial"/>
          <w:sz w:val="24"/>
          <w:szCs w:val="24"/>
          <w:lang w:val="es-ES" w:eastAsia="es-ES"/>
        </w:rPr>
        <w:t xml:space="preserve"> asistencia </w:t>
      </w:r>
      <w:r w:rsidR="00C6171C" w:rsidRPr="00C234A4">
        <w:rPr>
          <w:rFonts w:ascii="Arial" w:eastAsia="Times New Roman" w:hAnsi="Arial" w:cs="Arial"/>
          <w:sz w:val="24"/>
          <w:szCs w:val="24"/>
          <w:lang w:val="es-ES" w:eastAsia="es-ES"/>
        </w:rPr>
        <w:t>y funerarios</w:t>
      </w:r>
      <w:r w:rsidR="005F25EB" w:rsidRPr="00C234A4">
        <w:rPr>
          <w:rFonts w:ascii="Arial" w:eastAsia="Times New Roman" w:hAnsi="Arial" w:cs="Arial"/>
          <w:sz w:val="24"/>
          <w:szCs w:val="24"/>
          <w:lang w:val="es-ES" w:eastAsia="es-ES"/>
        </w:rPr>
        <w:t xml:space="preserve"> en que se incurrió.</w:t>
      </w:r>
    </w:p>
    <w:p w14:paraId="157D8B7A"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0C5C73AE"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En esta instancia, para infirmar el argumento de la caducidad sostenido por el </w:t>
      </w:r>
      <w:r w:rsidRPr="00C234A4">
        <w:rPr>
          <w:rFonts w:ascii="Arial" w:eastAsia="Times New Roman" w:hAnsi="Arial" w:cs="Arial"/>
          <w:i/>
          <w:sz w:val="24"/>
          <w:szCs w:val="24"/>
          <w:lang w:val="es-ES" w:eastAsia="es-ES"/>
        </w:rPr>
        <w:t>a quo</w:t>
      </w:r>
      <w:r w:rsidRPr="00C234A4">
        <w:rPr>
          <w:rFonts w:ascii="Arial" w:eastAsia="Times New Roman" w:hAnsi="Arial" w:cs="Arial"/>
          <w:sz w:val="24"/>
          <w:szCs w:val="24"/>
          <w:lang w:val="es-ES" w:eastAsia="es-ES"/>
        </w:rPr>
        <w:t>, la parte demandante llama la atención en el carácter continuado de estos hechos</w:t>
      </w:r>
      <w:r w:rsidR="00C6171C" w:rsidRPr="00C234A4">
        <w:rPr>
          <w:rFonts w:ascii="Arial" w:eastAsia="Times New Roman" w:hAnsi="Arial" w:cs="Arial"/>
          <w:sz w:val="24"/>
          <w:szCs w:val="24"/>
          <w:lang w:val="es-ES" w:eastAsia="es-ES"/>
        </w:rPr>
        <w:t>, pues</w:t>
      </w:r>
      <w:r w:rsidRPr="00C234A4">
        <w:rPr>
          <w:rFonts w:ascii="Arial" w:eastAsia="Times New Roman" w:hAnsi="Arial" w:cs="Arial"/>
          <w:sz w:val="24"/>
          <w:szCs w:val="24"/>
          <w:lang w:val="es-ES" w:eastAsia="es-ES"/>
        </w:rPr>
        <w:t xml:space="preserve"> a su juicio se produjeron de forma escalonada desde el momento mismo de la entrada en operación de la represa de Chivor y a medida de que el proceso de desestabilización del terreno se ha agravado por la socavación de su margen lateral izquierdo.</w:t>
      </w:r>
    </w:p>
    <w:p w14:paraId="51CEA211"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F2C476E"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3.1.1.3.1 Para la Sala, los daños que se demandan, como por lo regular ocurre con los que se producen con ocasión de una obra pública ocurrieron en un solo momento. Oportunidad en la que corresponde a su identificación, pues es ese preciso momento es posible verificar su producción, cosa diferente es que pudieran ocasionar perjuicios que puedan proyectarse hacia el futuro.</w:t>
      </w:r>
    </w:p>
    <w:p w14:paraId="60BD3E52"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570CB744"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En otras palab</w:t>
      </w:r>
      <w:r w:rsidR="002B618E">
        <w:rPr>
          <w:rFonts w:ascii="Arial" w:eastAsia="Times New Roman" w:hAnsi="Arial" w:cs="Arial"/>
          <w:sz w:val="24"/>
          <w:szCs w:val="24"/>
          <w:lang w:val="es-ES" w:eastAsia="es-ES"/>
        </w:rPr>
        <w:t>ras, el deterioro del inmueble,</w:t>
      </w:r>
      <w:r w:rsidRPr="00C234A4">
        <w:rPr>
          <w:rFonts w:ascii="Arial" w:eastAsia="Times New Roman" w:hAnsi="Arial" w:cs="Arial"/>
          <w:sz w:val="24"/>
          <w:szCs w:val="24"/>
          <w:lang w:val="es-ES" w:eastAsia="es-ES"/>
        </w:rPr>
        <w:t xml:space="preserve"> la destrucción de la casa familiar y la infraestructura del trapiche, el agrietamiento de la vivienda que  se construyó en reemplazo e inclusive la muerte son hechos físicos que bajo las circunstancias en que se produjeron eran susceptibles de conocerse y dimensionarse desde el momento en que ocurrieron, de donde no se les pueda dar la naturaleza de continuados. Calificación que no cambia con el análisis realizado por los expertos, pues allí lo que se hizo en realidad fue un análisis de las causas de algunos de estos hechos, en diferentes momentos de tiempo.</w:t>
      </w:r>
    </w:p>
    <w:p w14:paraId="1DDF7FA0"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222FE163"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Al respecto, debe tenerse presente que, tratándose de daños de tracto sucesivo la prolongación en el tiempo no se predica de los efectos del daño sino de este como </w:t>
      </w:r>
      <w:r w:rsidRPr="00C234A4">
        <w:rPr>
          <w:rFonts w:ascii="Arial" w:eastAsia="Times New Roman" w:hAnsi="Arial" w:cs="Arial"/>
          <w:sz w:val="24"/>
          <w:szCs w:val="24"/>
          <w:lang w:val="es-ES" w:eastAsia="es-ES"/>
        </w:rPr>
        <w:lastRenderedPageBreak/>
        <w:t>tal, así por ejemplo el hecho de que el inmueble se haya deteriorado y eso impida su normal explotación hacía el futuro, es decir que ello prive al demandante de sus frutos naturales y civiles, no muta el daño en uno de esa naturaleza, de donde el computo de caducidad en el presente caso debía iniciarse, como lo consideró el tribunal, desde el día en que este se verificó, pues una lectura diferente dejaría en la indefinición la caducidad, lo que  constituye un atentado contra  la seguridad jurídica.</w:t>
      </w:r>
    </w:p>
    <w:p w14:paraId="21E658A6"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1CE3AF4D"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Claro está, lo anterior no significa que en el </w:t>
      </w:r>
      <w:r w:rsidRPr="00C234A4">
        <w:rPr>
          <w:rFonts w:ascii="Arial" w:eastAsia="Times New Roman" w:hAnsi="Arial" w:cs="Arial"/>
          <w:i/>
          <w:sz w:val="24"/>
          <w:szCs w:val="24"/>
          <w:lang w:val="es-ES" w:eastAsia="es-ES"/>
        </w:rPr>
        <w:t>subjudice</w:t>
      </w:r>
      <w:r w:rsidRPr="00C234A4">
        <w:rPr>
          <w:rFonts w:ascii="Arial" w:eastAsia="Times New Roman" w:hAnsi="Arial" w:cs="Arial"/>
          <w:sz w:val="24"/>
          <w:szCs w:val="24"/>
          <w:lang w:val="es-ES" w:eastAsia="es-ES"/>
        </w:rPr>
        <w:t xml:space="preserve"> el término empezó con la finalización de la construcción del embalse Chivor,  su puesta en funcionamiento en el año de 1976 o  la finalización de la carretera  que conduce al municipio de Almeida </w:t>
      </w:r>
      <w:r w:rsidRPr="00C234A4">
        <w:rPr>
          <w:rFonts w:ascii="Arial" w:eastAsia="Times New Roman" w:hAnsi="Arial" w:cs="Arial"/>
          <w:color w:val="FF0000"/>
          <w:sz w:val="24"/>
          <w:szCs w:val="24"/>
          <w:lang w:val="es-ES" w:eastAsia="es-ES"/>
        </w:rPr>
        <w:t xml:space="preserve"> </w:t>
      </w:r>
      <w:r w:rsidRPr="00C234A4">
        <w:rPr>
          <w:rFonts w:ascii="Arial" w:eastAsia="Times New Roman" w:hAnsi="Arial" w:cs="Arial"/>
          <w:sz w:val="24"/>
          <w:szCs w:val="24"/>
          <w:lang w:val="es-ES" w:eastAsia="es-ES"/>
        </w:rPr>
        <w:t>en el año 1983. Circunstancia que, según uno de los expertos insidió en la desestabilización del terreno, pues los daños por los que se demanda se produjeron con posterioridad y en diferentes momentos, lo que claro exige su análisis individualizado.</w:t>
      </w:r>
    </w:p>
    <w:p w14:paraId="65C8CC07"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63480514"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Es que tratándose de obras públicas  los daños pueden ocurrir de manera inmediata, verbigracia la muerte de un transeúnte o un obrero en la ejecución del proyecto y otros  pueden ocurrir tiempo después, dada la dinámica de la operación  y las propias características de la obra, como sucedería  con la construcción de un puente que impide el flujo normal de un río generando inundaciones en épocas de invierno o como sucede  en este caso, en el que presuntamente la puesta en </w:t>
      </w:r>
      <w:r w:rsidRPr="00C234A4">
        <w:rPr>
          <w:rFonts w:ascii="Arial" w:eastAsia="Times New Roman" w:hAnsi="Arial" w:cs="Arial"/>
          <w:sz w:val="24"/>
          <w:szCs w:val="24"/>
          <w:lang w:val="es-ES" w:eastAsia="es-ES"/>
        </w:rPr>
        <w:lastRenderedPageBreak/>
        <w:t>funcionamiento del embalse contribuyó a la destrucción y deterioro de los bienes del señor Roa Bonilla.</w:t>
      </w:r>
    </w:p>
    <w:p w14:paraId="5CF7B69E"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2625A9E3"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Realidad que acepta el propio demandante</w:t>
      </w:r>
      <w:r w:rsidRPr="00C234A4">
        <w:rPr>
          <w:rStyle w:val="Refdenotaalpie"/>
          <w:rFonts w:ascii="Arial" w:eastAsia="Times New Roman" w:hAnsi="Arial" w:cs="Arial"/>
          <w:sz w:val="24"/>
          <w:szCs w:val="24"/>
          <w:lang w:val="es-ES" w:eastAsia="es-ES"/>
        </w:rPr>
        <w:footnoteReference w:id="28"/>
      </w:r>
      <w:r w:rsidRPr="00C234A4">
        <w:rPr>
          <w:rFonts w:ascii="Arial" w:eastAsia="Times New Roman" w:hAnsi="Arial" w:cs="Arial"/>
          <w:sz w:val="24"/>
          <w:szCs w:val="24"/>
          <w:lang w:val="es-ES" w:eastAsia="es-ES"/>
        </w:rPr>
        <w:t xml:space="preserve">. Efectivamente, al tiempo que sustenta el recurso de apelación pone de presente que la actual administradora del embalse está en un proceso de adquisición de bienes, dado el aumento en los niveles del embalse y la necesidad de ampliar su capacidad. Esto es acepta, posibles daños autónomos ocasionados en diferentes épocas, por la misma obra pública, el embalse de Chivor. </w:t>
      </w:r>
    </w:p>
    <w:p w14:paraId="0DF31ED1"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42F1F7FD"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En este contexto, la Sala considera que el deterioro del terreno, el  derrumbamiento de la casa, de la infraestructura del trapiche, el agrietamiento de la casa de reemplazo y la muerte de la señora Elvinia Bonilla viuda de Roa fueron  hechos autónomos y de ejecución instantánea. Eso sí ocasionados con posterioridad a la entrada en operación del embalse y en diferentes épocas, lo que amerita establecer de manera autónoma cuando se hicieron patentes.</w:t>
      </w:r>
    </w:p>
    <w:p w14:paraId="57C38A5D"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039FE961"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3.1.1.3.2 Ahora, para el cómputo de la caducidad en el caso en estudio, la Sala echa de menos las pruebas que permitieran evidenciar de manera concreta las fechas que cada hecho ocurrió. No obstante, las aportadas al proceso, permiten establecer que el término de caducidad  transcurrió en exceso si se tiene en cuenta el momento en que el demandante tuvo conocimiento de los hechos  e  interpuso la demanda, como lo concluyó el </w:t>
      </w:r>
      <w:r w:rsidRPr="00C234A4">
        <w:rPr>
          <w:rFonts w:ascii="Arial" w:eastAsia="Times New Roman" w:hAnsi="Arial" w:cs="Arial"/>
          <w:i/>
          <w:sz w:val="24"/>
          <w:szCs w:val="24"/>
          <w:lang w:val="es-ES" w:eastAsia="es-ES"/>
        </w:rPr>
        <w:t>a quo</w:t>
      </w:r>
      <w:r w:rsidRPr="00C234A4">
        <w:rPr>
          <w:rFonts w:ascii="Arial" w:eastAsia="Times New Roman" w:hAnsi="Arial" w:cs="Arial"/>
          <w:sz w:val="24"/>
          <w:szCs w:val="24"/>
          <w:lang w:val="es-ES" w:eastAsia="es-ES"/>
        </w:rPr>
        <w:t>.</w:t>
      </w:r>
    </w:p>
    <w:p w14:paraId="28C8EEAE"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3F7944C7"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En efecto, se observa que al menos para el día 4 de diciembre de 1986, el señor Roa Bonilla tenía pleno conocimiento de los daños por los que ahora demanda y de la que a su juicio era su causa, el embalse de Chivor, pues se dirigió a la empresa demandada, Interconexión Eléctrica S.A. para poner de presente el deterioro general del predio La Unión,  el derrumbamiento de la vivienda familiar y del agrietamiento de la  vivienda de reemplazo construida hace año y medio, como consecuencia de la operación del embalse.</w:t>
      </w:r>
    </w:p>
    <w:p w14:paraId="2A506FA5"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6AD7CF40"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Conocimiento que el demandante no negó tener cuando fue citado a rendir declaración de parte, pues al ser interrogado sobre la fecha en que tuvo conocimiento de los daños por los que demandó, precisó que estos ocurrieron con </w:t>
      </w:r>
      <w:r w:rsidRPr="00C234A4">
        <w:rPr>
          <w:rFonts w:ascii="Arial" w:eastAsia="Times New Roman" w:hAnsi="Arial" w:cs="Arial"/>
          <w:sz w:val="24"/>
          <w:szCs w:val="24"/>
          <w:lang w:val="es-ES" w:eastAsia="es-ES"/>
        </w:rPr>
        <w:lastRenderedPageBreak/>
        <w:t>posterioridad al llenado del embalse, aproximadamente entre los años 1977 y 1978, época en la que se comenzaron a notar los daños al  predio, a la primera vivienda y a la infraestructura del trapiche ubicado en una enramada. Igualmente, señaló que, al tiempo de terminarse la construcción de la segunda vivienda que temporalmente sitúa en el año 1988, ocurrió su agrietamiento, el que por cierto se constató en la diligencia de inspección judicial llevada a cabo en el tribunal en el año 2000.</w:t>
      </w:r>
    </w:p>
    <w:p w14:paraId="7436C0EF"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7394863C"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Lo anterior significa  que los daños ocurrieron en diferentes épocas entre los años 1977 y el año 1986, fecha esta última en  que el demandante tenía conocimiento pleno de los mismos, pues no de otra forma se explican sus intervenciones ante la propia entidad y frente a otras instancias como la Procuraduría para obtener por vía directa la reparación.  Intervenciones que no eran óbice para que, como lo hizo para obtener la reparación de los daños por la ocupación, presentara la demanda oportunamente en contra de la empresa demandada. </w:t>
      </w:r>
    </w:p>
    <w:p w14:paraId="23EE9DEA"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142CE610"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En este punto  debe advertirse, también que la existencia del concepto de Ingeominas emitido en el año 1993, tampoco era necesario para iniciar la demanda, como parece sugerirlo la impugnante, pues lo cierto es que antes,  el demandante señaló con certeza a la empresa demandada como la causante de los daños a su propiedad. Empresa que tiempo atrás  realizó visitas al predio y estudios geológicos, con el fin de atender las reclamaciones del demandante, mismos  que fueron puestos en su conocimiento. </w:t>
      </w:r>
    </w:p>
    <w:p w14:paraId="1982B54D"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46721B5F"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r w:rsidRPr="00C234A4">
        <w:rPr>
          <w:rFonts w:ascii="Arial" w:eastAsia="Times New Roman" w:hAnsi="Arial" w:cs="Arial"/>
          <w:sz w:val="24"/>
          <w:szCs w:val="24"/>
          <w:lang w:val="es-ES" w:eastAsia="es-ES"/>
        </w:rPr>
        <w:t xml:space="preserve">3.1.1.4 De este modo, en lo que respecta al deterioro del inmueble, la destrucción de la vivienda familiar, el trapiche y el agrietamiento de la vivienda familiar deberá confirmarse la sentencia de primera instancia, pues se constató que la parte demandante no observó para el ejercicio de la acción los términos establecidos, bien en vigencia  de la Ley 167 de 1941  o del Decreto 01 de 1984. </w:t>
      </w:r>
    </w:p>
    <w:p w14:paraId="2290E188" w14:textId="77777777" w:rsidR="005F25EB" w:rsidRPr="00C234A4" w:rsidRDefault="005F25EB" w:rsidP="003B717E">
      <w:pPr>
        <w:widowControl w:val="0"/>
        <w:autoSpaceDE w:val="0"/>
        <w:autoSpaceDN w:val="0"/>
        <w:adjustRightInd w:val="0"/>
        <w:spacing w:line="360" w:lineRule="auto"/>
        <w:jc w:val="both"/>
        <w:rPr>
          <w:rFonts w:ascii="Arial" w:eastAsia="Times New Roman" w:hAnsi="Arial" w:cs="Arial"/>
          <w:sz w:val="24"/>
          <w:szCs w:val="24"/>
          <w:lang w:val="es-ES" w:eastAsia="es-ES"/>
        </w:rPr>
      </w:pPr>
    </w:p>
    <w:p w14:paraId="2B28E5F7" w14:textId="77777777" w:rsidR="005F25EB" w:rsidRPr="00C234A4" w:rsidRDefault="005F25EB" w:rsidP="003B717E">
      <w:pPr>
        <w:spacing w:line="360" w:lineRule="auto"/>
        <w:jc w:val="both"/>
        <w:rPr>
          <w:rFonts w:ascii="Arial" w:hAnsi="Arial" w:cs="Arial"/>
          <w:b/>
          <w:sz w:val="24"/>
          <w:szCs w:val="24"/>
          <w:lang w:val="es-ES"/>
        </w:rPr>
      </w:pPr>
      <w:r w:rsidRPr="00C234A4">
        <w:rPr>
          <w:rFonts w:ascii="Arial" w:hAnsi="Arial" w:cs="Arial"/>
          <w:b/>
          <w:sz w:val="24"/>
          <w:szCs w:val="24"/>
          <w:lang w:val="es-ES"/>
        </w:rPr>
        <w:t>3.3.2  La legitimación para reclamar los daños ocasionados a la señora  Elvinia Bonilla viuda de Roa</w:t>
      </w:r>
    </w:p>
    <w:p w14:paraId="5B0AFA1D" w14:textId="77777777" w:rsidR="005F25EB" w:rsidRPr="00C234A4" w:rsidRDefault="005F25EB" w:rsidP="003B717E">
      <w:pPr>
        <w:spacing w:line="360" w:lineRule="auto"/>
        <w:jc w:val="both"/>
        <w:rPr>
          <w:rFonts w:ascii="Arial" w:hAnsi="Arial" w:cs="Arial"/>
          <w:sz w:val="24"/>
          <w:szCs w:val="24"/>
          <w:lang w:val="es-ES"/>
        </w:rPr>
      </w:pPr>
    </w:p>
    <w:p w14:paraId="4F2A0C04"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 xml:space="preserve">Pese a que los reclamos y en general todo el esfuerzo argumentativo y probatorio de la parte actora, se centran en los daños, tanto materiales como morales ocasionados al inmueble de su propiedad con ocasión de la puesta en funcionamiento de la represa Chivor, también, el señor Roa Bonilla hizo alusión a </w:t>
      </w:r>
      <w:r w:rsidRPr="00C234A4">
        <w:rPr>
          <w:rFonts w:ascii="Arial" w:hAnsi="Arial" w:cs="Arial"/>
          <w:sz w:val="24"/>
          <w:szCs w:val="24"/>
          <w:lang w:val="es-ES"/>
        </w:rPr>
        <w:lastRenderedPageBreak/>
        <w:t>que el estado de zozobra y angustia que generó esta situación desencadenó la muerte de su madre la señora Elvinia Bonilla viuda de Roa. Situación por la que manifestó debían reconocerse entre otros perjuicios los gastos médicos, de asistencia y fúnebres en que se incurrió.</w:t>
      </w:r>
    </w:p>
    <w:p w14:paraId="1B1BDB5C" w14:textId="77777777" w:rsidR="005F25EB" w:rsidRPr="00C234A4" w:rsidRDefault="005F25EB" w:rsidP="003B717E">
      <w:pPr>
        <w:spacing w:line="360" w:lineRule="auto"/>
        <w:jc w:val="both"/>
        <w:rPr>
          <w:rFonts w:ascii="Arial" w:hAnsi="Arial" w:cs="Arial"/>
          <w:sz w:val="24"/>
          <w:szCs w:val="24"/>
          <w:lang w:val="es-ES"/>
        </w:rPr>
      </w:pPr>
    </w:p>
    <w:p w14:paraId="16BB0D19"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Sobre el particular, la parte demandante solo afirmó pero no aportó ni solicitó prueba alguna para verificar los presupuestos procesales necesarios para decidir esta pretensión, como tampoco de cara al juicio de responsabilidad, pues en el plenario ni siquiera se aportó la prueba del fallecimiento de la antes nombrada.</w:t>
      </w:r>
    </w:p>
    <w:p w14:paraId="20F24629" w14:textId="77777777" w:rsidR="005F25EB" w:rsidRPr="00C234A4" w:rsidRDefault="005F25EB" w:rsidP="003B717E">
      <w:pPr>
        <w:spacing w:line="360" w:lineRule="auto"/>
        <w:jc w:val="both"/>
        <w:rPr>
          <w:rFonts w:ascii="Arial" w:hAnsi="Arial" w:cs="Arial"/>
          <w:sz w:val="24"/>
          <w:szCs w:val="24"/>
          <w:lang w:val="es-ES"/>
        </w:rPr>
      </w:pPr>
    </w:p>
    <w:p w14:paraId="097A50B7"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 xml:space="preserve">En esta medida, la Sala se limitará a confirmar la decisión del tribunal de declarar la falta de legitimación material en la causa por activa, pues es cierto que  no se  acreditó la relación parental ni ninguna otra que permitiera tener al señor Roa Bonilla como damnificado por los daños que alega, situación esencial, pues como se sabe el daño para tenerse por estructurado debe ser personal. </w:t>
      </w:r>
    </w:p>
    <w:p w14:paraId="34772A56" w14:textId="77777777" w:rsidR="005F25EB" w:rsidRPr="00C234A4" w:rsidRDefault="005F25EB" w:rsidP="003B717E">
      <w:pPr>
        <w:spacing w:line="360" w:lineRule="auto"/>
        <w:jc w:val="both"/>
        <w:rPr>
          <w:rFonts w:ascii="Arial" w:hAnsi="Arial" w:cs="Arial"/>
          <w:sz w:val="24"/>
          <w:szCs w:val="24"/>
          <w:lang w:val="es-ES"/>
        </w:rPr>
      </w:pPr>
    </w:p>
    <w:p w14:paraId="5AA00560" w14:textId="77777777" w:rsidR="005F25EB" w:rsidRPr="00C234A4" w:rsidRDefault="005F25EB" w:rsidP="003B717E">
      <w:pPr>
        <w:spacing w:line="360" w:lineRule="auto"/>
        <w:jc w:val="both"/>
        <w:rPr>
          <w:rFonts w:ascii="Arial" w:hAnsi="Arial" w:cs="Arial"/>
          <w:sz w:val="24"/>
          <w:szCs w:val="24"/>
          <w:lang w:val="es-ES"/>
        </w:rPr>
      </w:pPr>
      <w:r w:rsidRPr="00C234A4">
        <w:rPr>
          <w:rFonts w:ascii="Arial" w:hAnsi="Arial" w:cs="Arial"/>
          <w:sz w:val="24"/>
          <w:szCs w:val="24"/>
          <w:lang w:val="es-ES"/>
        </w:rPr>
        <w:t>Sobre la falta de legitimación en la causa la Sala ha señalado:</w:t>
      </w:r>
    </w:p>
    <w:p w14:paraId="47FB0F70" w14:textId="77777777" w:rsidR="005F25EB" w:rsidRPr="00C234A4" w:rsidRDefault="005F25EB" w:rsidP="003B717E">
      <w:pPr>
        <w:spacing w:line="360" w:lineRule="auto"/>
        <w:jc w:val="both"/>
        <w:rPr>
          <w:rFonts w:ascii="Arial" w:hAnsi="Arial" w:cs="Arial"/>
          <w:sz w:val="24"/>
          <w:szCs w:val="24"/>
          <w:lang w:val="es-ES"/>
        </w:rPr>
      </w:pPr>
    </w:p>
    <w:p w14:paraId="058C142F" w14:textId="77777777" w:rsidR="005F25EB" w:rsidRPr="00C234A4" w:rsidRDefault="005F25EB" w:rsidP="003B717E">
      <w:pPr>
        <w:pStyle w:val="Textoindependiente21"/>
        <w:widowControl w:val="0"/>
        <w:tabs>
          <w:tab w:val="left" w:pos="-142"/>
        </w:tabs>
        <w:spacing w:line="240" w:lineRule="auto"/>
        <w:ind w:left="709"/>
        <w:rPr>
          <w:szCs w:val="24"/>
        </w:rPr>
      </w:pPr>
      <w:r w:rsidRPr="00C234A4">
        <w:rPr>
          <w:szCs w:val="24"/>
        </w:rPr>
        <w:t>“</w:t>
      </w:r>
      <w:r w:rsidRPr="00C234A4">
        <w:rPr>
          <w:i/>
          <w:szCs w:val="24"/>
        </w:rPr>
        <w:t>La legitimación en la causa -legitimatio ad causam- se refiere a la posición sustancial que tiene uno de los sujetos en la situación fáctica o relación jurídica de la que surge la controversia o litigio que se plantea en el proceso y de la cual según la ley se desprenden o no derechos u obligaciones o se les desconocen los primeros o se les exonera de las segundas. Es decir, tener legitimación en la causa consiste en ser la persona que, de conformidad con la ley sustancial, se encuentra autorizada para intervenir en el proceso y formular o contradecir las pretensiones contenidas en la demanda por ser sujeto activo o pasivo de la relación jurídica sustancial debatida objeto de la decisión del juez, en el supuesto de que aquélla exista. Es un elemento de mérito de la litis y no un presupuesto procesal.”</w:t>
      </w:r>
      <w:r w:rsidRPr="00C234A4">
        <w:rPr>
          <w:rStyle w:val="Refdenotaalpie"/>
          <w:i/>
          <w:szCs w:val="24"/>
        </w:rPr>
        <w:footnoteReference w:id="29"/>
      </w:r>
      <w:r w:rsidRPr="00C234A4">
        <w:rPr>
          <w:szCs w:val="24"/>
        </w:rPr>
        <w:t xml:space="preserve"> </w:t>
      </w:r>
    </w:p>
    <w:p w14:paraId="69EEF00A" w14:textId="77777777" w:rsidR="005F25EB" w:rsidRPr="00C234A4" w:rsidRDefault="005F25EB" w:rsidP="003B717E">
      <w:pPr>
        <w:spacing w:line="360" w:lineRule="auto"/>
        <w:jc w:val="both"/>
        <w:rPr>
          <w:rFonts w:ascii="Arial" w:hAnsi="Arial" w:cs="Arial"/>
          <w:b/>
          <w:sz w:val="24"/>
          <w:szCs w:val="24"/>
          <w:lang w:val="es-ES"/>
        </w:rPr>
      </w:pPr>
    </w:p>
    <w:p w14:paraId="0E7BACD7" w14:textId="77777777" w:rsidR="005F25EB" w:rsidRPr="00C234A4" w:rsidRDefault="005F25EB" w:rsidP="003B717E">
      <w:pPr>
        <w:spacing w:line="360" w:lineRule="auto"/>
        <w:jc w:val="both"/>
        <w:rPr>
          <w:rFonts w:ascii="Arial" w:hAnsi="Arial" w:cs="Arial"/>
          <w:sz w:val="24"/>
          <w:szCs w:val="24"/>
        </w:rPr>
      </w:pPr>
      <w:r w:rsidRPr="00C234A4">
        <w:rPr>
          <w:rFonts w:ascii="Arial" w:hAnsi="Arial" w:cs="Arial"/>
          <w:spacing w:val="-3"/>
          <w:sz w:val="24"/>
          <w:szCs w:val="24"/>
          <w:lang w:val="es-MX"/>
        </w:rPr>
        <w:t xml:space="preserve">Igualmente,  ha diferenciado la legitimación de hecho de la legitimación material  en la causa, señalando que esta primera es aquella  que se establece entre quien  demandada y el demandado  y que surge a partir del momento en que se traba la </w:t>
      </w:r>
      <w:r w:rsidRPr="00C234A4">
        <w:rPr>
          <w:rFonts w:ascii="Arial" w:hAnsi="Arial" w:cs="Arial"/>
          <w:i/>
          <w:spacing w:val="-3"/>
          <w:sz w:val="24"/>
          <w:szCs w:val="24"/>
          <w:lang w:val="es-MX"/>
        </w:rPr>
        <w:t>litis</w:t>
      </w:r>
      <w:r w:rsidRPr="00C234A4">
        <w:rPr>
          <w:rFonts w:ascii="Arial" w:hAnsi="Arial" w:cs="Arial"/>
          <w:spacing w:val="-3"/>
          <w:sz w:val="24"/>
          <w:szCs w:val="24"/>
          <w:lang w:val="es-MX"/>
        </w:rPr>
        <w:t xml:space="preserve">, con la notificación del auto admisorio de la demanda y la segunda, como aquella que tiene una relación directa con el objeto de la </w:t>
      </w:r>
      <w:r w:rsidRPr="00C234A4">
        <w:rPr>
          <w:rFonts w:ascii="Arial" w:hAnsi="Arial" w:cs="Arial"/>
          <w:i/>
          <w:spacing w:val="-3"/>
          <w:sz w:val="24"/>
          <w:szCs w:val="24"/>
          <w:lang w:val="es-MX"/>
        </w:rPr>
        <w:t>litis</w:t>
      </w:r>
      <w:r w:rsidRPr="00C234A4">
        <w:rPr>
          <w:rFonts w:ascii="Arial" w:hAnsi="Arial" w:cs="Arial"/>
          <w:spacing w:val="-3"/>
          <w:sz w:val="24"/>
          <w:szCs w:val="24"/>
          <w:lang w:val="es-MX"/>
        </w:rPr>
        <w:t xml:space="preserve">, ya que tiene que ver con la participación real de las personas en el hecho que </w:t>
      </w:r>
      <w:r w:rsidRPr="00C234A4">
        <w:rPr>
          <w:rFonts w:ascii="Arial" w:hAnsi="Arial" w:cs="Arial"/>
          <w:sz w:val="24"/>
          <w:szCs w:val="24"/>
        </w:rPr>
        <w:t>da origen a la interposición de la demanda, independientemente de que hayan sido convocadas al proceso</w:t>
      </w:r>
      <w:r w:rsidRPr="00C234A4">
        <w:rPr>
          <w:rStyle w:val="Refdenotaalpie"/>
          <w:rFonts w:ascii="Arial" w:hAnsi="Arial" w:cs="Arial"/>
          <w:sz w:val="24"/>
          <w:szCs w:val="24"/>
        </w:rPr>
        <w:footnoteReference w:id="30"/>
      </w:r>
      <w:r w:rsidRPr="00C234A4">
        <w:rPr>
          <w:rFonts w:ascii="Arial" w:hAnsi="Arial" w:cs="Arial"/>
          <w:sz w:val="24"/>
          <w:szCs w:val="24"/>
        </w:rPr>
        <w:t>.</w:t>
      </w:r>
    </w:p>
    <w:p w14:paraId="39A27B96" w14:textId="77777777" w:rsidR="005F25EB" w:rsidRPr="00C234A4" w:rsidRDefault="005F25EB" w:rsidP="002B2CAD">
      <w:pPr>
        <w:widowControl w:val="0"/>
        <w:autoSpaceDE w:val="0"/>
        <w:autoSpaceDN w:val="0"/>
        <w:adjustRightInd w:val="0"/>
        <w:spacing w:line="276" w:lineRule="auto"/>
        <w:jc w:val="both"/>
        <w:rPr>
          <w:rFonts w:ascii="Arial" w:hAnsi="Arial" w:cs="Arial"/>
          <w:b/>
          <w:sz w:val="24"/>
          <w:szCs w:val="24"/>
          <w:lang w:val="es-ES"/>
        </w:rPr>
      </w:pPr>
    </w:p>
    <w:p w14:paraId="296C0E46" w14:textId="77777777" w:rsidR="005F25EB" w:rsidRPr="00C234A4" w:rsidRDefault="005F25EB" w:rsidP="002B2CAD">
      <w:pPr>
        <w:widowControl w:val="0"/>
        <w:autoSpaceDE w:val="0"/>
        <w:autoSpaceDN w:val="0"/>
        <w:adjustRightInd w:val="0"/>
        <w:spacing w:line="276" w:lineRule="auto"/>
        <w:jc w:val="both"/>
        <w:rPr>
          <w:rFonts w:ascii="Arial" w:hAnsi="Arial" w:cs="Arial"/>
          <w:b/>
          <w:sz w:val="24"/>
          <w:szCs w:val="24"/>
          <w:lang w:val="es-ES"/>
        </w:rPr>
      </w:pPr>
    </w:p>
    <w:p w14:paraId="316C52AC" w14:textId="77777777" w:rsidR="005F25EB" w:rsidRPr="00C234A4" w:rsidRDefault="005F25EB" w:rsidP="002B2CAD">
      <w:pPr>
        <w:spacing w:line="276" w:lineRule="auto"/>
        <w:jc w:val="both"/>
        <w:rPr>
          <w:rFonts w:ascii="Arial" w:eastAsia="Times New Roman" w:hAnsi="Arial" w:cs="Arial"/>
          <w:b/>
          <w:sz w:val="24"/>
          <w:szCs w:val="24"/>
          <w:lang w:val="es-ES" w:eastAsia="es-ES"/>
        </w:rPr>
      </w:pPr>
      <w:r w:rsidRPr="00C234A4">
        <w:rPr>
          <w:rFonts w:ascii="Arial" w:eastAsia="Times New Roman" w:hAnsi="Arial" w:cs="Arial"/>
          <w:b/>
          <w:sz w:val="24"/>
          <w:szCs w:val="24"/>
          <w:lang w:val="es-ES" w:eastAsia="es-ES"/>
        </w:rPr>
        <w:t xml:space="preserve">4. Costas </w:t>
      </w:r>
    </w:p>
    <w:p w14:paraId="23AC4FA7" w14:textId="77777777" w:rsidR="005F25EB" w:rsidRPr="00C234A4" w:rsidRDefault="005F25EB" w:rsidP="002B2CAD">
      <w:pPr>
        <w:spacing w:line="276" w:lineRule="auto"/>
        <w:jc w:val="both"/>
        <w:rPr>
          <w:rFonts w:ascii="Arial" w:eastAsia="Times New Roman" w:hAnsi="Arial" w:cs="Arial"/>
          <w:b/>
          <w:sz w:val="24"/>
          <w:szCs w:val="24"/>
          <w:lang w:val="es-ES" w:eastAsia="es-ES"/>
        </w:rPr>
      </w:pPr>
    </w:p>
    <w:p w14:paraId="247871DE" w14:textId="77777777" w:rsidR="005F25EB" w:rsidRPr="00C234A4" w:rsidRDefault="005F25EB" w:rsidP="002B2CAD">
      <w:pPr>
        <w:spacing w:line="276" w:lineRule="auto"/>
        <w:jc w:val="both"/>
        <w:rPr>
          <w:rFonts w:ascii="Arial" w:eastAsia="Times New Roman" w:hAnsi="Arial" w:cs="Arial"/>
          <w:b/>
          <w:sz w:val="24"/>
          <w:szCs w:val="24"/>
          <w:lang w:val="es-ES" w:eastAsia="es-ES"/>
        </w:rPr>
      </w:pPr>
    </w:p>
    <w:p w14:paraId="3BB50DF7" w14:textId="77777777" w:rsidR="005F25EB" w:rsidRPr="00C234A4" w:rsidRDefault="005F25EB" w:rsidP="002B2CAD">
      <w:pPr>
        <w:spacing w:line="276" w:lineRule="auto"/>
        <w:jc w:val="both"/>
        <w:rPr>
          <w:rFonts w:ascii="Arial" w:eastAsia="Times New Roman" w:hAnsi="Arial" w:cs="Arial"/>
          <w:sz w:val="24"/>
          <w:szCs w:val="24"/>
          <w:lang w:eastAsia="es-ES"/>
        </w:rPr>
      </w:pPr>
      <w:r w:rsidRPr="00C234A4">
        <w:rPr>
          <w:rFonts w:ascii="Arial" w:eastAsia="Times New Roman" w:hAnsi="Arial" w:cs="Arial"/>
          <w:sz w:val="24"/>
          <w:szCs w:val="24"/>
          <w:lang w:eastAsia="es-ES"/>
        </w:rPr>
        <w:t xml:space="preserve">El artículo 55 de </w:t>
      </w:r>
      <w:smartTag w:uri="urn:schemas-microsoft-com:office:smarttags" w:element="PersonName">
        <w:smartTagPr>
          <w:attr w:name="ProductID" w:val="la Ley"/>
        </w:smartTagPr>
        <w:r w:rsidRPr="00C234A4">
          <w:rPr>
            <w:rFonts w:ascii="Arial" w:eastAsia="Times New Roman" w:hAnsi="Arial" w:cs="Arial"/>
            <w:sz w:val="24"/>
            <w:szCs w:val="24"/>
            <w:lang w:eastAsia="es-ES"/>
          </w:rPr>
          <w:t>la Ley</w:t>
        </w:r>
      </w:smartTag>
      <w:r w:rsidRPr="00C234A4">
        <w:rPr>
          <w:rFonts w:ascii="Arial" w:eastAsia="Times New Roman" w:hAnsi="Arial" w:cs="Arial"/>
          <w:sz w:val="24"/>
          <w:szCs w:val="24"/>
          <w:lang w:eastAsia="es-ES"/>
        </w:rPr>
        <w:t xml:space="preserve"> 446 de 1998 establece que se condenará en costas a la parte que hubiere actuado en forma temeraria. En el presente caso </w:t>
      </w:r>
      <w:smartTag w:uri="urn:schemas-microsoft-com:office:smarttags" w:element="PersonName">
        <w:smartTagPr>
          <w:attr w:name="ProductID" w:val="la Sala"/>
        </w:smartTagPr>
        <w:r w:rsidRPr="00C234A4">
          <w:rPr>
            <w:rFonts w:ascii="Arial" w:eastAsia="Times New Roman" w:hAnsi="Arial" w:cs="Arial"/>
            <w:sz w:val="24"/>
            <w:szCs w:val="24"/>
            <w:lang w:eastAsia="es-ES"/>
          </w:rPr>
          <w:t>la Sala</w:t>
        </w:r>
      </w:smartTag>
      <w:r w:rsidRPr="00C234A4">
        <w:rPr>
          <w:rFonts w:ascii="Arial" w:eastAsia="Times New Roman" w:hAnsi="Arial" w:cs="Arial"/>
          <w:sz w:val="24"/>
          <w:szCs w:val="24"/>
          <w:lang w:eastAsia="es-ES"/>
        </w:rPr>
        <w:t xml:space="preserve"> no observa comportamiento de este tipo en las actuaciones procesales de los intervinientes dentro del proceso, razón por la cual no se impondrá condena al respecto.</w:t>
      </w:r>
    </w:p>
    <w:p w14:paraId="2BE59F0A" w14:textId="77777777" w:rsidR="005F25EB" w:rsidRPr="00C234A4" w:rsidRDefault="005F25EB" w:rsidP="002B2CAD">
      <w:pPr>
        <w:spacing w:line="276" w:lineRule="auto"/>
        <w:jc w:val="both"/>
        <w:rPr>
          <w:rFonts w:ascii="Arial" w:eastAsia="Times New Roman" w:hAnsi="Arial" w:cs="Arial"/>
          <w:sz w:val="24"/>
          <w:szCs w:val="24"/>
          <w:lang w:eastAsia="es-ES"/>
        </w:rPr>
      </w:pPr>
    </w:p>
    <w:p w14:paraId="23130219" w14:textId="77777777" w:rsidR="005F25EB" w:rsidRPr="00C234A4" w:rsidRDefault="005F25EB" w:rsidP="002B2CAD">
      <w:pPr>
        <w:overflowPunct w:val="0"/>
        <w:autoSpaceDE w:val="0"/>
        <w:autoSpaceDN w:val="0"/>
        <w:adjustRightInd w:val="0"/>
        <w:spacing w:line="276" w:lineRule="auto"/>
        <w:jc w:val="both"/>
        <w:rPr>
          <w:rFonts w:ascii="Arial" w:eastAsia="Times New Roman" w:hAnsi="Arial" w:cs="Arial"/>
          <w:sz w:val="24"/>
          <w:szCs w:val="24"/>
          <w:lang w:val="es-ES_tradnl" w:eastAsia="es-ES"/>
        </w:rPr>
      </w:pPr>
    </w:p>
    <w:p w14:paraId="2B444D27" w14:textId="77777777" w:rsidR="005F25EB" w:rsidRPr="00C234A4" w:rsidRDefault="005F25EB" w:rsidP="002B2CAD">
      <w:pPr>
        <w:spacing w:line="276" w:lineRule="auto"/>
        <w:ind w:left="3686"/>
        <w:jc w:val="both"/>
        <w:rPr>
          <w:rFonts w:ascii="Arial" w:eastAsia="Times New Roman" w:hAnsi="Arial" w:cs="Arial"/>
          <w:b/>
          <w:sz w:val="24"/>
          <w:szCs w:val="24"/>
          <w:lang w:val="es-ES" w:eastAsia="es-ES"/>
        </w:rPr>
      </w:pPr>
      <w:r w:rsidRPr="00C234A4">
        <w:rPr>
          <w:rFonts w:ascii="Arial" w:eastAsia="Times New Roman" w:hAnsi="Arial" w:cs="Arial"/>
          <w:b/>
          <w:sz w:val="24"/>
          <w:szCs w:val="24"/>
          <w:lang w:val="es-ES" w:eastAsia="es-ES"/>
        </w:rPr>
        <w:t>II. DECISIÓN</w:t>
      </w:r>
    </w:p>
    <w:p w14:paraId="7650A35C" w14:textId="77777777" w:rsidR="005F25EB" w:rsidRPr="00C234A4" w:rsidRDefault="005F25EB" w:rsidP="002B2CAD">
      <w:pPr>
        <w:spacing w:line="276" w:lineRule="auto"/>
        <w:ind w:left="3686"/>
        <w:jc w:val="both"/>
        <w:rPr>
          <w:rFonts w:ascii="Arial" w:eastAsia="Times New Roman" w:hAnsi="Arial" w:cs="Arial"/>
          <w:b/>
          <w:sz w:val="24"/>
          <w:szCs w:val="24"/>
          <w:lang w:val="es-ES" w:eastAsia="es-ES"/>
        </w:rPr>
      </w:pPr>
    </w:p>
    <w:p w14:paraId="0E980A98" w14:textId="77777777" w:rsidR="005F25EB" w:rsidRPr="00C234A4" w:rsidRDefault="005F25EB" w:rsidP="002B2CAD">
      <w:pPr>
        <w:spacing w:line="276" w:lineRule="auto"/>
        <w:ind w:left="3686"/>
        <w:jc w:val="both"/>
        <w:rPr>
          <w:rFonts w:ascii="Arial" w:eastAsia="Times New Roman" w:hAnsi="Arial" w:cs="Arial"/>
          <w:b/>
          <w:sz w:val="24"/>
          <w:szCs w:val="24"/>
          <w:lang w:val="es-ES" w:eastAsia="es-ES"/>
        </w:rPr>
      </w:pPr>
    </w:p>
    <w:p w14:paraId="79DB1A98" w14:textId="77777777" w:rsidR="005F25EB" w:rsidRPr="00C234A4" w:rsidRDefault="005F25EB" w:rsidP="002B2CAD">
      <w:pPr>
        <w:overflowPunct w:val="0"/>
        <w:autoSpaceDE w:val="0"/>
        <w:autoSpaceDN w:val="0"/>
        <w:adjustRightInd w:val="0"/>
        <w:spacing w:line="276" w:lineRule="auto"/>
        <w:jc w:val="both"/>
        <w:textAlignment w:val="baseline"/>
        <w:rPr>
          <w:rFonts w:ascii="Arial" w:eastAsia="Arial Unicode MS" w:hAnsi="Arial" w:cs="Arial"/>
          <w:sz w:val="24"/>
          <w:szCs w:val="24"/>
          <w:lang w:val="es-ES" w:eastAsia="es-ES"/>
        </w:rPr>
      </w:pPr>
      <w:r w:rsidRPr="00C234A4">
        <w:rPr>
          <w:rFonts w:ascii="Arial" w:eastAsia="Arial Unicode MS" w:hAnsi="Arial" w:cs="Arial"/>
          <w:sz w:val="24"/>
          <w:szCs w:val="24"/>
          <w:lang w:val="es-ES" w:eastAsia="es-ES"/>
        </w:rPr>
        <w:t>En mérito de lo expuesto, el Consejo de Estado, Sala de lo Contencioso Administrativo, Sección Tercera, Subsección B, administrando justicia en nombre de la República y por autorid</w:t>
      </w:r>
      <w:r w:rsidR="00DD2D50" w:rsidRPr="00C234A4">
        <w:rPr>
          <w:rFonts w:ascii="Arial" w:eastAsia="Arial Unicode MS" w:hAnsi="Arial" w:cs="Arial"/>
          <w:sz w:val="24"/>
          <w:szCs w:val="24"/>
          <w:lang w:val="es-ES" w:eastAsia="es-ES"/>
        </w:rPr>
        <w:t>ad de la ley,</w:t>
      </w:r>
    </w:p>
    <w:p w14:paraId="65982DF4" w14:textId="77777777" w:rsidR="005F25EB" w:rsidRPr="00C234A4" w:rsidRDefault="005F25EB" w:rsidP="002B2CAD">
      <w:pPr>
        <w:overflowPunct w:val="0"/>
        <w:autoSpaceDE w:val="0"/>
        <w:autoSpaceDN w:val="0"/>
        <w:adjustRightInd w:val="0"/>
        <w:spacing w:line="276" w:lineRule="auto"/>
        <w:jc w:val="both"/>
        <w:textAlignment w:val="baseline"/>
        <w:rPr>
          <w:rFonts w:ascii="Arial" w:eastAsia="Arial Unicode MS" w:hAnsi="Arial" w:cs="Arial"/>
          <w:b/>
          <w:sz w:val="24"/>
          <w:szCs w:val="24"/>
          <w:lang w:val="es-ES" w:eastAsia="es-ES"/>
        </w:rPr>
      </w:pPr>
    </w:p>
    <w:p w14:paraId="1A27E9D8" w14:textId="77777777" w:rsidR="005F25EB" w:rsidRPr="00C234A4" w:rsidRDefault="005F25EB" w:rsidP="002B2CAD">
      <w:pPr>
        <w:overflowPunct w:val="0"/>
        <w:autoSpaceDE w:val="0"/>
        <w:autoSpaceDN w:val="0"/>
        <w:adjustRightInd w:val="0"/>
        <w:spacing w:line="276" w:lineRule="auto"/>
        <w:jc w:val="center"/>
        <w:textAlignment w:val="baseline"/>
        <w:rPr>
          <w:rFonts w:ascii="Arial" w:eastAsia="Arial Unicode MS" w:hAnsi="Arial" w:cs="Arial"/>
          <w:b/>
          <w:sz w:val="24"/>
          <w:szCs w:val="24"/>
          <w:lang w:val="es-ES" w:eastAsia="es-ES"/>
        </w:rPr>
      </w:pPr>
      <w:r w:rsidRPr="00C234A4">
        <w:rPr>
          <w:rFonts w:ascii="Arial" w:eastAsia="Arial Unicode MS" w:hAnsi="Arial" w:cs="Arial"/>
          <w:b/>
          <w:sz w:val="24"/>
          <w:szCs w:val="24"/>
          <w:lang w:val="es-ES" w:eastAsia="es-ES"/>
        </w:rPr>
        <w:t>F A L L A</w:t>
      </w:r>
    </w:p>
    <w:p w14:paraId="0842D525" w14:textId="77777777" w:rsidR="005F25EB" w:rsidRPr="00C234A4" w:rsidRDefault="005F25EB" w:rsidP="002B2CAD">
      <w:pPr>
        <w:overflowPunct w:val="0"/>
        <w:autoSpaceDE w:val="0"/>
        <w:autoSpaceDN w:val="0"/>
        <w:adjustRightInd w:val="0"/>
        <w:spacing w:line="276" w:lineRule="auto"/>
        <w:jc w:val="both"/>
        <w:textAlignment w:val="baseline"/>
        <w:rPr>
          <w:rFonts w:ascii="Arial" w:eastAsia="Arial Unicode MS" w:hAnsi="Arial" w:cs="Arial"/>
          <w:b/>
          <w:sz w:val="24"/>
          <w:szCs w:val="24"/>
          <w:lang w:val="es-ES" w:eastAsia="es-ES"/>
        </w:rPr>
      </w:pPr>
    </w:p>
    <w:p w14:paraId="06F79F79" w14:textId="77777777" w:rsidR="005F25EB" w:rsidRPr="00C234A4" w:rsidRDefault="005F25EB" w:rsidP="002B2CAD">
      <w:pPr>
        <w:spacing w:line="276" w:lineRule="auto"/>
        <w:jc w:val="both"/>
        <w:rPr>
          <w:rFonts w:ascii="Arial" w:eastAsia="Arial Unicode MS" w:hAnsi="Arial" w:cs="Arial"/>
          <w:sz w:val="24"/>
          <w:szCs w:val="24"/>
          <w:lang w:val="es-ES_tradnl" w:eastAsia="es-ES"/>
        </w:rPr>
      </w:pPr>
      <w:r w:rsidRPr="00C234A4">
        <w:rPr>
          <w:rFonts w:ascii="Arial" w:eastAsia="Arial Unicode MS" w:hAnsi="Arial" w:cs="Arial"/>
          <w:b/>
          <w:bCs/>
          <w:sz w:val="24"/>
          <w:szCs w:val="24"/>
          <w:lang w:val="es-ES_tradnl" w:eastAsia="es-ES"/>
        </w:rPr>
        <w:t xml:space="preserve">PRIMERO: CONFIRMAR </w:t>
      </w:r>
      <w:r w:rsidRPr="00C234A4">
        <w:rPr>
          <w:rFonts w:ascii="Arial" w:eastAsia="Arial Unicode MS" w:hAnsi="Arial" w:cs="Arial"/>
          <w:bCs/>
          <w:sz w:val="24"/>
          <w:szCs w:val="24"/>
          <w:lang w:val="es-ES_tradnl" w:eastAsia="es-ES"/>
        </w:rPr>
        <w:t>la sentencia proferida por el Tribunal Administrativo de Boyacá de 12 de julio de 2007.</w:t>
      </w:r>
      <w:r w:rsidRPr="00C234A4">
        <w:rPr>
          <w:rFonts w:ascii="Arial" w:eastAsia="Times New Roman" w:hAnsi="Arial" w:cs="Arial"/>
          <w:sz w:val="24"/>
          <w:szCs w:val="24"/>
          <w:lang w:eastAsia="es-ES"/>
        </w:rPr>
        <w:t xml:space="preserve"> </w:t>
      </w:r>
    </w:p>
    <w:p w14:paraId="64AD8CD1" w14:textId="77777777" w:rsidR="005F25EB" w:rsidRPr="00C234A4" w:rsidRDefault="005F25EB" w:rsidP="002B2CAD">
      <w:pPr>
        <w:tabs>
          <w:tab w:val="left" w:pos="708"/>
          <w:tab w:val="left" w:pos="1276"/>
        </w:tabs>
        <w:overflowPunct w:val="0"/>
        <w:autoSpaceDE w:val="0"/>
        <w:autoSpaceDN w:val="0"/>
        <w:adjustRightInd w:val="0"/>
        <w:spacing w:line="276" w:lineRule="auto"/>
        <w:jc w:val="both"/>
        <w:textAlignment w:val="baseline"/>
        <w:rPr>
          <w:rFonts w:ascii="Arial" w:eastAsia="Arial Unicode MS" w:hAnsi="Arial" w:cs="Arial"/>
          <w:sz w:val="24"/>
          <w:szCs w:val="24"/>
          <w:lang w:eastAsia="es-ES"/>
        </w:rPr>
      </w:pPr>
    </w:p>
    <w:p w14:paraId="7100200A" w14:textId="77777777" w:rsidR="005F25EB" w:rsidRPr="00C234A4" w:rsidRDefault="005F25EB" w:rsidP="002B2CAD">
      <w:pPr>
        <w:tabs>
          <w:tab w:val="left" w:pos="708"/>
          <w:tab w:val="left" w:pos="1276"/>
        </w:tabs>
        <w:overflowPunct w:val="0"/>
        <w:autoSpaceDE w:val="0"/>
        <w:autoSpaceDN w:val="0"/>
        <w:adjustRightInd w:val="0"/>
        <w:spacing w:line="276" w:lineRule="auto"/>
        <w:jc w:val="both"/>
        <w:textAlignment w:val="baseline"/>
        <w:rPr>
          <w:rFonts w:ascii="Arial" w:eastAsia="Arial Unicode MS" w:hAnsi="Arial" w:cs="Arial"/>
          <w:b/>
          <w:bCs/>
          <w:sz w:val="24"/>
          <w:szCs w:val="24"/>
          <w:lang w:val="es-ES_tradnl" w:eastAsia="es-ES"/>
        </w:rPr>
      </w:pPr>
      <w:r w:rsidRPr="00C234A4">
        <w:rPr>
          <w:rFonts w:ascii="Arial" w:eastAsia="Arial Unicode MS" w:hAnsi="Arial" w:cs="Arial"/>
          <w:b/>
          <w:bCs/>
          <w:sz w:val="24"/>
          <w:szCs w:val="24"/>
          <w:lang w:val="es-ES_tradnl" w:eastAsia="es-ES"/>
        </w:rPr>
        <w:t xml:space="preserve">SEGUNDO: SIN COSTAS </w:t>
      </w:r>
      <w:r w:rsidRPr="00C234A4">
        <w:rPr>
          <w:rFonts w:ascii="Arial" w:eastAsia="Arial Unicode MS" w:hAnsi="Arial" w:cs="Arial"/>
          <w:bCs/>
          <w:sz w:val="24"/>
          <w:szCs w:val="24"/>
          <w:lang w:val="es-ES_tradnl" w:eastAsia="es-ES"/>
        </w:rPr>
        <w:t>en esta instancia.</w:t>
      </w:r>
    </w:p>
    <w:p w14:paraId="2CDA11FA" w14:textId="77777777" w:rsidR="005F25EB" w:rsidRPr="00C234A4" w:rsidRDefault="005F25EB" w:rsidP="002B2CAD">
      <w:pPr>
        <w:tabs>
          <w:tab w:val="left" w:pos="708"/>
          <w:tab w:val="left" w:pos="1276"/>
        </w:tabs>
        <w:overflowPunct w:val="0"/>
        <w:autoSpaceDE w:val="0"/>
        <w:autoSpaceDN w:val="0"/>
        <w:adjustRightInd w:val="0"/>
        <w:spacing w:line="276" w:lineRule="auto"/>
        <w:jc w:val="both"/>
        <w:textAlignment w:val="baseline"/>
        <w:rPr>
          <w:rFonts w:ascii="Arial" w:eastAsia="Arial Unicode MS" w:hAnsi="Arial" w:cs="Arial"/>
          <w:bCs/>
          <w:sz w:val="24"/>
          <w:szCs w:val="24"/>
          <w:lang w:val="es-ES_tradnl" w:eastAsia="es-ES"/>
        </w:rPr>
      </w:pPr>
    </w:p>
    <w:p w14:paraId="44F05E7D" w14:textId="77777777" w:rsidR="005F25EB" w:rsidRPr="00C234A4" w:rsidRDefault="005F25EB" w:rsidP="002B2CAD">
      <w:pPr>
        <w:tabs>
          <w:tab w:val="left" w:pos="708"/>
          <w:tab w:val="left" w:pos="1276"/>
        </w:tabs>
        <w:overflowPunct w:val="0"/>
        <w:autoSpaceDE w:val="0"/>
        <w:autoSpaceDN w:val="0"/>
        <w:adjustRightInd w:val="0"/>
        <w:spacing w:line="276" w:lineRule="auto"/>
        <w:jc w:val="both"/>
        <w:textAlignment w:val="baseline"/>
        <w:rPr>
          <w:rFonts w:ascii="Arial" w:eastAsia="Arial Unicode MS" w:hAnsi="Arial" w:cs="Arial"/>
          <w:sz w:val="24"/>
          <w:szCs w:val="24"/>
          <w:lang w:val="es-ES" w:eastAsia="es-ES"/>
        </w:rPr>
      </w:pPr>
      <w:r w:rsidRPr="00C234A4">
        <w:rPr>
          <w:rFonts w:ascii="Arial" w:eastAsia="Arial Unicode MS" w:hAnsi="Arial" w:cs="Arial"/>
          <w:b/>
          <w:sz w:val="24"/>
          <w:szCs w:val="24"/>
          <w:lang w:val="es-ES" w:eastAsia="es-ES"/>
        </w:rPr>
        <w:t>TERCERO:</w:t>
      </w:r>
      <w:r w:rsidRPr="00C234A4">
        <w:rPr>
          <w:rFonts w:ascii="Arial" w:eastAsia="Arial Unicode MS" w:hAnsi="Arial" w:cs="Arial"/>
          <w:sz w:val="24"/>
          <w:szCs w:val="24"/>
          <w:lang w:val="es-ES" w:eastAsia="es-ES"/>
        </w:rPr>
        <w:t xml:space="preserve"> En firme esta providencia, </w:t>
      </w:r>
      <w:r w:rsidRPr="00C234A4">
        <w:rPr>
          <w:rFonts w:ascii="Arial" w:eastAsia="Arial Unicode MS" w:hAnsi="Arial" w:cs="Arial"/>
          <w:b/>
          <w:sz w:val="24"/>
          <w:szCs w:val="24"/>
          <w:lang w:val="es-ES" w:eastAsia="es-ES"/>
        </w:rPr>
        <w:t xml:space="preserve">REMÍTASE </w:t>
      </w:r>
      <w:r w:rsidRPr="00C234A4">
        <w:rPr>
          <w:rFonts w:ascii="Arial" w:eastAsia="Arial Unicode MS" w:hAnsi="Arial" w:cs="Arial"/>
          <w:sz w:val="24"/>
          <w:szCs w:val="24"/>
          <w:lang w:val="es-ES" w:eastAsia="es-ES"/>
        </w:rPr>
        <w:t>la actuación a la secretaría del Tribunal Administrativo de Boyacá.</w:t>
      </w:r>
    </w:p>
    <w:p w14:paraId="5465C3DD" w14:textId="77777777" w:rsidR="00B3794A" w:rsidRPr="00C234A4" w:rsidRDefault="00B3794A" w:rsidP="002B2CAD">
      <w:pPr>
        <w:spacing w:line="276" w:lineRule="auto"/>
        <w:jc w:val="both"/>
        <w:rPr>
          <w:rFonts w:ascii="Arial" w:hAnsi="Arial" w:cs="Arial"/>
          <w:sz w:val="24"/>
          <w:szCs w:val="24"/>
        </w:rPr>
      </w:pPr>
    </w:p>
    <w:p w14:paraId="5F17E90C" w14:textId="77777777" w:rsidR="00442548" w:rsidRPr="00C234A4" w:rsidRDefault="00442548" w:rsidP="002B2CAD">
      <w:pPr>
        <w:spacing w:line="276" w:lineRule="auto"/>
        <w:jc w:val="center"/>
        <w:rPr>
          <w:rFonts w:ascii="Arial" w:hAnsi="Arial" w:cs="Arial"/>
          <w:b/>
          <w:sz w:val="24"/>
          <w:szCs w:val="24"/>
        </w:rPr>
      </w:pPr>
    </w:p>
    <w:p w14:paraId="3354638D"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CÓPIESE, NOTIFÍQUESE Y CÚMPLASE.</w:t>
      </w:r>
    </w:p>
    <w:p w14:paraId="477BEB2B" w14:textId="77777777" w:rsidR="00442548" w:rsidRPr="00C234A4" w:rsidRDefault="00442548" w:rsidP="002B2CAD">
      <w:pPr>
        <w:spacing w:line="276" w:lineRule="auto"/>
        <w:jc w:val="center"/>
        <w:rPr>
          <w:rFonts w:ascii="Arial" w:hAnsi="Arial" w:cs="Arial"/>
          <w:b/>
          <w:sz w:val="24"/>
          <w:szCs w:val="24"/>
        </w:rPr>
      </w:pPr>
    </w:p>
    <w:p w14:paraId="77F9AD61" w14:textId="77777777" w:rsidR="00442548" w:rsidRPr="00C234A4" w:rsidRDefault="00442548" w:rsidP="002B2CAD">
      <w:pPr>
        <w:spacing w:line="276" w:lineRule="auto"/>
        <w:jc w:val="center"/>
        <w:rPr>
          <w:rFonts w:ascii="Arial" w:hAnsi="Arial" w:cs="Arial"/>
          <w:b/>
          <w:sz w:val="24"/>
          <w:szCs w:val="24"/>
        </w:rPr>
      </w:pPr>
    </w:p>
    <w:p w14:paraId="407D5D7F" w14:textId="77777777" w:rsidR="00442548" w:rsidRDefault="00442548" w:rsidP="002B2CAD">
      <w:pPr>
        <w:spacing w:line="276" w:lineRule="auto"/>
        <w:jc w:val="center"/>
        <w:rPr>
          <w:rFonts w:ascii="Arial" w:hAnsi="Arial" w:cs="Arial"/>
          <w:b/>
          <w:sz w:val="24"/>
          <w:szCs w:val="24"/>
        </w:rPr>
      </w:pPr>
    </w:p>
    <w:p w14:paraId="2478A356" w14:textId="77777777" w:rsidR="00AC615C" w:rsidRPr="00C234A4" w:rsidRDefault="00AC615C" w:rsidP="002B2CAD">
      <w:pPr>
        <w:spacing w:line="276" w:lineRule="auto"/>
        <w:jc w:val="center"/>
        <w:rPr>
          <w:rFonts w:ascii="Arial" w:hAnsi="Arial" w:cs="Arial"/>
          <w:b/>
          <w:sz w:val="24"/>
          <w:szCs w:val="24"/>
        </w:rPr>
      </w:pPr>
    </w:p>
    <w:p w14:paraId="431ED7AF"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RAMIRO PAZOS GUERRERO</w:t>
      </w:r>
    </w:p>
    <w:p w14:paraId="11452C52"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Magistrado</w:t>
      </w:r>
    </w:p>
    <w:p w14:paraId="25C1EDCD" w14:textId="77777777" w:rsidR="00442548" w:rsidRDefault="00442548" w:rsidP="002B2CAD">
      <w:pPr>
        <w:spacing w:line="276" w:lineRule="auto"/>
        <w:jc w:val="center"/>
        <w:rPr>
          <w:rFonts w:ascii="Arial" w:hAnsi="Arial" w:cs="Arial"/>
          <w:b/>
          <w:sz w:val="24"/>
          <w:szCs w:val="24"/>
        </w:rPr>
      </w:pPr>
    </w:p>
    <w:p w14:paraId="1BCCAB2A" w14:textId="77777777" w:rsidR="00AC615C" w:rsidRPr="00C234A4" w:rsidRDefault="00AC615C" w:rsidP="002B2CAD">
      <w:pPr>
        <w:spacing w:line="276" w:lineRule="auto"/>
        <w:jc w:val="center"/>
        <w:rPr>
          <w:rFonts w:ascii="Arial" w:hAnsi="Arial" w:cs="Arial"/>
          <w:b/>
          <w:sz w:val="24"/>
          <w:szCs w:val="24"/>
        </w:rPr>
      </w:pPr>
    </w:p>
    <w:p w14:paraId="15CF2DFF" w14:textId="77777777" w:rsidR="00442548" w:rsidRPr="00C234A4" w:rsidRDefault="00442548" w:rsidP="002B2CAD">
      <w:pPr>
        <w:spacing w:line="276" w:lineRule="auto"/>
        <w:jc w:val="center"/>
        <w:rPr>
          <w:rFonts w:ascii="Arial" w:hAnsi="Arial" w:cs="Arial"/>
          <w:b/>
          <w:sz w:val="24"/>
          <w:szCs w:val="24"/>
        </w:rPr>
      </w:pPr>
    </w:p>
    <w:p w14:paraId="48244AE8" w14:textId="77777777" w:rsidR="00442548" w:rsidRPr="00C234A4" w:rsidRDefault="00442548" w:rsidP="002B2CAD">
      <w:pPr>
        <w:spacing w:line="276" w:lineRule="auto"/>
        <w:jc w:val="center"/>
        <w:rPr>
          <w:rFonts w:ascii="Arial" w:hAnsi="Arial" w:cs="Arial"/>
          <w:b/>
          <w:sz w:val="24"/>
          <w:szCs w:val="24"/>
        </w:rPr>
      </w:pPr>
    </w:p>
    <w:p w14:paraId="335A73C2"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DANILO ROJAS BETANCOURTH</w:t>
      </w:r>
    </w:p>
    <w:p w14:paraId="3017AC46"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Magistrado</w:t>
      </w:r>
    </w:p>
    <w:p w14:paraId="1738C842" w14:textId="77777777" w:rsidR="00442548" w:rsidRPr="00C234A4" w:rsidRDefault="00442548" w:rsidP="002B2CAD">
      <w:pPr>
        <w:spacing w:line="276" w:lineRule="auto"/>
        <w:jc w:val="center"/>
        <w:rPr>
          <w:rFonts w:ascii="Arial" w:hAnsi="Arial" w:cs="Arial"/>
          <w:b/>
          <w:sz w:val="24"/>
          <w:szCs w:val="24"/>
        </w:rPr>
      </w:pPr>
    </w:p>
    <w:p w14:paraId="786742BF" w14:textId="77777777" w:rsidR="00442548" w:rsidRPr="00C234A4" w:rsidRDefault="00442548" w:rsidP="002B2CAD">
      <w:pPr>
        <w:spacing w:line="276" w:lineRule="auto"/>
        <w:jc w:val="center"/>
        <w:rPr>
          <w:rFonts w:ascii="Arial" w:hAnsi="Arial" w:cs="Arial"/>
          <w:b/>
          <w:sz w:val="24"/>
          <w:szCs w:val="24"/>
        </w:rPr>
      </w:pPr>
    </w:p>
    <w:p w14:paraId="2C789120" w14:textId="77777777" w:rsidR="00442548" w:rsidRDefault="00442548" w:rsidP="002B2CAD">
      <w:pPr>
        <w:spacing w:line="276" w:lineRule="auto"/>
        <w:jc w:val="center"/>
        <w:rPr>
          <w:rFonts w:ascii="Arial" w:hAnsi="Arial" w:cs="Arial"/>
          <w:b/>
          <w:sz w:val="24"/>
          <w:szCs w:val="24"/>
        </w:rPr>
      </w:pPr>
    </w:p>
    <w:p w14:paraId="2864364B" w14:textId="77777777" w:rsidR="00AC615C" w:rsidRPr="00C234A4" w:rsidRDefault="00AC615C" w:rsidP="002B2CAD">
      <w:pPr>
        <w:spacing w:line="276" w:lineRule="auto"/>
        <w:jc w:val="center"/>
        <w:rPr>
          <w:rFonts w:ascii="Arial" w:hAnsi="Arial" w:cs="Arial"/>
          <w:b/>
          <w:sz w:val="24"/>
          <w:szCs w:val="24"/>
        </w:rPr>
      </w:pPr>
    </w:p>
    <w:p w14:paraId="2783A188"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STELLA CONTO DÍAZ DEL CASTILLO</w:t>
      </w:r>
    </w:p>
    <w:p w14:paraId="7FD8A06A" w14:textId="77777777" w:rsidR="00442548" w:rsidRPr="00C234A4" w:rsidRDefault="00442548" w:rsidP="002B2CAD">
      <w:pPr>
        <w:spacing w:line="276" w:lineRule="auto"/>
        <w:jc w:val="center"/>
        <w:rPr>
          <w:rFonts w:ascii="Arial" w:hAnsi="Arial" w:cs="Arial"/>
          <w:b/>
          <w:sz w:val="24"/>
          <w:szCs w:val="24"/>
        </w:rPr>
      </w:pPr>
      <w:r w:rsidRPr="00C234A4">
        <w:rPr>
          <w:rFonts w:ascii="Arial" w:hAnsi="Arial" w:cs="Arial"/>
          <w:b/>
          <w:sz w:val="24"/>
          <w:szCs w:val="24"/>
        </w:rPr>
        <w:t>Presidenta</w:t>
      </w:r>
    </w:p>
    <w:sectPr w:rsidR="00442548" w:rsidRPr="00C234A4" w:rsidSect="00F36B17">
      <w:pgSz w:w="12242" w:h="18722" w:code="120"/>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96CEC6" w14:textId="77777777" w:rsidR="00B12D4C" w:rsidRDefault="00B12D4C" w:rsidP="005F25EB">
      <w:r>
        <w:separator/>
      </w:r>
    </w:p>
  </w:endnote>
  <w:endnote w:type="continuationSeparator" w:id="0">
    <w:p w14:paraId="51A7DF75" w14:textId="77777777" w:rsidR="00B12D4C" w:rsidRDefault="00B12D4C" w:rsidP="005F2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20942E" w14:textId="77777777" w:rsidR="00B12D4C" w:rsidRDefault="00B12D4C" w:rsidP="005F25EB">
      <w:r>
        <w:separator/>
      </w:r>
    </w:p>
  </w:footnote>
  <w:footnote w:type="continuationSeparator" w:id="0">
    <w:p w14:paraId="425F133C" w14:textId="77777777" w:rsidR="00B12D4C" w:rsidRDefault="00B12D4C" w:rsidP="005F25EB">
      <w:r>
        <w:continuationSeparator/>
      </w:r>
    </w:p>
  </w:footnote>
  <w:footnote w:id="1">
    <w:p w14:paraId="7DDA599F" w14:textId="77777777" w:rsidR="005F25EB" w:rsidRPr="00061A6F" w:rsidRDefault="005F25EB" w:rsidP="005F25EB">
      <w:pPr>
        <w:pStyle w:val="Textonotapie"/>
        <w:rPr>
          <w:sz w:val="22"/>
          <w:szCs w:val="22"/>
          <w:lang w:val="es-CO"/>
        </w:rPr>
      </w:pPr>
      <w:r w:rsidRPr="00061A6F">
        <w:rPr>
          <w:rStyle w:val="Refdenotaalpie"/>
          <w:sz w:val="22"/>
          <w:szCs w:val="22"/>
        </w:rPr>
        <w:footnoteRef/>
      </w:r>
      <w:r w:rsidRPr="00061A6F">
        <w:rPr>
          <w:sz w:val="22"/>
          <w:szCs w:val="22"/>
        </w:rPr>
        <w:t xml:space="preserve"> </w:t>
      </w:r>
      <w:r w:rsidRPr="00061A6F">
        <w:rPr>
          <w:sz w:val="22"/>
          <w:szCs w:val="22"/>
          <w:lang w:val="es-CO"/>
        </w:rPr>
        <w:t>La demanda fue inicialmente presentada ante el Juzgado Civil del Circuito de Guateque</w:t>
      </w:r>
      <w:r>
        <w:rPr>
          <w:sz w:val="22"/>
          <w:szCs w:val="22"/>
          <w:lang w:val="es-CO"/>
        </w:rPr>
        <w:t>. Sobre la demanda tanto la Jurisdicción Ordinaria como la Contenciosa se declararon sin jurisdicción, lo que demandó la intervención de la Sala Jurisdiccional Disciplinaria del Consejo Superior de la Judicatura la que radicó la competencia en el Tribunal Administrativo de Boyacá, quien dictó auto de obedecimiento y admitió la demanda el 11 de junio de 1997 (fl.123, c.1).</w:t>
      </w:r>
    </w:p>
  </w:footnote>
  <w:footnote w:id="2">
    <w:p w14:paraId="3CAD27B1" w14:textId="77777777" w:rsidR="005F25EB" w:rsidRPr="00F96729" w:rsidRDefault="005F25EB" w:rsidP="005F25EB">
      <w:pPr>
        <w:pStyle w:val="Textonotapie"/>
        <w:rPr>
          <w:sz w:val="22"/>
          <w:szCs w:val="22"/>
          <w:lang w:val="es-CO"/>
        </w:rPr>
      </w:pPr>
      <w:r w:rsidRPr="00F96729">
        <w:rPr>
          <w:rStyle w:val="Refdenotaalpie"/>
          <w:sz w:val="22"/>
          <w:szCs w:val="22"/>
        </w:rPr>
        <w:footnoteRef/>
      </w:r>
      <w:r w:rsidRPr="00F96729">
        <w:rPr>
          <w:sz w:val="22"/>
          <w:szCs w:val="22"/>
        </w:rPr>
        <w:t xml:space="preserve"> </w:t>
      </w:r>
      <w:r w:rsidRPr="00F96729">
        <w:rPr>
          <w:sz w:val="22"/>
          <w:szCs w:val="22"/>
          <w:lang w:val="es-CO"/>
        </w:rPr>
        <w:t>En el recurso se aclara, que dichos d</w:t>
      </w:r>
      <w:r w:rsidRPr="00F96729">
        <w:rPr>
          <w:sz w:val="22"/>
          <w:szCs w:val="22"/>
        </w:rPr>
        <w:t>ineros fueron compensados en el marco del proceso judicial que instauró por la ocupación parcial del predio con ocasión de la construcción de la carretera a la Almeida.</w:t>
      </w:r>
    </w:p>
  </w:footnote>
  <w:footnote w:id="3">
    <w:p w14:paraId="59D87FC0" w14:textId="77777777" w:rsidR="005F25EB" w:rsidRPr="008610E2" w:rsidRDefault="005F25EB" w:rsidP="005F25EB">
      <w:pPr>
        <w:pStyle w:val="Textonotapie"/>
        <w:rPr>
          <w:sz w:val="22"/>
          <w:szCs w:val="22"/>
          <w:lang w:val="es-CO"/>
        </w:rPr>
      </w:pPr>
      <w:r w:rsidRPr="008610E2">
        <w:rPr>
          <w:rStyle w:val="Refdenotaalpie"/>
          <w:sz w:val="22"/>
          <w:szCs w:val="22"/>
        </w:rPr>
        <w:footnoteRef/>
      </w:r>
      <w:r w:rsidRPr="008610E2">
        <w:rPr>
          <w:sz w:val="22"/>
          <w:szCs w:val="22"/>
        </w:rPr>
        <w:t xml:space="preserve"> </w:t>
      </w:r>
      <w:r w:rsidRPr="008610E2">
        <w:rPr>
          <w:sz w:val="22"/>
          <w:szCs w:val="22"/>
          <w:lang w:val="es-CO"/>
        </w:rPr>
        <w:t>El Ministerio Público no rindió concepto (fl. 633. c.</w:t>
      </w:r>
      <w:r>
        <w:rPr>
          <w:sz w:val="22"/>
          <w:szCs w:val="22"/>
          <w:lang w:val="es-CO"/>
        </w:rPr>
        <w:t xml:space="preserve"> </w:t>
      </w:r>
      <w:r w:rsidRPr="008610E2">
        <w:rPr>
          <w:sz w:val="22"/>
          <w:szCs w:val="22"/>
          <w:lang w:val="es-CO"/>
        </w:rPr>
        <w:t>ppal.).</w:t>
      </w:r>
    </w:p>
  </w:footnote>
  <w:footnote w:id="4">
    <w:p w14:paraId="61A9C968" w14:textId="77777777" w:rsidR="005F25EB" w:rsidRPr="005D2884" w:rsidRDefault="005F25EB" w:rsidP="005F25EB">
      <w:pPr>
        <w:rPr>
          <w:lang w:val="es-MX"/>
        </w:rPr>
      </w:pPr>
      <w:r w:rsidRPr="005D2884">
        <w:rPr>
          <w:rStyle w:val="Refdenotaalpie"/>
        </w:rPr>
        <w:footnoteRef/>
      </w:r>
      <w:r w:rsidRPr="005D2884">
        <w:rPr>
          <w:lang w:val="es-ES"/>
        </w:rPr>
        <w:t xml:space="preserve"> </w:t>
      </w:r>
      <w:r w:rsidRPr="005D2884">
        <w:rPr>
          <w:lang w:val="es-MX"/>
        </w:rPr>
        <w:t xml:space="preserve">La cuantía necesaria para que la doble instancia de un proceso iniciado en el año 1994 fuera conocida por esta Corporación, debía superar los  500 s.m.l.m.v., es decir los </w:t>
      </w:r>
      <w:r w:rsidRPr="005D2884">
        <w:rPr>
          <w:spacing w:val="-20"/>
          <w:lang w:val="es-MX"/>
        </w:rPr>
        <w:t>$ 49.350.000</w:t>
      </w:r>
      <w:r w:rsidRPr="005D2884">
        <w:rPr>
          <w:lang w:val="es-MX"/>
        </w:rPr>
        <w:t xml:space="preserve"> al momento de presentación de la demanda y l</w:t>
      </w:r>
      <w:r w:rsidRPr="005D2884">
        <w:t xml:space="preserve">a mayor de las pretensiones fue estimada por la parte actora en </w:t>
      </w:r>
      <w:r w:rsidRPr="005D2884">
        <w:rPr>
          <w:bCs/>
          <w:lang w:val="es-MX"/>
        </w:rPr>
        <w:t>$225.000.000</w:t>
      </w:r>
      <w:r w:rsidRPr="005D2884">
        <w:t xml:space="preserve"> por</w:t>
      </w:r>
      <w:r w:rsidRPr="005D2884">
        <w:rPr>
          <w:lang w:val="es-MX"/>
        </w:rPr>
        <w:t xml:space="preserve"> concepto de perjuicios materiales en la modalidad de daño emergente (fl. 51, c.1).</w:t>
      </w:r>
    </w:p>
  </w:footnote>
  <w:footnote w:id="5">
    <w:p w14:paraId="49A080C2" w14:textId="77777777" w:rsidR="005F25EB" w:rsidRPr="005A3E6F" w:rsidRDefault="005F25EB" w:rsidP="005F25EB">
      <w:pPr>
        <w:pStyle w:val="Textonotapie"/>
        <w:rPr>
          <w:sz w:val="22"/>
          <w:szCs w:val="22"/>
          <w:lang w:val="es-CO"/>
        </w:rPr>
      </w:pPr>
      <w:r w:rsidRPr="00E411E8">
        <w:rPr>
          <w:rStyle w:val="Refdenotaalpie"/>
          <w:sz w:val="22"/>
          <w:szCs w:val="22"/>
        </w:rPr>
        <w:footnoteRef/>
      </w:r>
      <w:r w:rsidRPr="00E411E8">
        <w:rPr>
          <w:sz w:val="22"/>
          <w:szCs w:val="22"/>
        </w:rPr>
        <w:t xml:space="preserve"> </w:t>
      </w:r>
      <w:r w:rsidRPr="00E411E8">
        <w:rPr>
          <w:sz w:val="22"/>
          <w:szCs w:val="22"/>
          <w:lang w:val="es-CO"/>
        </w:rPr>
        <w:t xml:space="preserve">La Sala pone de presente que mediante auto del 22 de septiembre de 1999, el Tribunal Administrativo de Boyacá declaró  la nulidad de lo actuado a partir de los autos que decretaron pruebas, dado que se continuó con el trámite del proceso estando suspendido  contrariando lo dispuesto en el inciso 2 del artículo 56 del Código de Procedimiento Civil.  </w:t>
      </w:r>
      <w:r w:rsidRPr="005A3E6F">
        <w:rPr>
          <w:sz w:val="22"/>
          <w:szCs w:val="22"/>
          <w:lang w:val="es-CO"/>
        </w:rPr>
        <w:t>En consecuencia, algunas de las pruebas que se habían practicaron se rehicieron.</w:t>
      </w:r>
    </w:p>
  </w:footnote>
  <w:footnote w:id="6">
    <w:p w14:paraId="2D78747C" w14:textId="77777777" w:rsidR="005F25EB" w:rsidRPr="005A3E6F" w:rsidRDefault="005F25EB" w:rsidP="005F25EB">
      <w:pPr>
        <w:pStyle w:val="Textonotapie"/>
        <w:rPr>
          <w:lang w:val="es-CO"/>
        </w:rPr>
      </w:pPr>
      <w:r w:rsidRPr="005A3E6F">
        <w:rPr>
          <w:rStyle w:val="Refdenotaalpie"/>
          <w:sz w:val="22"/>
          <w:szCs w:val="22"/>
        </w:rPr>
        <w:footnoteRef/>
      </w:r>
      <w:r w:rsidRPr="005A3E6F">
        <w:rPr>
          <w:sz w:val="22"/>
          <w:szCs w:val="22"/>
        </w:rPr>
        <w:t xml:space="preserve"> </w:t>
      </w:r>
      <w:r w:rsidRPr="005A3E6F">
        <w:rPr>
          <w:sz w:val="22"/>
          <w:szCs w:val="22"/>
          <w:lang w:val="es-CO"/>
        </w:rPr>
        <w:t xml:space="preserve">Cabe señalar que en </w:t>
      </w:r>
      <w:r>
        <w:rPr>
          <w:sz w:val="22"/>
          <w:szCs w:val="22"/>
          <w:lang w:val="es-CO"/>
        </w:rPr>
        <w:t>esa oportunidad procesal</w:t>
      </w:r>
      <w:r w:rsidRPr="005A3E6F">
        <w:rPr>
          <w:sz w:val="22"/>
          <w:szCs w:val="22"/>
          <w:lang w:val="es-CO"/>
        </w:rPr>
        <w:t>, el fundamento fáctico de las pretensiones fue diferente al que ahora se analiza pese a tener relación con la misma obra pública.</w:t>
      </w:r>
    </w:p>
  </w:footnote>
  <w:footnote w:id="7">
    <w:p w14:paraId="01198301" w14:textId="77777777" w:rsidR="005F25EB" w:rsidRPr="0040752A" w:rsidRDefault="005F25EB" w:rsidP="005F25EB">
      <w:pPr>
        <w:pStyle w:val="Textonotapie"/>
        <w:rPr>
          <w:lang w:val="es-CO"/>
        </w:rPr>
      </w:pPr>
      <w:r w:rsidRPr="005D2884">
        <w:rPr>
          <w:rStyle w:val="Refdenotaalpie"/>
          <w:sz w:val="22"/>
          <w:szCs w:val="22"/>
        </w:rPr>
        <w:footnoteRef/>
      </w:r>
      <w:r w:rsidRPr="005D2884">
        <w:rPr>
          <w:sz w:val="22"/>
          <w:szCs w:val="22"/>
        </w:rPr>
        <w:t xml:space="preserve"> </w:t>
      </w:r>
      <w:r>
        <w:rPr>
          <w:sz w:val="22"/>
          <w:szCs w:val="22"/>
          <w:lang w:val="es-CO"/>
        </w:rPr>
        <w:t xml:space="preserve">Se observan en el expediente </w:t>
      </w:r>
      <w:r w:rsidRPr="005D2884">
        <w:rPr>
          <w:sz w:val="22"/>
          <w:szCs w:val="22"/>
          <w:lang w:val="es-CO"/>
        </w:rPr>
        <w:t>varias comunicaciones</w:t>
      </w:r>
      <w:r>
        <w:rPr>
          <w:sz w:val="22"/>
          <w:szCs w:val="22"/>
          <w:lang w:val="es-CO"/>
        </w:rPr>
        <w:t>, fechadas antes de presentada la demanda entre los años 1991 y 1993,</w:t>
      </w:r>
      <w:r w:rsidRPr="005D2884">
        <w:rPr>
          <w:sz w:val="22"/>
          <w:szCs w:val="22"/>
          <w:lang w:val="es-CO"/>
        </w:rPr>
        <w:t xml:space="preserve"> a diferentes instancias públicas con el fin de lograr la reparación de los daños que presuntamente le realizaron</w:t>
      </w:r>
      <w:r>
        <w:rPr>
          <w:sz w:val="22"/>
          <w:szCs w:val="22"/>
          <w:lang w:val="es-CO"/>
        </w:rPr>
        <w:t xml:space="preserve">, en algunos casos con sus respectivas respuestas. </w:t>
      </w:r>
      <w:r w:rsidRPr="005D2884">
        <w:rPr>
          <w:sz w:val="22"/>
          <w:szCs w:val="22"/>
          <w:lang w:val="es-CO"/>
        </w:rPr>
        <w:t xml:space="preserve">  (fls. 49 a 132, c.11).</w:t>
      </w:r>
    </w:p>
  </w:footnote>
  <w:footnote w:id="8">
    <w:p w14:paraId="4AC37B8E" w14:textId="77777777" w:rsidR="005F25EB" w:rsidRPr="000A4726" w:rsidRDefault="005F25EB" w:rsidP="005F25EB">
      <w:pPr>
        <w:pStyle w:val="Ttulo5"/>
        <w:tabs>
          <w:tab w:val="left" w:pos="7797"/>
        </w:tabs>
        <w:jc w:val="both"/>
        <w:rPr>
          <w:rFonts w:ascii="Arial" w:hAnsi="Arial" w:cs="Arial"/>
          <w:b w:val="0"/>
          <w:sz w:val="22"/>
          <w:szCs w:val="22"/>
          <w:lang w:val="es-CO"/>
        </w:rPr>
      </w:pPr>
      <w:r w:rsidRPr="000A4726">
        <w:rPr>
          <w:rStyle w:val="Refdenotaalpie"/>
          <w:rFonts w:ascii="Arial" w:hAnsi="Arial" w:cs="Arial"/>
          <w:b w:val="0"/>
          <w:sz w:val="22"/>
          <w:szCs w:val="22"/>
        </w:rPr>
        <w:footnoteRef/>
      </w:r>
      <w:r>
        <w:rPr>
          <w:rFonts w:ascii="Arial" w:hAnsi="Arial" w:cs="Arial"/>
          <w:b w:val="0"/>
          <w:sz w:val="22"/>
          <w:szCs w:val="22"/>
        </w:rPr>
        <w:t xml:space="preserve"> Obra</w:t>
      </w:r>
      <w:r w:rsidRPr="000A4726">
        <w:rPr>
          <w:rFonts w:ascii="Arial" w:hAnsi="Arial" w:cs="Arial"/>
          <w:b w:val="0"/>
          <w:sz w:val="22"/>
          <w:szCs w:val="22"/>
        </w:rPr>
        <w:t xml:space="preserve"> en el expediente </w:t>
      </w:r>
      <w:r>
        <w:rPr>
          <w:rFonts w:ascii="Arial" w:hAnsi="Arial" w:cs="Arial"/>
          <w:b w:val="0"/>
          <w:sz w:val="22"/>
          <w:szCs w:val="22"/>
          <w:lang w:val="es-CO"/>
        </w:rPr>
        <w:t xml:space="preserve">el acta de visita practicada por el jefe de sección de inventarios, el día </w:t>
      </w:r>
      <w:r w:rsidRPr="003828CC">
        <w:rPr>
          <w:rFonts w:ascii="Arial" w:hAnsi="Arial" w:cs="Arial"/>
          <w:sz w:val="22"/>
          <w:szCs w:val="22"/>
          <w:lang w:val="es-CO"/>
        </w:rPr>
        <w:t>19 de febrero de 1987</w:t>
      </w:r>
      <w:r>
        <w:rPr>
          <w:rFonts w:ascii="Arial" w:hAnsi="Arial" w:cs="Arial"/>
          <w:b w:val="0"/>
          <w:sz w:val="22"/>
          <w:szCs w:val="22"/>
          <w:lang w:val="es-CO"/>
        </w:rPr>
        <w:t xml:space="preserve"> a la casa nueva del señor Jesús Antonio Roa Bonilla, en la que se anotaron las siguientes conclusiones: </w:t>
      </w:r>
      <w:r w:rsidRPr="00934043">
        <w:rPr>
          <w:rFonts w:ascii="Arial" w:hAnsi="Arial" w:cs="Arial"/>
          <w:b w:val="0"/>
          <w:i/>
          <w:sz w:val="22"/>
          <w:szCs w:val="22"/>
          <w:lang w:val="es-CO"/>
        </w:rPr>
        <w:t>“…El estado de la casa nueva se debe a asentamientos diferenciales, ya que la construcción no se ejecutó  sobre buenos cimientos (piso firme) y si en realidad sus bases están hechas sobre viga de amarre, ésta fue hecha muy pobre o mal construida, en cuyo caso era imposible que cumpliera con su cometido. // El terreno presenta huellas de movimientos activo, pues en la parte cercana a la quebrada La Cuya, se notaron “golpes de cuchara”, es decir deslizamientos notorios, que pueden ser originados en parte por la influencia de la lámina  de agua del embalse, en cota máxima, que desestabilizaron la base del talud…//3. Por lo anterior,  la casa antigua sufrió agrietamientos, evento que no tuvo en cuenta el señor Roa Bonilla al construir la nueva vivienda a escasos cinco metros de la anterior y sobre una posible línea de falla</w:t>
      </w:r>
      <w:r>
        <w:rPr>
          <w:rFonts w:ascii="Arial" w:hAnsi="Arial" w:cs="Arial"/>
          <w:b w:val="0"/>
          <w:sz w:val="22"/>
          <w:szCs w:val="22"/>
          <w:lang w:val="es-CO"/>
        </w:rPr>
        <w:t xml:space="preserve">… (fls. 58 y 59, c.2). Igualmente, el estudio geológico realizado por la entidad al predio </w:t>
      </w:r>
      <w:r w:rsidRPr="004775F5">
        <w:rPr>
          <w:rFonts w:ascii="Arial" w:hAnsi="Arial" w:cs="Arial"/>
          <w:sz w:val="22"/>
          <w:szCs w:val="22"/>
          <w:lang w:val="es-CO"/>
        </w:rPr>
        <w:t>de 15 de marzo de 1988</w:t>
      </w:r>
      <w:r>
        <w:rPr>
          <w:rFonts w:ascii="Arial" w:hAnsi="Arial" w:cs="Arial"/>
          <w:b w:val="0"/>
          <w:sz w:val="22"/>
          <w:szCs w:val="22"/>
          <w:lang w:val="es-CO"/>
        </w:rPr>
        <w:t xml:space="preserve"> en el que se anota:…” </w:t>
      </w:r>
      <w:r w:rsidRPr="00934043">
        <w:rPr>
          <w:rFonts w:ascii="Arial" w:hAnsi="Arial" w:cs="Arial"/>
          <w:b w:val="0"/>
          <w:i/>
          <w:sz w:val="22"/>
          <w:szCs w:val="22"/>
          <w:lang w:val="es-CO"/>
        </w:rPr>
        <w:t>Junto a la casa y en suelos residuales  aparecen algunas grietas de pocos cm de abertura y de relativa poca extensión; así mi</w:t>
      </w:r>
      <w:r>
        <w:rPr>
          <w:rFonts w:ascii="Arial" w:hAnsi="Arial" w:cs="Arial"/>
          <w:b w:val="0"/>
          <w:i/>
          <w:sz w:val="22"/>
          <w:szCs w:val="22"/>
          <w:lang w:val="es-CO"/>
        </w:rPr>
        <w:t>s</w:t>
      </w:r>
      <w:r w:rsidRPr="00934043">
        <w:rPr>
          <w:rFonts w:ascii="Arial" w:hAnsi="Arial" w:cs="Arial"/>
          <w:b w:val="0"/>
          <w:i/>
          <w:sz w:val="22"/>
          <w:szCs w:val="22"/>
          <w:lang w:val="es-CO"/>
        </w:rPr>
        <w:t>mo se verificaron sobre aquella otras grietas que afectan algunas paredes.//Sobre la ladera y en forma superficial se detectaron algunos fenómenos que demuestran movimientos al parecer antiguos. Existen pequeños asentamientos y deslizamientos menores; también se reconocieron árboles inclinados. // Todo lo anterior indica que a lo largo del talud de la ladera ocurren fenómenos de inestabilidad superficiales  que se caracterizan por movimientos lentos. Estos fenómenos explican la formación de grietas que aparecen afectando la casa y sus alrededores. De esto mismo se deduce que el nivel de fundación de la mismo no debe ser muy profunda y/o probablemente no cuenta con la cimentación adecuada…En resumen, ISA considera que los movimientos que afectan la ladera donde se emplaza la casa del señor Roa, obedecen a procesos naturales ligados a características  propias de la misma, como son: taludes naturales empinados y suelos arcillosos erodables. Tales fenómenos, por otra parte,  son comunes en estas zonas montañosas y en este tipo de ambientes geológicos…”</w:t>
      </w:r>
      <w:r>
        <w:rPr>
          <w:rFonts w:ascii="Arial" w:hAnsi="Arial" w:cs="Arial"/>
          <w:b w:val="0"/>
          <w:sz w:val="22"/>
          <w:szCs w:val="22"/>
          <w:lang w:val="es-CO"/>
        </w:rPr>
        <w:t xml:space="preserve"> (fls. 61 y 62, c.2). Así mismo, el </w:t>
      </w:r>
      <w:r w:rsidRPr="000A4726">
        <w:rPr>
          <w:rFonts w:ascii="Arial" w:hAnsi="Arial" w:cs="Arial"/>
          <w:b w:val="0"/>
          <w:sz w:val="22"/>
          <w:szCs w:val="22"/>
        </w:rPr>
        <w:t xml:space="preserve"> memorando al jefe de bienes de Chivor </w:t>
      </w:r>
      <w:r w:rsidRPr="004775F5">
        <w:rPr>
          <w:rFonts w:ascii="Arial" w:hAnsi="Arial" w:cs="Arial"/>
          <w:sz w:val="22"/>
          <w:szCs w:val="22"/>
        </w:rPr>
        <w:t>de 26 de mayo de 1987</w:t>
      </w:r>
      <w:r w:rsidRPr="000A4726">
        <w:rPr>
          <w:rFonts w:ascii="Arial" w:hAnsi="Arial" w:cs="Arial"/>
          <w:b w:val="0"/>
          <w:sz w:val="22"/>
          <w:szCs w:val="22"/>
        </w:rPr>
        <w:t xml:space="preserve"> en el que se concluye:</w:t>
      </w:r>
      <w:r w:rsidRPr="000A4726">
        <w:rPr>
          <w:rFonts w:ascii="Arial" w:hAnsi="Arial" w:cs="Arial"/>
          <w:b w:val="0"/>
          <w:i/>
          <w:sz w:val="22"/>
          <w:szCs w:val="22"/>
        </w:rPr>
        <w:t xml:space="preserve"> “La casa  que se encuentra dentro del predio está construida a una distancia aproximada de 80 metros del cauce  de la quebrada  y a unos 120 metros de la cota máxima  del embalse donde se ha formado un banco de sedimento aportado por la quebrada Cuya.// En mi concepto cualquier daño que actualmente se presente en la citada casa no tiene relación directa con las fluctuaciones del embalse o por desestabilización del área, ya que aparentemente esta zona no presenta este fenómeno en forma apreciable a simple vista y dentro del predio existe una buena vegetación protectora.// Las causas de los daños presentes en la construcción </w:t>
      </w:r>
      <w:r w:rsidRPr="000A4726">
        <w:rPr>
          <w:rFonts w:ascii="Arial" w:hAnsi="Arial" w:cs="Arial"/>
          <w:b w:val="0"/>
          <w:i/>
          <w:sz w:val="22"/>
          <w:szCs w:val="22"/>
          <w:lang w:val="es-CO"/>
        </w:rPr>
        <w:t xml:space="preserve">y ajenas al embalse pueden ser de otro tipo (defectos de estructura o en los materiales utilizados) para lo cual creo son ustedes los más indicados para estudiar este caso </w:t>
      </w:r>
      <w:r w:rsidRPr="000A4726">
        <w:rPr>
          <w:rFonts w:ascii="Arial" w:hAnsi="Arial" w:cs="Arial"/>
          <w:b w:val="0"/>
          <w:sz w:val="22"/>
          <w:szCs w:val="22"/>
          <w:lang w:val="es-CO"/>
        </w:rPr>
        <w:t>(fl. 57, c.2).</w:t>
      </w:r>
    </w:p>
  </w:footnote>
  <w:footnote w:id="9">
    <w:p w14:paraId="4867C749" w14:textId="77777777" w:rsidR="005F25EB" w:rsidRPr="00920F4C" w:rsidRDefault="005F25EB" w:rsidP="005F25EB">
      <w:pPr>
        <w:pStyle w:val="Textonotapie"/>
        <w:rPr>
          <w:sz w:val="22"/>
          <w:szCs w:val="22"/>
          <w:lang w:val="es-CO"/>
        </w:rPr>
      </w:pPr>
      <w:r w:rsidRPr="00920F4C">
        <w:rPr>
          <w:rStyle w:val="Refdenotaalpie"/>
          <w:sz w:val="22"/>
          <w:szCs w:val="22"/>
        </w:rPr>
        <w:footnoteRef/>
      </w:r>
      <w:r w:rsidRPr="00920F4C">
        <w:rPr>
          <w:sz w:val="22"/>
          <w:szCs w:val="22"/>
        </w:rPr>
        <w:t xml:space="preserve"> </w:t>
      </w:r>
      <w:r>
        <w:rPr>
          <w:sz w:val="22"/>
          <w:szCs w:val="22"/>
          <w:lang w:val="es-CO"/>
        </w:rPr>
        <w:t>Ver hecho probado 3.1.1.</w:t>
      </w:r>
    </w:p>
  </w:footnote>
  <w:footnote w:id="10">
    <w:p w14:paraId="50551283" w14:textId="77777777" w:rsidR="005F25EB" w:rsidRPr="00164FE0" w:rsidRDefault="005F25EB" w:rsidP="005F25EB">
      <w:pPr>
        <w:pStyle w:val="Textonotapie"/>
        <w:rPr>
          <w:sz w:val="22"/>
          <w:szCs w:val="22"/>
          <w:lang w:val="es-CO"/>
        </w:rPr>
      </w:pPr>
      <w:r w:rsidRPr="002F1E4A">
        <w:rPr>
          <w:rStyle w:val="Refdenotaalpie"/>
          <w:sz w:val="22"/>
          <w:szCs w:val="22"/>
        </w:rPr>
        <w:footnoteRef/>
      </w:r>
      <w:r w:rsidRPr="002F1E4A">
        <w:rPr>
          <w:sz w:val="22"/>
          <w:szCs w:val="22"/>
        </w:rPr>
        <w:t xml:space="preserve"> </w:t>
      </w:r>
      <w:r w:rsidRPr="002F1E4A">
        <w:rPr>
          <w:sz w:val="22"/>
          <w:szCs w:val="22"/>
          <w:lang w:val="es-CO"/>
        </w:rPr>
        <w:t>En el interrogatorio</w:t>
      </w:r>
      <w:r>
        <w:rPr>
          <w:sz w:val="22"/>
          <w:szCs w:val="22"/>
          <w:lang w:val="es-CO"/>
        </w:rPr>
        <w:t xml:space="preserve"> que anexó</w:t>
      </w:r>
      <w:r w:rsidRPr="000B79D7">
        <w:rPr>
          <w:sz w:val="22"/>
          <w:szCs w:val="22"/>
          <w:lang w:val="es-CO"/>
        </w:rPr>
        <w:t xml:space="preserve"> el señor Roa Bonilla y que corresponde al practicado antes de la declaratoria de nulidad, cuando fue interrogado sobre la fecha en que ocurrieron los perjuicios por los que demanda manifestó: “</w:t>
      </w:r>
      <w:r w:rsidRPr="008A6D51">
        <w:rPr>
          <w:i/>
          <w:sz w:val="22"/>
          <w:szCs w:val="22"/>
          <w:lang w:val="es-CO"/>
        </w:rPr>
        <w:t>Desde cuando  comenzaron o inició la empresa contra nosotros el proceso de expropiación por el predio “La Pinta” he venido  continuamente hasta el día de hoy 29 de abril de 1999 reclamándole a la empresa ISA el pago de todos los perjuicios, aproximadamente desde el año 1972…PREGUNTADO: Sírvase manifestar al juzgado en que años se construyeron  las dos viviendas en su predio que se dice en la demanda fueron afectadas por el embalse de Chivor. CONTESTÓ: La primera vivienda y la única que tenían mis padres data por ahí  del año 1930 a 1935 y que comenzó  a agrietarse y destruirse al poco tiempo de estar en funcionamiento el embalse de Chivor, ante ese hecho me vi obligado a construir una nueva vivienda dentro de mi propiedad, por ahí  como en el año ochenta y cinco, no recuerdo bien la fecha, y actualmente  está en peligro de caerse con el consecuente peligro para mí y toda mi familia como lo han comprobado muchísimas personas…al igual que por estas mismas causas tuve que demoler la enrramada donde funcionaba el trapiche y los implementos necesarios para la fabricación de miel y panela…</w:t>
      </w:r>
      <w:r>
        <w:rPr>
          <w:i/>
          <w:sz w:val="22"/>
          <w:szCs w:val="22"/>
          <w:lang w:val="es-CO"/>
        </w:rPr>
        <w:t xml:space="preserve">” </w:t>
      </w:r>
      <w:r w:rsidRPr="008A6D51">
        <w:rPr>
          <w:i/>
          <w:sz w:val="22"/>
          <w:szCs w:val="22"/>
          <w:lang w:val="es-CO"/>
        </w:rPr>
        <w:t>(</w:t>
      </w:r>
      <w:r w:rsidRPr="00164FE0">
        <w:rPr>
          <w:sz w:val="22"/>
          <w:szCs w:val="22"/>
          <w:lang w:val="es-CO"/>
        </w:rPr>
        <w:t>fls. 456 a 459, c.1).</w:t>
      </w:r>
    </w:p>
  </w:footnote>
  <w:footnote w:id="11">
    <w:p w14:paraId="6AB40101" w14:textId="77777777" w:rsidR="005F25EB" w:rsidRPr="00164FE0" w:rsidRDefault="005F25EB" w:rsidP="005F25EB">
      <w:pPr>
        <w:pStyle w:val="Textonotapie"/>
        <w:rPr>
          <w:sz w:val="22"/>
          <w:szCs w:val="22"/>
          <w:lang w:val="es-CO"/>
        </w:rPr>
      </w:pPr>
      <w:r w:rsidRPr="00164FE0">
        <w:rPr>
          <w:rStyle w:val="Refdenotaalpie"/>
          <w:sz w:val="22"/>
          <w:szCs w:val="22"/>
        </w:rPr>
        <w:footnoteRef/>
      </w:r>
      <w:r w:rsidRPr="00164FE0">
        <w:rPr>
          <w:sz w:val="22"/>
          <w:szCs w:val="22"/>
        </w:rPr>
        <w:t xml:space="preserve"> </w:t>
      </w:r>
      <w:r w:rsidRPr="00164FE0">
        <w:rPr>
          <w:sz w:val="22"/>
          <w:szCs w:val="22"/>
          <w:lang w:val="es-CO"/>
        </w:rPr>
        <w:t>Por parte de la demandante se decretaron los testimonios de los señores Delfín Garzón, quien sobre la época en que ocurrieron los hechos motivo del proceso se limitó a señalar que el embalse del Chivor se construyó para el a</w:t>
      </w:r>
      <w:r>
        <w:rPr>
          <w:sz w:val="22"/>
          <w:szCs w:val="22"/>
          <w:lang w:val="es-CO"/>
        </w:rPr>
        <w:t>ño 1976 (fls. 346 a 348, c.1). L</w:t>
      </w:r>
      <w:r w:rsidRPr="00164FE0">
        <w:rPr>
          <w:sz w:val="22"/>
          <w:szCs w:val="22"/>
          <w:lang w:val="es-CO"/>
        </w:rPr>
        <w:t xml:space="preserve">os señores José Dolores García y José Noé Celis no comparecieron a la nueva citación que se les realizó con posterioridad a la declaratoria de nulidad, el primero porque había fallecido y el segundo porque no contaba con los recursos para su desplazamiento (fl. 406, c.1). No obstante, en su primera comparecencia si bien dieron cuenta de la preexistencia de las edificaciones y su afectación no señalaron la época en que ocurrió (fls. 30 a 35, c.4). A solicitud de la parte demandada se recibieron los testimonios de los señores Jorge Ignacio Correa Escobar y Eduardo Tejada Santos, quienes laboraron para el época al servicio de la empresa Interconexión Eléctrica S.A., este último manifestó conocer de las reclamaciones realizadas por el señor Roa Bonilla entre los años 1990 y 1991, haber realizado una visita al predio y emitir un concepto sobre las causas de los daños (fls. 526 a 530, c.1). </w:t>
      </w:r>
    </w:p>
  </w:footnote>
  <w:footnote w:id="12">
    <w:p w14:paraId="16978644" w14:textId="77777777" w:rsidR="005F25EB" w:rsidRPr="00941E47" w:rsidRDefault="005F25EB" w:rsidP="005F25EB">
      <w:pPr>
        <w:pStyle w:val="Textonotapie"/>
        <w:rPr>
          <w:sz w:val="22"/>
          <w:szCs w:val="22"/>
          <w:lang w:val="es-CO"/>
        </w:rPr>
      </w:pPr>
      <w:r w:rsidRPr="00941E47">
        <w:rPr>
          <w:rStyle w:val="Refdenotaalpie"/>
          <w:sz w:val="22"/>
          <w:szCs w:val="22"/>
        </w:rPr>
        <w:footnoteRef/>
      </w:r>
      <w:r w:rsidRPr="00941E47">
        <w:rPr>
          <w:sz w:val="22"/>
          <w:szCs w:val="22"/>
        </w:rPr>
        <w:t xml:space="preserve"> </w:t>
      </w:r>
      <w:r w:rsidRPr="00941E47">
        <w:rPr>
          <w:sz w:val="22"/>
          <w:szCs w:val="22"/>
          <w:lang w:val="es-CO"/>
        </w:rPr>
        <w:t>Pese a que la prueba técnica hace referencia a las causas de los daños que presuntamente se ocasionaron al patrimon</w:t>
      </w:r>
      <w:r>
        <w:rPr>
          <w:sz w:val="22"/>
          <w:szCs w:val="22"/>
          <w:lang w:val="es-CO"/>
        </w:rPr>
        <w:t xml:space="preserve">io del demandante, lo que implica su </w:t>
      </w:r>
      <w:r w:rsidRPr="00941E47">
        <w:rPr>
          <w:sz w:val="22"/>
          <w:szCs w:val="22"/>
          <w:lang w:val="es-CO"/>
        </w:rPr>
        <w:t>relevancia</w:t>
      </w:r>
      <w:r>
        <w:rPr>
          <w:sz w:val="22"/>
          <w:szCs w:val="22"/>
          <w:lang w:val="es-CO"/>
        </w:rPr>
        <w:t xml:space="preserve"> de cara al juicio de responsabilidad</w:t>
      </w:r>
      <w:r w:rsidRPr="00941E47">
        <w:rPr>
          <w:sz w:val="22"/>
          <w:szCs w:val="22"/>
          <w:lang w:val="es-CO"/>
        </w:rPr>
        <w:t>, se ponen de presente</w:t>
      </w:r>
      <w:r>
        <w:rPr>
          <w:sz w:val="22"/>
          <w:szCs w:val="22"/>
          <w:lang w:val="es-CO"/>
        </w:rPr>
        <w:t xml:space="preserve"> en este punto,</w:t>
      </w:r>
      <w:r w:rsidRPr="00941E47">
        <w:rPr>
          <w:sz w:val="22"/>
          <w:szCs w:val="22"/>
          <w:lang w:val="es-CO"/>
        </w:rPr>
        <w:t xml:space="preserve"> en tanto en la impugnación se ech</w:t>
      </w:r>
      <w:r>
        <w:rPr>
          <w:sz w:val="22"/>
          <w:szCs w:val="22"/>
          <w:lang w:val="es-CO"/>
        </w:rPr>
        <w:t>ó de menos su valoración para efectos de establecer el término de caducidad.</w:t>
      </w:r>
    </w:p>
  </w:footnote>
  <w:footnote w:id="13">
    <w:p w14:paraId="4E069EB1" w14:textId="77777777" w:rsidR="005F25EB" w:rsidRPr="000909D5" w:rsidRDefault="005F25EB" w:rsidP="005F25EB">
      <w:pPr>
        <w:pStyle w:val="Textonotapie"/>
        <w:rPr>
          <w:sz w:val="22"/>
          <w:szCs w:val="22"/>
          <w:lang w:val="es-CO"/>
        </w:rPr>
      </w:pPr>
      <w:r w:rsidRPr="000909D5">
        <w:rPr>
          <w:rStyle w:val="Refdenotaalpie"/>
          <w:sz w:val="22"/>
          <w:szCs w:val="22"/>
        </w:rPr>
        <w:footnoteRef/>
      </w:r>
      <w:r w:rsidRPr="000909D5">
        <w:rPr>
          <w:sz w:val="22"/>
          <w:szCs w:val="22"/>
        </w:rPr>
        <w:t xml:space="preserve"> </w:t>
      </w:r>
      <w:r w:rsidRPr="000909D5">
        <w:rPr>
          <w:sz w:val="22"/>
          <w:szCs w:val="22"/>
          <w:lang w:val="es-CO"/>
        </w:rPr>
        <w:t>En auto del 19 de enero de 2000, el tribunal puso en conocimiento de las partes el concepto en cita (fl. 48, c. 4).</w:t>
      </w:r>
    </w:p>
  </w:footnote>
  <w:footnote w:id="14">
    <w:p w14:paraId="6F02CAC8" w14:textId="77777777" w:rsidR="005F25EB" w:rsidRPr="00180570" w:rsidRDefault="005F25EB" w:rsidP="005F25EB">
      <w:pPr>
        <w:pStyle w:val="Textonotapie"/>
        <w:rPr>
          <w:lang w:val="es-CO"/>
        </w:rPr>
      </w:pPr>
      <w:r w:rsidRPr="00164FE0">
        <w:rPr>
          <w:rStyle w:val="Refdenotaalpie"/>
          <w:sz w:val="22"/>
          <w:szCs w:val="22"/>
        </w:rPr>
        <w:footnoteRef/>
      </w:r>
      <w:r w:rsidRPr="00164FE0">
        <w:rPr>
          <w:sz w:val="22"/>
          <w:szCs w:val="22"/>
        </w:rPr>
        <w:t xml:space="preserve"> </w:t>
      </w:r>
      <w:r w:rsidRPr="00164FE0">
        <w:rPr>
          <w:sz w:val="22"/>
          <w:szCs w:val="22"/>
          <w:lang w:val="es-CO"/>
        </w:rPr>
        <w:t>El dictamen pericial, en términos generales, da cuenta de las razones por las cuales se presentaron  los daños demandados, por tanto su consideración solo procedería en el marco del  análisis de fondo del juicio de responsabilidad. Eso sí al analizar la estructura de la vivienda agrietada pusieron de presente que aquella podía tener una antigüedad de unos 13 años y que se deterioro es progresivo. Lo mismo ocurre con el concepto de Ingeominas aportado por la parte demandada, pues aquel fue realizado para determinar las causas de los daños (fls. 258 a 263, 286 y 287 353 a 363, c.1 y fl. 3, c.2).</w:t>
      </w:r>
    </w:p>
  </w:footnote>
  <w:footnote w:id="15">
    <w:p w14:paraId="592A5CBB" w14:textId="77777777" w:rsidR="005F25EB" w:rsidRPr="00AE51DE" w:rsidRDefault="005F25EB" w:rsidP="005F25EB">
      <w:pPr>
        <w:pStyle w:val="Textonotapie"/>
        <w:rPr>
          <w:sz w:val="22"/>
          <w:szCs w:val="22"/>
          <w:lang w:val="es-CO"/>
        </w:rPr>
      </w:pPr>
      <w:r w:rsidRPr="00AE51DE">
        <w:rPr>
          <w:rStyle w:val="Refdenotaalpie"/>
          <w:sz w:val="22"/>
          <w:szCs w:val="22"/>
        </w:rPr>
        <w:footnoteRef/>
      </w:r>
      <w:r w:rsidRPr="00AE51DE">
        <w:rPr>
          <w:sz w:val="22"/>
          <w:szCs w:val="22"/>
        </w:rPr>
        <w:t xml:space="preserve"> </w:t>
      </w:r>
      <w:r w:rsidRPr="00AE51DE">
        <w:rPr>
          <w:sz w:val="22"/>
          <w:szCs w:val="22"/>
          <w:lang w:val="es-CO"/>
        </w:rPr>
        <w:t>En el escrito de aclaración los peritos</w:t>
      </w:r>
      <w:r>
        <w:rPr>
          <w:sz w:val="22"/>
          <w:szCs w:val="22"/>
          <w:lang w:val="es-CO"/>
        </w:rPr>
        <w:t>, básicamente,</w:t>
      </w:r>
      <w:r w:rsidRPr="00AE51DE">
        <w:rPr>
          <w:sz w:val="22"/>
          <w:szCs w:val="22"/>
          <w:lang w:val="es-CO"/>
        </w:rPr>
        <w:t xml:space="preserve"> reiteraron sus conclusiones explicando la metodología que utilizaron para </w:t>
      </w:r>
      <w:r>
        <w:rPr>
          <w:sz w:val="22"/>
          <w:szCs w:val="22"/>
          <w:lang w:val="es-CO"/>
        </w:rPr>
        <w:t>el efecto</w:t>
      </w:r>
      <w:r w:rsidRPr="00AE51DE">
        <w:rPr>
          <w:sz w:val="22"/>
          <w:szCs w:val="22"/>
          <w:lang w:val="es-CO"/>
        </w:rPr>
        <w:t xml:space="preserve"> (fls. 286 y 287, c.1).</w:t>
      </w:r>
    </w:p>
  </w:footnote>
  <w:footnote w:id="16">
    <w:p w14:paraId="4934585C" w14:textId="77777777" w:rsidR="005F25EB" w:rsidRPr="00676415" w:rsidRDefault="005F25EB" w:rsidP="005F25EB">
      <w:pPr>
        <w:pStyle w:val="Textonotapie"/>
        <w:rPr>
          <w:lang w:val="es-CO"/>
        </w:rPr>
      </w:pPr>
      <w:r w:rsidRPr="00AE51DE">
        <w:rPr>
          <w:rStyle w:val="Refdenotaalpie"/>
          <w:sz w:val="22"/>
          <w:szCs w:val="22"/>
        </w:rPr>
        <w:footnoteRef/>
      </w:r>
      <w:r w:rsidRPr="00AE51DE">
        <w:rPr>
          <w:sz w:val="22"/>
          <w:szCs w:val="22"/>
        </w:rPr>
        <w:t xml:space="preserve"> Dado el alcance del problema jur</w:t>
      </w:r>
      <w:r w:rsidRPr="00AE51DE">
        <w:rPr>
          <w:sz w:val="22"/>
          <w:szCs w:val="22"/>
          <w:lang w:val="es-CO"/>
        </w:rPr>
        <w:t>ídico que ahora se estudia, la Sala considera innecesario el estudio de la objeción por error grave, pues</w:t>
      </w:r>
      <w:r>
        <w:rPr>
          <w:sz w:val="22"/>
          <w:szCs w:val="22"/>
          <w:lang w:val="es-CO"/>
        </w:rPr>
        <w:t xml:space="preserve">, aquella </w:t>
      </w:r>
      <w:r w:rsidRPr="00AE51DE">
        <w:rPr>
          <w:sz w:val="22"/>
          <w:szCs w:val="22"/>
          <w:lang w:val="es-CO"/>
        </w:rPr>
        <w:t xml:space="preserve"> tiene que ver con las causas que afectaron los bienes del demandante, aspecto</w:t>
      </w:r>
      <w:r>
        <w:rPr>
          <w:sz w:val="22"/>
          <w:szCs w:val="22"/>
          <w:lang w:val="es-CO"/>
        </w:rPr>
        <w:t xml:space="preserve">s que, se insiste,  solo se evaluarían al momento </w:t>
      </w:r>
      <w:r w:rsidRPr="00AE51DE">
        <w:rPr>
          <w:sz w:val="22"/>
          <w:szCs w:val="22"/>
          <w:lang w:val="es-CO"/>
        </w:rPr>
        <w:t>de abordar el juicio de responsabilidad</w:t>
      </w:r>
      <w:r>
        <w:rPr>
          <w:lang w:val="es-CO"/>
        </w:rPr>
        <w:t xml:space="preserve"> </w:t>
      </w:r>
    </w:p>
  </w:footnote>
  <w:footnote w:id="17">
    <w:p w14:paraId="782EA6DF" w14:textId="77777777" w:rsidR="005F25EB" w:rsidRPr="00BE02F1" w:rsidRDefault="005F25EB" w:rsidP="005F25EB">
      <w:pPr>
        <w:pStyle w:val="Textonotapie"/>
        <w:rPr>
          <w:sz w:val="22"/>
          <w:szCs w:val="22"/>
          <w:lang w:val="es-CO"/>
        </w:rPr>
      </w:pPr>
      <w:r>
        <w:rPr>
          <w:rStyle w:val="Refdenotaalpie"/>
        </w:rPr>
        <w:footnoteRef/>
      </w:r>
      <w:r>
        <w:t xml:space="preserve"> </w:t>
      </w:r>
      <w:r w:rsidRPr="00BE02F1">
        <w:rPr>
          <w:sz w:val="22"/>
          <w:szCs w:val="22"/>
          <w:lang w:val="es-CO"/>
        </w:rPr>
        <w:t>Con anterioridad, el artículo 1.° de la Ley 38 de 1918 estableció que las expropiaciones, así como de los daños en propiedad ajena, por órdenes o providencias administrativas nacionales, fuera del caso previsto en el artículo 33 de la Constitución, serían de responsabilidad de la Nación cuando hayan redundado en provecho suyo. El artículo 7.° del mismo texto señalaba  que las disposiciones de dicha Ley se harían extensivas a los departamentos y a los municipios cuando sean ellos los que se hayan aprovechado de la propiedad particular. Se estableció que la competencia de estos asuntos era de los Tribunales Seccionales de lo Contencioso Administrativo en primera instancia y de esta Corporación en segunda.</w:t>
      </w:r>
    </w:p>
  </w:footnote>
  <w:footnote w:id="18">
    <w:p w14:paraId="30C4B6F8" w14:textId="77777777" w:rsidR="005F25EB" w:rsidRPr="00E165F8" w:rsidRDefault="005F25EB" w:rsidP="005F25EB">
      <w:pPr>
        <w:pStyle w:val="Textonotapie"/>
      </w:pPr>
      <w:r>
        <w:rPr>
          <w:rStyle w:val="Refdenotaalpie"/>
        </w:rPr>
        <w:footnoteRef/>
      </w:r>
      <w:r>
        <w:t xml:space="preserve"> </w:t>
      </w:r>
      <w:r w:rsidRPr="00E165F8">
        <w:rPr>
          <w:sz w:val="22"/>
          <w:szCs w:val="22"/>
        </w:rPr>
        <w:t>Considero la Corte que el artículo 269 del Código Contencioso Administrativo no perfila una acción indemnizatoria, sino que ella contiene  en verdad una implícita permisión  a la inobservancia de la norma constitucional contenida en los artículos 30 y 33 de la Carta. Que además dicho artículo 269 define cuestiones referentes al dominio por cuanto consagra un modo de constreñir al propietario para que haga en favor de la administración  la transferencia de su propiedad, otorgando el correspondiente título traslaticio de dominio como secuela de una toma de posesión permanente.</w:t>
      </w:r>
    </w:p>
  </w:footnote>
  <w:footnote w:id="19">
    <w:p w14:paraId="05AC089C" w14:textId="77777777" w:rsidR="005F25EB" w:rsidRPr="00144B18" w:rsidRDefault="005F25EB" w:rsidP="005F25EB">
      <w:pPr>
        <w:pStyle w:val="Textonotapie"/>
        <w:rPr>
          <w:sz w:val="22"/>
          <w:szCs w:val="22"/>
          <w:lang w:val="es-CO"/>
        </w:rPr>
      </w:pPr>
      <w:r w:rsidRPr="00144B18">
        <w:rPr>
          <w:rStyle w:val="Refdenotaalpie"/>
          <w:sz w:val="22"/>
          <w:szCs w:val="22"/>
        </w:rPr>
        <w:footnoteRef/>
      </w:r>
      <w:r w:rsidRPr="00144B18">
        <w:rPr>
          <w:sz w:val="22"/>
          <w:szCs w:val="22"/>
        </w:rPr>
        <w:t xml:space="preserve"> </w:t>
      </w:r>
      <w:r w:rsidRPr="00144B18">
        <w:rPr>
          <w:sz w:val="22"/>
          <w:szCs w:val="22"/>
          <w:lang w:val="es-CO"/>
        </w:rPr>
        <w:t>En: Marriaga, Rafael, Ley 167 de 1941 con jurisprudencia del Consejo de Estado y normas legales complementarias. Ed. Instituto de Aplicación Publicitaria, Bogotá,</w:t>
      </w:r>
      <w:r>
        <w:rPr>
          <w:sz w:val="22"/>
          <w:szCs w:val="22"/>
          <w:lang w:val="es-CO"/>
        </w:rPr>
        <w:t xml:space="preserve"> </w:t>
      </w:r>
      <w:r w:rsidRPr="00144B18">
        <w:rPr>
          <w:sz w:val="22"/>
          <w:szCs w:val="22"/>
          <w:lang w:val="es-CO"/>
        </w:rPr>
        <w:t>1964, Págs. 466 a 479.</w:t>
      </w:r>
    </w:p>
  </w:footnote>
  <w:footnote w:id="20">
    <w:p w14:paraId="33D30B36" w14:textId="77777777" w:rsidR="005F25EB" w:rsidRPr="00E165F8" w:rsidRDefault="005F25EB" w:rsidP="005F25EB">
      <w:pPr>
        <w:pStyle w:val="Textonotapie"/>
        <w:rPr>
          <w:sz w:val="22"/>
          <w:szCs w:val="22"/>
          <w:lang w:val="es-CO"/>
        </w:rPr>
      </w:pPr>
      <w:r w:rsidRPr="00E165F8">
        <w:rPr>
          <w:rStyle w:val="Refdenotaalpie"/>
          <w:sz w:val="22"/>
          <w:szCs w:val="22"/>
        </w:rPr>
        <w:footnoteRef/>
      </w:r>
      <w:r w:rsidRPr="00E165F8">
        <w:rPr>
          <w:sz w:val="22"/>
          <w:szCs w:val="22"/>
        </w:rPr>
        <w:t xml:space="preserve"> </w:t>
      </w:r>
      <w:r w:rsidRPr="00E165F8">
        <w:rPr>
          <w:sz w:val="22"/>
          <w:szCs w:val="22"/>
          <w:lang w:val="es-CO"/>
        </w:rPr>
        <w:t xml:space="preserve">Vigente desde el 1.º de marzo de 1984.  </w:t>
      </w:r>
    </w:p>
  </w:footnote>
  <w:footnote w:id="21">
    <w:p w14:paraId="4261D57B" w14:textId="77777777" w:rsidR="005F25EB" w:rsidRPr="00E165F8" w:rsidRDefault="005F25EB" w:rsidP="005F25EB">
      <w:pPr>
        <w:pStyle w:val="Textonotapie"/>
        <w:rPr>
          <w:lang w:val="es-CO"/>
        </w:rPr>
      </w:pPr>
      <w:r w:rsidRPr="00E165F8">
        <w:rPr>
          <w:rStyle w:val="Refdenotaalpie"/>
          <w:sz w:val="22"/>
          <w:szCs w:val="22"/>
        </w:rPr>
        <w:footnoteRef/>
      </w:r>
      <w:r w:rsidRPr="00E165F8">
        <w:rPr>
          <w:sz w:val="22"/>
          <w:szCs w:val="22"/>
        </w:rPr>
        <w:t xml:space="preserve"> </w:t>
      </w:r>
      <w:r w:rsidRPr="00E165F8">
        <w:rPr>
          <w:rFonts w:eastAsia="Times New Roman"/>
          <w:color w:val="2D2D2D"/>
          <w:sz w:val="22"/>
          <w:szCs w:val="22"/>
          <w:bdr w:val="none" w:sz="0" w:space="0" w:color="auto" w:frame="1"/>
          <w:lang w:eastAsia="es-CO"/>
        </w:rPr>
        <w:t xml:space="preserve">Se debe mencionar que los artículos </w:t>
      </w:r>
      <w:r w:rsidRPr="00E165F8">
        <w:rPr>
          <w:rFonts w:eastAsia="Times New Roman"/>
          <w:sz w:val="22"/>
          <w:szCs w:val="22"/>
          <w:bdr w:val="none" w:sz="0" w:space="0" w:color="auto" w:frame="1"/>
          <w:lang w:eastAsia="es-CO"/>
        </w:rPr>
        <w:t xml:space="preserve"> </w:t>
      </w:r>
      <w:r w:rsidRPr="00E165F8">
        <w:rPr>
          <w:sz w:val="22"/>
          <w:szCs w:val="22"/>
        </w:rPr>
        <w:t>82, 86, 131, 132 y 220 ibídem</w:t>
      </w:r>
      <w:r w:rsidRPr="00E165F8">
        <w:rPr>
          <w:sz w:val="22"/>
          <w:szCs w:val="22"/>
          <w:lang w:val="es-CO"/>
        </w:rPr>
        <w:t>.</w:t>
      </w:r>
      <w:r w:rsidRPr="00E165F8">
        <w:rPr>
          <w:sz w:val="22"/>
          <w:szCs w:val="22"/>
        </w:rPr>
        <w:t xml:space="preserve">  fueron demandados ante la Corte Suprema de Justicia, Corporación que declaró su exequibilidad al considerar que dichas normas no reproducían el contenido del artículo 269 de la Ley 167 de 1941 -declarado inexequible por esa misma Corporación-, aclaró que los artículos 86 y 220 del Código Contencioso Administrativo no autorizaban a la Administración para ocupar permanentemente la propiedad inmueble de dominio privado, ni equiparaban la ocupación de hecho a la expropiación. Sentencia No.94 del 16 de Octubre de 1986, expediente 1495.</w:t>
      </w:r>
    </w:p>
  </w:footnote>
  <w:footnote w:id="22">
    <w:p w14:paraId="3E47B8BC" w14:textId="77777777" w:rsidR="005F25EB" w:rsidRPr="00820F58" w:rsidRDefault="005F25EB" w:rsidP="005F25EB">
      <w:pPr>
        <w:pStyle w:val="Textonotapie"/>
        <w:rPr>
          <w:sz w:val="22"/>
          <w:szCs w:val="22"/>
          <w:lang w:val="es-CO"/>
        </w:rPr>
      </w:pPr>
      <w:r w:rsidRPr="00820F58">
        <w:rPr>
          <w:rStyle w:val="Refdenotaalpie"/>
          <w:sz w:val="22"/>
          <w:szCs w:val="22"/>
        </w:rPr>
        <w:footnoteRef/>
      </w:r>
      <w:r w:rsidRPr="00820F58">
        <w:rPr>
          <w:sz w:val="22"/>
          <w:szCs w:val="22"/>
        </w:rPr>
        <w:t xml:space="preserve"> </w:t>
      </w:r>
      <w:r w:rsidRPr="00820F58">
        <w:rPr>
          <w:sz w:val="22"/>
          <w:szCs w:val="22"/>
          <w:lang w:val="es-CO"/>
        </w:rPr>
        <w:t>Estas normas, también fueron declaradas exequibles</w:t>
      </w:r>
      <w:r>
        <w:rPr>
          <w:sz w:val="22"/>
          <w:szCs w:val="22"/>
          <w:lang w:val="es-CO"/>
        </w:rPr>
        <w:t xml:space="preserve"> por la Corte Constitucional en la sentencia C – 865 de 2004, en tanto la norma en consonancia con los artículos 90 y 53 establece una vía para la protección del derecho a la propiedad al asegurar a su titular el reconocimiento y pago de la indemnización.  Precisó que no se trata de una habilitación para que el Estado ocupe de hecho la propiedad privada sino para remediar aquellos eventos en los que se pretermiten los procedimientos legales para el efecto, lo lógicamente debe conducir que la titularidad del bien para al dominio estatal porque una vez pagada la indemnización nada justifica que se mantenga en manos del particular afectado.</w:t>
      </w:r>
    </w:p>
  </w:footnote>
  <w:footnote w:id="23">
    <w:p w14:paraId="6086D119" w14:textId="77777777" w:rsidR="005F25EB" w:rsidRPr="00160578" w:rsidRDefault="005F25EB" w:rsidP="005F25EB">
      <w:pPr>
        <w:pStyle w:val="Textonotapie"/>
        <w:rPr>
          <w:sz w:val="22"/>
          <w:szCs w:val="22"/>
          <w:lang w:val="es-CO"/>
        </w:rPr>
      </w:pPr>
      <w:r w:rsidRPr="00160578">
        <w:rPr>
          <w:rStyle w:val="Refdenotaalpie"/>
          <w:sz w:val="22"/>
          <w:szCs w:val="22"/>
        </w:rPr>
        <w:footnoteRef/>
      </w:r>
      <w:r w:rsidRPr="00160578">
        <w:rPr>
          <w:sz w:val="22"/>
          <w:szCs w:val="22"/>
        </w:rPr>
        <w:t xml:space="preserve"> </w:t>
      </w:r>
      <w:r w:rsidRPr="00160578">
        <w:rPr>
          <w:sz w:val="22"/>
          <w:szCs w:val="22"/>
          <w:lang w:val="es-CO"/>
        </w:rPr>
        <w:t xml:space="preserve">Se puede consultar la </w:t>
      </w:r>
      <w:r w:rsidRPr="00160578">
        <w:rPr>
          <w:sz w:val="22"/>
          <w:szCs w:val="22"/>
        </w:rPr>
        <w:t>Sentencia del 16 de agosto de 2001, exp</w:t>
      </w:r>
      <w:r w:rsidRPr="00160578">
        <w:rPr>
          <w:sz w:val="22"/>
          <w:szCs w:val="22"/>
          <w:lang w:val="es-CO"/>
        </w:rPr>
        <w:t>ediente</w:t>
      </w:r>
      <w:r w:rsidRPr="00160578">
        <w:rPr>
          <w:sz w:val="22"/>
          <w:szCs w:val="22"/>
        </w:rPr>
        <w:t xml:space="preserve"> 13772, C.P. Ricardo Hoyos Duque, reiterada entre otras en la sentencia del 13 de febrero de 2003, exp</w:t>
      </w:r>
      <w:r w:rsidRPr="00160578">
        <w:rPr>
          <w:sz w:val="22"/>
          <w:szCs w:val="22"/>
          <w:lang w:val="es-CO"/>
        </w:rPr>
        <w:t>ediente</w:t>
      </w:r>
      <w:r w:rsidRPr="00160578">
        <w:rPr>
          <w:sz w:val="22"/>
          <w:szCs w:val="22"/>
        </w:rPr>
        <w:t xml:space="preserve"> 13237, C.P. Alier Hernández.</w:t>
      </w:r>
    </w:p>
  </w:footnote>
  <w:footnote w:id="24">
    <w:p w14:paraId="2F108CE4" w14:textId="77777777" w:rsidR="005F25EB" w:rsidRPr="00F627BD" w:rsidRDefault="005F25EB" w:rsidP="005F25EB">
      <w:pPr>
        <w:pStyle w:val="Textonotapie"/>
        <w:rPr>
          <w:rFonts w:cs="Arial"/>
          <w:sz w:val="22"/>
          <w:szCs w:val="22"/>
          <w:lang w:val="es-CO"/>
        </w:rPr>
      </w:pPr>
      <w:r w:rsidRPr="00F627BD">
        <w:rPr>
          <w:rStyle w:val="Refdenotaalpie"/>
          <w:sz w:val="22"/>
          <w:szCs w:val="22"/>
        </w:rPr>
        <w:footnoteRef/>
      </w:r>
      <w:r w:rsidRPr="00F627BD">
        <w:rPr>
          <w:sz w:val="22"/>
          <w:szCs w:val="22"/>
        </w:rPr>
        <w:t xml:space="preserve"> </w:t>
      </w:r>
      <w:r w:rsidRPr="00F627BD">
        <w:rPr>
          <w:sz w:val="22"/>
          <w:szCs w:val="22"/>
          <w:lang w:val="es-CO"/>
        </w:rPr>
        <w:t>V</w:t>
      </w:r>
      <w:r w:rsidRPr="00F627BD">
        <w:rPr>
          <w:rFonts w:cs="Arial"/>
          <w:sz w:val="22"/>
          <w:szCs w:val="22"/>
          <w:lang w:val="es-CO"/>
        </w:rPr>
        <w:t>éase</w:t>
      </w:r>
      <w:r>
        <w:rPr>
          <w:rFonts w:cs="Arial"/>
          <w:sz w:val="22"/>
          <w:szCs w:val="22"/>
          <w:lang w:val="es-CO"/>
        </w:rPr>
        <w:t xml:space="preserve"> entre otros los autos de 8 de febrero de 2011, expediente 18.287, C.P. Danilo Rojas Betancourth y de 9 de diciembre de 2013, expediente 48.152, C.P. Mauricio Fajardo Gómez. Igualmente, este criterio se ha sostenido en el marco de las acciones de clase, entre otras se puede consultar </w:t>
      </w:r>
      <w:r w:rsidRPr="00F627BD">
        <w:rPr>
          <w:rFonts w:cs="Arial"/>
          <w:sz w:val="22"/>
          <w:szCs w:val="22"/>
          <w:lang w:val="es-CO"/>
        </w:rPr>
        <w:t xml:space="preserve">la </w:t>
      </w:r>
      <w:r w:rsidRPr="00F627BD">
        <w:rPr>
          <w:rFonts w:cs="Arial"/>
          <w:sz w:val="22"/>
          <w:szCs w:val="22"/>
        </w:rPr>
        <w:t xml:space="preserve">sentencia del 18 de octubre de </w:t>
      </w:r>
      <w:smartTag w:uri="urn:schemas-microsoft-com:office:smarttags" w:element="metricconverter">
        <w:smartTagPr>
          <w:attr w:name="ProductID" w:val="2007, C"/>
        </w:smartTagPr>
        <w:r w:rsidRPr="00F627BD">
          <w:rPr>
            <w:rFonts w:cs="Arial"/>
            <w:sz w:val="22"/>
            <w:szCs w:val="22"/>
          </w:rPr>
          <w:t>2007, C</w:t>
        </w:r>
      </w:smartTag>
      <w:r w:rsidRPr="00F627BD">
        <w:rPr>
          <w:rFonts w:cs="Arial"/>
          <w:sz w:val="22"/>
          <w:szCs w:val="22"/>
        </w:rPr>
        <w:t>. P. Enrique Gil Botero, radicación 2001-00029-01 (AG)</w:t>
      </w:r>
      <w:r w:rsidRPr="00F627BD">
        <w:rPr>
          <w:rFonts w:cs="Arial"/>
          <w:sz w:val="22"/>
          <w:szCs w:val="22"/>
          <w:lang w:val="es-CO"/>
        </w:rPr>
        <w:t>.</w:t>
      </w:r>
      <w:r>
        <w:rPr>
          <w:rFonts w:cs="Arial"/>
          <w:sz w:val="22"/>
          <w:szCs w:val="22"/>
          <w:lang w:val="es-CO"/>
        </w:rPr>
        <w:t xml:space="preserve">  Todas estas providencias proferidas antes de la entrada en rigor de la Ley 1437 de 2011.</w:t>
      </w:r>
    </w:p>
  </w:footnote>
  <w:footnote w:id="25">
    <w:p w14:paraId="28F9D461" w14:textId="77777777" w:rsidR="005F25EB" w:rsidRPr="00342C8D" w:rsidRDefault="005F25EB" w:rsidP="005F25EB">
      <w:pPr>
        <w:pStyle w:val="Textonotapie"/>
        <w:rPr>
          <w:rFonts w:cs="Arial"/>
          <w:sz w:val="22"/>
          <w:szCs w:val="22"/>
          <w:lang w:val="es-CO"/>
        </w:rPr>
      </w:pPr>
      <w:r w:rsidRPr="00342C8D">
        <w:rPr>
          <w:rStyle w:val="Refdenotaalpie"/>
          <w:rFonts w:cs="Arial"/>
          <w:sz w:val="22"/>
          <w:szCs w:val="22"/>
        </w:rPr>
        <w:footnoteRef/>
      </w:r>
      <w:r w:rsidRPr="00342C8D">
        <w:rPr>
          <w:rFonts w:cs="Arial"/>
          <w:sz w:val="22"/>
          <w:szCs w:val="22"/>
        </w:rPr>
        <w:t xml:space="preserve"> </w:t>
      </w:r>
      <w:r w:rsidRPr="00342C8D">
        <w:rPr>
          <w:rFonts w:cs="Arial"/>
          <w:sz w:val="22"/>
          <w:szCs w:val="22"/>
          <w:lang w:val="es-CO"/>
        </w:rPr>
        <w:t xml:space="preserve">La aplicación del principio pro-damato </w:t>
      </w:r>
      <w:r w:rsidRPr="00342C8D">
        <w:rPr>
          <w:rFonts w:cs="Arial"/>
          <w:i/>
          <w:sz w:val="22"/>
          <w:szCs w:val="22"/>
          <w:lang w:val="es-CO"/>
        </w:rPr>
        <w:t>“implica un alivio de los rigores de la caducidad con respecto a las víctimas titulares del derecho a resarcimiento”</w:t>
      </w:r>
      <w:r w:rsidRPr="00342C8D">
        <w:rPr>
          <w:rFonts w:cs="Arial"/>
          <w:sz w:val="22"/>
          <w:szCs w:val="22"/>
          <w:lang w:val="es-CO"/>
        </w:rPr>
        <w:t xml:space="preserve">. Consejo de Estado, Sección Tercera, sentencia de abril 10 de 1997, exp. 11.954, C.P. Ricardo Hoyos Duque, y auto de 7 de marzo de 2002, exp. </w:t>
      </w:r>
      <w:smartTag w:uri="urn:schemas-microsoft-com:office:smarttags" w:element="metricconverter">
        <w:smartTagPr>
          <w:attr w:name="ProductID" w:val="21.189, C"/>
        </w:smartTagPr>
        <w:r w:rsidRPr="00342C8D">
          <w:rPr>
            <w:rFonts w:cs="Arial"/>
            <w:sz w:val="22"/>
            <w:szCs w:val="22"/>
            <w:lang w:val="es-CO"/>
          </w:rPr>
          <w:t>21.189, C</w:t>
        </w:r>
      </w:smartTag>
      <w:r w:rsidRPr="00342C8D">
        <w:rPr>
          <w:rFonts w:cs="Arial"/>
          <w:sz w:val="22"/>
          <w:szCs w:val="22"/>
          <w:lang w:val="es-CO"/>
        </w:rPr>
        <w:t xml:space="preserve">.P. Ricardo Hoyos Duque. </w:t>
      </w:r>
    </w:p>
  </w:footnote>
  <w:footnote w:id="26">
    <w:p w14:paraId="13556701" w14:textId="77777777" w:rsidR="005F25EB" w:rsidRPr="00CA52A8" w:rsidRDefault="005F25EB" w:rsidP="005F25EB">
      <w:pPr>
        <w:pStyle w:val="Textonotapie"/>
        <w:rPr>
          <w:sz w:val="22"/>
          <w:szCs w:val="22"/>
          <w:lang w:val="es-CO"/>
        </w:rPr>
      </w:pPr>
      <w:r w:rsidRPr="00F627BD">
        <w:rPr>
          <w:rStyle w:val="Refdenotaalpie"/>
          <w:sz w:val="22"/>
          <w:szCs w:val="22"/>
        </w:rPr>
        <w:footnoteRef/>
      </w:r>
      <w:r w:rsidRPr="00F627BD">
        <w:rPr>
          <w:sz w:val="22"/>
          <w:szCs w:val="22"/>
        </w:rPr>
        <w:t xml:space="preserve"> </w:t>
      </w:r>
      <w:r w:rsidRPr="00F627BD">
        <w:rPr>
          <w:sz w:val="22"/>
          <w:szCs w:val="22"/>
          <w:lang w:val="es-CO"/>
        </w:rPr>
        <w:t xml:space="preserve">Consejo de Estado, Sección Tercera, auto del 12 de agosto de 2014,  radicación </w:t>
      </w:r>
      <w:r w:rsidRPr="00F627BD">
        <w:rPr>
          <w:sz w:val="22"/>
          <w:szCs w:val="22"/>
        </w:rPr>
        <w:t>18001-23-33-000-2013-00298-01(AG)</w:t>
      </w:r>
      <w:r w:rsidRPr="00F627BD">
        <w:rPr>
          <w:sz w:val="22"/>
          <w:szCs w:val="22"/>
          <w:lang w:val="es-CO"/>
        </w:rPr>
        <w:t>,  C.P. Enrique Gil Botero.</w:t>
      </w:r>
    </w:p>
  </w:footnote>
  <w:footnote w:id="27">
    <w:p w14:paraId="4E5D5C11" w14:textId="77777777" w:rsidR="005F25EB" w:rsidRPr="003830E1" w:rsidRDefault="005F25EB" w:rsidP="005F25EB">
      <w:pPr>
        <w:shd w:val="clear" w:color="auto" w:fill="FFFFFF"/>
        <w:textAlignment w:val="baseline"/>
        <w:rPr>
          <w:rFonts w:eastAsia="Times New Roman"/>
          <w:color w:val="2D2D2D"/>
          <w:lang w:val="es-ES" w:eastAsia="es-ES"/>
        </w:rPr>
      </w:pPr>
      <w:r w:rsidRPr="003830E1">
        <w:rPr>
          <w:rStyle w:val="Refdenotaalpie"/>
        </w:rPr>
        <w:footnoteRef/>
      </w:r>
      <w:r w:rsidRPr="003830E1">
        <w:t xml:space="preserve"> </w:t>
      </w:r>
      <w:r w:rsidRPr="003830E1">
        <w:rPr>
          <w:rFonts w:eastAsia="Times New Roman"/>
          <w:color w:val="2D2D2D"/>
          <w:bdr w:val="none" w:sz="0" w:space="0" w:color="auto" w:frame="1"/>
          <w:lang w:eastAsia="es-ES"/>
        </w:rPr>
        <w:t>El artículo 40 por su parte, como se recuerda, prescribe el efecto general inmediato de la de las leyes procesales en los siguientes términos:</w:t>
      </w:r>
      <w:r w:rsidRPr="003830E1">
        <w:rPr>
          <w:rFonts w:eastAsia="Times New Roman"/>
          <w:i/>
          <w:iCs/>
          <w:color w:val="2D2D2D"/>
          <w:bdr w:val="none" w:sz="0" w:space="0" w:color="auto" w:frame="1"/>
          <w:lang w:eastAsia="es-ES"/>
        </w:rPr>
        <w:t xml:space="preserve"> “Las leyes concernientes a la sustanciación y ritualidad de los juicios prevalecen sobre las anteriores desde el momento en que deben empezar a regir. Pero los términos que hubieren empezado a correr, y las actuaciones y diligencias que ya estuvieren iniciadas, se regirán por la ley vigente al tiempo de su iniciación.”</w:t>
      </w:r>
    </w:p>
    <w:p w14:paraId="6EA1D5AF" w14:textId="77777777" w:rsidR="005F25EB" w:rsidRPr="003830E1" w:rsidRDefault="005F25EB" w:rsidP="005F25EB">
      <w:pPr>
        <w:pStyle w:val="Textonotapie"/>
        <w:rPr>
          <w:lang w:val="es-CO"/>
        </w:rPr>
      </w:pPr>
    </w:p>
  </w:footnote>
  <w:footnote w:id="28">
    <w:p w14:paraId="518F8ECA" w14:textId="77777777" w:rsidR="005F25EB" w:rsidRPr="00BB5D51" w:rsidRDefault="005F25EB" w:rsidP="005F25EB">
      <w:pPr>
        <w:pStyle w:val="Textonotapie"/>
        <w:rPr>
          <w:sz w:val="22"/>
          <w:szCs w:val="22"/>
          <w:lang w:val="es-CO"/>
        </w:rPr>
      </w:pPr>
      <w:r w:rsidRPr="00BB5D51">
        <w:rPr>
          <w:rStyle w:val="Refdenotaalpie"/>
          <w:sz w:val="22"/>
          <w:szCs w:val="22"/>
        </w:rPr>
        <w:footnoteRef/>
      </w:r>
      <w:r w:rsidRPr="00BB5D51">
        <w:rPr>
          <w:sz w:val="22"/>
          <w:szCs w:val="22"/>
        </w:rPr>
        <w:t xml:space="preserve"> Eso sí, el demandante lo aduce para significar que todos los daños ocurridos a lo largo del tiempo no pueden considerarse cubiertos por la caducidad.</w:t>
      </w:r>
    </w:p>
  </w:footnote>
  <w:footnote w:id="29">
    <w:p w14:paraId="0B65AABC" w14:textId="77777777" w:rsidR="005F25EB" w:rsidRPr="00CD0EB0" w:rsidRDefault="005F25EB" w:rsidP="005F25EB">
      <w:pPr>
        <w:pStyle w:val="Sinespaciado"/>
        <w:jc w:val="both"/>
        <w:rPr>
          <w:rFonts w:ascii="Tahoma" w:hAnsi="Tahoma" w:cs="Tahoma"/>
          <w:lang w:val="es-MX"/>
        </w:rPr>
      </w:pPr>
      <w:r w:rsidRPr="00CD0EB0">
        <w:rPr>
          <w:rStyle w:val="Refdenotaalpie"/>
          <w:rFonts w:ascii="Arial" w:hAnsi="Arial" w:cs="Arial"/>
        </w:rPr>
        <w:footnoteRef/>
      </w:r>
      <w:r w:rsidRPr="00CD0EB0">
        <w:rPr>
          <w:rFonts w:ascii="Arial" w:hAnsi="Arial" w:cs="Arial"/>
        </w:rPr>
        <w:t xml:space="preserve"> Consejo de Estado, Sección Tercera, sentencia del  23 de abril de 2008, expediente 16.271, C.P. Ruth Stella Correa Palacio.</w:t>
      </w:r>
    </w:p>
  </w:footnote>
  <w:footnote w:id="30">
    <w:p w14:paraId="5653AF7C" w14:textId="77777777" w:rsidR="005F25EB" w:rsidRPr="00BF49B3" w:rsidRDefault="005F25EB" w:rsidP="005F25EB">
      <w:pPr>
        <w:pStyle w:val="Textonotapie"/>
        <w:rPr>
          <w:sz w:val="22"/>
          <w:szCs w:val="22"/>
          <w:lang w:val="es-CO"/>
        </w:rPr>
      </w:pPr>
      <w:r w:rsidRPr="00CD0EB0">
        <w:rPr>
          <w:rStyle w:val="Refdenotaalpie"/>
          <w:sz w:val="22"/>
          <w:szCs w:val="22"/>
        </w:rPr>
        <w:footnoteRef/>
      </w:r>
      <w:r w:rsidRPr="00CD0EB0">
        <w:rPr>
          <w:sz w:val="22"/>
          <w:szCs w:val="22"/>
        </w:rPr>
        <w:t xml:space="preserve"> </w:t>
      </w:r>
      <w:r w:rsidRPr="00CD0EB0">
        <w:rPr>
          <w:sz w:val="22"/>
          <w:szCs w:val="22"/>
          <w:lang w:val="es-CO"/>
        </w:rPr>
        <w:t>Ver entr</w:t>
      </w:r>
      <w:r>
        <w:rPr>
          <w:sz w:val="22"/>
          <w:szCs w:val="22"/>
          <w:lang w:val="es-CO"/>
        </w:rPr>
        <w:t>e</w:t>
      </w:r>
      <w:r w:rsidRPr="00CD0EB0">
        <w:rPr>
          <w:sz w:val="22"/>
          <w:szCs w:val="22"/>
          <w:lang w:val="es-CO"/>
        </w:rPr>
        <w:t xml:space="preserve"> otras</w:t>
      </w:r>
      <w:r>
        <w:rPr>
          <w:sz w:val="22"/>
          <w:szCs w:val="22"/>
          <w:lang w:val="es-CO"/>
        </w:rPr>
        <w:t>,</w:t>
      </w:r>
      <w:r w:rsidRPr="00CD0EB0">
        <w:rPr>
          <w:sz w:val="22"/>
          <w:szCs w:val="22"/>
          <w:lang w:val="es-CO"/>
        </w:rPr>
        <w:t xml:space="preserve"> Consejo de Estado, Sección Tercera, sentencia de 19 de junio de 20</w:t>
      </w:r>
      <w:r>
        <w:rPr>
          <w:sz w:val="22"/>
          <w:szCs w:val="22"/>
          <w:lang w:val="es-CO"/>
        </w:rPr>
        <w:t>1</w:t>
      </w:r>
      <w:r w:rsidRPr="00CD0EB0">
        <w:rPr>
          <w:sz w:val="22"/>
          <w:szCs w:val="22"/>
          <w:lang w:val="es-CO"/>
        </w:rPr>
        <w:t>3, expediente 27123. C.P. Olga Melida Valle de de la Hoz</w:t>
      </w:r>
      <w:r>
        <w:rPr>
          <w:sz w:val="22"/>
          <w:szCs w:val="22"/>
          <w:lang w:val="es-CO"/>
        </w:rPr>
        <w:t>;</w:t>
      </w:r>
      <w:r w:rsidRPr="00CD0EB0">
        <w:rPr>
          <w:sz w:val="22"/>
          <w:szCs w:val="22"/>
          <w:lang w:val="es-CO"/>
        </w:rPr>
        <w:t xml:space="preserve"> sentencia </w:t>
      </w:r>
      <w:r w:rsidRPr="00CD0EB0">
        <w:rPr>
          <w:sz w:val="22"/>
          <w:szCs w:val="22"/>
        </w:rPr>
        <w:t>de  31</w:t>
      </w:r>
      <w:r>
        <w:rPr>
          <w:sz w:val="22"/>
          <w:szCs w:val="22"/>
          <w:lang w:val="es-CO"/>
        </w:rPr>
        <w:t xml:space="preserve"> de </w:t>
      </w:r>
      <w:r w:rsidRPr="00CD0EB0">
        <w:rPr>
          <w:sz w:val="22"/>
          <w:szCs w:val="22"/>
        </w:rPr>
        <w:t xml:space="preserve">octubre </w:t>
      </w:r>
      <w:r>
        <w:rPr>
          <w:sz w:val="22"/>
          <w:szCs w:val="22"/>
        </w:rPr>
        <w:t xml:space="preserve"> de 2007</w:t>
      </w:r>
      <w:r>
        <w:rPr>
          <w:sz w:val="22"/>
          <w:szCs w:val="22"/>
          <w:lang w:val="es-CO"/>
        </w:rPr>
        <w:t>,</w:t>
      </w:r>
      <w:r w:rsidRPr="00CD0EB0">
        <w:rPr>
          <w:sz w:val="22"/>
          <w:szCs w:val="22"/>
        </w:rPr>
        <w:t xml:space="preserve">  </w:t>
      </w:r>
      <w:r w:rsidRPr="00CD0EB0">
        <w:rPr>
          <w:sz w:val="22"/>
          <w:szCs w:val="22"/>
          <w:lang w:val="es-CO"/>
        </w:rPr>
        <w:t>expediente</w:t>
      </w:r>
      <w:r w:rsidRPr="00CD0EB0">
        <w:rPr>
          <w:sz w:val="22"/>
          <w:szCs w:val="22"/>
        </w:rPr>
        <w:t xml:space="preserve"> 13503, C.P. Mauricio Fajardo Gómez</w:t>
      </w:r>
      <w:r w:rsidRPr="00CD0EB0">
        <w:rPr>
          <w:sz w:val="22"/>
          <w:szCs w:val="22"/>
          <w:lang w:val="es-CO"/>
        </w:rPr>
        <w:t xml:space="preserve"> y sentencia de 24 de octubre de 2013, expediente </w:t>
      </w:r>
      <w:r w:rsidRPr="00CD0EB0">
        <w:rPr>
          <w:rFonts w:cs="Arial"/>
          <w:sz w:val="22"/>
          <w:szCs w:val="22"/>
        </w:rPr>
        <w:t>25869</w:t>
      </w:r>
      <w:r w:rsidRPr="00CD0EB0">
        <w:rPr>
          <w:rFonts w:cs="Arial"/>
          <w:sz w:val="22"/>
          <w:szCs w:val="22"/>
          <w:lang w:val="es-CO"/>
        </w:rPr>
        <w:t>, C.P. Enrique Gil Botero.</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C9C"/>
    <w:multiLevelType w:val="hybridMultilevel"/>
    <w:tmpl w:val="EF5C5D6A"/>
    <w:lvl w:ilvl="0" w:tplc="240A0001">
      <w:start w:val="1"/>
      <w:numFmt w:val="bullet"/>
      <w:lvlText w:val=""/>
      <w:lvlJc w:val="left"/>
      <w:pPr>
        <w:ind w:left="874" w:hanging="360"/>
      </w:pPr>
      <w:rPr>
        <w:rFonts w:ascii="Symbol" w:hAnsi="Symbol" w:hint="default"/>
      </w:rPr>
    </w:lvl>
    <w:lvl w:ilvl="1" w:tplc="240A0003" w:tentative="1">
      <w:start w:val="1"/>
      <w:numFmt w:val="bullet"/>
      <w:lvlText w:val="o"/>
      <w:lvlJc w:val="left"/>
      <w:pPr>
        <w:ind w:left="1594" w:hanging="360"/>
      </w:pPr>
      <w:rPr>
        <w:rFonts w:ascii="Courier New" w:hAnsi="Courier New" w:cs="Courier New" w:hint="default"/>
      </w:rPr>
    </w:lvl>
    <w:lvl w:ilvl="2" w:tplc="240A0005" w:tentative="1">
      <w:start w:val="1"/>
      <w:numFmt w:val="bullet"/>
      <w:lvlText w:val=""/>
      <w:lvlJc w:val="left"/>
      <w:pPr>
        <w:ind w:left="2314" w:hanging="360"/>
      </w:pPr>
      <w:rPr>
        <w:rFonts w:ascii="Wingdings" w:hAnsi="Wingdings" w:hint="default"/>
      </w:rPr>
    </w:lvl>
    <w:lvl w:ilvl="3" w:tplc="240A0001" w:tentative="1">
      <w:start w:val="1"/>
      <w:numFmt w:val="bullet"/>
      <w:lvlText w:val=""/>
      <w:lvlJc w:val="left"/>
      <w:pPr>
        <w:ind w:left="3034" w:hanging="360"/>
      </w:pPr>
      <w:rPr>
        <w:rFonts w:ascii="Symbol" w:hAnsi="Symbol" w:hint="default"/>
      </w:rPr>
    </w:lvl>
    <w:lvl w:ilvl="4" w:tplc="240A0003" w:tentative="1">
      <w:start w:val="1"/>
      <w:numFmt w:val="bullet"/>
      <w:lvlText w:val="o"/>
      <w:lvlJc w:val="left"/>
      <w:pPr>
        <w:ind w:left="3754" w:hanging="360"/>
      </w:pPr>
      <w:rPr>
        <w:rFonts w:ascii="Courier New" w:hAnsi="Courier New" w:cs="Courier New" w:hint="default"/>
      </w:rPr>
    </w:lvl>
    <w:lvl w:ilvl="5" w:tplc="240A0005" w:tentative="1">
      <w:start w:val="1"/>
      <w:numFmt w:val="bullet"/>
      <w:lvlText w:val=""/>
      <w:lvlJc w:val="left"/>
      <w:pPr>
        <w:ind w:left="4474" w:hanging="360"/>
      </w:pPr>
      <w:rPr>
        <w:rFonts w:ascii="Wingdings" w:hAnsi="Wingdings" w:hint="default"/>
      </w:rPr>
    </w:lvl>
    <w:lvl w:ilvl="6" w:tplc="240A0001" w:tentative="1">
      <w:start w:val="1"/>
      <w:numFmt w:val="bullet"/>
      <w:lvlText w:val=""/>
      <w:lvlJc w:val="left"/>
      <w:pPr>
        <w:ind w:left="5194" w:hanging="360"/>
      </w:pPr>
      <w:rPr>
        <w:rFonts w:ascii="Symbol" w:hAnsi="Symbol" w:hint="default"/>
      </w:rPr>
    </w:lvl>
    <w:lvl w:ilvl="7" w:tplc="240A0003" w:tentative="1">
      <w:start w:val="1"/>
      <w:numFmt w:val="bullet"/>
      <w:lvlText w:val="o"/>
      <w:lvlJc w:val="left"/>
      <w:pPr>
        <w:ind w:left="5914" w:hanging="360"/>
      </w:pPr>
      <w:rPr>
        <w:rFonts w:ascii="Courier New" w:hAnsi="Courier New" w:cs="Courier New" w:hint="default"/>
      </w:rPr>
    </w:lvl>
    <w:lvl w:ilvl="8" w:tplc="240A0005" w:tentative="1">
      <w:start w:val="1"/>
      <w:numFmt w:val="bullet"/>
      <w:lvlText w:val=""/>
      <w:lvlJc w:val="left"/>
      <w:pPr>
        <w:ind w:left="6634" w:hanging="360"/>
      </w:pPr>
      <w:rPr>
        <w:rFonts w:ascii="Wingdings" w:hAnsi="Wingdings" w:hint="default"/>
      </w:rPr>
    </w:lvl>
  </w:abstractNum>
  <w:abstractNum w:abstractNumId="1" w15:restartNumberingAfterBreak="0">
    <w:nsid w:val="01CD54A1"/>
    <w:multiLevelType w:val="hybridMultilevel"/>
    <w:tmpl w:val="ED92BFCC"/>
    <w:lvl w:ilvl="0" w:tplc="E6B0B3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EC5B67"/>
    <w:multiLevelType w:val="hybridMultilevel"/>
    <w:tmpl w:val="45BE07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4707301"/>
    <w:multiLevelType w:val="hybridMultilevel"/>
    <w:tmpl w:val="04104D10"/>
    <w:lvl w:ilvl="0" w:tplc="6136BD0C">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4" w15:restartNumberingAfterBreak="0">
    <w:nsid w:val="12C36522"/>
    <w:multiLevelType w:val="hybridMultilevel"/>
    <w:tmpl w:val="B59EEF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4745325"/>
    <w:multiLevelType w:val="hybridMultilevel"/>
    <w:tmpl w:val="DE224538"/>
    <w:lvl w:ilvl="0" w:tplc="0C0A0001">
      <w:start w:val="1"/>
      <w:numFmt w:val="bullet"/>
      <w:lvlText w:val=""/>
      <w:lvlJc w:val="left"/>
      <w:pPr>
        <w:ind w:left="1357" w:hanging="360"/>
      </w:pPr>
      <w:rPr>
        <w:rFonts w:ascii="Symbol" w:hAnsi="Symbol" w:hint="default"/>
      </w:rPr>
    </w:lvl>
    <w:lvl w:ilvl="1" w:tplc="0C0A0003" w:tentative="1">
      <w:start w:val="1"/>
      <w:numFmt w:val="bullet"/>
      <w:lvlText w:val="o"/>
      <w:lvlJc w:val="left"/>
      <w:pPr>
        <w:ind w:left="2077" w:hanging="360"/>
      </w:pPr>
      <w:rPr>
        <w:rFonts w:ascii="Courier New" w:hAnsi="Courier New" w:cs="Courier New" w:hint="default"/>
      </w:rPr>
    </w:lvl>
    <w:lvl w:ilvl="2" w:tplc="0C0A0005" w:tentative="1">
      <w:start w:val="1"/>
      <w:numFmt w:val="bullet"/>
      <w:lvlText w:val=""/>
      <w:lvlJc w:val="left"/>
      <w:pPr>
        <w:ind w:left="2797" w:hanging="360"/>
      </w:pPr>
      <w:rPr>
        <w:rFonts w:ascii="Wingdings" w:hAnsi="Wingdings" w:hint="default"/>
      </w:rPr>
    </w:lvl>
    <w:lvl w:ilvl="3" w:tplc="0C0A0001" w:tentative="1">
      <w:start w:val="1"/>
      <w:numFmt w:val="bullet"/>
      <w:lvlText w:val=""/>
      <w:lvlJc w:val="left"/>
      <w:pPr>
        <w:ind w:left="3517" w:hanging="360"/>
      </w:pPr>
      <w:rPr>
        <w:rFonts w:ascii="Symbol" w:hAnsi="Symbol" w:hint="default"/>
      </w:rPr>
    </w:lvl>
    <w:lvl w:ilvl="4" w:tplc="0C0A0003" w:tentative="1">
      <w:start w:val="1"/>
      <w:numFmt w:val="bullet"/>
      <w:lvlText w:val="o"/>
      <w:lvlJc w:val="left"/>
      <w:pPr>
        <w:ind w:left="4237" w:hanging="360"/>
      </w:pPr>
      <w:rPr>
        <w:rFonts w:ascii="Courier New" w:hAnsi="Courier New" w:cs="Courier New" w:hint="default"/>
      </w:rPr>
    </w:lvl>
    <w:lvl w:ilvl="5" w:tplc="0C0A0005" w:tentative="1">
      <w:start w:val="1"/>
      <w:numFmt w:val="bullet"/>
      <w:lvlText w:val=""/>
      <w:lvlJc w:val="left"/>
      <w:pPr>
        <w:ind w:left="4957" w:hanging="360"/>
      </w:pPr>
      <w:rPr>
        <w:rFonts w:ascii="Wingdings" w:hAnsi="Wingdings" w:hint="default"/>
      </w:rPr>
    </w:lvl>
    <w:lvl w:ilvl="6" w:tplc="0C0A0001" w:tentative="1">
      <w:start w:val="1"/>
      <w:numFmt w:val="bullet"/>
      <w:lvlText w:val=""/>
      <w:lvlJc w:val="left"/>
      <w:pPr>
        <w:ind w:left="5677" w:hanging="360"/>
      </w:pPr>
      <w:rPr>
        <w:rFonts w:ascii="Symbol" w:hAnsi="Symbol" w:hint="default"/>
      </w:rPr>
    </w:lvl>
    <w:lvl w:ilvl="7" w:tplc="0C0A0003" w:tentative="1">
      <w:start w:val="1"/>
      <w:numFmt w:val="bullet"/>
      <w:lvlText w:val="o"/>
      <w:lvlJc w:val="left"/>
      <w:pPr>
        <w:ind w:left="6397" w:hanging="360"/>
      </w:pPr>
      <w:rPr>
        <w:rFonts w:ascii="Courier New" w:hAnsi="Courier New" w:cs="Courier New" w:hint="default"/>
      </w:rPr>
    </w:lvl>
    <w:lvl w:ilvl="8" w:tplc="0C0A0005" w:tentative="1">
      <w:start w:val="1"/>
      <w:numFmt w:val="bullet"/>
      <w:lvlText w:val=""/>
      <w:lvlJc w:val="left"/>
      <w:pPr>
        <w:ind w:left="7117" w:hanging="360"/>
      </w:pPr>
      <w:rPr>
        <w:rFonts w:ascii="Wingdings" w:hAnsi="Wingdings" w:hint="default"/>
      </w:rPr>
    </w:lvl>
  </w:abstractNum>
  <w:abstractNum w:abstractNumId="6" w15:restartNumberingAfterBreak="0">
    <w:nsid w:val="156A4922"/>
    <w:multiLevelType w:val="hybridMultilevel"/>
    <w:tmpl w:val="A188602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5AB08C2"/>
    <w:multiLevelType w:val="hybridMultilevel"/>
    <w:tmpl w:val="3B2209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5C8518C"/>
    <w:multiLevelType w:val="hybridMultilevel"/>
    <w:tmpl w:val="C0A61810"/>
    <w:lvl w:ilvl="0" w:tplc="6136BD0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FF47A5"/>
    <w:multiLevelType w:val="hybridMultilevel"/>
    <w:tmpl w:val="E2F20162"/>
    <w:lvl w:ilvl="0" w:tplc="4E12706C">
      <w:start w:val="1"/>
      <w:numFmt w:val="lowerLetter"/>
      <w:lvlText w:val="%1."/>
      <w:lvlJc w:val="left"/>
      <w:pPr>
        <w:ind w:left="720" w:hanging="360"/>
      </w:pPr>
      <w:rPr>
        <w:rFonts w:hint="default"/>
        <w:b/>
        <w:i/>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2750B28"/>
    <w:multiLevelType w:val="hybridMultilevel"/>
    <w:tmpl w:val="583682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F5562E"/>
    <w:multiLevelType w:val="hybridMultilevel"/>
    <w:tmpl w:val="23AE360A"/>
    <w:lvl w:ilvl="0" w:tplc="6136BD0C">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61249A8"/>
    <w:multiLevelType w:val="hybridMultilevel"/>
    <w:tmpl w:val="48928884"/>
    <w:lvl w:ilvl="0" w:tplc="DA687976">
      <w:start w:val="3"/>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CBC6FE8"/>
    <w:multiLevelType w:val="multilevel"/>
    <w:tmpl w:val="4A284A0A"/>
    <w:lvl w:ilvl="0">
      <w:start w:val="1"/>
      <w:numFmt w:val="decimal"/>
      <w:lvlText w:val="%1."/>
      <w:lvlJc w:val="left"/>
      <w:pPr>
        <w:ind w:left="360" w:hanging="360"/>
      </w:pPr>
      <w:rPr>
        <w:rFonts w:ascii="Arial" w:hAnsi="Arial" w:cs="Arial"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2D610F1D"/>
    <w:multiLevelType w:val="singleLevel"/>
    <w:tmpl w:val="64C43B7C"/>
    <w:lvl w:ilvl="0">
      <w:start w:val="1"/>
      <w:numFmt w:val="bullet"/>
      <w:lvlText w:val=""/>
      <w:lvlJc w:val="left"/>
      <w:pPr>
        <w:tabs>
          <w:tab w:val="num" w:pos="454"/>
        </w:tabs>
        <w:ind w:left="454" w:hanging="454"/>
      </w:pPr>
      <w:rPr>
        <w:rFonts w:ascii="Wingdings" w:hAnsi="Wingdings" w:hint="default"/>
      </w:rPr>
    </w:lvl>
  </w:abstractNum>
  <w:abstractNum w:abstractNumId="15" w15:restartNumberingAfterBreak="0">
    <w:nsid w:val="2E4250A4"/>
    <w:multiLevelType w:val="singleLevel"/>
    <w:tmpl w:val="64C43B7C"/>
    <w:lvl w:ilvl="0">
      <w:start w:val="1"/>
      <w:numFmt w:val="bullet"/>
      <w:lvlText w:val=""/>
      <w:lvlJc w:val="left"/>
      <w:pPr>
        <w:tabs>
          <w:tab w:val="num" w:pos="454"/>
        </w:tabs>
        <w:ind w:left="454" w:hanging="454"/>
      </w:pPr>
      <w:rPr>
        <w:rFonts w:ascii="Wingdings" w:hAnsi="Wingdings" w:hint="default"/>
      </w:rPr>
    </w:lvl>
  </w:abstractNum>
  <w:abstractNum w:abstractNumId="16" w15:restartNumberingAfterBreak="0">
    <w:nsid w:val="348B7C48"/>
    <w:multiLevelType w:val="hybridMultilevel"/>
    <w:tmpl w:val="0D827958"/>
    <w:lvl w:ilvl="0" w:tplc="0ECAB69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7" w15:restartNumberingAfterBreak="0">
    <w:nsid w:val="36E40BD3"/>
    <w:multiLevelType w:val="hybridMultilevel"/>
    <w:tmpl w:val="940AC12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B0871A6"/>
    <w:multiLevelType w:val="hybridMultilevel"/>
    <w:tmpl w:val="7B863406"/>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15:restartNumberingAfterBreak="0">
    <w:nsid w:val="3D605956"/>
    <w:multiLevelType w:val="hybridMultilevel"/>
    <w:tmpl w:val="CCD001D4"/>
    <w:lvl w:ilvl="0" w:tplc="EFB0D046">
      <w:start w:val="1"/>
      <w:numFmt w:val="lowerLetter"/>
      <w:lvlText w:val="%1."/>
      <w:lvlJc w:val="left"/>
      <w:pPr>
        <w:ind w:left="927" w:hanging="360"/>
      </w:pPr>
      <w:rPr>
        <w:rFonts w:hint="default"/>
      </w:rPr>
    </w:lvl>
    <w:lvl w:ilvl="1" w:tplc="0C0A0019">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0" w15:restartNumberingAfterBreak="0">
    <w:nsid w:val="3F76611A"/>
    <w:multiLevelType w:val="multilevel"/>
    <w:tmpl w:val="CB868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41D49BA"/>
    <w:multiLevelType w:val="hybridMultilevel"/>
    <w:tmpl w:val="6890B46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513399D"/>
    <w:multiLevelType w:val="hybridMultilevel"/>
    <w:tmpl w:val="5C1616C0"/>
    <w:lvl w:ilvl="0" w:tplc="426A4E20">
      <w:start w:val="1"/>
      <w:numFmt w:val="upperRoman"/>
      <w:lvlText w:val="%1."/>
      <w:lvlJc w:val="left"/>
      <w:pPr>
        <w:ind w:left="1080" w:hanging="720"/>
      </w:pPr>
      <w:rPr>
        <w:rFonts w:hint="default"/>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740195F"/>
    <w:multiLevelType w:val="hybridMultilevel"/>
    <w:tmpl w:val="8AC8B546"/>
    <w:lvl w:ilvl="0" w:tplc="9E964B42">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4" w15:restartNumberingAfterBreak="0">
    <w:nsid w:val="4CCE3BD8"/>
    <w:multiLevelType w:val="hybridMultilevel"/>
    <w:tmpl w:val="A8125598"/>
    <w:lvl w:ilvl="0" w:tplc="3E20A48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06567F9"/>
    <w:multiLevelType w:val="hybridMultilevel"/>
    <w:tmpl w:val="A89CD642"/>
    <w:lvl w:ilvl="0" w:tplc="580E7E0C">
      <w:start w:val="1"/>
      <w:numFmt w:val="decimal"/>
      <w:lvlText w:val="%1."/>
      <w:lvlJc w:val="left"/>
      <w:pPr>
        <w:ind w:left="720" w:hanging="360"/>
      </w:pPr>
      <w:rPr>
        <w:rFonts w:hint="default"/>
        <w:i/>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06610C4"/>
    <w:multiLevelType w:val="hybridMultilevel"/>
    <w:tmpl w:val="CCD001D4"/>
    <w:lvl w:ilvl="0" w:tplc="EFB0D046">
      <w:start w:val="1"/>
      <w:numFmt w:val="lowerLetter"/>
      <w:lvlText w:val="%1."/>
      <w:lvlJc w:val="left"/>
      <w:pPr>
        <w:ind w:left="927" w:hanging="360"/>
      </w:pPr>
      <w:rPr>
        <w:rFonts w:hint="default"/>
      </w:rPr>
    </w:lvl>
    <w:lvl w:ilvl="1" w:tplc="0C0A0019">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7" w15:restartNumberingAfterBreak="0">
    <w:nsid w:val="5171285D"/>
    <w:multiLevelType w:val="hybridMultilevel"/>
    <w:tmpl w:val="CCD001D4"/>
    <w:lvl w:ilvl="0" w:tplc="EFB0D046">
      <w:start w:val="1"/>
      <w:numFmt w:val="lowerLetter"/>
      <w:lvlText w:val="%1."/>
      <w:lvlJc w:val="left"/>
      <w:pPr>
        <w:ind w:left="927" w:hanging="360"/>
      </w:pPr>
      <w:rPr>
        <w:rFonts w:hint="default"/>
      </w:rPr>
    </w:lvl>
    <w:lvl w:ilvl="1" w:tplc="0C0A0019">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8" w15:restartNumberingAfterBreak="0">
    <w:nsid w:val="520E1D87"/>
    <w:multiLevelType w:val="hybridMultilevel"/>
    <w:tmpl w:val="F1445A18"/>
    <w:lvl w:ilvl="0" w:tplc="ABCAE8B4">
      <w:numFmt w:val="bullet"/>
      <w:lvlText w:val="-"/>
      <w:lvlJc w:val="left"/>
      <w:pPr>
        <w:ind w:left="720" w:hanging="360"/>
      </w:pPr>
      <w:rPr>
        <w:rFonts w:ascii="Arial" w:eastAsia="Calibr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3A814FE"/>
    <w:multiLevelType w:val="singleLevel"/>
    <w:tmpl w:val="0B2E62CE"/>
    <w:lvl w:ilvl="0">
      <w:start w:val="1"/>
      <w:numFmt w:val="decimal"/>
      <w:lvlText w:val="%1."/>
      <w:legacy w:legacy="1" w:legacySpace="0" w:legacyIndent="360"/>
      <w:lvlJc w:val="left"/>
      <w:pPr>
        <w:ind w:left="360" w:hanging="360"/>
      </w:pPr>
    </w:lvl>
  </w:abstractNum>
  <w:abstractNum w:abstractNumId="30" w15:restartNumberingAfterBreak="0">
    <w:nsid w:val="544C3B42"/>
    <w:multiLevelType w:val="multilevel"/>
    <w:tmpl w:val="045A6FAC"/>
    <w:lvl w:ilvl="0">
      <w:start w:val="1"/>
      <w:numFmt w:val="decimal"/>
      <w:lvlText w:val="%1."/>
      <w:lvlJc w:val="left"/>
      <w:pPr>
        <w:tabs>
          <w:tab w:val="num" w:pos="640"/>
        </w:tabs>
        <w:ind w:left="640" w:hanging="360"/>
      </w:pPr>
      <w:rPr>
        <w:rFonts w:hint="default"/>
      </w:rPr>
    </w:lvl>
    <w:lvl w:ilvl="1">
      <w:start w:val="1"/>
      <w:numFmt w:val="decimal"/>
      <w:lvlText w:val="%2)"/>
      <w:lvlJc w:val="left"/>
      <w:pPr>
        <w:tabs>
          <w:tab w:val="num" w:pos="1500"/>
        </w:tabs>
        <w:ind w:left="1500" w:hanging="360"/>
      </w:pPr>
      <w:rPr>
        <w:rFonts w:ascii="Times New Roman" w:hAnsi="Times New Roman" w:cs="Times New Roman" w:hint="default"/>
        <w:b w:val="0"/>
        <w:bCs w:val="0"/>
        <w:i w:val="0"/>
        <w:iCs w:val="0"/>
        <w:sz w:val="28"/>
        <w:szCs w:val="28"/>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31" w15:restartNumberingAfterBreak="0">
    <w:nsid w:val="56B349D9"/>
    <w:multiLevelType w:val="hybridMultilevel"/>
    <w:tmpl w:val="82A0BDEE"/>
    <w:lvl w:ilvl="0" w:tplc="6136BD0C">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979428E"/>
    <w:multiLevelType w:val="hybridMultilevel"/>
    <w:tmpl w:val="E096832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9B122CF"/>
    <w:multiLevelType w:val="hybridMultilevel"/>
    <w:tmpl w:val="097E8D4A"/>
    <w:lvl w:ilvl="0" w:tplc="8380507C">
      <w:start w:val="3"/>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ED5587F"/>
    <w:multiLevelType w:val="hybridMultilevel"/>
    <w:tmpl w:val="CB8AF6EA"/>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1415074"/>
    <w:multiLevelType w:val="hybridMultilevel"/>
    <w:tmpl w:val="5F34D586"/>
    <w:lvl w:ilvl="0" w:tplc="A5EA882C">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6" w15:restartNumberingAfterBreak="0">
    <w:nsid w:val="6B1F54CA"/>
    <w:multiLevelType w:val="hybridMultilevel"/>
    <w:tmpl w:val="FD6E307E"/>
    <w:lvl w:ilvl="0" w:tplc="4170B26A">
      <w:start w:val="3"/>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D604172"/>
    <w:multiLevelType w:val="hybridMultilevel"/>
    <w:tmpl w:val="FE7EF274"/>
    <w:lvl w:ilvl="0" w:tplc="240A000F">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2D93B32"/>
    <w:multiLevelType w:val="hybridMultilevel"/>
    <w:tmpl w:val="0FBE5990"/>
    <w:lvl w:ilvl="0" w:tplc="6136BD0C">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83A0850"/>
    <w:multiLevelType w:val="hybridMultilevel"/>
    <w:tmpl w:val="E2F20162"/>
    <w:lvl w:ilvl="0" w:tplc="4E12706C">
      <w:start w:val="1"/>
      <w:numFmt w:val="lowerLetter"/>
      <w:lvlText w:val="%1."/>
      <w:lvlJc w:val="left"/>
      <w:pPr>
        <w:ind w:left="720" w:hanging="360"/>
      </w:pPr>
      <w:rPr>
        <w:rFonts w:hint="default"/>
        <w:b/>
        <w:i/>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E3B79DE"/>
    <w:multiLevelType w:val="hybridMultilevel"/>
    <w:tmpl w:val="2CE83678"/>
    <w:lvl w:ilvl="0" w:tplc="DAF8FA70">
      <w:start w:val="3"/>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17"/>
  </w:num>
  <w:num w:numId="3">
    <w:abstractNumId w:val="13"/>
  </w:num>
  <w:num w:numId="4">
    <w:abstractNumId w:val="1"/>
  </w:num>
  <w:num w:numId="5">
    <w:abstractNumId w:val="28"/>
  </w:num>
  <w:num w:numId="6">
    <w:abstractNumId w:val="16"/>
  </w:num>
  <w:num w:numId="7">
    <w:abstractNumId w:val="22"/>
  </w:num>
  <w:num w:numId="8">
    <w:abstractNumId w:val="18"/>
  </w:num>
  <w:num w:numId="9">
    <w:abstractNumId w:val="2"/>
  </w:num>
  <w:num w:numId="10">
    <w:abstractNumId w:val="34"/>
  </w:num>
  <w:num w:numId="11">
    <w:abstractNumId w:val="26"/>
  </w:num>
  <w:num w:numId="12">
    <w:abstractNumId w:val="36"/>
  </w:num>
  <w:num w:numId="13">
    <w:abstractNumId w:val="27"/>
  </w:num>
  <w:num w:numId="14">
    <w:abstractNumId w:val="19"/>
  </w:num>
  <w:num w:numId="15">
    <w:abstractNumId w:val="11"/>
  </w:num>
  <w:num w:numId="16">
    <w:abstractNumId w:val="31"/>
  </w:num>
  <w:num w:numId="17">
    <w:abstractNumId w:val="3"/>
  </w:num>
  <w:num w:numId="18">
    <w:abstractNumId w:val="8"/>
  </w:num>
  <w:num w:numId="19">
    <w:abstractNumId w:val="39"/>
  </w:num>
  <w:num w:numId="20">
    <w:abstractNumId w:val="9"/>
  </w:num>
  <w:num w:numId="21">
    <w:abstractNumId w:val="35"/>
  </w:num>
  <w:num w:numId="22">
    <w:abstractNumId w:val="32"/>
  </w:num>
  <w:num w:numId="23">
    <w:abstractNumId w:val="6"/>
  </w:num>
  <w:num w:numId="24">
    <w:abstractNumId w:val="30"/>
  </w:num>
  <w:num w:numId="25">
    <w:abstractNumId w:val="29"/>
  </w:num>
  <w:num w:numId="26">
    <w:abstractNumId w:val="15"/>
  </w:num>
  <w:num w:numId="27">
    <w:abstractNumId w:val="14"/>
  </w:num>
  <w:num w:numId="28">
    <w:abstractNumId w:val="38"/>
  </w:num>
  <w:num w:numId="29">
    <w:abstractNumId w:val="20"/>
  </w:num>
  <w:num w:numId="30">
    <w:abstractNumId w:val="20"/>
    <w:lvlOverride w:ilvl="0">
      <w:startOverride w:val="1"/>
    </w:lvlOverride>
  </w:num>
  <w:num w:numId="31">
    <w:abstractNumId w:val="20"/>
    <w:lvlOverride w:ilvl="0">
      <w:startOverride w:val="1"/>
    </w:lvlOverride>
  </w:num>
  <w:num w:numId="32">
    <w:abstractNumId w:val="20"/>
    <w:lvlOverride w:ilvl="0">
      <w:startOverride w:val="1"/>
    </w:lvlOverride>
  </w:num>
  <w:num w:numId="33">
    <w:abstractNumId w:val="20"/>
    <w:lvlOverride w:ilvl="0">
      <w:startOverride w:val="1"/>
    </w:lvlOverride>
  </w:num>
  <w:num w:numId="34">
    <w:abstractNumId w:val="20"/>
    <w:lvlOverride w:ilvl="0">
      <w:startOverride w:val="1"/>
    </w:lvlOverride>
  </w:num>
  <w:num w:numId="35">
    <w:abstractNumId w:val="20"/>
    <w:lvlOverride w:ilvl="0">
      <w:startOverride w:val="1"/>
    </w:lvlOverride>
  </w:num>
  <w:num w:numId="36">
    <w:abstractNumId w:val="20"/>
    <w:lvlOverride w:ilvl="0">
      <w:startOverride w:val="1"/>
    </w:lvlOverride>
  </w:num>
  <w:num w:numId="37">
    <w:abstractNumId w:val="0"/>
  </w:num>
  <w:num w:numId="38">
    <w:abstractNumId w:val="25"/>
  </w:num>
  <w:num w:numId="39">
    <w:abstractNumId w:val="23"/>
  </w:num>
  <w:num w:numId="40">
    <w:abstractNumId w:val="5"/>
  </w:num>
  <w:num w:numId="41">
    <w:abstractNumId w:val="4"/>
  </w:num>
  <w:num w:numId="42">
    <w:abstractNumId w:val="21"/>
  </w:num>
  <w:num w:numId="43">
    <w:abstractNumId w:val="37"/>
  </w:num>
  <w:num w:numId="44">
    <w:abstractNumId w:val="12"/>
  </w:num>
  <w:num w:numId="45">
    <w:abstractNumId w:val="33"/>
  </w:num>
  <w:num w:numId="46">
    <w:abstractNumId w:val="40"/>
  </w:num>
  <w:num w:numId="47">
    <w:abstractNumId w:val="24"/>
  </w:num>
  <w:num w:numId="4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390"/>
    <w:rsid w:val="0002042A"/>
    <w:rsid w:val="000338F7"/>
    <w:rsid w:val="000757E4"/>
    <w:rsid w:val="000923E3"/>
    <w:rsid w:val="000F12C4"/>
    <w:rsid w:val="00115682"/>
    <w:rsid w:val="00124CEA"/>
    <w:rsid w:val="00152AC6"/>
    <w:rsid w:val="00166EED"/>
    <w:rsid w:val="001836E9"/>
    <w:rsid w:val="00194E07"/>
    <w:rsid w:val="001D184B"/>
    <w:rsid w:val="00211263"/>
    <w:rsid w:val="002417B4"/>
    <w:rsid w:val="0026162A"/>
    <w:rsid w:val="00281221"/>
    <w:rsid w:val="002B2CAD"/>
    <w:rsid w:val="002B618E"/>
    <w:rsid w:val="002B66EA"/>
    <w:rsid w:val="00381F6B"/>
    <w:rsid w:val="003B717E"/>
    <w:rsid w:val="003C5B14"/>
    <w:rsid w:val="003D775B"/>
    <w:rsid w:val="003E3DFC"/>
    <w:rsid w:val="00413E33"/>
    <w:rsid w:val="00442548"/>
    <w:rsid w:val="00444AD3"/>
    <w:rsid w:val="00453BD6"/>
    <w:rsid w:val="00494D41"/>
    <w:rsid w:val="004B4BE6"/>
    <w:rsid w:val="004E7F3A"/>
    <w:rsid w:val="004F41CC"/>
    <w:rsid w:val="0055244B"/>
    <w:rsid w:val="00556F56"/>
    <w:rsid w:val="005C3725"/>
    <w:rsid w:val="005C5B54"/>
    <w:rsid w:val="005D20D6"/>
    <w:rsid w:val="005D735C"/>
    <w:rsid w:val="005F25EB"/>
    <w:rsid w:val="00612E4D"/>
    <w:rsid w:val="00630AC5"/>
    <w:rsid w:val="00654C9D"/>
    <w:rsid w:val="00681598"/>
    <w:rsid w:val="006A0C08"/>
    <w:rsid w:val="006A21FE"/>
    <w:rsid w:val="006D2940"/>
    <w:rsid w:val="00763364"/>
    <w:rsid w:val="007F2F14"/>
    <w:rsid w:val="008179C3"/>
    <w:rsid w:val="00833FFD"/>
    <w:rsid w:val="00852878"/>
    <w:rsid w:val="008643AF"/>
    <w:rsid w:val="008C6153"/>
    <w:rsid w:val="009155D8"/>
    <w:rsid w:val="00934D7D"/>
    <w:rsid w:val="00935623"/>
    <w:rsid w:val="00943931"/>
    <w:rsid w:val="00967587"/>
    <w:rsid w:val="009B597D"/>
    <w:rsid w:val="009D3AAE"/>
    <w:rsid w:val="00A209F7"/>
    <w:rsid w:val="00A27485"/>
    <w:rsid w:val="00A42E3C"/>
    <w:rsid w:val="00A53B8B"/>
    <w:rsid w:val="00A558D6"/>
    <w:rsid w:val="00A73072"/>
    <w:rsid w:val="00AC0E72"/>
    <w:rsid w:val="00AC615C"/>
    <w:rsid w:val="00AF3517"/>
    <w:rsid w:val="00AF5D49"/>
    <w:rsid w:val="00B12D4C"/>
    <w:rsid w:val="00B16D33"/>
    <w:rsid w:val="00B3794A"/>
    <w:rsid w:val="00BE4CA5"/>
    <w:rsid w:val="00BF761D"/>
    <w:rsid w:val="00C03B6C"/>
    <w:rsid w:val="00C11E9F"/>
    <w:rsid w:val="00C1795C"/>
    <w:rsid w:val="00C234A4"/>
    <w:rsid w:val="00C366FF"/>
    <w:rsid w:val="00C41CA8"/>
    <w:rsid w:val="00C571F3"/>
    <w:rsid w:val="00C6171C"/>
    <w:rsid w:val="00CA1436"/>
    <w:rsid w:val="00CC2205"/>
    <w:rsid w:val="00CE09F5"/>
    <w:rsid w:val="00CF224E"/>
    <w:rsid w:val="00D53FCE"/>
    <w:rsid w:val="00D55A29"/>
    <w:rsid w:val="00D658E7"/>
    <w:rsid w:val="00D808E4"/>
    <w:rsid w:val="00DD2D50"/>
    <w:rsid w:val="00E8718B"/>
    <w:rsid w:val="00E92F4B"/>
    <w:rsid w:val="00E947EB"/>
    <w:rsid w:val="00ED0E4F"/>
    <w:rsid w:val="00EE30AF"/>
    <w:rsid w:val="00EF6390"/>
    <w:rsid w:val="00F314B8"/>
    <w:rsid w:val="00F36B17"/>
    <w:rsid w:val="00F43E3C"/>
    <w:rsid w:val="00F66E18"/>
    <w:rsid w:val="00F94C89"/>
    <w:rsid w:val="00FA7C05"/>
    <w:rsid w:val="00FB05B9"/>
    <w:rsid w:val="00FB30C6"/>
    <w:rsid w:val="00FE68C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55F16993"/>
  <w15:chartTrackingRefBased/>
  <w15:docId w15:val="{8915A3FD-85B1-484F-B4D8-E2E3C41F1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eastAsia="en-US"/>
    </w:rPr>
  </w:style>
  <w:style w:type="paragraph" w:styleId="Ttulo5">
    <w:name w:val="heading 5"/>
    <w:basedOn w:val="Normal"/>
    <w:link w:val="Ttulo5Car"/>
    <w:uiPriority w:val="9"/>
    <w:qFormat/>
    <w:rsid w:val="005F25EB"/>
    <w:pPr>
      <w:spacing w:before="100" w:beforeAutospacing="1" w:after="100" w:afterAutospacing="1"/>
      <w:outlineLvl w:val="4"/>
    </w:pPr>
    <w:rPr>
      <w:rFonts w:ascii="Times New Roman" w:eastAsia="Times New Roman" w:hAnsi="Times New Roman"/>
      <w:b/>
      <w:bCs/>
      <w:sz w:val="20"/>
      <w:szCs w:val="20"/>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uiPriority w:val="9"/>
    <w:rsid w:val="005F25EB"/>
    <w:rPr>
      <w:rFonts w:ascii="Times New Roman" w:eastAsia="Times New Roman" w:hAnsi="Times New Roman"/>
      <w:b/>
      <w:bCs/>
      <w:lang w:val="x-none" w:eastAsia="x-none"/>
    </w:rPr>
  </w:style>
  <w:style w:type="paragraph" w:styleId="Prrafodelista">
    <w:name w:val="List Paragraph"/>
    <w:basedOn w:val="Normal"/>
    <w:uiPriority w:val="34"/>
    <w:qFormat/>
    <w:rsid w:val="005F25EB"/>
    <w:pPr>
      <w:ind w:left="708"/>
      <w:jc w:val="both"/>
    </w:pPr>
    <w:rPr>
      <w:rFonts w:ascii="Arial" w:hAnsi="Arial" w:cs="Arial"/>
      <w:sz w:val="24"/>
      <w:szCs w:val="24"/>
    </w:rPr>
  </w:style>
  <w:style w:type="paragraph" w:styleId="Encabezado">
    <w:name w:val="header"/>
    <w:basedOn w:val="Normal"/>
    <w:link w:val="EncabezadoCar"/>
    <w:uiPriority w:val="99"/>
    <w:unhideWhenUsed/>
    <w:rsid w:val="005F25EB"/>
    <w:pPr>
      <w:tabs>
        <w:tab w:val="center" w:pos="4419"/>
        <w:tab w:val="right" w:pos="8838"/>
      </w:tabs>
      <w:jc w:val="both"/>
    </w:pPr>
    <w:rPr>
      <w:rFonts w:ascii="Arial" w:hAnsi="Arial"/>
      <w:sz w:val="24"/>
      <w:szCs w:val="24"/>
      <w:lang w:val="x-none" w:eastAsia="x-none"/>
    </w:rPr>
  </w:style>
  <w:style w:type="character" w:customStyle="1" w:styleId="EncabezadoCar">
    <w:name w:val="Encabezado Car"/>
    <w:link w:val="Encabezado"/>
    <w:uiPriority w:val="99"/>
    <w:rsid w:val="005F25EB"/>
    <w:rPr>
      <w:rFonts w:ascii="Arial" w:hAnsi="Arial"/>
      <w:sz w:val="24"/>
      <w:szCs w:val="24"/>
      <w:lang w:val="x-none" w:eastAsia="x-none"/>
    </w:rPr>
  </w:style>
  <w:style w:type="paragraph" w:styleId="Piedepgina">
    <w:name w:val="footer"/>
    <w:basedOn w:val="Normal"/>
    <w:link w:val="PiedepginaCar"/>
    <w:unhideWhenUsed/>
    <w:rsid w:val="005F25EB"/>
    <w:pPr>
      <w:tabs>
        <w:tab w:val="center" w:pos="4419"/>
        <w:tab w:val="right" w:pos="8838"/>
      </w:tabs>
      <w:jc w:val="both"/>
    </w:pPr>
    <w:rPr>
      <w:rFonts w:ascii="Arial" w:hAnsi="Arial"/>
      <w:sz w:val="24"/>
      <w:szCs w:val="24"/>
      <w:lang w:val="x-none" w:eastAsia="x-none"/>
    </w:rPr>
  </w:style>
  <w:style w:type="character" w:customStyle="1" w:styleId="PiedepginaCar">
    <w:name w:val="Pie de página Car"/>
    <w:link w:val="Piedepgina"/>
    <w:rsid w:val="005F25EB"/>
    <w:rPr>
      <w:rFonts w:ascii="Arial" w:hAnsi="Arial"/>
      <w:sz w:val="24"/>
      <w:szCs w:val="24"/>
      <w:lang w:val="x-none" w:eastAsia="x-none"/>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notentext,ft"/>
    <w:basedOn w:val="Normal"/>
    <w:link w:val="TextonotapieCar"/>
    <w:uiPriority w:val="99"/>
    <w:unhideWhenUsed/>
    <w:qFormat/>
    <w:rsid w:val="005F25EB"/>
    <w:pPr>
      <w:jc w:val="both"/>
    </w:pPr>
    <w:rPr>
      <w:rFonts w:ascii="Arial" w:hAnsi="Arial"/>
      <w:sz w:val="20"/>
      <w:szCs w:val="20"/>
      <w:lang w:val="x-none" w:eastAsia="x-none"/>
    </w:rPr>
  </w:style>
  <w:style w:type="character" w:customStyle="1" w:styleId="TextonotapieCar">
    <w:name w:val="Texto nota pie Car"/>
    <w:aliases w:val="Footnote Text Char Char Char Char Char Car1,Footnote Text Char Char Char Char Car1,Footnote reference Car1,FA Fu Car1,Footnote Text Cha Car1,Footnote Text Char Char Char Car1,FA Fußnotentext Car1,FA Fuﬂnotentext Car1,ft Car"/>
    <w:link w:val="Textonotapie"/>
    <w:uiPriority w:val="99"/>
    <w:rsid w:val="005F25EB"/>
    <w:rPr>
      <w:rFonts w:ascii="Arial" w:hAnsi="Arial"/>
      <w:lang w:val="x-none" w:eastAsia="x-none"/>
    </w:rPr>
  </w:style>
  <w:style w:type="character" w:styleId="Nmerodepgina">
    <w:name w:val="page number"/>
    <w:rsid w:val="005F25EB"/>
  </w:style>
  <w:style w:type="character" w:styleId="Refdenotaalpie">
    <w:name w:val="footnote reference"/>
    <w:aliases w:val="Ref. de nota al pie 2,Texto de nota al pie,Pie de Página,FC,Texto de nota al pi,Appel note de bas de page,Footnotes refss,Footnote number,referencia nota al pie,BVI fnr,f,4_G,16 Point,Superscript 6 Point,Texto nota al pie,Pie de P_gi"/>
    <w:rsid w:val="005F25EB"/>
    <w:rPr>
      <w:vertAlign w:val="superscript"/>
    </w:rPr>
  </w:style>
  <w:style w:type="character" w:customStyle="1" w:styleId="apple-style-span">
    <w:name w:val="apple-style-span"/>
    <w:rsid w:val="005F25EB"/>
  </w:style>
  <w:style w:type="character" w:customStyle="1" w:styleId="textonavy">
    <w:name w:val="texto_navy"/>
    <w:rsid w:val="005F25EB"/>
  </w:style>
  <w:style w:type="character" w:customStyle="1" w:styleId="apple-converted-space">
    <w:name w:val="apple-converted-space"/>
    <w:rsid w:val="005F25EB"/>
  </w:style>
  <w:style w:type="paragraph" w:styleId="Textodeglobo">
    <w:name w:val="Balloon Text"/>
    <w:basedOn w:val="Normal"/>
    <w:link w:val="TextodegloboCar"/>
    <w:uiPriority w:val="99"/>
    <w:semiHidden/>
    <w:unhideWhenUsed/>
    <w:rsid w:val="005F25EB"/>
    <w:pPr>
      <w:jc w:val="both"/>
    </w:pPr>
    <w:rPr>
      <w:rFonts w:ascii="Tahoma" w:hAnsi="Tahoma"/>
      <w:sz w:val="16"/>
      <w:szCs w:val="16"/>
      <w:lang w:val="x-none" w:eastAsia="x-none"/>
    </w:rPr>
  </w:style>
  <w:style w:type="character" w:customStyle="1" w:styleId="TextodegloboCar">
    <w:name w:val="Texto de globo Car"/>
    <w:link w:val="Textodeglobo"/>
    <w:uiPriority w:val="99"/>
    <w:semiHidden/>
    <w:rsid w:val="005F25EB"/>
    <w:rPr>
      <w:rFonts w:ascii="Tahoma" w:hAnsi="Tahoma"/>
      <w:sz w:val="16"/>
      <w:szCs w:val="16"/>
      <w:lang w:val="x-none" w:eastAsia="x-none"/>
    </w:rPr>
  </w:style>
  <w:style w:type="paragraph" w:styleId="Textoindependiente">
    <w:name w:val="Body Text"/>
    <w:aliases w:val=" Car Car Car, Car Car Car Car Car Car Car Car, Car Car Car Car Car Car"/>
    <w:basedOn w:val="Normal"/>
    <w:link w:val="TextoindependienteCar"/>
    <w:rsid w:val="005F25EB"/>
    <w:pPr>
      <w:overflowPunct w:val="0"/>
      <w:autoSpaceDE w:val="0"/>
      <w:autoSpaceDN w:val="0"/>
      <w:adjustRightInd w:val="0"/>
      <w:spacing w:line="360" w:lineRule="auto"/>
      <w:jc w:val="both"/>
      <w:textAlignment w:val="baseline"/>
    </w:pPr>
    <w:rPr>
      <w:rFonts w:ascii="Arial" w:eastAsia="Times New Roman" w:hAnsi="Arial"/>
      <w:sz w:val="24"/>
      <w:szCs w:val="24"/>
      <w:lang w:val="x-none" w:eastAsia="x-none"/>
    </w:rPr>
  </w:style>
  <w:style w:type="character" w:customStyle="1" w:styleId="TextoindependienteCar">
    <w:name w:val="Texto independiente Car"/>
    <w:aliases w:val=" Car Car Car Car, Car Car Car Car Car Car Car Car Car, Car Car Car Car Car Car Car"/>
    <w:link w:val="Textoindependiente"/>
    <w:rsid w:val="005F25EB"/>
    <w:rPr>
      <w:rFonts w:ascii="Arial" w:eastAsia="Times New Roman" w:hAnsi="Arial"/>
      <w:sz w:val="24"/>
      <w:szCs w:val="24"/>
      <w:lang w:val="x-none" w:eastAsia="x-none"/>
    </w:rPr>
  </w:style>
  <w:style w:type="paragraph" w:customStyle="1" w:styleId="Textoindependiente21">
    <w:name w:val="Texto independiente 21"/>
    <w:basedOn w:val="Normal"/>
    <w:rsid w:val="005F25EB"/>
    <w:pPr>
      <w:overflowPunct w:val="0"/>
      <w:autoSpaceDE w:val="0"/>
      <w:autoSpaceDN w:val="0"/>
      <w:adjustRightInd w:val="0"/>
      <w:spacing w:line="480" w:lineRule="auto"/>
      <w:jc w:val="both"/>
    </w:pPr>
    <w:rPr>
      <w:rFonts w:ascii="Arial" w:eastAsia="Times New Roman" w:hAnsi="Arial" w:cs="Arial"/>
      <w:sz w:val="24"/>
      <w:szCs w:val="20"/>
      <w:lang w:val="es-ES" w:eastAsia="es-ES"/>
    </w:rPr>
  </w:style>
  <w:style w:type="paragraph" w:styleId="Textosinformato">
    <w:name w:val="Plain Text"/>
    <w:basedOn w:val="Normal"/>
    <w:link w:val="TextosinformatoCar"/>
    <w:unhideWhenUsed/>
    <w:rsid w:val="005F25EB"/>
    <w:pPr>
      <w:jc w:val="both"/>
    </w:pPr>
    <w:rPr>
      <w:rFonts w:ascii="Consolas" w:hAnsi="Consolas"/>
      <w:sz w:val="21"/>
      <w:szCs w:val="21"/>
      <w:lang w:val="x-none" w:eastAsia="x-none"/>
    </w:rPr>
  </w:style>
  <w:style w:type="character" w:customStyle="1" w:styleId="TextosinformatoCar">
    <w:name w:val="Texto sin formato Car"/>
    <w:link w:val="Textosinformato"/>
    <w:rsid w:val="005F25EB"/>
    <w:rPr>
      <w:rFonts w:ascii="Consolas" w:hAnsi="Consolas"/>
      <w:sz w:val="21"/>
      <w:szCs w:val="21"/>
      <w:lang w:val="x-none" w:eastAsia="x-none"/>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de nota al p Car"/>
    <w:rsid w:val="005F25EB"/>
    <w:rPr>
      <w:rFonts w:ascii="Century Gothic" w:eastAsia="Times New Roman" w:hAnsi="Century Gothic"/>
      <w:b/>
      <w:kern w:val="28"/>
      <w:lang w:val="es-ES_tradnl" w:eastAsia="es-ES"/>
    </w:rPr>
  </w:style>
  <w:style w:type="paragraph" w:styleId="NormalWeb">
    <w:name w:val="Normal (Web)"/>
    <w:basedOn w:val="Normal"/>
    <w:uiPriority w:val="99"/>
    <w:rsid w:val="005F25EB"/>
    <w:pPr>
      <w:spacing w:before="100" w:beforeAutospacing="1" w:after="100" w:afterAutospacing="1"/>
      <w:jc w:val="both"/>
    </w:pPr>
    <w:rPr>
      <w:rFonts w:ascii="Times New Roman" w:eastAsia="Times New Roman" w:hAnsi="Times New Roman" w:cs="Arial"/>
      <w:sz w:val="24"/>
      <w:szCs w:val="24"/>
      <w:lang w:val="es-ES" w:eastAsia="es-ES"/>
    </w:rPr>
  </w:style>
  <w:style w:type="paragraph" w:customStyle="1" w:styleId="Textoindependiente22">
    <w:name w:val="Texto independiente 22"/>
    <w:basedOn w:val="Normal"/>
    <w:rsid w:val="005F25EB"/>
    <w:pPr>
      <w:overflowPunct w:val="0"/>
      <w:autoSpaceDE w:val="0"/>
      <w:autoSpaceDN w:val="0"/>
      <w:adjustRightInd w:val="0"/>
      <w:spacing w:line="480" w:lineRule="auto"/>
      <w:jc w:val="both"/>
      <w:textAlignment w:val="baseline"/>
    </w:pPr>
    <w:rPr>
      <w:rFonts w:ascii="Arial" w:eastAsia="Times New Roman" w:hAnsi="Arial" w:cs="Arial"/>
      <w:sz w:val="24"/>
      <w:szCs w:val="20"/>
      <w:lang w:val="es-ES" w:eastAsia="es-ES"/>
    </w:rPr>
  </w:style>
  <w:style w:type="paragraph" w:customStyle="1" w:styleId="BodyText21">
    <w:name w:val="Body Text 21"/>
    <w:basedOn w:val="Normal"/>
    <w:link w:val="BodyText21Car"/>
    <w:rsid w:val="005F25EB"/>
    <w:pPr>
      <w:widowControl w:val="0"/>
      <w:autoSpaceDE w:val="0"/>
      <w:autoSpaceDN w:val="0"/>
      <w:spacing w:line="480" w:lineRule="auto"/>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5F25EB"/>
    <w:pPr>
      <w:overflowPunct w:val="0"/>
      <w:autoSpaceDE w:val="0"/>
      <w:autoSpaceDN w:val="0"/>
      <w:adjustRightInd w:val="0"/>
      <w:spacing w:line="360" w:lineRule="auto"/>
      <w:ind w:firstLine="709"/>
      <w:jc w:val="both"/>
      <w:textAlignment w:val="baseline"/>
    </w:pPr>
    <w:rPr>
      <w:rFonts w:ascii="Century Gothic" w:eastAsia="Times New Roman" w:hAnsi="Century Gothic" w:cs="Arial"/>
      <w:sz w:val="24"/>
      <w:szCs w:val="20"/>
      <w:lang w:val="es-ES" w:eastAsia="es-CO"/>
    </w:rPr>
  </w:style>
  <w:style w:type="paragraph" w:customStyle="1" w:styleId="BodyText23">
    <w:name w:val="Body Text 23"/>
    <w:basedOn w:val="Normal"/>
    <w:rsid w:val="005F25EB"/>
    <w:pPr>
      <w:widowControl w:val="0"/>
      <w:overflowPunct w:val="0"/>
      <w:autoSpaceDE w:val="0"/>
      <w:autoSpaceDN w:val="0"/>
      <w:adjustRightInd w:val="0"/>
      <w:spacing w:line="360" w:lineRule="auto"/>
      <w:jc w:val="both"/>
      <w:textAlignment w:val="baseline"/>
    </w:pPr>
    <w:rPr>
      <w:rFonts w:ascii="Arial" w:eastAsia="Times New Roman" w:hAnsi="Arial" w:cs="Arial"/>
      <w:sz w:val="24"/>
      <w:szCs w:val="20"/>
      <w:lang w:eastAsia="es-ES"/>
    </w:rPr>
  </w:style>
  <w:style w:type="paragraph" w:styleId="Sangra2detindependiente">
    <w:name w:val="Body Text Indent 2"/>
    <w:basedOn w:val="Normal"/>
    <w:link w:val="Sangra2detindependienteCar"/>
    <w:uiPriority w:val="99"/>
    <w:semiHidden/>
    <w:unhideWhenUsed/>
    <w:rsid w:val="005F25EB"/>
    <w:pPr>
      <w:spacing w:after="120" w:line="480" w:lineRule="auto"/>
      <w:ind w:left="283"/>
      <w:jc w:val="both"/>
    </w:pPr>
    <w:rPr>
      <w:rFonts w:ascii="Arial" w:hAnsi="Arial"/>
      <w:sz w:val="24"/>
      <w:szCs w:val="24"/>
      <w:lang w:eastAsia="x-none"/>
    </w:rPr>
  </w:style>
  <w:style w:type="character" w:customStyle="1" w:styleId="Sangra2detindependienteCar">
    <w:name w:val="Sangría 2 de t. independiente Car"/>
    <w:link w:val="Sangra2detindependiente"/>
    <w:uiPriority w:val="99"/>
    <w:semiHidden/>
    <w:rsid w:val="005F25EB"/>
    <w:rPr>
      <w:rFonts w:ascii="Arial" w:hAnsi="Arial"/>
      <w:sz w:val="24"/>
      <w:szCs w:val="24"/>
      <w:lang w:eastAsia="x-none"/>
    </w:rPr>
  </w:style>
  <w:style w:type="paragraph" w:styleId="Textoindependiente2">
    <w:name w:val="Body Text 2"/>
    <w:basedOn w:val="Normal"/>
    <w:link w:val="Textoindependiente2Car"/>
    <w:uiPriority w:val="99"/>
    <w:semiHidden/>
    <w:unhideWhenUsed/>
    <w:rsid w:val="005F25EB"/>
    <w:pPr>
      <w:spacing w:after="120" w:line="480" w:lineRule="auto"/>
      <w:jc w:val="both"/>
    </w:pPr>
    <w:rPr>
      <w:rFonts w:ascii="Arial" w:hAnsi="Arial"/>
      <w:sz w:val="24"/>
      <w:szCs w:val="24"/>
      <w:lang w:eastAsia="x-none"/>
    </w:rPr>
  </w:style>
  <w:style w:type="character" w:customStyle="1" w:styleId="Textoindependiente2Car">
    <w:name w:val="Texto independiente 2 Car"/>
    <w:link w:val="Textoindependiente2"/>
    <w:uiPriority w:val="99"/>
    <w:semiHidden/>
    <w:rsid w:val="005F25EB"/>
    <w:rPr>
      <w:rFonts w:ascii="Arial" w:hAnsi="Arial"/>
      <w:sz w:val="24"/>
      <w:szCs w:val="24"/>
      <w:lang w:eastAsia="x-none"/>
    </w:rPr>
  </w:style>
  <w:style w:type="paragraph" w:styleId="Textoindependiente3">
    <w:name w:val="Body Text 3"/>
    <w:basedOn w:val="Normal"/>
    <w:link w:val="Textoindependiente3Car"/>
    <w:uiPriority w:val="99"/>
    <w:semiHidden/>
    <w:unhideWhenUsed/>
    <w:rsid w:val="005F25EB"/>
    <w:pPr>
      <w:spacing w:after="120"/>
      <w:jc w:val="both"/>
    </w:pPr>
    <w:rPr>
      <w:rFonts w:ascii="Arial" w:hAnsi="Arial"/>
      <w:sz w:val="16"/>
      <w:szCs w:val="16"/>
      <w:lang w:eastAsia="x-none"/>
    </w:rPr>
  </w:style>
  <w:style w:type="character" w:customStyle="1" w:styleId="Textoindependiente3Car">
    <w:name w:val="Texto independiente 3 Car"/>
    <w:link w:val="Textoindependiente3"/>
    <w:uiPriority w:val="99"/>
    <w:semiHidden/>
    <w:rsid w:val="005F25EB"/>
    <w:rPr>
      <w:rFonts w:ascii="Arial" w:hAnsi="Arial"/>
      <w:sz w:val="16"/>
      <w:szCs w:val="16"/>
      <w:lang w:eastAsia="x-none"/>
    </w:rPr>
  </w:style>
  <w:style w:type="paragraph" w:customStyle="1" w:styleId="Sangra3detindependiente1">
    <w:name w:val="Sangría 3 de t. independiente1"/>
    <w:basedOn w:val="Normal"/>
    <w:rsid w:val="005F25EB"/>
    <w:pPr>
      <w:overflowPunct w:val="0"/>
      <w:autoSpaceDE w:val="0"/>
      <w:autoSpaceDN w:val="0"/>
      <w:adjustRightInd w:val="0"/>
      <w:spacing w:line="360" w:lineRule="auto"/>
      <w:ind w:firstLine="709"/>
      <w:jc w:val="both"/>
      <w:textAlignment w:val="baseline"/>
    </w:pPr>
    <w:rPr>
      <w:rFonts w:ascii="Century Gothic" w:eastAsia="Times New Roman" w:hAnsi="Century Gothic" w:cs="Arial"/>
      <w:sz w:val="24"/>
      <w:szCs w:val="20"/>
      <w:lang w:val="es-ES_tradnl" w:eastAsia="es-ES"/>
    </w:rPr>
  </w:style>
  <w:style w:type="paragraph" w:styleId="Lista3">
    <w:name w:val="List 3"/>
    <w:basedOn w:val="Normal"/>
    <w:rsid w:val="005F25EB"/>
    <w:pPr>
      <w:overflowPunct w:val="0"/>
      <w:autoSpaceDE w:val="0"/>
      <w:autoSpaceDN w:val="0"/>
      <w:adjustRightInd w:val="0"/>
      <w:ind w:left="849" w:hanging="283"/>
      <w:jc w:val="both"/>
      <w:textAlignment w:val="baseline"/>
    </w:pPr>
    <w:rPr>
      <w:rFonts w:ascii="Century Gothic" w:eastAsia="Times New Roman" w:hAnsi="Century Gothic" w:cs="Arial"/>
      <w:sz w:val="24"/>
      <w:szCs w:val="20"/>
      <w:lang w:val="es-ES" w:eastAsia="es-ES"/>
    </w:rPr>
  </w:style>
  <w:style w:type="character" w:styleId="Hipervnculo">
    <w:name w:val="Hyperlink"/>
    <w:uiPriority w:val="99"/>
    <w:semiHidden/>
    <w:unhideWhenUsed/>
    <w:rsid w:val="005F25EB"/>
    <w:rPr>
      <w:color w:val="0000FF"/>
      <w:u w:val="single"/>
    </w:rPr>
  </w:style>
  <w:style w:type="paragraph" w:styleId="Sangra3detindependiente">
    <w:name w:val="Body Text Indent 3"/>
    <w:basedOn w:val="Normal"/>
    <w:link w:val="Sangra3detindependienteCar"/>
    <w:rsid w:val="005F25EB"/>
    <w:pPr>
      <w:spacing w:after="120"/>
      <w:ind w:left="283"/>
    </w:pPr>
    <w:rPr>
      <w:rFonts w:ascii="Times New Roman" w:eastAsia="Times New Roman" w:hAnsi="Times New Roman"/>
      <w:sz w:val="16"/>
      <w:szCs w:val="16"/>
      <w:lang w:val="x-none" w:eastAsia="x-none"/>
    </w:rPr>
  </w:style>
  <w:style w:type="character" w:customStyle="1" w:styleId="Sangra3detindependienteCar">
    <w:name w:val="Sangría 3 de t. independiente Car"/>
    <w:link w:val="Sangra3detindependiente"/>
    <w:rsid w:val="005F25EB"/>
    <w:rPr>
      <w:rFonts w:ascii="Times New Roman" w:eastAsia="Times New Roman" w:hAnsi="Times New Roman"/>
      <w:sz w:val="16"/>
      <w:szCs w:val="16"/>
      <w:lang w:val="x-none" w:eastAsia="x-none"/>
    </w:rPr>
  </w:style>
  <w:style w:type="paragraph" w:customStyle="1" w:styleId="Textoindependiente23">
    <w:name w:val="Texto independiente 23"/>
    <w:basedOn w:val="Normal"/>
    <w:rsid w:val="005F25EB"/>
    <w:pPr>
      <w:jc w:val="both"/>
    </w:pPr>
    <w:rPr>
      <w:rFonts w:ascii="Arial" w:eastAsia="Times New Roman" w:hAnsi="Arial"/>
      <w:sz w:val="24"/>
      <w:szCs w:val="20"/>
      <w:lang w:eastAsia="es-ES"/>
    </w:rPr>
  </w:style>
  <w:style w:type="paragraph" w:styleId="Sinespaciado">
    <w:name w:val="No Spacing"/>
    <w:qFormat/>
    <w:rsid w:val="005F25EB"/>
    <w:rPr>
      <w:sz w:val="22"/>
      <w:szCs w:val="22"/>
      <w:lang w:val="es-ES" w:eastAsia="en-US"/>
    </w:rPr>
  </w:style>
  <w:style w:type="paragraph" w:customStyle="1" w:styleId="Normal1">
    <w:name w:val="Normal1"/>
    <w:rsid w:val="005F25EB"/>
    <w:pPr>
      <w:spacing w:line="276" w:lineRule="auto"/>
    </w:pPr>
    <w:rPr>
      <w:rFonts w:ascii="Arial" w:eastAsia="Arial" w:hAnsi="Arial" w:cs="Arial"/>
      <w:color w:val="000000"/>
      <w:sz w:val="22"/>
      <w:szCs w:val="22"/>
      <w:lang w:val="es-ES" w:eastAsia="es-ES"/>
    </w:rPr>
  </w:style>
  <w:style w:type="paragraph" w:styleId="Sangradetextonormal">
    <w:name w:val="Body Text Indent"/>
    <w:basedOn w:val="Normal"/>
    <w:link w:val="SangradetextonormalCar"/>
    <w:uiPriority w:val="99"/>
    <w:semiHidden/>
    <w:unhideWhenUsed/>
    <w:rsid w:val="005F25EB"/>
    <w:pPr>
      <w:spacing w:after="120"/>
      <w:ind w:left="283"/>
      <w:jc w:val="both"/>
    </w:pPr>
    <w:rPr>
      <w:rFonts w:ascii="Arial" w:hAnsi="Arial"/>
      <w:sz w:val="24"/>
      <w:szCs w:val="24"/>
    </w:rPr>
  </w:style>
  <w:style w:type="character" w:customStyle="1" w:styleId="SangradetextonormalCar">
    <w:name w:val="Sangría de texto normal Car"/>
    <w:link w:val="Sangradetextonormal"/>
    <w:uiPriority w:val="99"/>
    <w:semiHidden/>
    <w:rsid w:val="005F25EB"/>
    <w:rPr>
      <w:rFonts w:ascii="Arial" w:hAnsi="Arial"/>
      <w:sz w:val="24"/>
      <w:szCs w:val="24"/>
      <w:lang w:eastAsia="en-US"/>
    </w:rPr>
  </w:style>
  <w:style w:type="table" w:styleId="Tablaconcuadrcula">
    <w:name w:val="Table Grid"/>
    <w:basedOn w:val="Tablanormal"/>
    <w:uiPriority w:val="59"/>
    <w:rsid w:val="005F25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caja">
    <w:name w:val="textocaja"/>
    <w:basedOn w:val="Normal"/>
    <w:rsid w:val="005F25EB"/>
    <w:pPr>
      <w:spacing w:before="100" w:beforeAutospacing="1" w:after="100" w:afterAutospacing="1"/>
    </w:pPr>
    <w:rPr>
      <w:rFonts w:ascii="Times New Roman" w:eastAsia="Times New Roman" w:hAnsi="Times New Roman"/>
      <w:sz w:val="24"/>
      <w:szCs w:val="24"/>
      <w:lang w:val="es-ES" w:eastAsia="es-ES"/>
    </w:rPr>
  </w:style>
  <w:style w:type="paragraph" w:styleId="Textodebloque">
    <w:name w:val="Block Text"/>
    <w:basedOn w:val="Normal"/>
    <w:uiPriority w:val="99"/>
    <w:rsid w:val="005F25EB"/>
    <w:pPr>
      <w:autoSpaceDE w:val="0"/>
      <w:autoSpaceDN w:val="0"/>
      <w:ind w:left="720" w:right="612"/>
      <w:jc w:val="both"/>
    </w:pPr>
    <w:rPr>
      <w:rFonts w:ascii="Times New Roman" w:eastAsia="Times New Roman" w:hAnsi="Times New Roman"/>
      <w:sz w:val="26"/>
      <w:szCs w:val="26"/>
      <w:lang w:eastAsia="es-ES"/>
    </w:rPr>
  </w:style>
  <w:style w:type="paragraph" w:customStyle="1" w:styleId="Textodebloque1">
    <w:name w:val="Texto de bloque1"/>
    <w:basedOn w:val="Normal"/>
    <w:rsid w:val="005F25EB"/>
    <w:pPr>
      <w:overflowPunct w:val="0"/>
      <w:autoSpaceDE w:val="0"/>
      <w:autoSpaceDN w:val="0"/>
      <w:adjustRightInd w:val="0"/>
      <w:ind w:left="720" w:firstLine="706"/>
      <w:jc w:val="both"/>
      <w:textAlignment w:val="baseline"/>
    </w:pPr>
    <w:rPr>
      <w:rFonts w:ascii="Times New Roman" w:eastAsia="Times New Roman" w:hAnsi="Times New Roman"/>
      <w:i/>
      <w:sz w:val="24"/>
      <w:szCs w:val="20"/>
      <w:lang w:val="es-ES_tradnl" w:eastAsia="es-ES"/>
    </w:rPr>
  </w:style>
  <w:style w:type="character" w:customStyle="1" w:styleId="BodyText21Car">
    <w:name w:val="Body Text 21 Car"/>
    <w:link w:val="BodyText21"/>
    <w:rsid w:val="005F25EB"/>
    <w:rPr>
      <w:rFonts w:ascii="Arial" w:eastAsia="Times New Roman" w:hAnsi="Arial" w:cs="Arial"/>
      <w:sz w:val="24"/>
      <w:szCs w:val="24"/>
      <w:lang w:val="es-ES_tradnl" w:eastAsia="es-ES"/>
    </w:rPr>
  </w:style>
  <w:style w:type="paragraph" w:customStyle="1" w:styleId="Textoindependiente220">
    <w:name w:val="Texto independiente 22"/>
    <w:basedOn w:val="Normal"/>
    <w:rsid w:val="005F25EB"/>
    <w:pPr>
      <w:overflowPunct w:val="0"/>
      <w:autoSpaceDE w:val="0"/>
      <w:autoSpaceDN w:val="0"/>
      <w:adjustRightInd w:val="0"/>
      <w:spacing w:line="480" w:lineRule="auto"/>
      <w:jc w:val="both"/>
      <w:textAlignment w:val="baseline"/>
    </w:pPr>
    <w:rPr>
      <w:rFonts w:ascii="Arial" w:eastAsia="Times New Roman" w:hAnsi="Arial"/>
      <w:sz w:val="24"/>
      <w:szCs w:val="20"/>
      <w:lang w:val="es-ES" w:eastAsia="es-ES"/>
    </w:rPr>
  </w:style>
  <w:style w:type="character" w:styleId="Textoennegrita">
    <w:name w:val="Strong"/>
    <w:uiPriority w:val="22"/>
    <w:qFormat/>
    <w:rsid w:val="005F25EB"/>
    <w:rPr>
      <w:b/>
      <w:bCs/>
    </w:rPr>
  </w:style>
  <w:style w:type="paragraph" w:customStyle="1" w:styleId="nueve">
    <w:name w:val="nueve"/>
    <w:basedOn w:val="Normal"/>
    <w:rsid w:val="005F25EB"/>
    <w:pPr>
      <w:spacing w:before="100" w:beforeAutospacing="1" w:after="100" w:afterAutospacing="1"/>
    </w:pPr>
    <w:rPr>
      <w:rFonts w:ascii="Times New Roman" w:eastAsia="Times New Roman" w:hAnsi="Times New Roman"/>
      <w:sz w:val="24"/>
      <w:szCs w:val="24"/>
      <w:lang w:val="es-ES" w:eastAsia="es-ES"/>
    </w:rPr>
  </w:style>
  <w:style w:type="paragraph" w:styleId="Ttulo">
    <w:name w:val="Title"/>
    <w:basedOn w:val="Normal"/>
    <w:next w:val="Normal"/>
    <w:link w:val="TtuloCar"/>
    <w:uiPriority w:val="10"/>
    <w:qFormat/>
    <w:rsid w:val="00453BD6"/>
    <w:pPr>
      <w:spacing w:before="240" w:after="60"/>
      <w:jc w:val="center"/>
      <w:outlineLvl w:val="0"/>
    </w:pPr>
    <w:rPr>
      <w:rFonts w:ascii="Calibri Light" w:eastAsia="Times New Roman" w:hAnsi="Calibri Light"/>
      <w:b/>
      <w:bCs/>
      <w:kern w:val="28"/>
      <w:sz w:val="32"/>
      <w:szCs w:val="32"/>
    </w:rPr>
  </w:style>
  <w:style w:type="character" w:customStyle="1" w:styleId="TtuloCar">
    <w:name w:val="Título Car"/>
    <w:link w:val="Ttulo"/>
    <w:uiPriority w:val="10"/>
    <w:rsid w:val="00453BD6"/>
    <w:rPr>
      <w:rFonts w:ascii="Calibri Light" w:eastAsia="Times New Roman" w:hAnsi="Calibri Light" w:cs="Times New Roman"/>
      <w:b/>
      <w:bCs/>
      <w:kern w:val="28"/>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9B9B89-317C-4A0B-A529-5C73A179AF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D5A079-EF6B-48C0-A5E7-42ABE3756172}">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7021C851-A456-486A-B18D-559F69CC44BC}">
  <ds:schemaRefs>
    <ds:schemaRef ds:uri="http://schemas.microsoft.com/sharepoint/v3/contenttype/forms"/>
  </ds:schemaRefs>
</ds:datastoreItem>
</file>

<file path=customXml/itemProps4.xml><?xml version="1.0" encoding="utf-8"?>
<ds:datastoreItem xmlns:ds="http://schemas.openxmlformats.org/officeDocument/2006/customXml" ds:itemID="{80893B04-6D92-470F-8F59-FB6D19E4A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11164</Words>
  <Characters>63640</Characters>
  <Application>Microsoft Office Word</Application>
  <DocSecurity>0</DocSecurity>
  <Lines>530</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Rodriguez Novoa</dc:creator>
  <cp:keywords/>
  <dc:description/>
  <cp:lastModifiedBy>Silvia Juliana Saavedra Arguello</cp:lastModifiedBy>
  <cp:revision>2</cp:revision>
  <dcterms:created xsi:type="dcterms:W3CDTF">2020-06-23T22:18:00Z</dcterms:created>
  <dcterms:modified xsi:type="dcterms:W3CDTF">2020-06-23T22:18:00Z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