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DA464C" w:rsidRPr="00DA464C" w:rsidRDefault="00DA464C" w:rsidP="00514129">
      <w:pPr>
        <w:jc w:val="both"/>
        <w:rPr>
          <w:rFonts w:ascii="Arial" w:hAnsi="Arial" w:cs="Arial"/>
          <w:b/>
        </w:rPr>
      </w:pPr>
      <w:r w:rsidRPr="00DA464C">
        <w:rPr>
          <w:rFonts w:ascii="Arial" w:hAnsi="Arial" w:cs="Arial"/>
          <w:b/>
        </w:rPr>
        <w:t xml:space="preserve">RÉGIMEN DE INHABILIDADES E INCOMPATIBILIDADES </w:t>
      </w:r>
      <w:r w:rsidR="0093150F">
        <w:rPr>
          <w:rFonts w:ascii="Arial" w:hAnsi="Arial" w:cs="Arial"/>
          <w:b/>
        </w:rPr>
        <w:t>-</w:t>
      </w:r>
      <w:r w:rsidRPr="00DA464C">
        <w:rPr>
          <w:rFonts w:ascii="Arial" w:hAnsi="Arial" w:cs="Arial"/>
          <w:b/>
        </w:rPr>
        <w:t xml:space="preserve"> Reparación directa </w:t>
      </w:r>
      <w:r w:rsidR="0093150F">
        <w:rPr>
          <w:rFonts w:ascii="Arial" w:hAnsi="Arial" w:cs="Arial"/>
          <w:b/>
        </w:rPr>
        <w:t>-</w:t>
      </w:r>
      <w:r w:rsidRPr="00DA464C">
        <w:rPr>
          <w:rFonts w:ascii="Arial" w:hAnsi="Arial" w:cs="Arial"/>
          <w:b/>
        </w:rPr>
        <w:t xml:space="preserve"> Privación injusta de la libertad </w:t>
      </w:r>
      <w:r w:rsidR="0093150F">
        <w:rPr>
          <w:rFonts w:ascii="Arial" w:hAnsi="Arial" w:cs="Arial"/>
          <w:b/>
        </w:rPr>
        <w:t>- Celebració</w:t>
      </w:r>
      <w:r w:rsidRPr="00DA464C">
        <w:rPr>
          <w:rFonts w:ascii="Arial" w:hAnsi="Arial" w:cs="Arial"/>
          <w:b/>
        </w:rPr>
        <w:t xml:space="preserve">n de contratos </w:t>
      </w:r>
    </w:p>
    <w:p w:rsidR="00DA464C" w:rsidRDefault="00DA464C" w:rsidP="00514129">
      <w:pPr>
        <w:jc w:val="both"/>
        <w:rPr>
          <w:rFonts w:ascii="Arial" w:hAnsi="Arial" w:cs="Arial"/>
        </w:rPr>
      </w:pPr>
    </w:p>
    <w:p w:rsidR="00D51F12" w:rsidRPr="00514129" w:rsidRDefault="00514129" w:rsidP="00514129">
      <w:pPr>
        <w:jc w:val="both"/>
        <w:rPr>
          <w:rFonts w:ascii="Arial" w:hAnsi="Arial" w:cs="Arial"/>
        </w:rPr>
      </w:pPr>
      <w:r w:rsidRPr="00514129">
        <w:rPr>
          <w:rFonts w:ascii="Arial" w:hAnsi="Arial" w:cs="Arial"/>
        </w:rPr>
        <w:t>La señora Berta Baquero fue procesada por el delito de violación al régimen legal o constitucional de inhabilidades e incompatibilidades, por cuanto celebró contratos de suministro con el municipio de Silvania, cuando su esposo era concejal de este municipio.</w:t>
      </w:r>
      <w:r w:rsidR="00D51F12">
        <w:rPr>
          <w:rFonts w:ascii="Arial" w:hAnsi="Arial" w:cs="Arial"/>
        </w:rPr>
        <w:t xml:space="preserve"> (…) </w:t>
      </w:r>
      <w:r w:rsidR="00D51F12" w:rsidRPr="00D51F12">
        <w:rPr>
          <w:rFonts w:ascii="Arial" w:hAnsi="Arial" w:cs="Arial"/>
        </w:rPr>
        <w:t xml:space="preserve">La Sala decidió no casar la sentencia recurrida por cuanto consideró: i) los funcionarios judiciales motivaron sus decisiones en la clara transgresión al artículo 144 del Decreto 100 de 1980 (actual artículo 408 de la Ley 599 de 2000); ii) la imputación fáctica que se le realizó a la señora Berta Baquero no sorprendió procesalmente a la encartada; iii) la coautoría de la imputación se derivó de la celebración de contratos públicos por interpuesta persona y no se relaciona con los demás procesados por el mismo delito.     </w:t>
      </w:r>
    </w:p>
    <w:p w:rsidR="00514129" w:rsidRDefault="00514129" w:rsidP="00541069">
      <w:pPr>
        <w:jc w:val="both"/>
        <w:rPr>
          <w:rFonts w:ascii="Arial" w:hAnsi="Arial" w:cs="Arial"/>
          <w:b/>
        </w:rPr>
      </w:pPr>
    </w:p>
    <w:p w:rsidR="00172351" w:rsidRPr="00F27FC5" w:rsidRDefault="00716A86" w:rsidP="00541069">
      <w:pPr>
        <w:jc w:val="both"/>
        <w:rPr>
          <w:rFonts w:ascii="Arial" w:hAnsi="Arial" w:cs="Arial"/>
          <w:b/>
        </w:rPr>
      </w:pPr>
      <w:r w:rsidRPr="00F27FC5">
        <w:rPr>
          <w:rFonts w:ascii="Arial" w:hAnsi="Arial" w:cs="Arial"/>
          <w:b/>
        </w:rPr>
        <w:t xml:space="preserve">RESPONSABILIDAD </w:t>
      </w:r>
      <w:r w:rsidR="00340EA8">
        <w:rPr>
          <w:rFonts w:ascii="Arial" w:hAnsi="Arial" w:cs="Arial"/>
          <w:b/>
        </w:rPr>
        <w:t>EXTRACONTRACTUAL DEL ESTADO</w:t>
      </w:r>
      <w:r w:rsidR="0093150F">
        <w:rPr>
          <w:rFonts w:ascii="Arial" w:hAnsi="Arial" w:cs="Arial"/>
          <w:b/>
        </w:rPr>
        <w:t xml:space="preserve"> </w:t>
      </w:r>
      <w:r w:rsidR="00340EA8">
        <w:rPr>
          <w:rFonts w:ascii="Arial" w:hAnsi="Arial" w:cs="Arial"/>
          <w:b/>
        </w:rPr>
        <w:t>-</w:t>
      </w:r>
      <w:bookmarkStart w:id="0" w:name="_GoBack"/>
      <w:bookmarkEnd w:id="0"/>
      <w:r w:rsidR="00340EA8">
        <w:rPr>
          <w:rFonts w:ascii="Arial" w:hAnsi="Arial" w:cs="Arial"/>
          <w:b/>
        </w:rPr>
        <w:t xml:space="preserve"> Privación injusta de la libertad - </w:t>
      </w:r>
      <w:r w:rsidRPr="00F27FC5">
        <w:rPr>
          <w:rFonts w:ascii="Arial" w:hAnsi="Arial" w:cs="Arial"/>
          <w:b/>
        </w:rPr>
        <w:t xml:space="preserve">Jurisprudencia </w:t>
      </w:r>
    </w:p>
    <w:p w:rsidR="00F27FC5" w:rsidRPr="00F27FC5" w:rsidRDefault="00F27FC5" w:rsidP="00541069">
      <w:pPr>
        <w:jc w:val="both"/>
        <w:rPr>
          <w:rFonts w:ascii="Arial" w:hAnsi="Arial" w:cs="Arial"/>
          <w:b/>
        </w:rPr>
      </w:pPr>
    </w:p>
    <w:p w:rsidR="00F27FC5" w:rsidRDefault="0093150F" w:rsidP="00541069">
      <w:pPr>
        <w:jc w:val="both"/>
        <w:rPr>
          <w:rFonts w:ascii="Arial" w:hAnsi="Arial" w:cs="Arial"/>
        </w:rPr>
      </w:pPr>
      <w:r>
        <w:rPr>
          <w:rFonts w:ascii="Arial" w:hAnsi="Arial" w:cs="Arial"/>
        </w:rPr>
        <w:t>L</w:t>
      </w:r>
      <w:r w:rsidR="00F27FC5" w:rsidRPr="00F27FC5">
        <w:rPr>
          <w:rFonts w:ascii="Arial" w:hAnsi="Arial" w:cs="Arial"/>
        </w:rPr>
        <w:t>a responsabilidad patrimonial por la privación de la libertad se estructura a la luz de un juicio autónomo, complejo, sobre una misma unidad fáctica, en cuanto, a partir de la investigación penal considerada en su conjunto y al margen de la configuración del delito que no es objeto del proceso de reparación, al juez de la responsabilidad patrimonial le corresponde determinar, sin adelantar juicios de valor-reservados para una eventual repetición si i) la investigación en la que se impusieron las medidas de aseguramiento invocadas como fundamento de la reparación, concluyó con decisión favorable a la víctima porque el Estado, en ejercicio del ius puniendi, no logró desvirtuar la presunción de inocencia y ii) si los hechos o actuaciones que comprometieron en esa investigación a quien demanda en reparación se enmarcan en culpa grave o dolo, con entidad suficiente para no poder alegar la propia culpa y demandar reparación a la luz de las reglas generales de convivencia.</w:t>
      </w:r>
    </w:p>
    <w:p w:rsidR="0093150F" w:rsidRDefault="0093150F" w:rsidP="00541069">
      <w:pPr>
        <w:jc w:val="both"/>
        <w:rPr>
          <w:rFonts w:ascii="Arial" w:hAnsi="Arial" w:cs="Arial"/>
        </w:rPr>
      </w:pPr>
    </w:p>
    <w:p w:rsidR="0093150F" w:rsidRPr="0093150F" w:rsidRDefault="0093150F" w:rsidP="0093150F">
      <w:pPr>
        <w:jc w:val="both"/>
        <w:rPr>
          <w:rFonts w:ascii="Arial" w:hAnsi="Arial" w:cs="Arial"/>
          <w:b/>
        </w:rPr>
      </w:pPr>
      <w:r w:rsidRPr="0093150F">
        <w:rPr>
          <w:rFonts w:ascii="Arial" w:hAnsi="Arial" w:cs="Arial"/>
          <w:b/>
        </w:rPr>
        <w:t xml:space="preserve">RÉGIMEN DE INHABILIDADES </w:t>
      </w:r>
      <w:r>
        <w:rPr>
          <w:rFonts w:ascii="Arial" w:hAnsi="Arial" w:cs="Arial"/>
          <w:b/>
        </w:rPr>
        <w:t>- Celebració</w:t>
      </w:r>
      <w:r w:rsidRPr="0093150F">
        <w:rPr>
          <w:rFonts w:ascii="Arial" w:hAnsi="Arial" w:cs="Arial"/>
          <w:b/>
        </w:rPr>
        <w:t xml:space="preserve">n de contratos </w:t>
      </w:r>
      <w:r>
        <w:rPr>
          <w:rFonts w:ascii="Arial" w:hAnsi="Arial" w:cs="Arial"/>
          <w:b/>
        </w:rPr>
        <w:t>- Conducta reprochable - Dolor y culpa grave</w:t>
      </w:r>
    </w:p>
    <w:p w:rsidR="0093150F" w:rsidRDefault="0093150F" w:rsidP="0093150F">
      <w:pPr>
        <w:jc w:val="both"/>
        <w:rPr>
          <w:rFonts w:ascii="Arial" w:hAnsi="Arial" w:cs="Arial"/>
        </w:rPr>
      </w:pPr>
    </w:p>
    <w:p w:rsidR="0093150F" w:rsidRPr="0093150F" w:rsidRDefault="0093150F" w:rsidP="0093150F">
      <w:pPr>
        <w:jc w:val="both"/>
        <w:rPr>
          <w:rFonts w:ascii="Arial" w:hAnsi="Arial" w:cs="Arial"/>
        </w:rPr>
      </w:pPr>
      <w:r w:rsidRPr="0093150F">
        <w:rPr>
          <w:rFonts w:ascii="Arial" w:hAnsi="Arial" w:cs="Arial"/>
        </w:rPr>
        <w:t>Durante el proceso penal, en el cual la señora Berta Baquero resultó condenada, se estableció que la mencionada celebró contratos de suministro con el Municipio de Silvania cuando se encontraba legalmente inhabilitada para hacerlo, toda vez que su esposo era concejal en dicho municipio. Esta situación fáctica fue ratificada por la señora Berta Baquero, quien durante el proceso afirmó que celebró varios contratos sin saber que se encontraba inhabilitada para ello, por cuanto su sociedad conyugal se encontraba disuelta.</w:t>
      </w:r>
      <w:r>
        <w:rPr>
          <w:rFonts w:ascii="Arial" w:hAnsi="Arial" w:cs="Arial"/>
        </w:rPr>
        <w:t xml:space="preserve"> (…) </w:t>
      </w:r>
      <w:r w:rsidRPr="0093150F">
        <w:rPr>
          <w:rFonts w:ascii="Arial" w:hAnsi="Arial" w:cs="Arial"/>
        </w:rPr>
        <w:t>Así las cosas, del análisis de las circunstancias demostradas sobre los hechos acaecidos, teniendo en cuenta que el juez penal contaba con todas las pruebas necesarias para emitir condena en contra de la señora Berta Baquero, se concluye que la conducta de la encartada determinó el inicio de una investigación en su contra, ya que se encuentra acreditado que celebró contratos con la administración a sabiendas de que se encontraba inhabilitada para ello por ser la esposa de un miembro del concejo municipal, actuación que a todas luces trasgrede la conducta que le era exigible en los términos del artículo 63 del Código Civil.</w:t>
      </w:r>
      <w:r>
        <w:rPr>
          <w:rFonts w:ascii="Arial" w:hAnsi="Arial" w:cs="Arial"/>
        </w:rPr>
        <w:t xml:space="preserve"> (…) </w:t>
      </w:r>
      <w:r w:rsidRPr="0093150F">
        <w:rPr>
          <w:rFonts w:ascii="Arial" w:hAnsi="Arial" w:cs="Arial"/>
        </w:rPr>
        <w:t>1.</w:t>
      </w:r>
      <w:r w:rsidRPr="0093150F">
        <w:rPr>
          <w:rFonts w:ascii="Arial" w:hAnsi="Arial" w:cs="Arial"/>
        </w:rPr>
        <w:tab/>
        <w:t>De lo anterior se puede concluir que el daño no es imputable a la Nación, pues si bien es cierto que en la sentencia de revisión se decretó la cesación de procedimiento por prescripción penal, también lo es que lo determinante para la imposición de la medida de aseguramiento, la continuación de la investigación penal y el juzgamiento fue la conducta reprochable de la actora, quien obró en forma deliberadamente premeditada al celebrar contratos con la administración sin la observancia de los requisitos mínimos para hacerlo, esto es quebrantó una obligación, conducta civilmente reprochable y que desde ningún punto de vista puede constituir una justificación para que alegue que la privación de la libertad fue injusta, pues constituye una máxima general del derecho que nadie puede alegar en su favor su propia culpa nemo auditur propriam turpitudinem allegans, menos aún si con ello se procura obtener un beneficio, pues sería tanto como aceptar la posibilidad de sacar ventaja de una situación reprochable y originada de manera voluntaria e intencional por quien la esgrime, como ocurrió en el caso concreto pues la encartada confesó en el proceso penal la realización de las conductas que se le imputaron.</w:t>
      </w:r>
    </w:p>
    <w:p w:rsidR="0093150F" w:rsidRPr="0093150F" w:rsidRDefault="0093150F" w:rsidP="0093150F">
      <w:pPr>
        <w:jc w:val="both"/>
        <w:rPr>
          <w:rFonts w:ascii="Arial" w:hAnsi="Arial" w:cs="Arial"/>
        </w:rPr>
      </w:pPr>
    </w:p>
    <w:p w:rsidR="00716A86" w:rsidRDefault="00716A86" w:rsidP="00541069">
      <w:pPr>
        <w:jc w:val="both"/>
        <w:rPr>
          <w:rFonts w:ascii="Arial" w:hAnsi="Arial" w:cs="Arial"/>
          <w:sz w:val="24"/>
          <w:szCs w:val="24"/>
        </w:rPr>
      </w:pPr>
    </w:p>
    <w:p w:rsidR="00716A86" w:rsidRPr="00716A86" w:rsidRDefault="00716A86" w:rsidP="00541069">
      <w:pPr>
        <w:jc w:val="both"/>
        <w:rPr>
          <w:rFonts w:ascii="Arial" w:hAnsi="Arial" w:cs="Arial"/>
          <w:sz w:val="24"/>
          <w:szCs w:val="24"/>
        </w:rPr>
      </w:pPr>
    </w:p>
    <w:p w:rsidR="00716A86" w:rsidRDefault="00716A86" w:rsidP="00541069">
      <w:pPr>
        <w:jc w:val="both"/>
        <w:rPr>
          <w:rFonts w:ascii="Arial" w:hAnsi="Arial" w:cs="Arial"/>
          <w:b/>
          <w:sz w:val="24"/>
          <w:szCs w:val="24"/>
        </w:rPr>
      </w:pPr>
    </w:p>
    <w:p w:rsidR="00716A86" w:rsidRPr="00716A86" w:rsidRDefault="00716A86" w:rsidP="00541069">
      <w:pPr>
        <w:jc w:val="both"/>
        <w:rPr>
          <w:rFonts w:ascii="Arial" w:hAnsi="Arial" w:cs="Arial"/>
          <w:b/>
          <w:sz w:val="24"/>
          <w:szCs w:val="24"/>
        </w:rPr>
      </w:pPr>
    </w:p>
    <w:p w:rsidR="006E7522" w:rsidRPr="00172351" w:rsidRDefault="006E7522" w:rsidP="00541069">
      <w:pPr>
        <w:jc w:val="center"/>
        <w:rPr>
          <w:rFonts w:ascii="Arial" w:hAnsi="Arial" w:cs="Arial"/>
          <w:b/>
          <w:sz w:val="24"/>
          <w:szCs w:val="24"/>
        </w:rPr>
      </w:pPr>
      <w:r w:rsidRPr="00172351">
        <w:rPr>
          <w:rFonts w:ascii="Arial" w:hAnsi="Arial" w:cs="Arial"/>
          <w:b/>
          <w:sz w:val="24"/>
          <w:szCs w:val="24"/>
        </w:rPr>
        <w:t>CONSEJO DE ESTADO</w:t>
      </w:r>
    </w:p>
    <w:p w:rsidR="008D341D" w:rsidRPr="00172351" w:rsidRDefault="008D341D" w:rsidP="00541069">
      <w:pPr>
        <w:jc w:val="center"/>
        <w:rPr>
          <w:rFonts w:ascii="Arial" w:hAnsi="Arial" w:cs="Arial"/>
          <w:b/>
          <w:sz w:val="24"/>
          <w:szCs w:val="24"/>
        </w:rPr>
      </w:pPr>
    </w:p>
    <w:p w:rsidR="006E7522" w:rsidRPr="00172351" w:rsidRDefault="006E7522" w:rsidP="00541069">
      <w:pPr>
        <w:jc w:val="center"/>
        <w:rPr>
          <w:rFonts w:ascii="Arial" w:hAnsi="Arial" w:cs="Arial"/>
          <w:b/>
          <w:sz w:val="24"/>
          <w:szCs w:val="24"/>
        </w:rPr>
      </w:pPr>
      <w:r w:rsidRPr="00172351">
        <w:rPr>
          <w:rFonts w:ascii="Arial" w:hAnsi="Arial" w:cs="Arial"/>
          <w:b/>
          <w:sz w:val="24"/>
          <w:szCs w:val="24"/>
        </w:rPr>
        <w:t>SALA DE LO CONTENCIOSO ADMINISTRATIVO</w:t>
      </w:r>
    </w:p>
    <w:p w:rsidR="008D341D" w:rsidRPr="00172351" w:rsidRDefault="008D341D" w:rsidP="00541069">
      <w:pPr>
        <w:jc w:val="center"/>
        <w:rPr>
          <w:rFonts w:ascii="Arial" w:hAnsi="Arial" w:cs="Arial"/>
          <w:b/>
          <w:sz w:val="24"/>
          <w:szCs w:val="24"/>
        </w:rPr>
      </w:pPr>
    </w:p>
    <w:p w:rsidR="008D341D" w:rsidRPr="00172351" w:rsidRDefault="008D341D" w:rsidP="00541069">
      <w:pPr>
        <w:jc w:val="center"/>
        <w:rPr>
          <w:rFonts w:ascii="Arial" w:hAnsi="Arial" w:cs="Arial"/>
          <w:b/>
          <w:sz w:val="24"/>
          <w:szCs w:val="24"/>
        </w:rPr>
      </w:pPr>
      <w:r w:rsidRPr="00172351">
        <w:rPr>
          <w:rFonts w:ascii="Arial" w:hAnsi="Arial" w:cs="Arial"/>
          <w:b/>
          <w:sz w:val="24"/>
          <w:szCs w:val="24"/>
        </w:rPr>
        <w:t>SECCIÓN TERCERA</w:t>
      </w:r>
    </w:p>
    <w:p w:rsidR="008D341D" w:rsidRPr="00172351" w:rsidRDefault="008D341D" w:rsidP="00541069">
      <w:pPr>
        <w:jc w:val="center"/>
        <w:rPr>
          <w:rFonts w:ascii="Arial" w:hAnsi="Arial" w:cs="Arial"/>
          <w:b/>
          <w:sz w:val="24"/>
          <w:szCs w:val="24"/>
        </w:rPr>
      </w:pPr>
    </w:p>
    <w:p w:rsidR="006E7522" w:rsidRPr="00172351" w:rsidRDefault="008D341D" w:rsidP="00541069">
      <w:pPr>
        <w:jc w:val="center"/>
        <w:rPr>
          <w:rFonts w:ascii="Arial" w:hAnsi="Arial" w:cs="Arial"/>
          <w:b/>
          <w:sz w:val="24"/>
          <w:szCs w:val="24"/>
        </w:rPr>
      </w:pPr>
      <w:r w:rsidRPr="00172351">
        <w:rPr>
          <w:rFonts w:ascii="Arial" w:hAnsi="Arial" w:cs="Arial"/>
          <w:b/>
          <w:sz w:val="24"/>
          <w:szCs w:val="24"/>
        </w:rPr>
        <w:t>SUBSECCIÓN B</w:t>
      </w:r>
    </w:p>
    <w:p w:rsidR="006E7522" w:rsidRPr="00172351" w:rsidRDefault="006E7522" w:rsidP="00541069">
      <w:pPr>
        <w:jc w:val="center"/>
        <w:rPr>
          <w:rFonts w:ascii="Arial" w:hAnsi="Arial" w:cs="Arial"/>
          <w:b/>
          <w:sz w:val="24"/>
          <w:szCs w:val="24"/>
        </w:rPr>
      </w:pPr>
    </w:p>
    <w:p w:rsidR="006E7522" w:rsidRPr="00172351" w:rsidRDefault="008D341D" w:rsidP="00541069">
      <w:pPr>
        <w:jc w:val="center"/>
        <w:rPr>
          <w:rFonts w:ascii="Arial" w:hAnsi="Arial" w:cs="Arial"/>
          <w:b/>
          <w:sz w:val="24"/>
          <w:szCs w:val="24"/>
        </w:rPr>
      </w:pPr>
      <w:r w:rsidRPr="00172351">
        <w:rPr>
          <w:rFonts w:ascii="Arial" w:hAnsi="Arial" w:cs="Arial"/>
          <w:b/>
          <w:sz w:val="24"/>
          <w:szCs w:val="24"/>
        </w:rPr>
        <w:t>Consejero p</w:t>
      </w:r>
      <w:r w:rsidR="006E7522" w:rsidRPr="00172351">
        <w:rPr>
          <w:rFonts w:ascii="Arial" w:hAnsi="Arial" w:cs="Arial"/>
          <w:b/>
          <w:sz w:val="24"/>
          <w:szCs w:val="24"/>
        </w:rPr>
        <w:t xml:space="preserve">onente: </w:t>
      </w:r>
      <w:r w:rsidRPr="00172351">
        <w:rPr>
          <w:rFonts w:ascii="Arial" w:hAnsi="Arial" w:cs="Arial"/>
          <w:b/>
          <w:sz w:val="24"/>
          <w:szCs w:val="24"/>
        </w:rPr>
        <w:t>RAMIRO PAZOS GUERRERO</w:t>
      </w:r>
    </w:p>
    <w:p w:rsidR="006E7522" w:rsidRPr="00172351" w:rsidRDefault="006E7522" w:rsidP="00541069">
      <w:pPr>
        <w:jc w:val="center"/>
        <w:rPr>
          <w:rFonts w:ascii="Arial" w:hAnsi="Arial" w:cs="Arial"/>
          <w:b/>
          <w:sz w:val="24"/>
          <w:szCs w:val="24"/>
        </w:rPr>
      </w:pPr>
    </w:p>
    <w:p w:rsidR="006E7522" w:rsidRPr="00172351" w:rsidRDefault="006E7522" w:rsidP="00541069">
      <w:pPr>
        <w:jc w:val="both"/>
        <w:rPr>
          <w:rFonts w:ascii="Arial" w:hAnsi="Arial" w:cs="Arial"/>
          <w:sz w:val="24"/>
          <w:szCs w:val="24"/>
        </w:rPr>
      </w:pPr>
      <w:r w:rsidRPr="00172351">
        <w:rPr>
          <w:rFonts w:ascii="Arial" w:hAnsi="Arial" w:cs="Arial"/>
          <w:sz w:val="24"/>
          <w:szCs w:val="24"/>
        </w:rPr>
        <w:t>Bogotá D.C., diez (10) de marzo del dos mil diecisiete (2017)</w:t>
      </w:r>
    </w:p>
    <w:p w:rsidR="006E7522" w:rsidRPr="00172351" w:rsidRDefault="006E7522" w:rsidP="00541069">
      <w:pPr>
        <w:jc w:val="both"/>
        <w:rPr>
          <w:rFonts w:ascii="Arial" w:hAnsi="Arial" w:cs="Arial"/>
          <w:b/>
          <w:sz w:val="24"/>
          <w:szCs w:val="24"/>
        </w:rPr>
      </w:pPr>
    </w:p>
    <w:p w:rsidR="006E7522" w:rsidRPr="00172351" w:rsidRDefault="008D341D" w:rsidP="00541069">
      <w:pPr>
        <w:jc w:val="both"/>
        <w:rPr>
          <w:rFonts w:ascii="Arial" w:hAnsi="Arial" w:cs="Arial"/>
          <w:b/>
          <w:sz w:val="24"/>
          <w:szCs w:val="24"/>
        </w:rPr>
      </w:pPr>
      <w:r w:rsidRPr="00172351">
        <w:rPr>
          <w:rFonts w:ascii="Arial" w:hAnsi="Arial" w:cs="Arial"/>
          <w:b/>
          <w:sz w:val="24"/>
          <w:szCs w:val="24"/>
        </w:rPr>
        <w:t xml:space="preserve">Radicación número: </w:t>
      </w:r>
      <w:r w:rsidR="002C7E3C" w:rsidRPr="00172351">
        <w:rPr>
          <w:rFonts w:ascii="Arial" w:hAnsi="Arial" w:cs="Arial"/>
          <w:b/>
          <w:sz w:val="24"/>
          <w:szCs w:val="24"/>
        </w:rPr>
        <w:t>25000-23-26-000-2009-00480-01(43902)</w:t>
      </w:r>
    </w:p>
    <w:p w:rsidR="002C7E3C" w:rsidRPr="00172351" w:rsidRDefault="002C7E3C" w:rsidP="00541069">
      <w:pPr>
        <w:jc w:val="both"/>
        <w:rPr>
          <w:rFonts w:ascii="Arial" w:hAnsi="Arial" w:cs="Arial"/>
          <w:b/>
          <w:sz w:val="24"/>
          <w:szCs w:val="24"/>
        </w:rPr>
      </w:pPr>
    </w:p>
    <w:p w:rsidR="006E7522" w:rsidRPr="00172351" w:rsidRDefault="002C7E3C" w:rsidP="00541069">
      <w:pPr>
        <w:jc w:val="both"/>
        <w:rPr>
          <w:rFonts w:ascii="Arial" w:hAnsi="Arial" w:cs="Arial"/>
          <w:b/>
          <w:sz w:val="24"/>
          <w:szCs w:val="24"/>
        </w:rPr>
      </w:pPr>
      <w:r w:rsidRPr="00172351">
        <w:rPr>
          <w:rFonts w:ascii="Arial" w:hAnsi="Arial" w:cs="Arial"/>
          <w:b/>
          <w:sz w:val="24"/>
          <w:szCs w:val="24"/>
        </w:rPr>
        <w:t>Actor: BERTA BAQUERO DE GÓMEZ Y OTROS</w:t>
      </w:r>
    </w:p>
    <w:p w:rsidR="002C7E3C" w:rsidRPr="00172351" w:rsidRDefault="002C7E3C" w:rsidP="00541069">
      <w:pPr>
        <w:jc w:val="both"/>
        <w:rPr>
          <w:rFonts w:ascii="Arial" w:hAnsi="Arial" w:cs="Arial"/>
          <w:b/>
          <w:sz w:val="24"/>
          <w:szCs w:val="24"/>
        </w:rPr>
      </w:pPr>
    </w:p>
    <w:p w:rsidR="006E7522" w:rsidRPr="00172351" w:rsidRDefault="006E7522" w:rsidP="00541069">
      <w:pPr>
        <w:jc w:val="both"/>
        <w:rPr>
          <w:rFonts w:ascii="Arial" w:hAnsi="Arial" w:cs="Arial"/>
          <w:b/>
          <w:sz w:val="24"/>
          <w:szCs w:val="24"/>
        </w:rPr>
      </w:pPr>
      <w:r w:rsidRPr="00172351">
        <w:rPr>
          <w:rFonts w:ascii="Arial" w:hAnsi="Arial" w:cs="Arial"/>
          <w:b/>
          <w:sz w:val="24"/>
          <w:szCs w:val="24"/>
        </w:rPr>
        <w:t>Demandado:</w:t>
      </w:r>
      <w:r w:rsidR="002C7E3C" w:rsidRPr="00172351">
        <w:rPr>
          <w:rFonts w:ascii="Arial" w:hAnsi="Arial" w:cs="Arial"/>
          <w:b/>
          <w:sz w:val="24"/>
          <w:szCs w:val="24"/>
        </w:rPr>
        <w:t xml:space="preserve"> NACIÓN - FISCALÍA GENERAL DE LA NACIÓN Y OTROS</w:t>
      </w:r>
    </w:p>
    <w:p w:rsidR="002C7E3C" w:rsidRPr="00172351" w:rsidRDefault="002C7E3C" w:rsidP="00541069">
      <w:pPr>
        <w:jc w:val="both"/>
        <w:rPr>
          <w:rFonts w:ascii="Arial" w:hAnsi="Arial" w:cs="Arial"/>
          <w:b/>
          <w:sz w:val="24"/>
          <w:szCs w:val="24"/>
        </w:rPr>
      </w:pPr>
    </w:p>
    <w:p w:rsidR="002C7E3C" w:rsidRPr="00172351" w:rsidRDefault="002C7E3C" w:rsidP="00541069">
      <w:pPr>
        <w:jc w:val="both"/>
        <w:rPr>
          <w:rFonts w:ascii="Arial" w:hAnsi="Arial" w:cs="Arial"/>
          <w:b/>
          <w:sz w:val="24"/>
          <w:szCs w:val="24"/>
        </w:rPr>
      </w:pPr>
    </w:p>
    <w:p w:rsidR="006E7522" w:rsidRPr="00172351" w:rsidRDefault="002C7E3C" w:rsidP="00541069">
      <w:pPr>
        <w:jc w:val="both"/>
        <w:rPr>
          <w:rFonts w:ascii="Arial" w:hAnsi="Arial" w:cs="Arial"/>
          <w:b/>
          <w:sz w:val="24"/>
          <w:szCs w:val="24"/>
        </w:rPr>
      </w:pPr>
      <w:r w:rsidRPr="00172351">
        <w:rPr>
          <w:rFonts w:ascii="Arial" w:hAnsi="Arial" w:cs="Arial"/>
          <w:b/>
          <w:sz w:val="24"/>
          <w:szCs w:val="24"/>
        </w:rPr>
        <w:t>Referencia</w:t>
      </w:r>
      <w:r w:rsidR="006E7522" w:rsidRPr="00172351">
        <w:rPr>
          <w:rFonts w:ascii="Arial" w:hAnsi="Arial" w:cs="Arial"/>
          <w:b/>
          <w:sz w:val="24"/>
          <w:szCs w:val="24"/>
        </w:rPr>
        <w:t>:</w:t>
      </w:r>
      <w:r w:rsidRPr="00172351">
        <w:rPr>
          <w:rFonts w:ascii="Arial" w:hAnsi="Arial" w:cs="Arial"/>
          <w:b/>
          <w:sz w:val="24"/>
          <w:szCs w:val="24"/>
        </w:rPr>
        <w:t xml:space="preserve"> ACCIÓN DE REPARACIÓN DIRECTA</w:t>
      </w:r>
    </w:p>
    <w:p w:rsidR="002C7E3C" w:rsidRPr="00172351" w:rsidRDefault="002C7E3C" w:rsidP="00541069">
      <w:pPr>
        <w:jc w:val="both"/>
        <w:rPr>
          <w:rFonts w:ascii="Arial" w:hAnsi="Arial" w:cs="Arial"/>
          <w:b/>
          <w:sz w:val="24"/>
          <w:szCs w:val="24"/>
        </w:rPr>
      </w:pPr>
    </w:p>
    <w:p w:rsidR="006E7522" w:rsidRPr="00172351" w:rsidRDefault="006E7522" w:rsidP="00541069">
      <w:pPr>
        <w:jc w:val="both"/>
        <w:rPr>
          <w:rFonts w:ascii="Arial" w:hAnsi="Arial" w:cs="Arial"/>
          <w:b/>
          <w:sz w:val="24"/>
          <w:szCs w:val="24"/>
        </w:rPr>
      </w:pPr>
    </w:p>
    <w:p w:rsidR="006E7522" w:rsidRPr="00172351" w:rsidRDefault="006E7522" w:rsidP="008D341D">
      <w:pPr>
        <w:jc w:val="both"/>
        <w:rPr>
          <w:rFonts w:ascii="Arial" w:hAnsi="Arial" w:cs="Arial"/>
          <w:b/>
          <w:sz w:val="24"/>
          <w:szCs w:val="24"/>
        </w:rPr>
      </w:pPr>
    </w:p>
    <w:p w:rsidR="006E7522" w:rsidRPr="00172351" w:rsidRDefault="006E7522" w:rsidP="006E7522">
      <w:pPr>
        <w:pStyle w:val="Textoindependiente"/>
        <w:rPr>
          <w:sz w:val="26"/>
          <w:szCs w:val="26"/>
        </w:rPr>
      </w:pPr>
      <w:r w:rsidRPr="00172351">
        <w:rPr>
          <w:i/>
          <w:lang w:val="es-CO" w:eastAsia="es-ES"/>
        </w:rPr>
        <w:t>Temas: Acción de reparación directa. Privación injusta de la libertad por el delito de violación al régimen legal o constitucional de inhabilidades e incompatibilidades. Imputación del daño, régimen objetivo. Culpa exclusiva y determinante de la víctima.</w:t>
      </w:r>
    </w:p>
    <w:p w:rsidR="006E7522" w:rsidRPr="00172351" w:rsidRDefault="006E7522" w:rsidP="006E7522">
      <w:pPr>
        <w:pStyle w:val="Textoindependiente"/>
        <w:rPr>
          <w:sz w:val="26"/>
          <w:szCs w:val="26"/>
        </w:rPr>
      </w:pPr>
    </w:p>
    <w:p w:rsidR="006E7522" w:rsidRPr="00172351" w:rsidRDefault="006E7522" w:rsidP="006E7522">
      <w:pPr>
        <w:pStyle w:val="Textoindependiente"/>
        <w:rPr>
          <w:sz w:val="26"/>
          <w:szCs w:val="26"/>
        </w:rPr>
      </w:pPr>
    </w:p>
    <w:p w:rsidR="006E7522" w:rsidRPr="00172351" w:rsidRDefault="006E7522" w:rsidP="006E7522">
      <w:pPr>
        <w:pStyle w:val="Puesto"/>
        <w:widowControl w:val="0"/>
        <w:spacing w:line="360" w:lineRule="auto"/>
        <w:jc w:val="both"/>
        <w:rPr>
          <w:b w:val="0"/>
          <w:bCs w:val="0"/>
          <w:sz w:val="26"/>
          <w:szCs w:val="26"/>
        </w:rPr>
      </w:pPr>
      <w:r w:rsidRPr="00172351">
        <w:rPr>
          <w:b w:val="0"/>
          <w:bCs w:val="0"/>
          <w:sz w:val="26"/>
          <w:szCs w:val="26"/>
        </w:rPr>
        <w:t xml:space="preserve">Corresponde a la Sala decidir el recurso de apelación interpuesto el 24 de febrero de 2012 por la parte demandante contra la sentencia del 30 de noviembre de 2011, proferida por el </w:t>
      </w:r>
      <w:r w:rsidRPr="00172351">
        <w:rPr>
          <w:b w:val="0"/>
          <w:sz w:val="26"/>
          <w:szCs w:val="26"/>
        </w:rPr>
        <w:t>Tribunal Administrativo de Cundinamarca</w:t>
      </w:r>
      <w:r w:rsidRPr="00172351">
        <w:rPr>
          <w:b w:val="0"/>
          <w:bCs w:val="0"/>
          <w:sz w:val="26"/>
          <w:szCs w:val="26"/>
        </w:rPr>
        <w:t xml:space="preserve">, Sección Tercera, Subsección C en Descongestión por medio de la cual negó las pretensiones de la demanda. La sentencia será confirmada. </w:t>
      </w:r>
    </w:p>
    <w:p w:rsidR="006E7522" w:rsidRPr="00172351" w:rsidRDefault="006E7522" w:rsidP="006E7522">
      <w:pPr>
        <w:pStyle w:val="Puesto"/>
        <w:widowControl w:val="0"/>
        <w:spacing w:line="360" w:lineRule="auto"/>
        <w:jc w:val="both"/>
        <w:rPr>
          <w:b w:val="0"/>
          <w:bCs w:val="0"/>
          <w:sz w:val="26"/>
          <w:szCs w:val="26"/>
        </w:rPr>
      </w:pPr>
    </w:p>
    <w:p w:rsidR="006E7522" w:rsidRPr="00172351" w:rsidRDefault="006E7522" w:rsidP="006E7522">
      <w:pPr>
        <w:widowControl w:val="0"/>
        <w:spacing w:line="360" w:lineRule="auto"/>
        <w:ind w:left="360"/>
        <w:jc w:val="center"/>
        <w:rPr>
          <w:rFonts w:ascii="Arial" w:hAnsi="Arial" w:cs="Arial"/>
          <w:b/>
          <w:bCs/>
          <w:sz w:val="26"/>
          <w:szCs w:val="26"/>
        </w:rPr>
      </w:pPr>
      <w:r w:rsidRPr="00172351">
        <w:rPr>
          <w:rFonts w:ascii="Arial" w:hAnsi="Arial" w:cs="Arial"/>
          <w:b/>
          <w:bCs/>
          <w:sz w:val="26"/>
          <w:szCs w:val="26"/>
        </w:rPr>
        <w:t>SÍNTESIS DEL CASO</w:t>
      </w:r>
    </w:p>
    <w:p w:rsidR="006E7522" w:rsidRPr="00172351" w:rsidRDefault="006E7522" w:rsidP="006E7522">
      <w:pPr>
        <w:spacing w:line="360" w:lineRule="auto"/>
        <w:rPr>
          <w:rFonts w:ascii="Arial" w:hAnsi="Arial" w:cs="Arial"/>
          <w:sz w:val="26"/>
          <w:szCs w:val="26"/>
        </w:rPr>
      </w:pPr>
    </w:p>
    <w:p w:rsidR="006E7522" w:rsidRPr="00172351" w:rsidRDefault="006E7522" w:rsidP="006E7522">
      <w:pPr>
        <w:spacing w:line="360" w:lineRule="auto"/>
        <w:jc w:val="both"/>
        <w:rPr>
          <w:rFonts w:ascii="Arial" w:hAnsi="Arial" w:cs="Arial"/>
          <w:sz w:val="26"/>
          <w:szCs w:val="26"/>
        </w:rPr>
      </w:pPr>
      <w:r w:rsidRPr="00172351">
        <w:rPr>
          <w:rFonts w:ascii="Arial" w:hAnsi="Arial" w:cs="Arial"/>
          <w:sz w:val="26"/>
          <w:szCs w:val="26"/>
        </w:rPr>
        <w:t xml:space="preserve">La señora Berta Baquero fue procesada por el delito de violación al régimen legal o constitucional de inhabilidades e incompatibilidades, por cuanto celebró contratos de suministro con el municipio de Silvania, cuando su esposo era concejal de este municipio. El Juzgado Primero Civil del Circuito </w:t>
      </w:r>
      <w:r w:rsidRPr="00172351">
        <w:rPr>
          <w:rFonts w:ascii="Arial" w:hAnsi="Arial" w:cs="Arial"/>
          <w:sz w:val="26"/>
          <w:szCs w:val="26"/>
        </w:rPr>
        <w:lastRenderedPageBreak/>
        <w:t xml:space="preserve">de Fusagasugá, Cundinamarca, condenó a la procesada a 66 meses de prisión. La sentencia condenatoria fue confirmada en segunda instancia por el Tribunal Superior del Distrito Judicial de Cundinamarca y no casada por la Corte Suprema de Justica. Sin embargo, mediante recurso extraordinario de revisión, la Sala de conjueces de la Corte Suprema de Justicia decretó la cesación de procedimiento por prescripción de la acción penal, por cuanto para el momento en que se notificó la sentencia de casación, la acción ya se encontraba prescrita.  </w:t>
      </w:r>
    </w:p>
    <w:p w:rsidR="006E7522" w:rsidRPr="00172351" w:rsidRDefault="006E7522" w:rsidP="006E7522">
      <w:pPr>
        <w:rPr>
          <w:rFonts w:ascii="Arial" w:hAnsi="Arial" w:cs="Arial"/>
          <w:sz w:val="26"/>
          <w:szCs w:val="26"/>
        </w:rPr>
      </w:pPr>
    </w:p>
    <w:p w:rsidR="006E7522" w:rsidRPr="00172351" w:rsidRDefault="006E7522" w:rsidP="006E7522">
      <w:pPr>
        <w:pStyle w:val="Prrafodelista"/>
        <w:tabs>
          <w:tab w:val="left" w:pos="3261"/>
          <w:tab w:val="left" w:pos="3544"/>
        </w:tabs>
        <w:ind w:left="1080"/>
        <w:contextualSpacing/>
        <w:jc w:val="center"/>
        <w:rPr>
          <w:rFonts w:ascii="Arial" w:hAnsi="Arial" w:cs="Arial"/>
          <w:b/>
          <w:sz w:val="26"/>
          <w:szCs w:val="26"/>
        </w:rPr>
      </w:pPr>
      <w:r w:rsidRPr="00172351">
        <w:rPr>
          <w:rFonts w:ascii="Arial" w:hAnsi="Arial" w:cs="Arial"/>
          <w:b/>
          <w:sz w:val="26"/>
          <w:szCs w:val="26"/>
        </w:rPr>
        <w:t>ANTECEDENTES</w:t>
      </w:r>
    </w:p>
    <w:p w:rsidR="006E7522" w:rsidRPr="00172351" w:rsidRDefault="006E7522" w:rsidP="006E7522">
      <w:pPr>
        <w:pStyle w:val="Prrafodelista"/>
        <w:tabs>
          <w:tab w:val="left" w:pos="3544"/>
        </w:tabs>
        <w:ind w:left="1080"/>
        <w:rPr>
          <w:rFonts w:ascii="Arial" w:hAnsi="Arial" w:cs="Arial"/>
          <w:b/>
          <w:sz w:val="26"/>
          <w:szCs w:val="26"/>
        </w:rPr>
      </w:pPr>
    </w:p>
    <w:p w:rsidR="006E7522" w:rsidRPr="00172351" w:rsidRDefault="006E7522" w:rsidP="006E7522">
      <w:pPr>
        <w:pStyle w:val="Prrafodelista"/>
        <w:tabs>
          <w:tab w:val="left" w:pos="3544"/>
        </w:tabs>
        <w:ind w:left="1080"/>
        <w:rPr>
          <w:rFonts w:ascii="Arial" w:hAnsi="Arial" w:cs="Arial"/>
          <w:b/>
          <w:sz w:val="26"/>
          <w:szCs w:val="26"/>
        </w:rPr>
      </w:pPr>
    </w:p>
    <w:p w:rsidR="006E7522" w:rsidRPr="00172351" w:rsidRDefault="006E7522" w:rsidP="006E7522">
      <w:pPr>
        <w:pStyle w:val="Textoindependiente"/>
        <w:numPr>
          <w:ilvl w:val="0"/>
          <w:numId w:val="2"/>
        </w:numPr>
        <w:tabs>
          <w:tab w:val="left" w:pos="426"/>
        </w:tabs>
        <w:overflowPunct/>
        <w:autoSpaceDE/>
        <w:autoSpaceDN/>
        <w:adjustRightInd/>
        <w:ind w:left="0" w:firstLine="0"/>
        <w:textAlignment w:val="auto"/>
        <w:rPr>
          <w:sz w:val="26"/>
          <w:szCs w:val="26"/>
          <w:lang w:val="es-ES_tradnl"/>
        </w:rPr>
      </w:pPr>
      <w:r w:rsidRPr="00172351">
        <w:rPr>
          <w:sz w:val="26"/>
          <w:szCs w:val="26"/>
        </w:rPr>
        <w:t>Mediante escrito presentado el 2 de septiembre del 2008 (f. 1 – 20, c.1), la señora Berta Baquero de Gómez, Blanoly Gómez Baquero, Zulayth Angélica Mariana Gómez Baquero, Hollman Antonio Gómez Baquero y la sucesión de Antonio Gerardino Gómez Gutiérrez, a través de apoderado judicial debidamente constituido (f. 1, c.1), en ejercicio de la acción de reparación directa prevista en el artículo 86 del C.C.A., formularon demanda contra la Nación - Fiscalía General de la Nación y la Nación – Rama Judicial por los perjuicios morales y materiales ocasionados con la privación injusta de la libertad a la que fue sometida la señora Berta Baquero de Gómez.</w:t>
      </w:r>
    </w:p>
    <w:p w:rsidR="006E7522" w:rsidRPr="00172351" w:rsidRDefault="006E7522" w:rsidP="006E7522">
      <w:pPr>
        <w:pStyle w:val="Textoindependiente"/>
        <w:tabs>
          <w:tab w:val="left" w:pos="426"/>
        </w:tabs>
        <w:overflowPunct/>
        <w:autoSpaceDE/>
        <w:autoSpaceDN/>
        <w:adjustRightInd/>
        <w:textAlignment w:val="auto"/>
        <w:rPr>
          <w:sz w:val="26"/>
          <w:szCs w:val="26"/>
          <w:lang w:val="es-ES_tradnl"/>
        </w:rPr>
      </w:pPr>
    </w:p>
    <w:p w:rsidR="006E7522" w:rsidRPr="00172351" w:rsidRDefault="006E7522" w:rsidP="006E7522">
      <w:pPr>
        <w:pStyle w:val="Textoindependiente"/>
        <w:numPr>
          <w:ilvl w:val="1"/>
          <w:numId w:val="2"/>
        </w:numPr>
        <w:tabs>
          <w:tab w:val="left" w:pos="284"/>
          <w:tab w:val="left" w:pos="567"/>
        </w:tabs>
        <w:overflowPunct/>
        <w:autoSpaceDE/>
        <w:autoSpaceDN/>
        <w:adjustRightInd/>
        <w:ind w:left="0" w:firstLine="0"/>
        <w:textAlignment w:val="auto"/>
        <w:rPr>
          <w:sz w:val="26"/>
          <w:szCs w:val="26"/>
          <w:lang w:val="es-ES_tradnl"/>
        </w:rPr>
      </w:pPr>
      <w:r w:rsidRPr="00172351">
        <w:rPr>
          <w:sz w:val="26"/>
          <w:szCs w:val="26"/>
          <w:lang w:val="es-ES_tradnl"/>
        </w:rPr>
        <w:t>En consecuencia, solicitaron se hicieran las siguientes declaraciones y condenas:</w:t>
      </w:r>
    </w:p>
    <w:p w:rsidR="006E7522" w:rsidRPr="00172351" w:rsidRDefault="006E7522" w:rsidP="006E7522">
      <w:pPr>
        <w:pStyle w:val="Textoindependiente"/>
        <w:rPr>
          <w:b/>
          <w:u w:val="single"/>
        </w:rPr>
      </w:pPr>
    </w:p>
    <w:p w:rsidR="006E7522" w:rsidRPr="00172351" w:rsidRDefault="006E7522" w:rsidP="006E7522">
      <w:pPr>
        <w:pStyle w:val="Textoindependiente"/>
        <w:spacing w:line="240" w:lineRule="auto"/>
        <w:ind w:left="851" w:right="851"/>
        <w:rPr>
          <w:i/>
        </w:rPr>
      </w:pPr>
      <w:r w:rsidRPr="00172351">
        <w:rPr>
          <w:i/>
          <w:u w:val="single"/>
        </w:rPr>
        <w:t>PRIMERA</w:t>
      </w:r>
      <w:r w:rsidRPr="00172351">
        <w:rPr>
          <w:i/>
        </w:rPr>
        <w:t xml:space="preserve">: Que </w:t>
      </w:r>
      <w:r w:rsidRPr="00172351">
        <w:rPr>
          <w:b/>
          <w:i/>
        </w:rPr>
        <w:t>La Nación – FISCALÍA GENERAL DE LA NACIÓN- y LA DIRECCIÓN EJECUTIVA DE ADMINISTRACIÓN JUDICIAL, son solidaria y administrativamente responsables, de los perjuicios materiales, y morales sufridos por los demandantes señores BERTA BAQUERO DE GÓMEZ, ANTONIO GERARDINO GÓMEZ GUTIÉRREZ, BLANOLY GÓMEZ BAQUERO, ZULAYTH ANGÉLICA GÓMEZ BAQUERO y HOLLMAN ANTONIO GÓMEZ BAQUERO</w:t>
      </w:r>
      <w:r w:rsidRPr="00172351">
        <w:rPr>
          <w:i/>
        </w:rPr>
        <w:t xml:space="preserve">, originados tanto por FALLA EN EL SERVICIO JUDICIAL, por DEFECTUOSO FUNCIONAMIENTO DE LA ADMINISTRACIÓN JUDICIAL, ERROR JURISDICCIONAL y por la PRIVACIÓN INJUSTA DE LA LIBERTAD, de que fue víctima directa la señora BERTA BAQUERO DE GÓMEZ, dentro del proceso penal N°. 2000-219, del cual conoció la Fiscalía Quinta Seccional de la Unidad de Delitos contra la Administración Pública y el Medio Ambiente, el Juzgado Penal del Circuito de Fusagasugá Cundinamarca, la Sala de Decisión </w:t>
      </w:r>
      <w:r w:rsidRPr="00172351">
        <w:rPr>
          <w:i/>
        </w:rPr>
        <w:lastRenderedPageBreak/>
        <w:t>Penal del Tribunal Superior del Distrito Judicial de Cundinamarca y la Sala Penal de la Corte Suprema de Justicia.</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Que como consecuencia de lo anterior,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b/>
          <w:i/>
          <w:u w:val="single"/>
        </w:rPr>
        <w:t>SEGUNDA</w:t>
      </w:r>
      <w:r w:rsidRPr="00172351">
        <w:rPr>
          <w:b/>
          <w:i/>
        </w:rPr>
        <w:t>:</w:t>
      </w:r>
      <w:r w:rsidRPr="00172351">
        <w:rPr>
          <w:i/>
        </w:rPr>
        <w:t xml:space="preserve"> Se </w:t>
      </w:r>
      <w:r w:rsidRPr="00172351">
        <w:rPr>
          <w:b/>
          <w:i/>
          <w:u w:val="single"/>
        </w:rPr>
        <w:t>CONDENE</w:t>
      </w:r>
      <w:r w:rsidRPr="00172351">
        <w:rPr>
          <w:i/>
        </w:rPr>
        <w:t xml:space="preserve"> a </w:t>
      </w:r>
      <w:r w:rsidRPr="00172351">
        <w:rPr>
          <w:b/>
          <w:i/>
        </w:rPr>
        <w:t xml:space="preserve">La Nación – FISCALÍA GENERAL DE LA NACIÓN- y LA DIRECCIÓN EJECUTIVA DE ADMINISTRACIÓN JUDICIAL, </w:t>
      </w:r>
      <w:r w:rsidRPr="00172351">
        <w:rPr>
          <w:i/>
        </w:rPr>
        <w:t>a pagar a la accionante, señora BERTA BAQUERO DE GÓMEZ:</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1. Por concepto de </w:t>
      </w:r>
      <w:r w:rsidRPr="00172351">
        <w:rPr>
          <w:b/>
          <w:i/>
          <w:u w:val="single"/>
        </w:rPr>
        <w:t>PERJUICIOS MORALES,</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2. Por concepto de </w:t>
      </w:r>
      <w:r w:rsidRPr="00172351">
        <w:rPr>
          <w:b/>
          <w:i/>
          <w:u w:val="single"/>
        </w:rPr>
        <w:t>DAÑO A LA VIDA DE RELACIÓN,</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Prrafodelista"/>
        <w:ind w:left="851" w:right="851"/>
        <w:rPr>
          <w:rFonts w:ascii="Arial" w:hAnsi="Arial" w:cs="Arial"/>
          <w:i/>
        </w:rPr>
      </w:pPr>
    </w:p>
    <w:p w:rsidR="006E7522" w:rsidRPr="00172351" w:rsidRDefault="006E7522" w:rsidP="006E7522">
      <w:pPr>
        <w:pStyle w:val="Textoindependiente"/>
        <w:spacing w:line="240" w:lineRule="auto"/>
        <w:ind w:left="851" w:right="851"/>
        <w:rPr>
          <w:i/>
        </w:rPr>
      </w:pPr>
      <w:r w:rsidRPr="00172351">
        <w:rPr>
          <w:i/>
        </w:rPr>
        <w:t xml:space="preserve">3. Por concepto de </w:t>
      </w:r>
      <w:r w:rsidRPr="00172351">
        <w:rPr>
          <w:b/>
          <w:i/>
          <w:u w:val="single"/>
        </w:rPr>
        <w:t>DAÑOS MATERIALES</w:t>
      </w:r>
      <w:r w:rsidRPr="00172351">
        <w:rPr>
          <w:i/>
        </w:rPr>
        <w:t xml:space="preserve">, en la modalidad de </w:t>
      </w:r>
      <w:r w:rsidRPr="00172351">
        <w:rPr>
          <w:i/>
          <w:u w:val="single"/>
        </w:rPr>
        <w:t>DAÑO EMERGENTE,</w:t>
      </w:r>
      <w:r w:rsidRPr="00172351">
        <w:rPr>
          <w:i/>
        </w:rPr>
        <w:t xml:space="preserve"> la suma de </w:t>
      </w:r>
      <w:r w:rsidRPr="00172351">
        <w:rPr>
          <w:b/>
          <w:i/>
        </w:rPr>
        <w:t>TREINTA Y TRES MILLONES DE PESOS ($33.000.000) m/cte</w:t>
      </w:r>
      <w:r w:rsidRPr="00172351">
        <w:rPr>
          <w:i/>
        </w:rPr>
        <w:t xml:space="preserve">, conformado por: </w:t>
      </w:r>
      <w:r w:rsidRPr="00172351">
        <w:rPr>
          <w:b/>
          <w:i/>
        </w:rPr>
        <w:t>A)</w:t>
      </w:r>
      <w:r w:rsidRPr="00172351">
        <w:rPr>
          <w:b/>
          <w:i/>
          <w:u w:val="single"/>
        </w:rPr>
        <w:t xml:space="preserve"> CINCO MILLONES DE PESOS ($5.000.000)</w:t>
      </w:r>
      <w:r w:rsidRPr="00172351">
        <w:rPr>
          <w:b/>
          <w:i/>
        </w:rPr>
        <w:t xml:space="preserve">, </w:t>
      </w:r>
      <w:r w:rsidRPr="00172351">
        <w:rPr>
          <w:i/>
        </w:rPr>
        <w:t>correspondientes</w:t>
      </w:r>
      <w:r w:rsidRPr="00172351">
        <w:rPr>
          <w:b/>
          <w:i/>
        </w:rPr>
        <w:t xml:space="preserve"> </w:t>
      </w:r>
      <w:r w:rsidRPr="00172351">
        <w:rPr>
          <w:i/>
        </w:rPr>
        <w:t xml:space="preserve">a los honorarios de abogado pagado al Dr. CARLOS ANFONSO CABRA GUTIERREZ para el ejercicio de la defensa técnica dentro del referido proceso penal. Valor que deberá ser indexado y/o reajustado, para la época en que se produzca la sentencia respectiva. </w:t>
      </w:r>
      <w:r w:rsidRPr="00172351">
        <w:rPr>
          <w:b/>
          <w:i/>
          <w:u w:val="single"/>
        </w:rPr>
        <w:t>B) VEINTIOCHO MILLONES DE PESOS ($28.000.000) m/cte.,</w:t>
      </w:r>
      <w:r w:rsidRPr="00172351">
        <w:rPr>
          <w:b/>
          <w:i/>
        </w:rPr>
        <w:t xml:space="preserve"> </w:t>
      </w:r>
      <w:r w:rsidRPr="00172351">
        <w:rPr>
          <w:i/>
        </w:rPr>
        <w:t xml:space="preserve">representados en el apartamento que la señora BERTA tuvo que dar en dación de pago a la Corporación AVVILLAS, dentro del proceso hipotecario que fue adelantado ante el Juzgado Unidad Judicial Municipal de Silvania Cundinamarca </w:t>
      </w:r>
      <w:r w:rsidRPr="00172351">
        <w:t xml:space="preserve">(sic) </w:t>
      </w:r>
      <w:r w:rsidRPr="00172351">
        <w:rPr>
          <w:i/>
        </w:rPr>
        <w:t xml:space="preserve">y en su contra. </w:t>
      </w:r>
    </w:p>
    <w:p w:rsidR="006E7522" w:rsidRPr="00172351" w:rsidRDefault="006E7522" w:rsidP="006E7522">
      <w:pPr>
        <w:pStyle w:val="Prrafodelista"/>
        <w:ind w:left="851" w:right="851"/>
        <w:rPr>
          <w:rFonts w:ascii="Arial" w:hAnsi="Arial" w:cs="Arial"/>
          <w:i/>
        </w:rPr>
      </w:pPr>
    </w:p>
    <w:p w:rsidR="006E7522" w:rsidRPr="00172351" w:rsidRDefault="006E7522" w:rsidP="006E7522">
      <w:pPr>
        <w:pStyle w:val="Textoindependiente"/>
        <w:spacing w:line="240" w:lineRule="auto"/>
        <w:ind w:left="851" w:right="851"/>
        <w:rPr>
          <w:i/>
        </w:rPr>
      </w:pPr>
      <w:r w:rsidRPr="00172351">
        <w:rPr>
          <w:i/>
        </w:rPr>
        <w:t xml:space="preserve">4. Por concepto de </w:t>
      </w:r>
      <w:r w:rsidRPr="00172351">
        <w:rPr>
          <w:b/>
          <w:i/>
          <w:u w:val="single"/>
        </w:rPr>
        <w:t>DAÑOS MATERIALES</w:t>
      </w:r>
      <w:r w:rsidRPr="00172351">
        <w:rPr>
          <w:i/>
        </w:rPr>
        <w:t xml:space="preserve">, en la modalidad de </w:t>
      </w:r>
      <w:r w:rsidRPr="00172351">
        <w:rPr>
          <w:i/>
          <w:u w:val="single"/>
        </w:rPr>
        <w:t>LUCRO CESANTE</w:t>
      </w:r>
      <w:r w:rsidRPr="00172351">
        <w:rPr>
          <w:i/>
        </w:rPr>
        <w:t xml:space="preserve">, la suma de </w:t>
      </w:r>
      <w:r w:rsidRPr="00172351">
        <w:rPr>
          <w:b/>
          <w:i/>
        </w:rPr>
        <w:t>TREINTA Y NUEVE MILLONES SETECIENTOS TREINTA Y TRES MIL TRESCIENTOS TREINTA Y TRES PESOS ($39.733.333),</w:t>
      </w:r>
      <w:r w:rsidRPr="00172351">
        <w:rPr>
          <w:i/>
        </w:rPr>
        <w:t xml:space="preserve"> correspondiente a los ingresos dejados de percibir, con ocasión de su actividad comercial, en razón de $800.000 mensuales, por los CUATRO AÑOS, UN MES Y VEINTE DÍAS que duró privada, efectivamente, de la libertad (20 de octubre de 1997 a 28 de noviembre de 2001), o al mayor valor que resulte probado. Valor que deberá ser indexado y/o reajustado, para la época en que se produzca la sentencia respectiva.</w:t>
      </w:r>
    </w:p>
    <w:p w:rsidR="006E7522" w:rsidRPr="00172351" w:rsidRDefault="006E7522" w:rsidP="006E7522">
      <w:pPr>
        <w:pStyle w:val="Prrafodelista"/>
        <w:ind w:left="851" w:right="851"/>
        <w:rPr>
          <w:rFonts w:ascii="Arial" w:hAnsi="Arial" w:cs="Arial"/>
          <w:i/>
        </w:rPr>
      </w:pPr>
    </w:p>
    <w:p w:rsidR="006E7522" w:rsidRPr="00172351" w:rsidRDefault="006E7522" w:rsidP="006E7522">
      <w:pPr>
        <w:pStyle w:val="Textoindependiente"/>
        <w:spacing w:line="240" w:lineRule="auto"/>
        <w:ind w:left="851" w:right="851"/>
        <w:rPr>
          <w:i/>
          <w:u w:val="single"/>
        </w:rPr>
      </w:pPr>
      <w:r w:rsidRPr="00172351">
        <w:rPr>
          <w:b/>
          <w:i/>
          <w:u w:val="single"/>
        </w:rPr>
        <w:t>TERCERA</w:t>
      </w:r>
      <w:r w:rsidRPr="00172351">
        <w:rPr>
          <w:b/>
          <w:i/>
        </w:rPr>
        <w:t xml:space="preserve">: </w:t>
      </w:r>
      <w:r w:rsidRPr="00172351">
        <w:rPr>
          <w:i/>
        </w:rPr>
        <w:t xml:space="preserve">Se </w:t>
      </w:r>
      <w:r w:rsidRPr="00172351">
        <w:rPr>
          <w:b/>
          <w:i/>
          <w:u w:val="single"/>
        </w:rPr>
        <w:t>CONDENE</w:t>
      </w:r>
      <w:r w:rsidRPr="00172351">
        <w:rPr>
          <w:i/>
        </w:rPr>
        <w:t xml:space="preserve"> a </w:t>
      </w:r>
      <w:r w:rsidRPr="00172351">
        <w:rPr>
          <w:b/>
          <w:i/>
        </w:rPr>
        <w:t>La Nación – FISCALÍA GENERAL DE LA NACIÓN- y LA DIRECCIÓN EJECUTIVA DE ADMINISTRACIÓN JUDICIAL</w:t>
      </w:r>
      <w:r w:rsidRPr="00172351">
        <w:rPr>
          <w:i/>
        </w:rPr>
        <w:t xml:space="preserve">, a pagar a la sucesión de </w:t>
      </w:r>
      <w:r w:rsidRPr="00172351">
        <w:rPr>
          <w:b/>
          <w:i/>
        </w:rPr>
        <w:t>ANTONIO GERARDINO GÓMEZ GUTIERREZ</w:t>
      </w:r>
      <w:r w:rsidRPr="00172351">
        <w:rPr>
          <w:i/>
        </w:rPr>
        <w:t xml:space="preserve">, representada por sus herederos señores </w:t>
      </w:r>
      <w:r w:rsidRPr="00172351">
        <w:rPr>
          <w:i/>
          <w:u w:val="single"/>
        </w:rPr>
        <w:t xml:space="preserve">BERTA BAQUERO DE GÓMEZ, (en calidad de cónyuge supérstite), BLANOLY GÓMEZ BAQUERO, ZULAYTH </w:t>
      </w:r>
      <w:r w:rsidRPr="00172351">
        <w:rPr>
          <w:i/>
          <w:u w:val="single"/>
        </w:rPr>
        <w:lastRenderedPageBreak/>
        <w:t>ANGÉLICA MARIANA GÓMEZ BAQUERO y HOLLMAN ANTONIO GÓMEZ BAQUERO (en calidad de hijos):</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1. Por concepto de </w:t>
      </w:r>
      <w:r w:rsidRPr="00172351">
        <w:rPr>
          <w:b/>
          <w:i/>
          <w:u w:val="single"/>
        </w:rPr>
        <w:t>PERJUICIOS MORALES,</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tabs>
          <w:tab w:val="left" w:pos="993"/>
          <w:tab w:val="left" w:pos="1134"/>
        </w:tabs>
        <w:spacing w:line="240" w:lineRule="auto"/>
        <w:ind w:left="851" w:right="851"/>
        <w:rPr>
          <w:i/>
        </w:rPr>
      </w:pPr>
      <w:r w:rsidRPr="00172351">
        <w:rPr>
          <w:i/>
        </w:rPr>
        <w:t xml:space="preserve">2. Por concepto de </w:t>
      </w:r>
      <w:r w:rsidRPr="00172351">
        <w:rPr>
          <w:b/>
          <w:i/>
          <w:u w:val="single"/>
        </w:rPr>
        <w:t>DAÑO A LA VIDA DE RELACIÓN,</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tabs>
          <w:tab w:val="left" w:pos="993"/>
          <w:tab w:val="left" w:pos="1134"/>
        </w:tabs>
        <w:spacing w:line="240" w:lineRule="auto"/>
        <w:ind w:left="851" w:right="851"/>
        <w:rPr>
          <w:i/>
        </w:rPr>
      </w:pPr>
    </w:p>
    <w:p w:rsidR="006E7522" w:rsidRPr="00172351" w:rsidRDefault="006E7522" w:rsidP="006E7522">
      <w:pPr>
        <w:pStyle w:val="Textoindependiente"/>
        <w:spacing w:line="240" w:lineRule="auto"/>
        <w:ind w:left="851" w:right="851"/>
        <w:rPr>
          <w:i/>
          <w:u w:val="single"/>
        </w:rPr>
      </w:pPr>
      <w:r w:rsidRPr="00172351">
        <w:rPr>
          <w:b/>
          <w:i/>
          <w:u w:val="single"/>
        </w:rPr>
        <w:t>CUARTA</w:t>
      </w:r>
      <w:r w:rsidRPr="00172351">
        <w:rPr>
          <w:b/>
          <w:i/>
        </w:rPr>
        <w:t xml:space="preserve">: </w:t>
      </w:r>
      <w:r w:rsidRPr="00172351">
        <w:rPr>
          <w:i/>
        </w:rPr>
        <w:t xml:space="preserve">Se </w:t>
      </w:r>
      <w:r w:rsidRPr="00172351">
        <w:rPr>
          <w:b/>
          <w:i/>
          <w:u w:val="single"/>
        </w:rPr>
        <w:t>CONDENE</w:t>
      </w:r>
      <w:r w:rsidRPr="00172351">
        <w:rPr>
          <w:i/>
        </w:rPr>
        <w:t xml:space="preserve"> a </w:t>
      </w:r>
      <w:r w:rsidRPr="00172351">
        <w:rPr>
          <w:b/>
          <w:i/>
        </w:rPr>
        <w:t>La Nación – FISCALÍA GENERAL DE LA NACIÓN- y LA DIRECCIÓN EJECUTIVA DE ADMINISTRACIÓN JUDICIAL</w:t>
      </w:r>
      <w:r w:rsidRPr="00172351">
        <w:rPr>
          <w:i/>
        </w:rPr>
        <w:t xml:space="preserve">, a pagar a la accionante, señora </w:t>
      </w:r>
      <w:r w:rsidRPr="00172351">
        <w:rPr>
          <w:b/>
          <w:i/>
        </w:rPr>
        <w:t>BLANOLY GÓMEZ BAQUERO:</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1. Por concepto de </w:t>
      </w:r>
      <w:r w:rsidRPr="00172351">
        <w:rPr>
          <w:b/>
          <w:i/>
          <w:u w:val="single"/>
        </w:rPr>
        <w:t>PERJUICIOS MORALES,</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tabs>
          <w:tab w:val="left" w:pos="993"/>
          <w:tab w:val="left" w:pos="1134"/>
        </w:tabs>
        <w:spacing w:line="240" w:lineRule="auto"/>
        <w:ind w:left="851" w:right="851"/>
        <w:rPr>
          <w:i/>
        </w:rPr>
      </w:pPr>
      <w:r w:rsidRPr="00172351">
        <w:rPr>
          <w:i/>
        </w:rPr>
        <w:t xml:space="preserve">2. Por concepto de </w:t>
      </w:r>
      <w:r w:rsidRPr="00172351">
        <w:rPr>
          <w:b/>
          <w:i/>
          <w:u w:val="single"/>
        </w:rPr>
        <w:t>DAÑO A LA VIDA DE RELACIÓN,</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tabs>
          <w:tab w:val="left" w:pos="993"/>
          <w:tab w:val="left" w:pos="1134"/>
        </w:tabs>
        <w:spacing w:line="240" w:lineRule="auto"/>
        <w:ind w:left="851" w:right="851"/>
        <w:rPr>
          <w:i/>
        </w:rPr>
      </w:pPr>
    </w:p>
    <w:p w:rsidR="006E7522" w:rsidRPr="00172351" w:rsidRDefault="006E7522" w:rsidP="006E7522">
      <w:pPr>
        <w:pStyle w:val="Textoindependiente"/>
        <w:spacing w:line="240" w:lineRule="auto"/>
        <w:ind w:left="851" w:right="851"/>
        <w:rPr>
          <w:i/>
          <w:u w:val="single"/>
        </w:rPr>
      </w:pPr>
      <w:r w:rsidRPr="00172351">
        <w:rPr>
          <w:b/>
          <w:i/>
          <w:u w:val="single"/>
        </w:rPr>
        <w:t>QUINTA</w:t>
      </w:r>
      <w:r w:rsidRPr="00172351">
        <w:rPr>
          <w:b/>
          <w:i/>
        </w:rPr>
        <w:t xml:space="preserve">: </w:t>
      </w:r>
      <w:r w:rsidRPr="00172351">
        <w:rPr>
          <w:i/>
        </w:rPr>
        <w:t xml:space="preserve">Se </w:t>
      </w:r>
      <w:r w:rsidRPr="00172351">
        <w:rPr>
          <w:b/>
          <w:i/>
          <w:u w:val="single"/>
        </w:rPr>
        <w:t>CONDENE</w:t>
      </w:r>
      <w:r w:rsidRPr="00172351">
        <w:rPr>
          <w:i/>
        </w:rPr>
        <w:t xml:space="preserve"> a </w:t>
      </w:r>
      <w:r w:rsidRPr="00172351">
        <w:rPr>
          <w:b/>
          <w:i/>
        </w:rPr>
        <w:t>La Nación – FISCALÍA GENERAL DE LA NACIÓN- y LA DIRECCIÓN EJECUTIVA DE ADMINISTRACIÓN JUDICIAL</w:t>
      </w:r>
      <w:r w:rsidRPr="00172351">
        <w:rPr>
          <w:i/>
        </w:rPr>
        <w:t xml:space="preserve">, a pagar a la accionante, señora </w:t>
      </w:r>
      <w:r w:rsidRPr="00172351">
        <w:rPr>
          <w:b/>
          <w:i/>
        </w:rPr>
        <w:t>ZULAYTH ANGÉLICA MARIANA GÓMEZ BAQUERO:</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a) Por concepto de </w:t>
      </w:r>
      <w:r w:rsidRPr="00172351">
        <w:rPr>
          <w:b/>
          <w:i/>
          <w:u w:val="single"/>
        </w:rPr>
        <w:t>PERJUICIOS MORALES,</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tabs>
          <w:tab w:val="left" w:pos="993"/>
          <w:tab w:val="left" w:pos="1134"/>
        </w:tabs>
        <w:spacing w:line="240" w:lineRule="auto"/>
        <w:ind w:left="851" w:right="851"/>
        <w:rPr>
          <w:i/>
        </w:rPr>
      </w:pPr>
      <w:r w:rsidRPr="00172351">
        <w:rPr>
          <w:i/>
        </w:rPr>
        <w:t xml:space="preserve">b) Por concepto de </w:t>
      </w:r>
      <w:r w:rsidRPr="00172351">
        <w:rPr>
          <w:b/>
          <w:i/>
          <w:u w:val="single"/>
        </w:rPr>
        <w:t>DAÑO A LA VIDA DE RELACIÓN,</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tabs>
          <w:tab w:val="left" w:pos="993"/>
          <w:tab w:val="left" w:pos="1134"/>
        </w:tabs>
        <w:spacing w:line="240" w:lineRule="auto"/>
        <w:ind w:left="851" w:right="851"/>
        <w:rPr>
          <w:i/>
        </w:rPr>
      </w:pPr>
    </w:p>
    <w:p w:rsidR="006E7522" w:rsidRPr="00172351" w:rsidRDefault="006E7522" w:rsidP="006E7522">
      <w:pPr>
        <w:pStyle w:val="Textoindependiente"/>
        <w:spacing w:line="240" w:lineRule="auto"/>
        <w:ind w:left="851" w:right="851"/>
        <w:rPr>
          <w:i/>
          <w:u w:val="single"/>
        </w:rPr>
      </w:pPr>
      <w:r w:rsidRPr="00172351">
        <w:rPr>
          <w:b/>
          <w:i/>
          <w:u w:val="single"/>
        </w:rPr>
        <w:t>SEXTA</w:t>
      </w:r>
      <w:r w:rsidRPr="00172351">
        <w:rPr>
          <w:b/>
          <w:i/>
        </w:rPr>
        <w:t xml:space="preserve">: </w:t>
      </w:r>
      <w:r w:rsidRPr="00172351">
        <w:rPr>
          <w:i/>
        </w:rPr>
        <w:t xml:space="preserve">Se </w:t>
      </w:r>
      <w:r w:rsidRPr="00172351">
        <w:rPr>
          <w:b/>
          <w:i/>
          <w:u w:val="single"/>
        </w:rPr>
        <w:t>CONDENE</w:t>
      </w:r>
      <w:r w:rsidRPr="00172351">
        <w:rPr>
          <w:i/>
        </w:rPr>
        <w:t xml:space="preserve"> a </w:t>
      </w:r>
      <w:r w:rsidRPr="00172351">
        <w:rPr>
          <w:b/>
          <w:i/>
        </w:rPr>
        <w:t xml:space="preserve">La Nación – FISCALÍA GENERAL DE LA NACIÓN- y LA DIRECCIÓN EJECUTIVA DE </w:t>
      </w:r>
      <w:r w:rsidRPr="00172351">
        <w:rPr>
          <w:b/>
          <w:i/>
        </w:rPr>
        <w:lastRenderedPageBreak/>
        <w:t>ADMINISTRACIÓN JUDICIAL</w:t>
      </w:r>
      <w:r w:rsidRPr="00172351">
        <w:rPr>
          <w:i/>
        </w:rPr>
        <w:t>, a pagar al accionante, señor</w:t>
      </w:r>
      <w:r w:rsidRPr="00172351">
        <w:rPr>
          <w:i/>
          <w:u w:val="single"/>
        </w:rPr>
        <w:t xml:space="preserve"> </w:t>
      </w:r>
      <w:r w:rsidRPr="00172351">
        <w:rPr>
          <w:b/>
          <w:i/>
        </w:rPr>
        <w:t>HOLLMAN ANTONIO GÓMEZ BAQUERO:</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spacing w:line="240" w:lineRule="auto"/>
        <w:ind w:left="851" w:right="851"/>
        <w:rPr>
          <w:i/>
        </w:rPr>
      </w:pPr>
      <w:r w:rsidRPr="00172351">
        <w:rPr>
          <w:i/>
        </w:rPr>
        <w:t xml:space="preserve">1. Por concepto de </w:t>
      </w:r>
      <w:r w:rsidRPr="00172351">
        <w:rPr>
          <w:b/>
          <w:i/>
          <w:u w:val="single"/>
        </w:rPr>
        <w:t>PERJUICIOS MORALES,</w:t>
      </w:r>
      <w:r w:rsidRPr="00172351">
        <w:rPr>
          <w:i/>
        </w:rPr>
        <w:t xml:space="preserve"> el equivalente a </w:t>
      </w:r>
      <w:r w:rsidRPr="00172351">
        <w:rPr>
          <w:b/>
          <w:i/>
        </w:rPr>
        <w:t xml:space="preserve">SETECIENTOS SALARIOS MÍNIMOS (700 S.M.M.L.V.) MENSUALES VIGENTES </w:t>
      </w:r>
      <w:r w:rsidRPr="00172351">
        <w:rPr>
          <w:i/>
        </w:rPr>
        <w:t xml:space="preserve">para la fecha en que se profiera la respectiva sentencia, o al mayor valor que la jurisprudencia se encuentre reconociendo para la época que se emita el fallo. </w:t>
      </w:r>
    </w:p>
    <w:p w:rsidR="006E7522" w:rsidRPr="00172351" w:rsidRDefault="006E7522" w:rsidP="006E7522">
      <w:pPr>
        <w:pStyle w:val="Textoindependiente"/>
        <w:spacing w:line="240" w:lineRule="auto"/>
        <w:ind w:left="851" w:right="851"/>
        <w:rPr>
          <w:i/>
        </w:rPr>
      </w:pPr>
    </w:p>
    <w:p w:rsidR="006E7522" w:rsidRPr="00172351" w:rsidRDefault="006E7522" w:rsidP="006E7522">
      <w:pPr>
        <w:pStyle w:val="Textoindependiente"/>
        <w:tabs>
          <w:tab w:val="left" w:pos="993"/>
          <w:tab w:val="left" w:pos="1134"/>
        </w:tabs>
        <w:spacing w:line="240" w:lineRule="auto"/>
        <w:ind w:left="851" w:right="851"/>
        <w:rPr>
          <w:i/>
        </w:rPr>
      </w:pPr>
      <w:r w:rsidRPr="00172351">
        <w:rPr>
          <w:i/>
        </w:rPr>
        <w:t xml:space="preserve">2. Por concepto de </w:t>
      </w:r>
      <w:r w:rsidRPr="00172351">
        <w:rPr>
          <w:b/>
          <w:i/>
          <w:u w:val="single"/>
        </w:rPr>
        <w:t>DAÑO A LA VIDA DE RELACIÓN,</w:t>
      </w:r>
      <w:r w:rsidRPr="00172351">
        <w:rPr>
          <w:i/>
        </w:rPr>
        <w:t xml:space="preserve"> el equivalente a </w:t>
      </w:r>
      <w:r w:rsidRPr="00172351">
        <w:rPr>
          <w:b/>
          <w:i/>
        </w:rPr>
        <w:t xml:space="preserve">SETECIENTOS SALARIOS MÍNIMOS (700 S.M.M.L.V.) MENSUALES VIGENTES </w:t>
      </w:r>
      <w:r w:rsidRPr="00172351">
        <w:rPr>
          <w:i/>
        </w:rPr>
        <w:t>para la fecha en que se profiera la respectiva sentencia, o al mayor valor que la jurisprudencia se encuentre reconociendo para la época que se emita el fallo.</w:t>
      </w:r>
    </w:p>
    <w:p w:rsidR="006E7522" w:rsidRPr="00172351" w:rsidRDefault="006E7522" w:rsidP="006E7522">
      <w:pPr>
        <w:pStyle w:val="Textoindependiente"/>
        <w:tabs>
          <w:tab w:val="left" w:pos="993"/>
          <w:tab w:val="left" w:pos="1134"/>
        </w:tabs>
        <w:spacing w:line="240" w:lineRule="auto"/>
        <w:ind w:left="851" w:right="1134"/>
        <w:rPr>
          <w:i/>
        </w:rPr>
      </w:pPr>
    </w:p>
    <w:p w:rsidR="006E7522" w:rsidRPr="00172351" w:rsidRDefault="006E7522" w:rsidP="006E7522">
      <w:pPr>
        <w:pStyle w:val="Prrafodelista"/>
        <w:numPr>
          <w:ilvl w:val="1"/>
          <w:numId w:val="2"/>
        </w:numPr>
        <w:tabs>
          <w:tab w:val="left" w:pos="567"/>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Los hechos en los que se fundaron las pretensiones de la demanda se resumen así: </w:t>
      </w:r>
    </w:p>
    <w:p w:rsidR="006E7522" w:rsidRPr="00172351" w:rsidRDefault="006E7522" w:rsidP="006E7522">
      <w:pPr>
        <w:pStyle w:val="Prrafodelista"/>
        <w:tabs>
          <w:tab w:val="left" w:pos="426"/>
        </w:tabs>
        <w:spacing w:line="360" w:lineRule="auto"/>
        <w:ind w:left="0"/>
        <w:jc w:val="both"/>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El 9 de octubre de 1997, la señora Berta Baquero fue vinculada al proceso penal adelantado por la Fiscalía Delegada para la Investigación de Delitos contra la Administración Pública y el Medio Ambiente, con ocasión de la denuncia presentada por anónimos, sobre irregularidades en los procesos de contratación de la Alcaldía del Municipio de Silvania, Cundinamarca.</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El 14 de octubre de 1997, la Fiscalía resolvió la situación jurídica de la encartada y profirió medida de aseguramiento en su contra, consistente en detención preventiva, la cual fue sustituida por detención domiciliaria.</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El 29 de marzo de 2000, la Fiscalía calificó el mérito de la instrucción y acusó a la señora Berta Baquero por el delito de violación al régimen de inhabilidades e incompatibilidades, por haber suministrado elementos de oficina y papelería a la Alcaldía Municipal de Silvania, cuando su esposo fungía como concejal del mismo municipio, a pesar de que ella no ostentaba la calidad de funcionaria pública.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El 26 de noviembre de 2004, la señora Berta Baquero fue condenada penalmente por el delito de violación al régimen de inhabilidades e incompatibilidades, en calidad de coautora, a pesar de que había sido acusada en calidad de determinadora. El 17 de mayo de 2005, el Tribunal Superior del Distrito Judicial de Cundinamarca confirmó la decisión y el 11 de </w:t>
      </w:r>
      <w:r w:rsidRPr="00172351">
        <w:rPr>
          <w:rFonts w:ascii="Arial" w:hAnsi="Arial" w:cs="Arial"/>
          <w:sz w:val="26"/>
          <w:szCs w:val="26"/>
        </w:rPr>
        <w:lastRenderedPageBreak/>
        <w:t xml:space="preserve">septiembre de 2005, la Sala de casación Penal decidió no casar la sentencia impugnada.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El 10 de julio de 2008, la Sala de Conjueces designados por el Tribunal Superior revisó la sentencia, en virtud del recurso extraordinario de revisión, y decidió dejarla sin efectos, debido a que la acción penal prescribió antes de que se notificara la sentencia de casación.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2"/>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La señora Berta Baquero estuvo privada de su libertad desde el 8 de octubre de 1997 hasta el 28 de noviembre de 2001, periodo durante el cual dejó de percibir ingresos económicos, lo que le impidió cumplir con sus obligaciones. </w:t>
      </w:r>
    </w:p>
    <w:p w:rsidR="006E7522" w:rsidRPr="00172351" w:rsidRDefault="006E7522" w:rsidP="006E7522">
      <w:pPr>
        <w:pStyle w:val="Prrafodelista"/>
        <w:tabs>
          <w:tab w:val="left" w:pos="7230"/>
        </w:tabs>
        <w:spacing w:line="360" w:lineRule="auto"/>
        <w:ind w:left="0"/>
        <w:contextualSpacing/>
        <w:jc w:val="both"/>
        <w:rPr>
          <w:rFonts w:ascii="Arial" w:hAnsi="Arial" w:cs="Arial"/>
          <w:sz w:val="26"/>
          <w:szCs w:val="26"/>
        </w:rPr>
      </w:pPr>
      <w:r w:rsidRPr="00172351">
        <w:rPr>
          <w:rFonts w:ascii="Arial" w:hAnsi="Arial" w:cs="Arial"/>
          <w:sz w:val="26"/>
          <w:szCs w:val="26"/>
        </w:rPr>
        <w:tab/>
      </w:r>
    </w:p>
    <w:p w:rsidR="006E7522" w:rsidRPr="00172351" w:rsidRDefault="006E7522" w:rsidP="006E7522">
      <w:pPr>
        <w:pStyle w:val="Prrafodelista"/>
        <w:tabs>
          <w:tab w:val="left" w:pos="426"/>
        </w:tabs>
        <w:spacing w:line="360" w:lineRule="auto"/>
        <w:ind w:left="0"/>
        <w:jc w:val="both"/>
        <w:rPr>
          <w:rFonts w:ascii="Arial" w:hAnsi="Arial" w:cs="Arial"/>
          <w:b/>
          <w:sz w:val="26"/>
          <w:szCs w:val="26"/>
        </w:rPr>
      </w:pPr>
      <w:r w:rsidRPr="00172351">
        <w:rPr>
          <w:rFonts w:ascii="Arial" w:hAnsi="Arial" w:cs="Arial"/>
          <w:b/>
          <w:sz w:val="26"/>
          <w:szCs w:val="26"/>
        </w:rPr>
        <w:t>Trámite Procesal</w:t>
      </w:r>
    </w:p>
    <w:p w:rsidR="006E7522" w:rsidRPr="00172351" w:rsidRDefault="006E7522" w:rsidP="006E7522">
      <w:pPr>
        <w:pStyle w:val="Prrafodelista"/>
        <w:tabs>
          <w:tab w:val="left" w:pos="426"/>
        </w:tabs>
        <w:spacing w:line="360" w:lineRule="auto"/>
        <w:ind w:left="0"/>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El 21 de julio del 2010, la Nación-Fiscalía General de la Nación (f. 64 - 78, c.1) presentó contestación de la demanda en la que argumentó que la actuación de la referida entidad se ajustó a sus funciones constitucionales, por lo que no incurrió en falla del servicio que genere responsabilidad patrimonial. Manifestó que, aunque la Corte Suprema de Justicia decretó la extinción de la acción penal por prescripción, la instrucción adelantada por la Fiscalía fue diligente y conforme a la legislación vigente. Agregó que la señora Berta Baquero no fue absuelta ni declarada inocente, que en todas las instancias procesales existió certeza sobre la comisión del ilícito y que, finalmente, operó la prescripción en la etapa de juzgamiento, lo cual escapa de la órbita de acción de la entidad y no desvirtúa el fundamento de sus decisiones.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El 27 de julio de 2010, la Nación – Rama Judicial (f. 92 – 96, c. 1) presentó contestación de la demanda en la que se opuso a las pretensiones debido a que consideró que la decisión del juez de la causa estuvo ajustada a derecho y se fundó en las pruebas que soportaban la acusación de la encartada. Propuso las excepciones de falta de legitimación en la causa por pasiva, por cuanto los perjuicios alegados en la demanda no fueron generados por ninguna actuación de la entidad; y la culpa exclusiva de la víctima, debido a </w:t>
      </w:r>
      <w:r w:rsidRPr="00172351">
        <w:rPr>
          <w:rFonts w:ascii="Arial" w:hAnsi="Arial" w:cs="Arial"/>
          <w:sz w:val="26"/>
          <w:szCs w:val="26"/>
        </w:rPr>
        <w:lastRenderedPageBreak/>
        <w:t xml:space="preserve">que la accionante decidió interponer los recursos extraordinarios que no tenían vocación de prosperidad.    </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284"/>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La parte actora en sus alegatos de conclusión (f. 116 – 127, c.1) reiteró los argumentos esgrimidos en la demanda en los que se alegó la configuración de una falla en el servicio, defectuoso funcionamiento de la administración de justicia y error judicial por parte de las entidades demandadas, durante el proceso penal seguido contra la señora Berta Baquero por el delito de violación al régimen legal o constitucional de inhabilidades e incompatibilidades. Lo anterior, debido a que el referido tipo penal es aplicable a los servidores públicos y la encartada no ostenta tal calidad.   </w:t>
      </w:r>
    </w:p>
    <w:p w:rsidR="006E7522" w:rsidRPr="00172351" w:rsidRDefault="006E7522" w:rsidP="006E7522">
      <w:pPr>
        <w:pStyle w:val="Prrafodelista"/>
        <w:tabs>
          <w:tab w:val="left" w:pos="5700"/>
        </w:tabs>
        <w:spacing w:line="360" w:lineRule="auto"/>
        <w:ind w:left="0"/>
        <w:contextualSpacing/>
        <w:jc w:val="both"/>
        <w:rPr>
          <w:rFonts w:ascii="Arial" w:hAnsi="Arial" w:cs="Arial"/>
          <w:sz w:val="26"/>
          <w:szCs w:val="26"/>
        </w:rPr>
      </w:pPr>
      <w:r w:rsidRPr="00172351">
        <w:rPr>
          <w:rFonts w:ascii="Arial" w:hAnsi="Arial" w:cs="Arial"/>
          <w:sz w:val="26"/>
          <w:szCs w:val="26"/>
        </w:rPr>
        <w:tab/>
      </w:r>
    </w:p>
    <w:p w:rsidR="006E7522" w:rsidRPr="00172351" w:rsidRDefault="006E7522" w:rsidP="006E7522">
      <w:pPr>
        <w:pStyle w:val="Prrafodelista"/>
        <w:numPr>
          <w:ilvl w:val="0"/>
          <w:numId w:val="2"/>
        </w:numPr>
        <w:tabs>
          <w:tab w:val="left" w:pos="284"/>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La Nación – Fiscalía General de la Nación en sus alegatos de conclusión (f. 129 – 135, c.1) insistió en la inexistencia de una falla en el servicio, toda vez que la prescripción de la acción penal se decretó cuando la acusación realizada por la Fiscalía se encontraba en firme, de lo que se desprende que se ajustó a lo preceptuado en la ley. Agregó que la afectada no controvirtió las decisiones de la referida entidad durante la etapa instructiva y que la indemnización de perjuicios solicitada en la demanda no cuenta con sustento probatorio en el expediente.    </w:t>
      </w:r>
    </w:p>
    <w:p w:rsidR="006E7522" w:rsidRPr="00172351" w:rsidRDefault="006E7522" w:rsidP="006E7522">
      <w:pPr>
        <w:pStyle w:val="Prrafodelista"/>
        <w:tabs>
          <w:tab w:val="left" w:pos="284"/>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284"/>
        </w:tabs>
        <w:spacing w:line="360" w:lineRule="auto"/>
        <w:ind w:left="0" w:hanging="11"/>
        <w:contextualSpacing/>
        <w:jc w:val="both"/>
        <w:rPr>
          <w:rFonts w:ascii="Arial" w:hAnsi="Arial" w:cs="Arial"/>
          <w:sz w:val="26"/>
          <w:szCs w:val="26"/>
        </w:rPr>
      </w:pPr>
      <w:r w:rsidRPr="00172351">
        <w:rPr>
          <w:rFonts w:ascii="Arial" w:hAnsi="Arial" w:cs="Arial"/>
          <w:sz w:val="26"/>
          <w:szCs w:val="26"/>
        </w:rPr>
        <w:t>La Nación – Rama Judicial y el Ministerio Público guardaron silencio (f. 146, c.1).</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El 19 de agosto del 2011, el Tribunal Administrativo de Cundinamarca profirió sentencia de primera instancia (f. 147 - 155, c. ppl.) en la que decidió negar las pretensiones de la demanda, así:</w:t>
      </w:r>
    </w:p>
    <w:p w:rsidR="006E7522" w:rsidRPr="00172351" w:rsidRDefault="006E7522" w:rsidP="006E7522">
      <w:pPr>
        <w:pStyle w:val="Prrafodelista"/>
        <w:tabs>
          <w:tab w:val="left" w:pos="426"/>
        </w:tabs>
        <w:spacing w:line="360" w:lineRule="auto"/>
        <w:ind w:left="0"/>
        <w:jc w:val="both"/>
        <w:rPr>
          <w:rFonts w:ascii="Arial" w:hAnsi="Arial" w:cs="Arial"/>
        </w:rPr>
      </w:pPr>
    </w:p>
    <w:p w:rsidR="006E7522" w:rsidRPr="00172351" w:rsidRDefault="006E7522" w:rsidP="006E7522">
      <w:pPr>
        <w:pStyle w:val="Prrafodelista"/>
        <w:tabs>
          <w:tab w:val="left" w:pos="851"/>
        </w:tabs>
        <w:ind w:left="851" w:right="851"/>
        <w:jc w:val="both"/>
        <w:rPr>
          <w:rFonts w:ascii="Arial" w:hAnsi="Arial" w:cs="Arial"/>
          <w:i/>
        </w:rPr>
      </w:pPr>
      <w:r w:rsidRPr="00172351">
        <w:rPr>
          <w:rFonts w:ascii="Arial" w:hAnsi="Arial" w:cs="Arial"/>
          <w:i/>
        </w:rPr>
        <w:t>[P]RIMERO: NEGAR las pretensiones de la demanda.</w:t>
      </w:r>
    </w:p>
    <w:p w:rsidR="006E7522" w:rsidRPr="00172351" w:rsidRDefault="006E7522" w:rsidP="006E7522">
      <w:pPr>
        <w:pStyle w:val="Prrafodelista"/>
        <w:tabs>
          <w:tab w:val="left" w:pos="851"/>
        </w:tabs>
        <w:ind w:left="851" w:right="851"/>
        <w:jc w:val="both"/>
        <w:rPr>
          <w:rFonts w:ascii="Arial" w:hAnsi="Arial" w:cs="Arial"/>
          <w:i/>
        </w:rPr>
      </w:pPr>
      <w:r w:rsidRPr="00172351">
        <w:rPr>
          <w:rFonts w:ascii="Arial" w:hAnsi="Arial" w:cs="Arial"/>
          <w:i/>
        </w:rPr>
        <w:t xml:space="preserve"> </w:t>
      </w:r>
    </w:p>
    <w:p w:rsidR="006E7522" w:rsidRPr="00172351" w:rsidRDefault="006E7522" w:rsidP="006E7522">
      <w:pPr>
        <w:pStyle w:val="Prrafodelista"/>
        <w:tabs>
          <w:tab w:val="left" w:pos="851"/>
        </w:tabs>
        <w:ind w:left="851" w:right="851"/>
        <w:jc w:val="both"/>
        <w:rPr>
          <w:rFonts w:ascii="Arial" w:hAnsi="Arial" w:cs="Arial"/>
          <w:i/>
        </w:rPr>
      </w:pPr>
      <w:r w:rsidRPr="00172351">
        <w:rPr>
          <w:rFonts w:ascii="Arial" w:hAnsi="Arial" w:cs="Arial"/>
          <w:i/>
        </w:rPr>
        <w:t>SEGUNDO: Sin condena en costas.</w:t>
      </w:r>
    </w:p>
    <w:p w:rsidR="006E7522" w:rsidRPr="00172351" w:rsidRDefault="006E7522" w:rsidP="006E7522">
      <w:pPr>
        <w:pStyle w:val="Prrafodelista"/>
        <w:tabs>
          <w:tab w:val="left" w:pos="851"/>
        </w:tabs>
        <w:ind w:left="851" w:right="1134"/>
        <w:jc w:val="both"/>
        <w:rPr>
          <w:rFonts w:ascii="Arial" w:hAnsi="Arial" w:cs="Arial"/>
          <w:i/>
        </w:rPr>
      </w:pPr>
      <w:r w:rsidRPr="00172351">
        <w:rPr>
          <w:rFonts w:ascii="Arial" w:hAnsi="Arial" w:cs="Arial"/>
          <w:i/>
        </w:rPr>
        <w:t xml:space="preserve"> </w:t>
      </w:r>
    </w:p>
    <w:p w:rsidR="006E7522" w:rsidRPr="00172351" w:rsidRDefault="006E7522" w:rsidP="006E7522">
      <w:pPr>
        <w:pStyle w:val="Prrafodelista"/>
        <w:tabs>
          <w:tab w:val="left" w:pos="426"/>
        </w:tabs>
        <w:spacing w:line="360" w:lineRule="auto"/>
        <w:ind w:left="0"/>
        <w:jc w:val="both"/>
        <w:rPr>
          <w:rFonts w:ascii="Arial" w:hAnsi="Arial" w:cs="Arial"/>
          <w:sz w:val="26"/>
          <w:szCs w:val="26"/>
        </w:rPr>
      </w:pPr>
    </w:p>
    <w:p w:rsidR="006E7522" w:rsidRPr="00172351" w:rsidRDefault="006E7522" w:rsidP="006E7522">
      <w:pPr>
        <w:pStyle w:val="Prrafodelista"/>
        <w:numPr>
          <w:ilvl w:val="1"/>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Las razones en las que se fundó la anterior decisión obedecen a los siguientes argumentos: </w:t>
      </w:r>
      <w:r w:rsidRPr="00172351">
        <w:rPr>
          <w:rFonts w:ascii="Arial" w:hAnsi="Arial" w:cs="Arial"/>
          <w:i/>
          <w:sz w:val="26"/>
          <w:szCs w:val="26"/>
        </w:rPr>
        <w:t>i)</w:t>
      </w:r>
      <w:r w:rsidRPr="00172351">
        <w:rPr>
          <w:rFonts w:ascii="Arial" w:hAnsi="Arial" w:cs="Arial"/>
          <w:sz w:val="26"/>
          <w:szCs w:val="26"/>
        </w:rPr>
        <w:t xml:space="preserve"> durante la investigación penal, la Fiscalía 5 Seccional de la Unidad de Delitos contra la Administración Pública llegó a la </w:t>
      </w:r>
      <w:r w:rsidRPr="00172351">
        <w:rPr>
          <w:rFonts w:ascii="Arial" w:hAnsi="Arial" w:cs="Arial"/>
          <w:sz w:val="26"/>
          <w:szCs w:val="26"/>
        </w:rPr>
        <w:lastRenderedPageBreak/>
        <w:t xml:space="preserve">convicción sobre la comisión del delito de celebración indebida de contratos por violación al régimen de inhabilidades e incompatibilidades por parte de la señora Berta Baquero, de conformidad con la extensión del concepto de servidor público a los contratistas consagrada en el artículo 56 de la Ley 80 de 1993; </w:t>
      </w:r>
      <w:r w:rsidRPr="00172351">
        <w:rPr>
          <w:rFonts w:ascii="Arial" w:hAnsi="Arial" w:cs="Arial"/>
          <w:i/>
          <w:sz w:val="26"/>
          <w:szCs w:val="26"/>
        </w:rPr>
        <w:t xml:space="preserve">ii) </w:t>
      </w:r>
      <w:r w:rsidRPr="00172351">
        <w:rPr>
          <w:rFonts w:ascii="Arial" w:hAnsi="Arial" w:cs="Arial"/>
          <w:sz w:val="26"/>
          <w:szCs w:val="26"/>
        </w:rPr>
        <w:t xml:space="preserve">la tipificación de la conducta y el análisis probatorio realizado durante el proceso no fue cuestionado por los falladores de instancia, ni por la Corte Suprema de Justicia en sede de casación; </w:t>
      </w:r>
      <w:r w:rsidRPr="00172351">
        <w:rPr>
          <w:rFonts w:ascii="Arial" w:hAnsi="Arial" w:cs="Arial"/>
          <w:i/>
          <w:sz w:val="26"/>
          <w:szCs w:val="26"/>
        </w:rPr>
        <w:t>iii)</w:t>
      </w:r>
      <w:r w:rsidRPr="00172351">
        <w:rPr>
          <w:rFonts w:ascii="Arial" w:hAnsi="Arial" w:cs="Arial"/>
          <w:sz w:val="26"/>
          <w:szCs w:val="26"/>
        </w:rPr>
        <w:t xml:space="preserve"> si bien, al resolver el recurso extraordinario de revisión los conjueces de la Corte Suprema de Justicia afirmaron que la señora Berta Baquero no era servidora pública y que, por tanto, el término de prescripción de la acción era menor, este hecho no tiene la suficiente entidad para determinar la configuración de una privación injusta de la libertad, defectuoso funcionamiento de la administración de justicia o error judicial; </w:t>
      </w:r>
      <w:r w:rsidRPr="00172351">
        <w:rPr>
          <w:rFonts w:ascii="Arial" w:hAnsi="Arial" w:cs="Arial"/>
          <w:i/>
          <w:sz w:val="26"/>
          <w:szCs w:val="26"/>
        </w:rPr>
        <w:t>iv)</w:t>
      </w:r>
      <w:r w:rsidRPr="00172351">
        <w:rPr>
          <w:rFonts w:ascii="Arial" w:hAnsi="Arial" w:cs="Arial"/>
          <w:sz w:val="26"/>
          <w:szCs w:val="26"/>
        </w:rPr>
        <w:t xml:space="preserve"> las decisiones adoptadas respecto de la imposición de medida de aseguramiento a la encartada, así como su condena, observaron los requisitos establecidos en los artículos 388, 397 y 411 del Decreto 2700 de 1991; </w:t>
      </w:r>
      <w:r w:rsidRPr="00172351">
        <w:rPr>
          <w:rFonts w:ascii="Arial" w:hAnsi="Arial" w:cs="Arial"/>
          <w:i/>
          <w:sz w:val="26"/>
          <w:szCs w:val="26"/>
        </w:rPr>
        <w:t>v)</w:t>
      </w:r>
      <w:r w:rsidRPr="00172351">
        <w:rPr>
          <w:rFonts w:ascii="Arial" w:hAnsi="Arial" w:cs="Arial"/>
          <w:sz w:val="26"/>
          <w:szCs w:val="26"/>
        </w:rPr>
        <w:t xml:space="preserve"> la duración del proceso obedeció a la gran cantidad de personas involucradas en el ilícito investigado, así como a los recursos interpuestos por las partes durante su desarrollo; y </w:t>
      </w:r>
      <w:r w:rsidRPr="00172351">
        <w:rPr>
          <w:rFonts w:ascii="Arial" w:hAnsi="Arial" w:cs="Arial"/>
          <w:i/>
          <w:sz w:val="26"/>
          <w:szCs w:val="26"/>
        </w:rPr>
        <w:t>vi)</w:t>
      </w:r>
      <w:r w:rsidRPr="00172351">
        <w:rPr>
          <w:rFonts w:ascii="Arial" w:hAnsi="Arial" w:cs="Arial"/>
          <w:sz w:val="26"/>
          <w:szCs w:val="26"/>
        </w:rPr>
        <w:t xml:space="preserve"> el daño alegado en la demanda no es antijurídico, por lo que no puede ser imputado a las entidades demandadas.       </w:t>
      </w:r>
    </w:p>
    <w:p w:rsidR="006E7522" w:rsidRPr="00172351" w:rsidRDefault="006E7522" w:rsidP="006E7522">
      <w:pPr>
        <w:tabs>
          <w:tab w:val="left" w:pos="426"/>
        </w:tabs>
        <w:spacing w:line="360" w:lineRule="auto"/>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Contra la anterior decisión la parte actora interpuso el 24 de febrero de 2012 recurso de apelación (f. 159 - 162, c.ppl.), a fin de que se revocara y en su lugar se acceda a las pretensiones de la demanda con fundamento en lo siguiente: </w:t>
      </w:r>
      <w:r w:rsidRPr="00172351">
        <w:rPr>
          <w:rFonts w:ascii="Arial" w:hAnsi="Arial" w:cs="Arial"/>
          <w:i/>
          <w:sz w:val="26"/>
          <w:szCs w:val="26"/>
        </w:rPr>
        <w:t>i)</w:t>
      </w:r>
      <w:r w:rsidRPr="00172351">
        <w:rPr>
          <w:rFonts w:ascii="Arial" w:hAnsi="Arial" w:cs="Arial"/>
          <w:sz w:val="26"/>
          <w:szCs w:val="26"/>
        </w:rPr>
        <w:t xml:space="preserve"> los funcionarios judiciales no fueron cuidadosos ni diligentes al proferir sus providencias, puesto que le endilgaron a un particular un delito exclusivo de los servidores públicos; </w:t>
      </w:r>
      <w:r w:rsidRPr="00172351">
        <w:rPr>
          <w:rFonts w:ascii="Arial" w:hAnsi="Arial" w:cs="Arial"/>
          <w:i/>
          <w:sz w:val="26"/>
          <w:szCs w:val="26"/>
        </w:rPr>
        <w:t>ii)</w:t>
      </w:r>
      <w:r w:rsidRPr="00172351">
        <w:rPr>
          <w:rFonts w:ascii="Arial" w:hAnsi="Arial" w:cs="Arial"/>
          <w:sz w:val="26"/>
          <w:szCs w:val="26"/>
        </w:rPr>
        <w:t xml:space="preserve"> lo anterior, constituyó una falla en el servicio, error jurisdiccional y defectuoso funcionamiento de la administración de justicia que vulneró los derechos de la señora Berta Baquero, quien fue sometida a un proceso penal y condenada por un delito, sin tener la calidad de servidora pública que requiere el tipo penal de violación al régimen legal o constitucional de inhabilidades e incompatibilidades. </w:t>
      </w:r>
    </w:p>
    <w:p w:rsidR="006E7522" w:rsidRPr="00172351" w:rsidRDefault="006E7522" w:rsidP="006E7522">
      <w:pPr>
        <w:pStyle w:val="Prrafodelista"/>
        <w:tabs>
          <w:tab w:val="left" w:pos="426"/>
        </w:tabs>
        <w:spacing w:line="360" w:lineRule="auto"/>
        <w:ind w:left="0"/>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lastRenderedPageBreak/>
        <w:t>Luego de haber admitido el recurso interpuesto contra la decisión de primera instancia, el Consejo de Estado, en auto del 8 de agosto del 2012 (f. 170, c.ppl.) corrió traslado a las partes por el término de diez (10) días, a fin de que presentaran sus alegatos de conclusión y al Ministerio Público para rendir concepto.</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La Nación - Fiscalía General de la Nación (f. 171 - 177, c.ppl.) reiteró los argumentos esgrimidos en primera instancia, alegó la culpa exclusiva de la víctima como eximente de responsabilidad y manifestó que no obra en el expediente certificación del establecimiento carcelario que acredite el tiempo de privación de la libertad.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 La Nación – Rama Judicial (f. 178 - 182, c.ppl.) se ratificó en los argumentos que expuso en la contestación de la demanda y reiteró que el daño alegado es imputable a la culpa exclusiva de la víctima, pues la acción prescribió no por causa de alguna dilación injustificada del proceso, sino por garantizarle a la encartada la resolución de todos los recursos interpuestos.</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La parte actora y el Ministerio Público guardaron silencio (f. 186, c. ppl.). </w:t>
      </w:r>
    </w:p>
    <w:p w:rsidR="006E7522" w:rsidRPr="00172351" w:rsidRDefault="006E7522" w:rsidP="006E7522">
      <w:pPr>
        <w:tabs>
          <w:tab w:val="left" w:pos="426"/>
        </w:tabs>
        <w:spacing w:line="360" w:lineRule="auto"/>
        <w:jc w:val="both"/>
        <w:rPr>
          <w:rFonts w:ascii="Arial" w:hAnsi="Arial" w:cs="Arial"/>
          <w:sz w:val="26"/>
          <w:szCs w:val="26"/>
        </w:rPr>
      </w:pPr>
    </w:p>
    <w:p w:rsidR="006E7522" w:rsidRPr="00172351" w:rsidRDefault="006E7522" w:rsidP="006E7522">
      <w:pPr>
        <w:pStyle w:val="Prrafodelista"/>
        <w:tabs>
          <w:tab w:val="left" w:pos="426"/>
        </w:tabs>
        <w:spacing w:line="360" w:lineRule="auto"/>
        <w:ind w:left="1211"/>
        <w:contextualSpacing/>
        <w:jc w:val="center"/>
        <w:rPr>
          <w:rFonts w:ascii="Arial" w:hAnsi="Arial" w:cs="Arial"/>
          <w:b/>
          <w:sz w:val="26"/>
          <w:szCs w:val="26"/>
        </w:rPr>
      </w:pPr>
      <w:r w:rsidRPr="00172351">
        <w:rPr>
          <w:rFonts w:ascii="Arial" w:hAnsi="Arial" w:cs="Arial"/>
          <w:b/>
          <w:sz w:val="26"/>
          <w:szCs w:val="26"/>
        </w:rPr>
        <w:t>CONSIDERACIONES</w:t>
      </w:r>
    </w:p>
    <w:p w:rsidR="006E7522" w:rsidRPr="00172351" w:rsidRDefault="006E7522" w:rsidP="006E7522">
      <w:pPr>
        <w:tabs>
          <w:tab w:val="left" w:pos="426"/>
        </w:tabs>
        <w:spacing w:line="360" w:lineRule="auto"/>
        <w:rPr>
          <w:rFonts w:ascii="Arial" w:hAnsi="Arial" w:cs="Arial"/>
          <w:sz w:val="26"/>
          <w:szCs w:val="26"/>
        </w:rPr>
      </w:pPr>
    </w:p>
    <w:p w:rsidR="006E7522" w:rsidRPr="00172351" w:rsidRDefault="006E7522" w:rsidP="006E7522">
      <w:pPr>
        <w:pStyle w:val="NormalWeb"/>
        <w:shd w:val="clear" w:color="auto" w:fill="FFFFFF"/>
        <w:tabs>
          <w:tab w:val="left" w:pos="450"/>
        </w:tabs>
        <w:spacing w:before="0" w:beforeAutospacing="0" w:after="0" w:afterAutospacing="0" w:line="360" w:lineRule="auto"/>
        <w:jc w:val="both"/>
        <w:rPr>
          <w:rFonts w:ascii="Arial" w:hAnsi="Arial" w:cs="Arial"/>
          <w:sz w:val="26"/>
          <w:szCs w:val="26"/>
        </w:rPr>
      </w:pPr>
      <w:r w:rsidRPr="00172351">
        <w:rPr>
          <w:rFonts w:ascii="Arial" w:hAnsi="Arial" w:cs="Arial"/>
          <w:b/>
          <w:bCs/>
          <w:sz w:val="26"/>
          <w:szCs w:val="26"/>
        </w:rPr>
        <w:t xml:space="preserve">Presupuestos procesales de la acción </w:t>
      </w:r>
    </w:p>
    <w:p w:rsidR="006E7522" w:rsidRPr="00172351" w:rsidRDefault="006E7522" w:rsidP="006E7522">
      <w:pPr>
        <w:pStyle w:val="NormalWeb"/>
        <w:shd w:val="clear" w:color="auto" w:fill="FFFFFF"/>
        <w:spacing w:before="0" w:beforeAutospacing="0" w:after="0" w:afterAutospacing="0" w:line="360" w:lineRule="auto"/>
        <w:jc w:val="both"/>
        <w:rPr>
          <w:rFonts w:ascii="Arial" w:hAnsi="Arial" w:cs="Arial"/>
          <w:b/>
          <w:bCs/>
          <w:sz w:val="26"/>
          <w:szCs w:val="26"/>
        </w:rPr>
      </w:pPr>
    </w:p>
    <w:p w:rsidR="006E7522" w:rsidRPr="00172351" w:rsidRDefault="006E7522" w:rsidP="006E7522">
      <w:pPr>
        <w:pStyle w:val="NormalWeb"/>
        <w:shd w:val="clear" w:color="auto" w:fill="FFFFFF"/>
        <w:spacing w:before="0" w:beforeAutospacing="0" w:after="0" w:afterAutospacing="0" w:line="360" w:lineRule="auto"/>
        <w:jc w:val="both"/>
        <w:rPr>
          <w:rFonts w:ascii="Arial" w:hAnsi="Arial" w:cs="Arial"/>
          <w:b/>
          <w:bCs/>
          <w:sz w:val="26"/>
          <w:szCs w:val="26"/>
        </w:rPr>
      </w:pPr>
      <w:r w:rsidRPr="00172351">
        <w:rPr>
          <w:rFonts w:ascii="Arial" w:hAnsi="Arial" w:cs="Arial"/>
          <w:b/>
          <w:bCs/>
          <w:sz w:val="26"/>
          <w:szCs w:val="26"/>
        </w:rPr>
        <w:t>De la jurisdicción, competencia y procedencia de la acción</w:t>
      </w:r>
    </w:p>
    <w:p w:rsidR="006E7522" w:rsidRPr="00172351" w:rsidRDefault="006E7522" w:rsidP="006E7522">
      <w:pPr>
        <w:pStyle w:val="NormalWeb"/>
        <w:shd w:val="clear" w:color="auto" w:fill="FFFFFF"/>
        <w:spacing w:before="0" w:beforeAutospacing="0" w:after="0" w:afterAutospacing="0" w:line="360" w:lineRule="auto"/>
        <w:jc w:val="both"/>
        <w:rPr>
          <w:rFonts w:ascii="Arial" w:hAnsi="Arial" w:cs="Arial"/>
          <w:b/>
          <w:bCs/>
          <w:sz w:val="26"/>
          <w:szCs w:val="26"/>
        </w:rPr>
      </w:pPr>
    </w:p>
    <w:p w:rsidR="006E7522" w:rsidRPr="00172351" w:rsidRDefault="006E7522" w:rsidP="006E7522">
      <w:pPr>
        <w:pStyle w:val="Prrafodelista"/>
        <w:numPr>
          <w:ilvl w:val="0"/>
          <w:numId w:val="2"/>
        </w:numPr>
        <w:tabs>
          <w:tab w:val="left" w:pos="426"/>
        </w:tabs>
        <w:spacing w:line="360" w:lineRule="auto"/>
        <w:ind w:left="0" w:hanging="11"/>
        <w:contextualSpacing/>
        <w:jc w:val="both"/>
        <w:rPr>
          <w:rFonts w:ascii="Arial" w:hAnsi="Arial" w:cs="Arial"/>
          <w:sz w:val="26"/>
          <w:szCs w:val="26"/>
        </w:rPr>
      </w:pPr>
      <w:r w:rsidRPr="00172351">
        <w:rPr>
          <w:rFonts w:ascii="Arial" w:hAnsi="Arial" w:cs="Arial"/>
          <w:sz w:val="26"/>
          <w:szCs w:val="26"/>
        </w:rPr>
        <w:t xml:space="preserve">Por ser la demandada una entidad estatal el presente asunto es de conocimiento de esta jurisdicción, de acuerdo con el artículo 82 del Código Contencioso Administrativo. Además, esta Corporación es competente para conocer del caso de autos, en razón de la naturaleza del asunto. La Ley 270 de 1996 desarrolló la responsabilidad del Estado en los eventos de error jurisdiccional, defectuoso funcionamiento de la administración de justicia y privación injusta de la libertad, y determinó la competencia para conocer de tales asuntos en primera instancia por los Tribunales Administrativos y, en segunda instancia, por el Consejo de Estado, sin que sea menester estudiar </w:t>
      </w:r>
      <w:r w:rsidRPr="00172351">
        <w:rPr>
          <w:rFonts w:ascii="Arial" w:hAnsi="Arial" w:cs="Arial"/>
          <w:sz w:val="26"/>
          <w:szCs w:val="26"/>
        </w:rPr>
        <w:lastRenderedPageBreak/>
        <w:t>lo relacionado con la cuantía. Por otra parte, la acción de reparación directa instaurada (artículo 86 C.C.A.) es la procedente, por cuanto las pretensiones de la demanda están encaminadas a la declaratoria de responsabilidad de las entidades demandadas por la privación injusta de la libertad de la señora Berta Baquero de Gómez.</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spacing w:line="360" w:lineRule="auto"/>
        <w:jc w:val="both"/>
        <w:rPr>
          <w:rFonts w:ascii="Arial" w:hAnsi="Arial" w:cs="Arial"/>
          <w:b/>
          <w:sz w:val="26"/>
          <w:szCs w:val="26"/>
        </w:rPr>
      </w:pPr>
      <w:r w:rsidRPr="00172351">
        <w:rPr>
          <w:rFonts w:ascii="Arial" w:hAnsi="Arial" w:cs="Arial"/>
          <w:sz w:val="26"/>
          <w:szCs w:val="26"/>
        </w:rPr>
        <w:t xml:space="preserve"> </w:t>
      </w:r>
      <w:r w:rsidRPr="00172351">
        <w:rPr>
          <w:rFonts w:ascii="Arial" w:hAnsi="Arial" w:cs="Arial"/>
          <w:b/>
          <w:sz w:val="26"/>
          <w:szCs w:val="26"/>
        </w:rPr>
        <w:t>Legitimación en la causa</w:t>
      </w:r>
    </w:p>
    <w:p w:rsidR="006E7522" w:rsidRPr="00172351" w:rsidRDefault="006E7522" w:rsidP="006E7522">
      <w:pPr>
        <w:pStyle w:val="Prrafodelista"/>
        <w:tabs>
          <w:tab w:val="left" w:pos="567"/>
        </w:tabs>
        <w:spacing w:line="360" w:lineRule="auto"/>
        <w:ind w:left="0"/>
        <w:jc w:val="both"/>
        <w:rPr>
          <w:rFonts w:ascii="Arial" w:hAnsi="Arial" w:cs="Arial"/>
          <w:b/>
          <w:sz w:val="26"/>
          <w:szCs w:val="26"/>
        </w:rPr>
      </w:pPr>
    </w:p>
    <w:p w:rsidR="006E7522" w:rsidRPr="00172351" w:rsidRDefault="006E7522" w:rsidP="006E7522">
      <w:pPr>
        <w:pStyle w:val="Prrafodelista"/>
        <w:numPr>
          <w:ilvl w:val="0"/>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 En cuanto a la legitimación en la causa por activa, está demostrado que Berta Baquero fue privada de la libertad por la presunta comisión del delito de violación al régimen legal de inhabilidades e incompatibilidades, por lo cual tiene legítimo interés en el asunto, como directa perjudicada con el daño alegado en la demanda.</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1"/>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Los demandantes Blanoly Gómez Baquero, Zulayth Angélica Mariana Gómez Baquero y Hollman Antonio Gómez Baquero acreditaron debidamente su parentesco con la señora Berta Baquero (</w:t>
      </w:r>
      <w:r w:rsidRPr="00172351">
        <w:rPr>
          <w:rFonts w:ascii="Arial" w:hAnsi="Arial" w:cs="Arial"/>
          <w:i/>
          <w:sz w:val="26"/>
          <w:szCs w:val="26"/>
        </w:rPr>
        <w:t>registros civiles de nacimiento</w:t>
      </w:r>
      <w:r w:rsidRPr="00172351">
        <w:rPr>
          <w:rFonts w:ascii="Arial" w:hAnsi="Arial" w:cs="Arial"/>
          <w:sz w:val="26"/>
          <w:szCs w:val="26"/>
        </w:rPr>
        <w:t xml:space="preserve">, f. 23 - 25, c. 1), de lo que se infiere que tienen interés en el presente proceso. Igualmente, se aportó al expediente el registro civil de defunción del señor Antonio Gerardino Gómez Gutiérrez, padre de los mencionados demandantes y esposo de la afectada directa con la privación de la libertad (f. 22, c. 1). </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lang w:val="es-ES_tradnl"/>
        </w:rPr>
        <w:t>Sobre la legitimación en la causa por pasiva, se acreditó que la Nación – Rama Judicial y la Nación - Fiscalía General de la Nación fueron las entidades encargadas de investigar y condenar a la señora</w:t>
      </w:r>
      <w:r w:rsidRPr="00172351">
        <w:rPr>
          <w:rFonts w:ascii="Arial" w:hAnsi="Arial" w:cs="Arial"/>
          <w:sz w:val="26"/>
          <w:szCs w:val="26"/>
        </w:rPr>
        <w:t xml:space="preserve"> Berta Baquero</w:t>
      </w:r>
      <w:r w:rsidRPr="00172351">
        <w:rPr>
          <w:rFonts w:ascii="Arial" w:hAnsi="Arial" w:cs="Arial"/>
          <w:sz w:val="26"/>
          <w:szCs w:val="26"/>
          <w:lang w:val="es-ES_tradnl"/>
        </w:rPr>
        <w:t xml:space="preserve">, razón por la que la actora les atribuye el daño padecido. Por lo anterior, la Sala encuentra que dichas entidades están legitimadas en la causa por pasiva. </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b/>
          <w:color w:val="000000"/>
          <w:sz w:val="26"/>
          <w:szCs w:val="26"/>
          <w:lang w:val="es-ES_tradnl"/>
        </w:rPr>
      </w:pPr>
      <w:r w:rsidRPr="00172351">
        <w:rPr>
          <w:rFonts w:ascii="Arial" w:hAnsi="Arial" w:cs="Arial"/>
          <w:b/>
          <w:color w:val="000000"/>
          <w:sz w:val="26"/>
          <w:szCs w:val="26"/>
          <w:lang w:val="es-ES_tradnl"/>
        </w:rPr>
        <w:t>Caducidad de la acción</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b/>
          <w:sz w:val="26"/>
          <w:szCs w:val="26"/>
          <w:lang w:val="es-ES_tradnl"/>
        </w:rPr>
      </w:pPr>
    </w:p>
    <w:p w:rsidR="006E7522" w:rsidRPr="00172351" w:rsidRDefault="006E7522" w:rsidP="006E7522">
      <w:pPr>
        <w:pStyle w:val="Sinespaciado"/>
        <w:numPr>
          <w:ilvl w:val="0"/>
          <w:numId w:val="2"/>
        </w:numPr>
        <w:tabs>
          <w:tab w:val="left" w:pos="426"/>
        </w:tabs>
        <w:spacing w:line="360" w:lineRule="auto"/>
        <w:ind w:left="0" w:firstLine="0"/>
        <w:jc w:val="both"/>
        <w:rPr>
          <w:rFonts w:ascii="Arial" w:hAnsi="Arial" w:cs="Arial"/>
          <w:sz w:val="26"/>
          <w:szCs w:val="26"/>
        </w:rPr>
      </w:pPr>
      <w:r w:rsidRPr="00172351">
        <w:rPr>
          <w:rFonts w:ascii="Arial" w:hAnsi="Arial" w:cs="Arial"/>
          <w:sz w:val="26"/>
          <w:szCs w:val="26"/>
        </w:rPr>
        <w:t xml:space="preserve"> El ordenamiento jurídico consagra la figura de la caducidad como una sanción por el no ejercicio oportuno de las acciones judiciales, para lo cual la ley establece taxativamente unos términos dentro de los cuales el interesado </w:t>
      </w:r>
      <w:r w:rsidRPr="00172351">
        <w:rPr>
          <w:rFonts w:ascii="Arial" w:hAnsi="Arial" w:cs="Arial"/>
          <w:sz w:val="26"/>
          <w:szCs w:val="26"/>
        </w:rPr>
        <w:lastRenderedPageBreak/>
        <w:t>tiene la carga de promover el litigio. Si el recurso judicial se ejerce por fuera de este lapso temporal, aquél perderá la posibilidad de hacer efectivo el derecho sustancial que intenta deprecar ante la administración de justicia.</w:t>
      </w:r>
    </w:p>
    <w:p w:rsidR="006E7522" w:rsidRPr="00172351" w:rsidRDefault="006E7522" w:rsidP="006E7522">
      <w:pPr>
        <w:pStyle w:val="Sinespaciado"/>
        <w:spacing w:line="360" w:lineRule="auto"/>
        <w:jc w:val="both"/>
        <w:rPr>
          <w:rFonts w:ascii="Arial" w:hAnsi="Arial" w:cs="Arial"/>
          <w:sz w:val="26"/>
          <w:szCs w:val="26"/>
        </w:rPr>
      </w:pPr>
    </w:p>
    <w:p w:rsidR="006E7522" w:rsidRPr="00172351" w:rsidRDefault="006E7522" w:rsidP="006E7522">
      <w:pPr>
        <w:pStyle w:val="Sinespaciado"/>
        <w:numPr>
          <w:ilvl w:val="1"/>
          <w:numId w:val="2"/>
        </w:numPr>
        <w:tabs>
          <w:tab w:val="left" w:pos="142"/>
        </w:tabs>
        <w:spacing w:line="360" w:lineRule="auto"/>
        <w:ind w:left="0" w:firstLine="0"/>
        <w:jc w:val="both"/>
        <w:rPr>
          <w:rFonts w:ascii="Arial" w:hAnsi="Arial" w:cs="Arial"/>
          <w:sz w:val="26"/>
          <w:szCs w:val="26"/>
        </w:rPr>
      </w:pPr>
      <w:r w:rsidRPr="00172351">
        <w:rPr>
          <w:rFonts w:ascii="Arial" w:hAnsi="Arial" w:cs="Arial"/>
          <w:sz w:val="26"/>
          <w:szCs w:val="26"/>
        </w:rPr>
        <w:t>En ese orden de ideas, el numeral 8 del artículo 136 del Código Contencioso Administrativo, en lo relativo a la acción de reparación directa, instituye un término de dos años para que sea impetrada, contados a partir del día siguiente a la ocurrencia del daño (hecho, omisión, operación administrativa u ocupación temporal o permanente), vencido el cual, ya no será posible solicitar que se declare la responsabilidad patrimonial del Estado.</w:t>
      </w:r>
    </w:p>
    <w:p w:rsidR="006E7522" w:rsidRPr="00172351" w:rsidRDefault="006E7522" w:rsidP="006E7522">
      <w:pPr>
        <w:pStyle w:val="Sinespaciado"/>
        <w:tabs>
          <w:tab w:val="left" w:pos="142"/>
        </w:tabs>
        <w:spacing w:line="360" w:lineRule="auto"/>
        <w:jc w:val="both"/>
        <w:rPr>
          <w:rFonts w:ascii="Arial" w:hAnsi="Arial" w:cs="Arial"/>
          <w:sz w:val="26"/>
          <w:szCs w:val="26"/>
        </w:rPr>
      </w:pPr>
    </w:p>
    <w:p w:rsidR="006E7522" w:rsidRPr="00172351" w:rsidRDefault="006E7522" w:rsidP="006E7522">
      <w:pPr>
        <w:pStyle w:val="Sinespaciado"/>
        <w:numPr>
          <w:ilvl w:val="1"/>
          <w:numId w:val="2"/>
        </w:numPr>
        <w:tabs>
          <w:tab w:val="left" w:pos="142"/>
        </w:tabs>
        <w:spacing w:line="360" w:lineRule="auto"/>
        <w:ind w:left="0" w:firstLine="0"/>
        <w:jc w:val="both"/>
        <w:rPr>
          <w:rFonts w:ascii="Arial" w:hAnsi="Arial" w:cs="Arial"/>
          <w:sz w:val="26"/>
          <w:szCs w:val="26"/>
        </w:rPr>
      </w:pPr>
      <w:r w:rsidRPr="00172351">
        <w:rPr>
          <w:rFonts w:ascii="Arial" w:hAnsi="Arial" w:cs="Arial"/>
          <w:sz w:val="26"/>
          <w:szCs w:val="26"/>
        </w:rPr>
        <w:t>Ahora bien, en los eventos de responsabilidad por privación injusta de la libertad, la jurisprudencia de esta Corporación ha considerado que el término de caducidad de la acción de reparación directa se cuenta a partir del día siguiente de la ejecutoria de la providencia judicial que absuelve al sindicado y le pone fin al proceso penal</w:t>
      </w:r>
      <w:r w:rsidRPr="00172351">
        <w:rPr>
          <w:rStyle w:val="Refdenotaalpie"/>
          <w:rFonts w:ascii="Arial" w:hAnsi="Arial" w:cs="Arial"/>
          <w:sz w:val="26"/>
          <w:szCs w:val="26"/>
        </w:rPr>
        <w:footnoteReference w:id="1"/>
      </w:r>
      <w:r w:rsidRPr="00172351">
        <w:rPr>
          <w:rFonts w:ascii="Arial" w:hAnsi="Arial" w:cs="Arial"/>
          <w:sz w:val="26"/>
          <w:szCs w:val="26"/>
          <w:lang w:val="es-CO"/>
        </w:rPr>
        <w:t>, ya que el carácter injusto de la medida se logra apreciar solo a partir del momento en que queda ejecutoriada la providencia absolutoria</w:t>
      </w:r>
      <w:r w:rsidRPr="00172351">
        <w:rPr>
          <w:rFonts w:ascii="Arial" w:hAnsi="Arial" w:cs="Arial"/>
          <w:sz w:val="26"/>
          <w:szCs w:val="26"/>
          <w:vertAlign w:val="superscript"/>
          <w:lang w:val="es-CO"/>
        </w:rPr>
        <w:footnoteReference w:id="2"/>
      </w:r>
      <w:r w:rsidRPr="00172351">
        <w:rPr>
          <w:rFonts w:ascii="Arial" w:hAnsi="Arial" w:cs="Arial"/>
          <w:sz w:val="26"/>
          <w:szCs w:val="26"/>
          <w:lang w:val="es-CO"/>
        </w:rPr>
        <w:t>.</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Sinespaciado"/>
        <w:numPr>
          <w:ilvl w:val="1"/>
          <w:numId w:val="2"/>
        </w:numPr>
        <w:tabs>
          <w:tab w:val="left" w:pos="142"/>
        </w:tabs>
        <w:spacing w:line="360" w:lineRule="auto"/>
        <w:ind w:left="0" w:firstLine="0"/>
        <w:jc w:val="both"/>
        <w:rPr>
          <w:rFonts w:ascii="Arial" w:hAnsi="Arial" w:cs="Arial"/>
          <w:sz w:val="26"/>
          <w:szCs w:val="26"/>
        </w:rPr>
      </w:pPr>
      <w:r w:rsidRPr="00172351">
        <w:rPr>
          <w:rFonts w:ascii="Arial" w:hAnsi="Arial" w:cs="Arial"/>
          <w:sz w:val="26"/>
          <w:szCs w:val="26"/>
        </w:rPr>
        <w:t xml:space="preserve">En ese orden de ideas, de conformidad con las pruebas obrantes en el expediente se encuentra acreditado que, </w:t>
      </w:r>
      <w:r w:rsidRPr="00172351">
        <w:rPr>
          <w:rFonts w:ascii="Arial" w:hAnsi="Arial" w:cs="Arial"/>
          <w:bCs/>
          <w:sz w:val="26"/>
          <w:szCs w:val="26"/>
          <w:lang w:val="es-CO"/>
        </w:rPr>
        <w:t>mediante providencia de</w:t>
      </w:r>
      <w:r w:rsidRPr="00172351">
        <w:rPr>
          <w:rFonts w:ascii="Arial" w:hAnsi="Arial" w:cs="Arial"/>
          <w:sz w:val="26"/>
          <w:szCs w:val="26"/>
          <w:lang w:val="es-ES_tradnl"/>
        </w:rPr>
        <w:t xml:space="preserve"> 10 de julio del 2008</w:t>
      </w:r>
      <w:r w:rsidRPr="00172351">
        <w:rPr>
          <w:rFonts w:ascii="Arial" w:hAnsi="Arial" w:cs="Arial"/>
          <w:sz w:val="26"/>
          <w:szCs w:val="26"/>
        </w:rPr>
        <w:t xml:space="preserve">, la </w:t>
      </w:r>
      <w:r w:rsidRPr="00172351">
        <w:rPr>
          <w:rFonts w:ascii="Arial" w:hAnsi="Arial" w:cs="Arial"/>
          <w:sz w:val="26"/>
          <w:szCs w:val="26"/>
          <w:lang w:val="es-ES_tradnl"/>
        </w:rPr>
        <w:t xml:space="preserve">Sala de Casación Penal de la Corte Suprema de Justicia resolvió el recurso extraordinario de revisión interpuesto por la señora Berta Baquero </w:t>
      </w:r>
      <w:r w:rsidRPr="00172351">
        <w:rPr>
          <w:rFonts w:ascii="Arial" w:hAnsi="Arial" w:cs="Arial"/>
          <w:sz w:val="26"/>
          <w:szCs w:val="26"/>
          <w:lang w:val="es-ES_tradnl"/>
        </w:rPr>
        <w:lastRenderedPageBreak/>
        <w:t>y decretó la cesación del procedimiento por prescripción de la acción penal</w:t>
      </w:r>
      <w:r w:rsidRPr="00172351">
        <w:rPr>
          <w:rFonts w:ascii="Arial" w:hAnsi="Arial" w:cs="Arial"/>
          <w:sz w:val="26"/>
          <w:szCs w:val="26"/>
        </w:rPr>
        <w:t xml:space="preserve">, providencia que quedó debidamente ejecutoriada el 24 de julio de 2008 (f. 260, c. 1),  de modo que como la demanda fue presentada el 2 de septiembre del 2008 (f. 20, c.1), se concluye que no operó el fenómeno de caducidad.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b/>
          <w:sz w:val="26"/>
          <w:szCs w:val="26"/>
        </w:rPr>
      </w:pP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lang w:val="es-ES_tradnl"/>
        </w:rPr>
      </w:pPr>
      <w:r w:rsidRPr="00172351">
        <w:rPr>
          <w:rFonts w:ascii="Arial" w:hAnsi="Arial" w:cs="Arial"/>
          <w:b/>
          <w:sz w:val="26"/>
          <w:szCs w:val="26"/>
        </w:rPr>
        <w:t>Hechos probados</w:t>
      </w:r>
      <w:r w:rsidRPr="00172351">
        <w:rPr>
          <w:rFonts w:ascii="Arial" w:hAnsi="Arial" w:cs="Arial"/>
          <w:sz w:val="26"/>
          <w:szCs w:val="26"/>
        </w:rPr>
        <w:t xml:space="preserve">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rPr>
      </w:pPr>
    </w:p>
    <w:p w:rsidR="006E7522" w:rsidRPr="00172351" w:rsidRDefault="006E7522" w:rsidP="006E7522">
      <w:pPr>
        <w:pStyle w:val="Sinespaciado"/>
        <w:numPr>
          <w:ilvl w:val="0"/>
          <w:numId w:val="2"/>
        </w:numPr>
        <w:tabs>
          <w:tab w:val="left" w:pos="426"/>
        </w:tabs>
        <w:spacing w:line="360" w:lineRule="auto"/>
        <w:ind w:left="0" w:firstLine="0"/>
        <w:jc w:val="both"/>
        <w:rPr>
          <w:rFonts w:ascii="Arial" w:hAnsi="Arial" w:cs="Arial"/>
          <w:bCs/>
          <w:sz w:val="26"/>
          <w:szCs w:val="26"/>
        </w:rPr>
      </w:pPr>
      <w:r w:rsidRPr="00172351">
        <w:rPr>
          <w:rFonts w:ascii="Arial" w:hAnsi="Arial" w:cs="Arial"/>
          <w:bCs/>
          <w:sz w:val="26"/>
          <w:szCs w:val="26"/>
        </w:rPr>
        <w:t xml:space="preserve"> De conformidad con las pruebas válidamente aportadas al proceso, se encuentran probados los siguientes hechos relevantes:</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lang w:val="es-ES_tradnl"/>
        </w:rPr>
      </w:pP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sz w:val="26"/>
          <w:szCs w:val="26"/>
          <w:lang w:val="es-ES_tradnl"/>
        </w:rPr>
      </w:pPr>
      <w:r w:rsidRPr="00172351">
        <w:rPr>
          <w:rFonts w:ascii="Arial" w:hAnsi="Arial" w:cs="Arial"/>
          <w:sz w:val="26"/>
          <w:szCs w:val="26"/>
          <w:lang w:val="es-ES_tradnl"/>
        </w:rPr>
        <w:t xml:space="preserve">El 8 de octubre de 1997, la señora Berta Baquero fue capturada por miembros del C.T.I., previa orden de la Dirección Seccional de Fiscalías de Cundinamarca, Unidad Especial de Delitos Contra la Administración Pública por la presunta comisión del delito de celebración indebida de contratos (f. 393 – 395, c.3).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lang w:val="es-ES_tradnl"/>
        </w:rPr>
      </w:pPr>
      <w:r w:rsidRPr="00172351">
        <w:rPr>
          <w:rFonts w:ascii="Arial" w:hAnsi="Arial" w:cs="Arial"/>
          <w:sz w:val="26"/>
          <w:szCs w:val="26"/>
          <w:lang w:val="es-ES_tradnl"/>
        </w:rPr>
        <w:t xml:space="preserve"> </w:t>
      </w: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sz w:val="26"/>
          <w:szCs w:val="26"/>
          <w:lang w:val="es-ES_tradnl"/>
        </w:rPr>
      </w:pPr>
      <w:r w:rsidRPr="00172351">
        <w:rPr>
          <w:rFonts w:ascii="Arial" w:hAnsi="Arial" w:cs="Arial"/>
          <w:sz w:val="26"/>
          <w:szCs w:val="26"/>
          <w:lang w:val="es-ES_tradnl"/>
        </w:rPr>
        <w:t>El 14 de octubre de 1997, la Dirección Seccional de Fiscalías de Cundinamarca, Unidad Especial de Delitos Contra la Administración Pública resolvió la situación jurídica de la señora Berta Baquero y decidió imponer en su contra medida de aseguramiento consistente en detención domiciliaria, por cuanto encontró probado, mediante testimonios y la confesión de la encartada, que celebró contratos de suministro con el Municipio de Silvania, consciente de que estaba inhabilitada para hacerlo, de ahí que la conducta haya sido cometida a título de dolo por cuanto la encartada tenía pleno conocimiento de su inhabilidad por ser la cónyuge de uno de los miembros del concejo municipal, y en aras de burlar la restricción suscribía los contratos a través de terceras personas (f. 412 - 418, c.3).</w:t>
      </w:r>
    </w:p>
    <w:p w:rsidR="006E7522" w:rsidRPr="00172351" w:rsidRDefault="006E7522" w:rsidP="006E7522">
      <w:pPr>
        <w:pStyle w:val="Prrafodelista"/>
        <w:rPr>
          <w:rFonts w:ascii="Arial" w:hAnsi="Arial" w:cs="Arial"/>
          <w:sz w:val="26"/>
          <w:szCs w:val="26"/>
          <w:lang w:val="es-ES_tradnl"/>
        </w:rPr>
      </w:pP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lang w:val="es-ES_tradnl"/>
        </w:rPr>
      </w:pPr>
      <w:r w:rsidRPr="00172351">
        <w:rPr>
          <w:rFonts w:ascii="Arial" w:hAnsi="Arial" w:cs="Arial"/>
          <w:sz w:val="26"/>
          <w:szCs w:val="26"/>
          <w:lang w:val="es-ES_tradnl"/>
        </w:rPr>
        <w:t xml:space="preserve"> El 24 de marzo de 2000, la Dirección Seccional de Fiscalías de Cundinamarca, Unidad Especial de Delitos Contra la Administración Pública calificó el mérito del sumario y profirió resolución de acusación contra la señora Berta Baquero por el delito de violación al régimen de inhabilidades e incompatibilidades en calidad de determinadora con base en lo siguiente: </w:t>
      </w:r>
      <w:r w:rsidRPr="00172351">
        <w:rPr>
          <w:rFonts w:ascii="Arial" w:hAnsi="Arial" w:cs="Arial"/>
          <w:i/>
          <w:sz w:val="26"/>
          <w:szCs w:val="26"/>
          <w:lang w:val="es-ES_tradnl"/>
        </w:rPr>
        <w:t>i)</w:t>
      </w:r>
      <w:r w:rsidRPr="00172351">
        <w:rPr>
          <w:rFonts w:ascii="Arial" w:hAnsi="Arial" w:cs="Arial"/>
          <w:sz w:val="26"/>
          <w:szCs w:val="26"/>
          <w:lang w:val="es-ES_tradnl"/>
        </w:rPr>
        <w:t xml:space="preserve"> la señora Berta Baquero celebró contratos de suministro, por medio de </w:t>
      </w:r>
      <w:r w:rsidRPr="00172351">
        <w:rPr>
          <w:rFonts w:ascii="Arial" w:hAnsi="Arial" w:cs="Arial"/>
          <w:sz w:val="26"/>
          <w:szCs w:val="26"/>
          <w:lang w:val="es-ES_tradnl"/>
        </w:rPr>
        <w:lastRenderedPageBreak/>
        <w:t xml:space="preserve">terceros, con el Municipio de Silvania, encontrándose inhabilitada por ser esposa de un concejal municipal; </w:t>
      </w:r>
      <w:r w:rsidRPr="00172351">
        <w:rPr>
          <w:rFonts w:ascii="Arial" w:hAnsi="Arial" w:cs="Arial"/>
          <w:i/>
          <w:sz w:val="26"/>
          <w:szCs w:val="26"/>
          <w:lang w:val="es-ES_tradnl"/>
        </w:rPr>
        <w:t>ii)</w:t>
      </w:r>
      <w:r w:rsidRPr="00172351">
        <w:rPr>
          <w:rFonts w:ascii="Arial" w:hAnsi="Arial" w:cs="Arial"/>
          <w:sz w:val="26"/>
          <w:szCs w:val="26"/>
          <w:lang w:val="es-ES_tradnl"/>
        </w:rPr>
        <w:t xml:space="preserve"> los contratos se suscribieron a nombre de Mario Eduardo Peña y Manuel Antonio Riveros, quienes rindieron testimonio y narraron cómo se llevó a cabo la labor delictiva, para evadir la inhabilidad para contratar que tenía la señora Berta Baquero (f. 522 - 530, c. 3). </w:t>
      </w:r>
    </w:p>
    <w:p w:rsidR="006E7522" w:rsidRPr="00172351" w:rsidRDefault="006E7522" w:rsidP="006E7522">
      <w:pPr>
        <w:pStyle w:val="Prrafodelista"/>
        <w:rPr>
          <w:rFonts w:ascii="Arial" w:hAnsi="Arial" w:cs="Arial"/>
          <w:sz w:val="26"/>
          <w:szCs w:val="26"/>
          <w:lang w:val="es-ES_tradnl"/>
        </w:rPr>
      </w:pP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lang w:val="es-ES_tradnl"/>
        </w:rPr>
      </w:pPr>
      <w:r w:rsidRPr="00172351">
        <w:rPr>
          <w:rFonts w:ascii="Arial" w:hAnsi="Arial" w:cs="Arial"/>
          <w:sz w:val="26"/>
          <w:szCs w:val="26"/>
          <w:lang w:val="es-ES_tradnl"/>
        </w:rPr>
        <w:t>El 26 de noviembre de 2004, el Juzgado Penal del Circuito de Fusagasugá, Cundinamarca, profirió sentencia condenatoria contra la señora Berta Baquero como coautora del delito de violación al régimen de inhabilidades e incompatibilidades, le impuso la pena principal de 66 meses de prisión y le concedió la libertad provisional. Las consideraciones de la providencia fueron las siguientes:</w:t>
      </w:r>
    </w:p>
    <w:p w:rsidR="006E7522" w:rsidRPr="00172351" w:rsidRDefault="006E7522" w:rsidP="006E7522">
      <w:pPr>
        <w:pStyle w:val="Prrafodelista"/>
        <w:ind w:left="567" w:right="900"/>
        <w:rPr>
          <w:rFonts w:ascii="Arial" w:hAnsi="Arial" w:cs="Arial"/>
          <w:sz w:val="26"/>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Se le acusa de haber celebrado contratos con el municipio de Silvania, siendo que por medio había una inhabilidad para que lo hiciera directa o a través de interpuesta persona, en atención a que era la cónyuge del señor Antonio Gerardino Gómez Gutiérrez, quien ostentaba la calidad de Concejal de esa población por ese entonces.</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Desde luego, en el curso de su indagatoria, Bertha Baquero de Gómez, hizo hincapié que desde hacía diecisiete años se había disuelto la sociedad conyugal entre ella y el concejal Antonio Gerardino Gómez, para de esta forma hacer ver que ningún vínculo la ligaba a dicho ciudadano, sin embargo a una pregunta que se le formulara sobre la relación que mantenía por aquella época con aquel, contestó que la de esposos.</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[D]eclaró el señor Héctor Armando González, haber sido una persona más de las utilizadas por el matrimonio Gómez – Baquero, para que la señora Bertha se beneficiara económicamente con los contratos que él celebraba en pequeñas cantidades con el municipio de Silvania, y pone de manifiesto que para él no era normal que tales suministros se hicieran figurar como si fueran hechos por él, habida cuenta que apenas aportaba al municipio algunos materiales pero en porciones mínimas, cuya situación aprovechó aquella para suministrar otros, simulando que era él quien directamente contrataba.</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 xml:space="preserve">Según se ve, sabedora doña Bertha que Héctor Armando González hacía ciertos suministros de materiales al municipio pero a pequeña escala, aprovechó la ocasión para engrosar o agrandar el pedido de mercancías que a él le hacían, para así escudarse o ampararse porque era dicho ciudadano quien firmaba las respectivas cuentas de cobro y retiraba los cheques, los cuales hacía efectivos pero a </w:t>
      </w:r>
      <w:r w:rsidRPr="00172351">
        <w:rPr>
          <w:rFonts w:ascii="Arial" w:hAnsi="Arial" w:cs="Arial"/>
          <w:i/>
          <w:szCs w:val="26"/>
          <w:lang w:val="es-ES_tradnl"/>
        </w:rPr>
        <w:lastRenderedPageBreak/>
        <w:t xml:space="preserve">su turno le hacía entrega a ella de su parte, que de lógica era de mayor significancia dineraria. </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 xml:space="preserve">[E]l lazo matrimonial que los unía era suficiente para que este último [Antonio Gómez] intrigara ante la administración municipal para que las cuentas de cobro que se pasaban a nombre de cualquiera de las personas que se utilizaban con los fines que se vienen trayendo a colación, tuvieran un tratamiento especial en cuanto a su celeridad  y pago oportuno, con la consiguiente entrega de los cheques no a quienes aparecían allí contratando sino de cualquiera de los esposos en cita, luego no tiene cabida la versión exculpatoria de doña Bertha que usualmente eran aquellos quienes solían autorizarla con tales fines, siendo que ni siquiera ellos tenía conocimiento de las actividades que calladamente venía poniendo en práctica con el aval de su cónyuge. </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 xml:space="preserve">Queda claro que por mandamiento expreso, la acusada Bertha Baquero de Gómez, estaba inhabilitada para contratar con la administración municipal de Silvania, (…) pues la norma es taxativa cuando hace relación a la inhabilidad de contratar en tales condiciones por parte de la cónyuge, compañero o compañera permanente de los concejales (art. 19 de la Ley 53 de 1990).              </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r w:rsidRPr="00172351">
        <w:rPr>
          <w:rFonts w:ascii="Arial" w:hAnsi="Arial" w:cs="Arial"/>
          <w:i/>
          <w:szCs w:val="26"/>
          <w:lang w:val="es-ES_tradnl"/>
        </w:rPr>
        <w:t>Esa particular prohibición también sobreviene como consecuencia de la calidad que se le da a los particulares que contratan con la administración habiendo de por medio una inhabilidad o incompatibilidad, a través del artículo 56 de la Ley 80 de 1993, el cual hace mención a que el contratista, el interventor, el consultor y el asesor se consideran particulares que cumplen funciones públicas en todo lo concerniente a la celebración ejecución y liquidación de los contratos que celebren con las entidades estatales (…)</w:t>
      </w:r>
    </w:p>
    <w:p w:rsidR="006E7522" w:rsidRPr="00172351" w:rsidRDefault="006E7522" w:rsidP="006E7522">
      <w:pPr>
        <w:pStyle w:val="NormalWeb"/>
        <w:shd w:val="clear" w:color="auto" w:fill="FFFFFF"/>
        <w:tabs>
          <w:tab w:val="left" w:pos="284"/>
          <w:tab w:val="left" w:pos="567"/>
        </w:tabs>
        <w:spacing w:before="0" w:beforeAutospacing="0" w:after="0" w:afterAutospacing="0"/>
        <w:ind w:left="851" w:right="902"/>
        <w:jc w:val="both"/>
        <w:rPr>
          <w:rFonts w:ascii="Arial" w:hAnsi="Arial" w:cs="Arial"/>
          <w:i/>
          <w:szCs w:val="26"/>
          <w:lang w:val="es-ES_tradnl"/>
        </w:rPr>
      </w:pPr>
    </w:p>
    <w:p w:rsidR="006E7522" w:rsidRPr="00172351" w:rsidRDefault="006E7522" w:rsidP="006E7522">
      <w:pPr>
        <w:pStyle w:val="NormalWeb"/>
        <w:shd w:val="clear" w:color="auto" w:fill="FFFFFF"/>
        <w:tabs>
          <w:tab w:val="left" w:pos="284"/>
        </w:tabs>
        <w:spacing w:before="0" w:beforeAutospacing="0" w:after="0" w:afterAutospacing="0"/>
        <w:ind w:left="851" w:right="902"/>
        <w:jc w:val="both"/>
        <w:rPr>
          <w:rFonts w:ascii="Arial" w:hAnsi="Arial" w:cs="Arial"/>
          <w:sz w:val="26"/>
          <w:szCs w:val="26"/>
          <w:lang w:val="es-ES_tradnl"/>
        </w:rPr>
      </w:pPr>
      <w:r w:rsidRPr="00172351">
        <w:rPr>
          <w:rFonts w:ascii="Arial" w:hAnsi="Arial" w:cs="Arial"/>
          <w:i/>
          <w:szCs w:val="26"/>
          <w:lang w:val="es-ES_tradnl"/>
        </w:rPr>
        <w:t xml:space="preserve">Es innegable que la señora Bertha Baquero de Gómez no contrató directamente con el municipio de Silvania sino a través de interpuesta persona, pues como se ve, se valió de amigos suyos o allegados a la familia, para contratar a nombre de ellos, en el entendido que las cuentas de cobro eran elaboradas a nombre de aquellos, especialmente en cuanto tiene que ver con Mario Eduardo Peña y Manuel Antonio Riveros, pero los cheques eran usualmente retirados y cobrados por aquella (…) </w:t>
      </w:r>
      <w:r w:rsidRPr="00172351">
        <w:rPr>
          <w:rFonts w:ascii="Arial" w:hAnsi="Arial" w:cs="Arial"/>
          <w:szCs w:val="26"/>
          <w:lang w:val="es-ES_tradnl"/>
        </w:rPr>
        <w:t>(f. 337 – 378, c.3)</w:t>
      </w:r>
      <w:r w:rsidRPr="00172351">
        <w:rPr>
          <w:rFonts w:ascii="Arial" w:hAnsi="Arial" w:cs="Arial"/>
          <w:i/>
          <w:szCs w:val="26"/>
          <w:lang w:val="es-ES_tradnl"/>
        </w:rPr>
        <w:t xml:space="preserve">    </w:t>
      </w:r>
      <w:r w:rsidRPr="00172351">
        <w:rPr>
          <w:rFonts w:ascii="Arial" w:hAnsi="Arial" w:cs="Arial"/>
          <w:sz w:val="26"/>
          <w:szCs w:val="26"/>
          <w:lang w:val="es-ES_tradnl"/>
        </w:rPr>
        <w:t xml:space="preserve">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lang w:val="es-ES_tradnl"/>
        </w:rPr>
      </w:pP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sz w:val="26"/>
          <w:szCs w:val="26"/>
        </w:rPr>
      </w:pPr>
      <w:r w:rsidRPr="00172351">
        <w:rPr>
          <w:rFonts w:ascii="Arial" w:hAnsi="Arial" w:cs="Arial"/>
          <w:sz w:val="26"/>
          <w:szCs w:val="26"/>
        </w:rPr>
        <w:t>El 17 de mayo de 2005, el Tribunal Superior del Distrito Judicial de Cundinamarca resolvió el recurso de apelación interpuesto contra la anterior decisión y la confirmó con fundamento en los mismos argumentos expuestos en primera instancia (f. 262 – 335, c.3).</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rPr>
      </w:pPr>
    </w:p>
    <w:p w:rsidR="006E7522" w:rsidRPr="00172351" w:rsidRDefault="006E7522" w:rsidP="006E7522">
      <w:pPr>
        <w:pStyle w:val="NormalWeb"/>
        <w:numPr>
          <w:ilvl w:val="1"/>
          <w:numId w:val="2"/>
        </w:numPr>
        <w:shd w:val="clear" w:color="auto" w:fill="FFFFFF"/>
        <w:tabs>
          <w:tab w:val="left" w:pos="284"/>
          <w:tab w:val="left" w:pos="567"/>
        </w:tabs>
        <w:spacing w:before="0" w:beforeAutospacing="0" w:after="0" w:afterAutospacing="0" w:line="360" w:lineRule="auto"/>
        <w:ind w:left="0" w:firstLine="0"/>
        <w:jc w:val="both"/>
        <w:rPr>
          <w:rFonts w:ascii="Arial" w:hAnsi="Arial" w:cs="Arial"/>
          <w:sz w:val="26"/>
          <w:szCs w:val="26"/>
        </w:rPr>
      </w:pPr>
      <w:r w:rsidRPr="00172351">
        <w:rPr>
          <w:rFonts w:ascii="Arial" w:hAnsi="Arial" w:cs="Arial"/>
          <w:sz w:val="26"/>
          <w:szCs w:val="26"/>
        </w:rPr>
        <w:t xml:space="preserve">El 11 de septiembre del 2006, la Sala de Casación Penal de la Corte Suprema de Justicia resolvió el recurso extraordinario de casación presentado por la encartada (f. 16 – 33, c. 3), en el cual se formularon los </w:t>
      </w:r>
      <w:r w:rsidRPr="00172351">
        <w:rPr>
          <w:rFonts w:ascii="Arial" w:hAnsi="Arial" w:cs="Arial"/>
          <w:sz w:val="26"/>
          <w:szCs w:val="26"/>
        </w:rPr>
        <w:lastRenderedPageBreak/>
        <w:t xml:space="preserve">siguientes cargos: </w:t>
      </w:r>
      <w:r w:rsidRPr="00172351">
        <w:rPr>
          <w:rFonts w:ascii="Arial" w:hAnsi="Arial" w:cs="Arial"/>
          <w:i/>
          <w:sz w:val="26"/>
          <w:szCs w:val="26"/>
        </w:rPr>
        <w:t>i)</w:t>
      </w:r>
      <w:r w:rsidRPr="00172351">
        <w:rPr>
          <w:rFonts w:ascii="Arial" w:hAnsi="Arial" w:cs="Arial"/>
          <w:sz w:val="26"/>
          <w:szCs w:val="26"/>
        </w:rPr>
        <w:t xml:space="preserve"> nulidad por violación al debido proceso por falta de motivación; </w:t>
      </w:r>
      <w:r w:rsidRPr="00172351">
        <w:rPr>
          <w:rFonts w:ascii="Arial" w:hAnsi="Arial" w:cs="Arial"/>
          <w:i/>
          <w:sz w:val="26"/>
          <w:szCs w:val="26"/>
        </w:rPr>
        <w:t>ii)</w:t>
      </w:r>
      <w:r w:rsidRPr="00172351">
        <w:rPr>
          <w:rFonts w:ascii="Arial" w:hAnsi="Arial" w:cs="Arial"/>
          <w:sz w:val="26"/>
          <w:szCs w:val="26"/>
        </w:rPr>
        <w:t xml:space="preserve"> la sentencia no guarda consonancia con los cargos formulados en la resolución de acusación; </w:t>
      </w:r>
      <w:r w:rsidRPr="00172351">
        <w:rPr>
          <w:rFonts w:ascii="Arial" w:hAnsi="Arial" w:cs="Arial"/>
          <w:i/>
          <w:sz w:val="26"/>
          <w:szCs w:val="26"/>
        </w:rPr>
        <w:t>iii)</w:t>
      </w:r>
      <w:r w:rsidRPr="00172351">
        <w:rPr>
          <w:rFonts w:ascii="Arial" w:hAnsi="Arial" w:cs="Arial"/>
          <w:sz w:val="26"/>
          <w:szCs w:val="26"/>
        </w:rPr>
        <w:t xml:space="preserve">  la acusada no ostenta la calidad de servidora pública por lo que no le es aplicable el régimen de inhabilidades e incompatibilidades, como tampoco se configura el hecho punible como coautora, pues no está demostrado que hubiera cohonestado con otras personas para cometer el ilícito.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NormalWeb"/>
        <w:numPr>
          <w:ilvl w:val="2"/>
          <w:numId w:val="2"/>
        </w:numPr>
        <w:shd w:val="clear" w:color="auto" w:fill="FFFFFF"/>
        <w:tabs>
          <w:tab w:val="left" w:pos="284"/>
          <w:tab w:val="left" w:pos="567"/>
          <w:tab w:val="left" w:pos="851"/>
        </w:tabs>
        <w:spacing w:before="0" w:beforeAutospacing="0" w:after="0" w:afterAutospacing="0" w:line="360" w:lineRule="auto"/>
        <w:ind w:left="0" w:firstLine="0"/>
        <w:jc w:val="both"/>
        <w:rPr>
          <w:rFonts w:ascii="Arial" w:hAnsi="Arial" w:cs="Arial"/>
          <w:sz w:val="26"/>
          <w:szCs w:val="26"/>
        </w:rPr>
      </w:pPr>
      <w:r w:rsidRPr="00172351">
        <w:rPr>
          <w:rFonts w:ascii="Arial" w:hAnsi="Arial" w:cs="Arial"/>
          <w:sz w:val="26"/>
          <w:szCs w:val="26"/>
        </w:rPr>
        <w:t xml:space="preserve"> La Sala decidió no casar la sentencia recurrida por cuanto consideró: </w:t>
      </w:r>
      <w:r w:rsidRPr="00172351">
        <w:rPr>
          <w:rFonts w:ascii="Arial" w:hAnsi="Arial" w:cs="Arial"/>
          <w:i/>
          <w:sz w:val="26"/>
          <w:szCs w:val="26"/>
        </w:rPr>
        <w:t>i)</w:t>
      </w:r>
      <w:r w:rsidRPr="00172351">
        <w:rPr>
          <w:rFonts w:ascii="Arial" w:hAnsi="Arial" w:cs="Arial"/>
          <w:sz w:val="26"/>
          <w:szCs w:val="26"/>
        </w:rPr>
        <w:t xml:space="preserve"> los funcionarios judiciales motivaron sus decisiones en la clara transgresión al artículo 144 del Decreto 100 de 1980 (actual artículo 408 de la Ley 599 de 2000); </w:t>
      </w:r>
      <w:r w:rsidRPr="00172351">
        <w:rPr>
          <w:rFonts w:ascii="Arial" w:hAnsi="Arial" w:cs="Arial"/>
          <w:i/>
          <w:sz w:val="26"/>
          <w:szCs w:val="26"/>
        </w:rPr>
        <w:t>ii)</w:t>
      </w:r>
      <w:r w:rsidRPr="00172351">
        <w:rPr>
          <w:rFonts w:ascii="Arial" w:hAnsi="Arial" w:cs="Arial"/>
          <w:sz w:val="26"/>
          <w:szCs w:val="26"/>
        </w:rPr>
        <w:t xml:space="preserve"> la imputación fáctica que se le realizó a la señora Berta Baquero no sorprendió procesalmente a la encartada; </w:t>
      </w:r>
      <w:r w:rsidRPr="00172351">
        <w:rPr>
          <w:rFonts w:ascii="Arial" w:hAnsi="Arial" w:cs="Arial"/>
          <w:i/>
          <w:sz w:val="26"/>
          <w:szCs w:val="26"/>
        </w:rPr>
        <w:t>iii)</w:t>
      </w:r>
      <w:r w:rsidRPr="00172351">
        <w:rPr>
          <w:rFonts w:ascii="Arial" w:hAnsi="Arial" w:cs="Arial"/>
          <w:sz w:val="26"/>
          <w:szCs w:val="26"/>
        </w:rPr>
        <w:t xml:space="preserve"> la coautoría de la imputación se derivó de la celebración de contratos públicos por interpuesta persona y no se relaciona con los demás procesados por el mismo delito.     </w:t>
      </w:r>
    </w:p>
    <w:p w:rsidR="006E7522" w:rsidRPr="00172351" w:rsidRDefault="006E7522" w:rsidP="006E7522">
      <w:pPr>
        <w:pStyle w:val="NormalWeb"/>
        <w:shd w:val="clear" w:color="auto" w:fill="FFFFFF"/>
        <w:tabs>
          <w:tab w:val="left" w:pos="284"/>
          <w:tab w:val="left" w:pos="567"/>
          <w:tab w:val="left" w:pos="851"/>
        </w:tabs>
        <w:spacing w:before="0" w:beforeAutospacing="0" w:after="0" w:afterAutospacing="0" w:line="360" w:lineRule="auto"/>
        <w:jc w:val="both"/>
        <w:rPr>
          <w:rFonts w:ascii="Arial" w:hAnsi="Arial" w:cs="Arial"/>
          <w:sz w:val="26"/>
          <w:szCs w:val="26"/>
        </w:rPr>
      </w:pPr>
    </w:p>
    <w:p w:rsidR="006E7522" w:rsidRPr="00172351" w:rsidRDefault="006E7522" w:rsidP="006E7522">
      <w:pPr>
        <w:pStyle w:val="NormalWeb"/>
        <w:numPr>
          <w:ilvl w:val="1"/>
          <w:numId w:val="2"/>
        </w:numPr>
        <w:shd w:val="clear" w:color="auto" w:fill="FFFFFF"/>
        <w:tabs>
          <w:tab w:val="left" w:pos="567"/>
          <w:tab w:val="left" w:pos="851"/>
        </w:tabs>
        <w:spacing w:before="0" w:beforeAutospacing="0" w:after="0" w:afterAutospacing="0" w:line="360" w:lineRule="auto"/>
        <w:ind w:left="0" w:firstLine="0"/>
        <w:jc w:val="both"/>
        <w:rPr>
          <w:rFonts w:ascii="Arial" w:hAnsi="Arial" w:cs="Arial"/>
          <w:sz w:val="26"/>
          <w:szCs w:val="26"/>
        </w:rPr>
      </w:pPr>
      <w:r w:rsidRPr="00172351">
        <w:rPr>
          <w:rFonts w:ascii="Arial" w:hAnsi="Arial" w:cs="Arial"/>
          <w:sz w:val="26"/>
          <w:szCs w:val="26"/>
        </w:rPr>
        <w:t xml:space="preserve">El 10 de julio de 2008, la Sala de Casación Penal de la Corte Suprema de Justicia resolvió el recurso extraordinario de revisión interpuesto por la encartada (f. 207 – 225, c.3). La causal invocada por la accionante fue la contenida en el numeral 2 de la Ley 906 de 2004, que avala la procedencia de la acción de revisión cuando se hubiera proferido sentencia condenatoria en un proceso extinto por prescripción de la acción penal. </w:t>
      </w:r>
    </w:p>
    <w:p w:rsidR="006E7522" w:rsidRPr="00172351" w:rsidRDefault="006E7522" w:rsidP="006E7522">
      <w:pPr>
        <w:pStyle w:val="NormalWeb"/>
        <w:shd w:val="clear" w:color="auto" w:fill="FFFFFF"/>
        <w:tabs>
          <w:tab w:val="left" w:pos="567"/>
          <w:tab w:val="left" w:pos="851"/>
        </w:tabs>
        <w:spacing w:before="0" w:beforeAutospacing="0" w:after="0" w:afterAutospacing="0" w:line="360" w:lineRule="auto"/>
        <w:jc w:val="both"/>
        <w:rPr>
          <w:rFonts w:ascii="Arial" w:hAnsi="Arial" w:cs="Arial"/>
          <w:sz w:val="26"/>
          <w:szCs w:val="26"/>
        </w:rPr>
      </w:pPr>
    </w:p>
    <w:p w:rsidR="006E7522" w:rsidRPr="00172351" w:rsidRDefault="006E7522" w:rsidP="006E7522">
      <w:pPr>
        <w:pStyle w:val="NormalWeb"/>
        <w:numPr>
          <w:ilvl w:val="2"/>
          <w:numId w:val="2"/>
        </w:numPr>
        <w:shd w:val="clear" w:color="auto" w:fill="FFFFFF"/>
        <w:tabs>
          <w:tab w:val="left" w:pos="567"/>
          <w:tab w:val="left" w:pos="851"/>
        </w:tabs>
        <w:spacing w:before="0" w:beforeAutospacing="0" w:after="0" w:afterAutospacing="0" w:line="360" w:lineRule="auto"/>
        <w:ind w:left="0" w:firstLine="0"/>
        <w:jc w:val="both"/>
        <w:rPr>
          <w:rFonts w:ascii="Arial" w:hAnsi="Arial" w:cs="Arial"/>
          <w:sz w:val="26"/>
          <w:szCs w:val="26"/>
        </w:rPr>
      </w:pPr>
      <w:r w:rsidRPr="00172351">
        <w:rPr>
          <w:rFonts w:ascii="Arial" w:hAnsi="Arial" w:cs="Arial"/>
          <w:sz w:val="26"/>
          <w:szCs w:val="26"/>
        </w:rPr>
        <w:t xml:space="preserve">La Corte Suprema de Justicia declaró fundada la causal de revisión invocada, dejó sin efecto las providencias condenatorias de primera y segunda instancia y decretó la prescripción de la acción penal, así como la cesación del procedimiento seguido contra la señora Berta Baquero, por el delito de violación al régimen de inhabilidades e incompatibilidades. En la providencia de revisión se realizaron las siguientes consideraciones: </w:t>
      </w:r>
      <w:r w:rsidRPr="00172351">
        <w:rPr>
          <w:rFonts w:ascii="Arial" w:hAnsi="Arial" w:cs="Arial"/>
          <w:i/>
          <w:sz w:val="26"/>
          <w:szCs w:val="26"/>
        </w:rPr>
        <w:t>i)</w:t>
      </w:r>
      <w:r w:rsidRPr="00172351">
        <w:rPr>
          <w:rFonts w:ascii="Arial" w:hAnsi="Arial" w:cs="Arial"/>
          <w:sz w:val="26"/>
          <w:szCs w:val="26"/>
        </w:rPr>
        <w:t xml:space="preserve"> de acuerdo con el estatuto penal, en la etapa instructiva, la acción penal prescribe en un término igual al máximo de la pena establecida en la ley. Este término debe ser aumentado en una tercera parte cuando el comportamiento delictivo sea cometido por servidor público y se interrumpe con la resolución acusatoria, momento a partir del cual reinicia su cómputo por la mitad del </w:t>
      </w:r>
      <w:r w:rsidRPr="00172351">
        <w:rPr>
          <w:rFonts w:ascii="Arial" w:hAnsi="Arial" w:cs="Arial"/>
          <w:sz w:val="26"/>
          <w:szCs w:val="26"/>
        </w:rPr>
        <w:lastRenderedPageBreak/>
        <w:t xml:space="preserve">lapso inicial; </w:t>
      </w:r>
      <w:r w:rsidRPr="00172351">
        <w:rPr>
          <w:rFonts w:ascii="Arial" w:hAnsi="Arial" w:cs="Arial"/>
          <w:i/>
          <w:sz w:val="26"/>
          <w:szCs w:val="26"/>
        </w:rPr>
        <w:t>ii)</w:t>
      </w:r>
      <w:r w:rsidRPr="00172351">
        <w:rPr>
          <w:rFonts w:ascii="Arial" w:hAnsi="Arial" w:cs="Arial"/>
          <w:sz w:val="26"/>
          <w:szCs w:val="26"/>
        </w:rPr>
        <w:t xml:space="preserve"> el delito por el cual fue procesada la señora Berta Baquero tiene una pena máxima de 12 años de prisión y la resolución de acusación quedó ejecutoriada el 13 de septiembre de 2000, por lo que el término de prescripción de la acción penal se cumplió años después, el 13 de septiembre de 2006; </w:t>
      </w:r>
      <w:r w:rsidRPr="00172351">
        <w:rPr>
          <w:rFonts w:ascii="Arial" w:hAnsi="Arial" w:cs="Arial"/>
          <w:i/>
          <w:sz w:val="26"/>
          <w:szCs w:val="26"/>
        </w:rPr>
        <w:t>iii)</w:t>
      </w:r>
      <w:r w:rsidRPr="00172351">
        <w:rPr>
          <w:rFonts w:ascii="Arial" w:hAnsi="Arial" w:cs="Arial"/>
          <w:sz w:val="26"/>
          <w:szCs w:val="26"/>
        </w:rPr>
        <w:t xml:space="preserve"> el computo se realiza sin el aumento de la tercera parte consagrado en la norma, por cuanto la procesada no ostentaba la calidad de servidora pública; </w:t>
      </w:r>
      <w:r w:rsidRPr="00172351">
        <w:rPr>
          <w:rFonts w:ascii="Arial" w:hAnsi="Arial" w:cs="Arial"/>
          <w:i/>
          <w:sz w:val="26"/>
          <w:szCs w:val="26"/>
        </w:rPr>
        <w:t>iv)</w:t>
      </w:r>
      <w:r w:rsidRPr="00172351">
        <w:rPr>
          <w:rFonts w:ascii="Arial" w:hAnsi="Arial" w:cs="Arial"/>
          <w:sz w:val="26"/>
          <w:szCs w:val="26"/>
        </w:rPr>
        <w:t xml:space="preserve"> el fallo de casación proferido el 11 de septiembre de 2006 fue notificado por edicto desfijado el 19 de septiembre de 2006, fecha para la cual la acción penal ya se encontraba prescrita.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rPr>
      </w:pP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b/>
          <w:sz w:val="26"/>
          <w:szCs w:val="26"/>
          <w:lang w:val="es-ES_tradnl"/>
        </w:rPr>
      </w:pPr>
      <w:r w:rsidRPr="00172351">
        <w:rPr>
          <w:rFonts w:ascii="Arial" w:hAnsi="Arial" w:cs="Arial"/>
          <w:b/>
          <w:sz w:val="26"/>
          <w:szCs w:val="26"/>
        </w:rPr>
        <w:t>Problema jurídico</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b/>
          <w:sz w:val="26"/>
          <w:szCs w:val="26"/>
        </w:rPr>
      </w:pPr>
    </w:p>
    <w:p w:rsidR="006E7522" w:rsidRPr="00172351" w:rsidRDefault="006E7522" w:rsidP="006E7522">
      <w:pPr>
        <w:pStyle w:val="NormalWeb"/>
        <w:numPr>
          <w:ilvl w:val="0"/>
          <w:numId w:val="2"/>
        </w:numPr>
        <w:shd w:val="clear" w:color="auto" w:fill="FFFFFF"/>
        <w:tabs>
          <w:tab w:val="left" w:pos="284"/>
          <w:tab w:val="left" w:pos="426"/>
        </w:tabs>
        <w:spacing w:before="0" w:beforeAutospacing="0" w:after="0" w:afterAutospacing="0" w:line="360" w:lineRule="auto"/>
        <w:ind w:left="0" w:firstLine="0"/>
        <w:jc w:val="both"/>
        <w:rPr>
          <w:rFonts w:ascii="Arial" w:hAnsi="Arial" w:cs="Arial"/>
          <w:sz w:val="26"/>
          <w:szCs w:val="26"/>
          <w:lang w:val="es-ES_tradnl"/>
        </w:rPr>
      </w:pPr>
      <w:r w:rsidRPr="00172351">
        <w:rPr>
          <w:rFonts w:ascii="Arial" w:hAnsi="Arial" w:cs="Arial"/>
          <w:sz w:val="26"/>
          <w:szCs w:val="26"/>
        </w:rPr>
        <w:t>La Sala debe determinar si la privación de la libertad que soportó la señora Berta Baquero de Gómez en el marco de la investigación penal que adelantó en su contra la Fiscalía General de la Nación por el delito de violación al régimen de inhabilidades e incompatibilidades, que culminó con la cesación de procedimiento por prescripción de la acción penal, fue injusta y, en consecuencia, le es imputable a las entidades demandadas.</w:t>
      </w:r>
      <w:r w:rsidRPr="00172351">
        <w:rPr>
          <w:rFonts w:ascii="Arial" w:hAnsi="Arial" w:cs="Arial"/>
          <w:sz w:val="26"/>
          <w:szCs w:val="26"/>
          <w:lang w:val="es-ES_tradnl"/>
        </w:rPr>
        <w:t xml:space="preserve"> </w:t>
      </w:r>
    </w:p>
    <w:p w:rsidR="006E7522" w:rsidRPr="00172351" w:rsidRDefault="006E7522" w:rsidP="006E7522">
      <w:pPr>
        <w:pStyle w:val="NormalWeb"/>
        <w:shd w:val="clear" w:color="auto" w:fill="FFFFFF"/>
        <w:tabs>
          <w:tab w:val="left" w:pos="284"/>
          <w:tab w:val="left" w:pos="567"/>
        </w:tabs>
        <w:spacing w:before="0" w:beforeAutospacing="0" w:after="0" w:afterAutospacing="0" w:line="360" w:lineRule="auto"/>
        <w:jc w:val="both"/>
        <w:rPr>
          <w:rFonts w:ascii="Arial" w:hAnsi="Arial" w:cs="Arial"/>
          <w:sz w:val="26"/>
          <w:szCs w:val="26"/>
          <w:lang w:val="es-ES_tradnl"/>
        </w:rPr>
      </w:pPr>
    </w:p>
    <w:p w:rsidR="006E7522" w:rsidRPr="00172351" w:rsidRDefault="006E7522" w:rsidP="006E7522">
      <w:pPr>
        <w:pStyle w:val="Prrafodelista"/>
        <w:tabs>
          <w:tab w:val="left" w:pos="0"/>
        </w:tabs>
        <w:spacing w:line="360" w:lineRule="auto"/>
        <w:ind w:left="0"/>
        <w:jc w:val="both"/>
        <w:rPr>
          <w:rFonts w:ascii="Arial" w:hAnsi="Arial" w:cs="Arial"/>
          <w:sz w:val="26"/>
          <w:szCs w:val="26"/>
        </w:rPr>
      </w:pPr>
      <w:r w:rsidRPr="00172351">
        <w:rPr>
          <w:rFonts w:ascii="Arial" w:hAnsi="Arial" w:cs="Arial"/>
          <w:b/>
          <w:bCs/>
          <w:sz w:val="26"/>
          <w:szCs w:val="26"/>
        </w:rPr>
        <w:t>Análisis de la Sala</w:t>
      </w:r>
    </w:p>
    <w:p w:rsidR="006E7522" w:rsidRPr="00172351" w:rsidRDefault="006E7522" w:rsidP="006E7522">
      <w:pPr>
        <w:spacing w:line="360" w:lineRule="auto"/>
        <w:ind w:left="567"/>
        <w:jc w:val="both"/>
        <w:rPr>
          <w:rFonts w:ascii="Arial" w:hAnsi="Arial" w:cs="Arial"/>
          <w:b/>
          <w:bCs/>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 De conformidad con los hechos probados, se tiene por demostrado el </w:t>
      </w:r>
      <w:r w:rsidRPr="00172351">
        <w:rPr>
          <w:rFonts w:ascii="Arial" w:hAnsi="Arial" w:cs="Arial"/>
          <w:b/>
          <w:sz w:val="26"/>
          <w:szCs w:val="26"/>
        </w:rPr>
        <w:t>daño</w:t>
      </w:r>
      <w:r w:rsidRPr="00172351">
        <w:rPr>
          <w:rFonts w:ascii="Arial" w:hAnsi="Arial" w:cs="Arial"/>
          <w:sz w:val="26"/>
          <w:szCs w:val="26"/>
        </w:rPr>
        <w:t xml:space="preserve"> invocado por la parte actora, es decir, está debidamente acreditada la afectación a los derechos a la libertad y locomoción de </w:t>
      </w:r>
      <w:r w:rsidRPr="00172351">
        <w:rPr>
          <w:rFonts w:ascii="Arial" w:hAnsi="Arial" w:cs="Arial"/>
          <w:sz w:val="26"/>
          <w:szCs w:val="26"/>
          <w:lang w:val="es-ES_tradnl"/>
        </w:rPr>
        <w:t xml:space="preserve">la señora Berta Baquero, teniendo en cuenta que esta </w:t>
      </w:r>
      <w:r w:rsidRPr="00172351">
        <w:rPr>
          <w:rFonts w:ascii="Arial" w:hAnsi="Arial" w:cs="Arial"/>
          <w:sz w:val="26"/>
          <w:szCs w:val="26"/>
        </w:rPr>
        <w:t>fue capturada, puesta a disposición de la Fiscalía el 8 de febrero de 1997 y condenada por el delito de violación al régimen de inhabilidades e incompatibilidades hasta el 10 de julio de 2008, cuando la</w:t>
      </w:r>
      <w:r w:rsidRPr="00172351">
        <w:rPr>
          <w:rFonts w:ascii="Arial" w:hAnsi="Arial" w:cs="Arial"/>
          <w:sz w:val="26"/>
          <w:szCs w:val="26"/>
          <w:lang w:val="es-ES_tradnl"/>
        </w:rPr>
        <w:t xml:space="preserve"> Sala de Casación Penal de la Corte Suprema de Justicia</w:t>
      </w:r>
      <w:r w:rsidRPr="00172351">
        <w:rPr>
          <w:rFonts w:ascii="Arial" w:hAnsi="Arial" w:cs="Arial"/>
          <w:sz w:val="26"/>
          <w:szCs w:val="26"/>
        </w:rPr>
        <w:t xml:space="preserve"> decretó la cesación de procedimiento por prescripción de la acción penal. </w:t>
      </w:r>
    </w:p>
    <w:p w:rsidR="006E7522" w:rsidRPr="00172351" w:rsidRDefault="006E7522" w:rsidP="006E7522">
      <w:pPr>
        <w:pStyle w:val="Prrafodelista"/>
        <w:tabs>
          <w:tab w:val="left" w:pos="0"/>
          <w:tab w:val="left" w:pos="142"/>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firstLine="0"/>
        <w:contextualSpacing/>
        <w:jc w:val="both"/>
        <w:rPr>
          <w:rFonts w:ascii="Arial" w:hAnsi="Arial" w:cs="Arial"/>
          <w:sz w:val="26"/>
          <w:szCs w:val="26"/>
        </w:rPr>
      </w:pPr>
      <w:r w:rsidRPr="00172351">
        <w:rPr>
          <w:rFonts w:ascii="Arial" w:hAnsi="Arial" w:cs="Arial"/>
          <w:bCs/>
          <w:sz w:val="26"/>
          <w:szCs w:val="26"/>
        </w:rPr>
        <w:t xml:space="preserve">Establecida la existencia del daño es necesario verificar si este es </w:t>
      </w:r>
      <w:r w:rsidRPr="00172351">
        <w:rPr>
          <w:rFonts w:ascii="Arial" w:hAnsi="Arial" w:cs="Arial"/>
          <w:b/>
          <w:bCs/>
          <w:sz w:val="26"/>
          <w:szCs w:val="26"/>
        </w:rPr>
        <w:t xml:space="preserve">imputable </w:t>
      </w:r>
      <w:r w:rsidRPr="00172351">
        <w:rPr>
          <w:rFonts w:ascii="Arial" w:hAnsi="Arial" w:cs="Arial"/>
          <w:bCs/>
          <w:sz w:val="26"/>
          <w:szCs w:val="26"/>
        </w:rPr>
        <w:t xml:space="preserve">a las entidades demandadas, aspecto este que constituye el argumento central del recurso de apelación formulado, pues a juicio de la parte demandante, la privación de la libertad a la cual fue sometida la señora </w:t>
      </w:r>
      <w:r w:rsidRPr="00172351">
        <w:rPr>
          <w:rFonts w:ascii="Arial" w:hAnsi="Arial" w:cs="Arial"/>
          <w:bCs/>
          <w:sz w:val="26"/>
          <w:szCs w:val="26"/>
        </w:rPr>
        <w:lastRenderedPageBreak/>
        <w:t xml:space="preserve">Berta Baquero fue injusta, en tanto no tenía la carga de soportar una investigación penal por el delito de violación al régimen de inhabilidades e incompatibilidades cuando no ostentaba la calidad de servidora pública necesaria para que le sea aplicable dicho tipo penal. Por lo anterior, la parte accionante consideró que hay lugar a declarar la responsabilidad administrativa y patrimonial de la Nación por los perjuicios derivados del hecho dañoso. </w:t>
      </w:r>
    </w:p>
    <w:p w:rsidR="006E7522" w:rsidRPr="00172351" w:rsidRDefault="006E7522" w:rsidP="006E7522">
      <w:pPr>
        <w:pStyle w:val="Prrafodelista"/>
        <w:rPr>
          <w:rFonts w:ascii="Arial" w:hAnsi="Arial" w:cs="Arial"/>
          <w:bCs/>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firstLine="0"/>
        <w:contextualSpacing/>
        <w:jc w:val="both"/>
        <w:rPr>
          <w:rFonts w:ascii="Arial" w:hAnsi="Arial" w:cs="Arial"/>
          <w:sz w:val="26"/>
          <w:szCs w:val="26"/>
        </w:rPr>
      </w:pPr>
      <w:r w:rsidRPr="00172351">
        <w:rPr>
          <w:rFonts w:ascii="Arial" w:hAnsi="Arial" w:cs="Arial"/>
          <w:bCs/>
          <w:sz w:val="26"/>
          <w:szCs w:val="26"/>
        </w:rPr>
        <w:t>Sobre el particular, vale la pena insistir en que, de acuerdo con la jurisprudencia de la Corporación, cuando se profiere una sentencia absolutoria o su equivalente con fundamento en uno de los supuestos consagrados en la segunda parte del artículo 414 del Decreto 2700 de 1991</w:t>
      </w:r>
      <w:r w:rsidRPr="00172351">
        <w:rPr>
          <w:rStyle w:val="Refdenotaalpie"/>
          <w:rFonts w:ascii="Arial" w:hAnsi="Arial" w:cs="Arial"/>
          <w:bCs/>
          <w:sz w:val="26"/>
          <w:szCs w:val="26"/>
        </w:rPr>
        <w:footnoteReference w:id="3"/>
      </w:r>
      <w:r w:rsidRPr="00172351">
        <w:rPr>
          <w:rFonts w:ascii="Arial" w:hAnsi="Arial" w:cs="Arial"/>
          <w:bCs/>
          <w:sz w:val="26"/>
          <w:szCs w:val="26"/>
        </w:rPr>
        <w:t>, la privación de la libertad impuesta a un individuo deviene injusta, por calificación expresa del legislador y, por lo tanto, en los términos del artículo 90 de la Constitución Política constituye un daño que debe ser indemnizado. Lo anterior, por cuanto en dichos eventos, esto es, cuando el hecho no existió, el sindicado no lo cometió, o la conducta no era punible, la persona privada de la libertad sufrió un perjuicio que no estaba en el deber legal de soportar, ya que la conducta no merecía ningún reproche penal</w:t>
      </w:r>
      <w:r w:rsidRPr="00172351">
        <w:rPr>
          <w:rStyle w:val="Refdenotaalpie"/>
          <w:rFonts w:ascii="Arial" w:hAnsi="Arial" w:cs="Arial"/>
          <w:bCs/>
          <w:sz w:val="26"/>
          <w:szCs w:val="26"/>
        </w:rPr>
        <w:footnoteReference w:id="4"/>
      </w:r>
      <w:r w:rsidRPr="00172351">
        <w:rPr>
          <w:rFonts w:ascii="Arial" w:hAnsi="Arial" w:cs="Arial"/>
          <w:bCs/>
          <w:sz w:val="26"/>
          <w:szCs w:val="26"/>
        </w:rPr>
        <w:t xml:space="preserve">. </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 xml:space="preserve">Sin embargo, es preciso advertir que para el momento en que se profirió la providencia que resolvió el recurso extraordinario de revisión y decretó la cesación de procedimiento por prescripción penal, esto es, el 10 de julio del 2008, ya había entrado en vigencia la Ley 270 de 1996, Estatutaria de la Administración de Justicia, que en su artículo 68 reza: </w:t>
      </w:r>
      <w:r w:rsidRPr="00172351">
        <w:rPr>
          <w:rFonts w:ascii="Arial" w:hAnsi="Arial" w:cs="Arial"/>
          <w:i/>
          <w:sz w:val="26"/>
          <w:szCs w:val="26"/>
        </w:rPr>
        <w:t>“quien haya sido privado injustamente de la libertad podrá demandar al Estado reparación de perjuicios”.</w:t>
      </w:r>
    </w:p>
    <w:p w:rsidR="006E7522" w:rsidRPr="00172351" w:rsidRDefault="006E7522" w:rsidP="006E7522">
      <w:pPr>
        <w:pStyle w:val="Prrafodelista"/>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lastRenderedPageBreak/>
        <w:t>En efecto, al revisar el proyecto de dicha ley estatutaria, la Corte Constitucional en sentencia C-037 de 1996</w:t>
      </w:r>
      <w:r w:rsidRPr="00172351">
        <w:rPr>
          <w:rStyle w:val="Refdenotaalpie"/>
          <w:rFonts w:ascii="Arial" w:hAnsi="Arial" w:cs="Arial"/>
          <w:sz w:val="26"/>
          <w:szCs w:val="26"/>
        </w:rPr>
        <w:footnoteReference w:id="5"/>
      </w:r>
      <w:r w:rsidRPr="00172351">
        <w:rPr>
          <w:rFonts w:ascii="Arial" w:hAnsi="Arial" w:cs="Arial"/>
          <w:sz w:val="26"/>
          <w:szCs w:val="26"/>
        </w:rPr>
        <w:t>,</w:t>
      </w:r>
      <w:r w:rsidRPr="00172351">
        <w:rPr>
          <w:rFonts w:ascii="Arial" w:hAnsi="Arial" w:cs="Arial"/>
          <w:sz w:val="26"/>
          <w:szCs w:val="26"/>
          <w:lang w:eastAsia="es-CO"/>
        </w:rPr>
        <w:t xml:space="preserve"> </w:t>
      </w:r>
      <w:r w:rsidRPr="00172351">
        <w:rPr>
          <w:rFonts w:ascii="Arial" w:hAnsi="Arial" w:cs="Arial"/>
          <w:sz w:val="26"/>
          <w:szCs w:val="26"/>
        </w:rPr>
        <w:t>condicionó la declaratoria de exequibilidad del que sería el artículo 68, en estos términos:</w:t>
      </w:r>
    </w:p>
    <w:p w:rsidR="006E7522" w:rsidRPr="00172351" w:rsidRDefault="006E7522" w:rsidP="006E7522">
      <w:pPr>
        <w:spacing w:line="360" w:lineRule="auto"/>
        <w:jc w:val="both"/>
        <w:rPr>
          <w:rFonts w:ascii="Arial" w:hAnsi="Arial" w:cs="Arial"/>
          <w:sz w:val="26"/>
          <w:szCs w:val="26"/>
        </w:rPr>
      </w:pPr>
    </w:p>
    <w:p w:rsidR="006E7522" w:rsidRPr="00172351" w:rsidRDefault="006E7522" w:rsidP="006E7522">
      <w:pPr>
        <w:ind w:left="851" w:right="1134"/>
        <w:jc w:val="both"/>
        <w:rPr>
          <w:rFonts w:ascii="Arial" w:hAnsi="Arial" w:cs="Arial"/>
          <w:i/>
        </w:rPr>
      </w:pPr>
      <w:r w:rsidRPr="00172351">
        <w:rPr>
          <w:rFonts w:ascii="Arial" w:hAnsi="Arial" w:cs="Arial"/>
          <w:i/>
        </w:rPr>
        <w:t>Este artículo, en principio, no merece objeción alguna, pues su fundamento constitucional se encuentra en los artículos 6°, 28, 29 y 90 de la Carta. Con todo, conviene aclarar que el término “injustamente” se refiere a una actuación abiertamente desproporcionada y violatoria de los procedimientos legales, de forma tal que se torne evidente que la privación de la libertad no ha sido ni apropiada, ni razonada ni conforme a derecho, sino abiertamente arbitraria. Si ello no fuese así, entonces se estaría permitiendo que en todos los casos en que una persona fuese privada de su libertad y considerase en forma subjetiva, aún de mala fe, que su detención en injusta, procedería en forma automática la reparación de los perjuicios, con grave lesión para el patrimonio del Estado, que es común de todos los asociados. Por el contrario, la aplicabilidad de la norma que se examina y la consecuente declaración de la responsabilidad estatal a propósito de la administración de justicia, debe contemplarse dentro de los parámetros fijados y teniendo siempre en consideración el análisis razonable y proporcionado de las circunstancias en que se ha producido la detención (…).</w:t>
      </w:r>
    </w:p>
    <w:p w:rsidR="006E7522" w:rsidRPr="00172351" w:rsidRDefault="006E7522" w:rsidP="006E7522">
      <w:pPr>
        <w:spacing w:line="360" w:lineRule="auto"/>
        <w:ind w:right="49" w:firstLine="708"/>
        <w:jc w:val="both"/>
        <w:rPr>
          <w:rFonts w:ascii="Arial" w:hAnsi="Arial" w:cs="Arial"/>
          <w:i/>
        </w:rPr>
      </w:pPr>
      <w:r w:rsidRPr="00172351">
        <w:rPr>
          <w:rFonts w:ascii="Arial" w:hAnsi="Arial" w:cs="Arial"/>
          <w:i/>
        </w:rPr>
        <w:t xml:space="preserve">  Bajo esas condiciones, el artículo se declarará exequible.</w:t>
      </w:r>
    </w:p>
    <w:p w:rsidR="006E7522" w:rsidRPr="00172351" w:rsidRDefault="006E7522" w:rsidP="006E7522">
      <w:pPr>
        <w:spacing w:line="360" w:lineRule="auto"/>
        <w:ind w:left="284" w:right="49"/>
        <w:jc w:val="both"/>
        <w:rPr>
          <w:rFonts w:ascii="Arial" w:hAnsi="Arial" w:cs="Arial"/>
          <w:i/>
        </w:rPr>
      </w:pPr>
    </w:p>
    <w:p w:rsidR="006E7522" w:rsidRPr="00172351" w:rsidRDefault="006E7522" w:rsidP="006E7522">
      <w:pPr>
        <w:pStyle w:val="Prrafodelista"/>
        <w:numPr>
          <w:ilvl w:val="0"/>
          <w:numId w:val="2"/>
        </w:numPr>
        <w:tabs>
          <w:tab w:val="left" w:pos="567"/>
        </w:tabs>
        <w:spacing w:line="360" w:lineRule="auto"/>
        <w:ind w:left="0" w:firstLine="0"/>
        <w:contextualSpacing/>
        <w:jc w:val="both"/>
        <w:rPr>
          <w:rFonts w:ascii="Arial" w:hAnsi="Arial" w:cs="Arial"/>
          <w:sz w:val="26"/>
          <w:szCs w:val="26"/>
        </w:rPr>
      </w:pPr>
      <w:r w:rsidRPr="00172351">
        <w:rPr>
          <w:rFonts w:ascii="Arial" w:hAnsi="Arial" w:cs="Arial"/>
          <w:sz w:val="26"/>
          <w:szCs w:val="26"/>
        </w:rPr>
        <w:t>Al respecto, la Sala ha considerado</w:t>
      </w:r>
      <w:r w:rsidRPr="00172351">
        <w:rPr>
          <w:rStyle w:val="Refdenotaalpie"/>
          <w:rFonts w:ascii="Arial" w:hAnsi="Arial" w:cs="Arial"/>
          <w:sz w:val="26"/>
          <w:szCs w:val="26"/>
        </w:rPr>
        <w:footnoteReference w:id="6"/>
      </w:r>
      <w:r w:rsidRPr="00172351">
        <w:rPr>
          <w:rFonts w:ascii="Arial" w:hAnsi="Arial" w:cs="Arial"/>
          <w:sz w:val="26"/>
          <w:szCs w:val="26"/>
        </w:rPr>
        <w:t xml:space="preserve"> que si bien el artículo 68 de la Ley 270 de 1996 se refiere a la responsabilidad patrimonial del Estado en los eventos en los cuales la actuación de cualquiera de sus ramas u órganos hubiera sido </w:t>
      </w:r>
      <w:r w:rsidRPr="00172351">
        <w:rPr>
          <w:rFonts w:ascii="Arial" w:hAnsi="Arial" w:cs="Arial"/>
          <w:i/>
          <w:sz w:val="26"/>
          <w:szCs w:val="26"/>
        </w:rPr>
        <w:t>“abiertamente arbitraria”</w:t>
      </w:r>
      <w:r w:rsidRPr="00172351">
        <w:rPr>
          <w:rFonts w:ascii="Arial" w:hAnsi="Arial" w:cs="Arial"/>
          <w:sz w:val="26"/>
          <w:szCs w:val="26"/>
        </w:rPr>
        <w:t>, dicha disposición no excluye la aplicación directa del artículo 90 de la Constitución para derivar el derecho a la reparación cuando los daños provienen de una actuación legitima del Estado, adelantada en ejercicio de la actividad judicial, pero que causa daños antijurídicos a las personas, en tanto estos no tengan el deber jurídico de soportarlos, como sucede con todos aquellos daños que sufren las personas que son privadas de la libertad durante una investigación penal, a pesar de no haber cometido ningún hecho punible o sin que se les desvirtúe la presunción de inocencia.</w:t>
      </w:r>
    </w:p>
    <w:p w:rsidR="006E7522" w:rsidRPr="00172351" w:rsidRDefault="006E7522" w:rsidP="006E7522">
      <w:pPr>
        <w:pStyle w:val="Prrafodelista"/>
        <w:tabs>
          <w:tab w:val="left" w:pos="567"/>
        </w:tabs>
        <w:spacing w:line="360" w:lineRule="auto"/>
        <w:ind w:left="0"/>
        <w:jc w:val="both"/>
        <w:rPr>
          <w:rFonts w:ascii="Arial" w:hAnsi="Arial" w:cs="Arial"/>
          <w:sz w:val="26"/>
          <w:szCs w:val="26"/>
        </w:rPr>
      </w:pPr>
    </w:p>
    <w:p w:rsidR="006E7522" w:rsidRPr="00172351" w:rsidRDefault="006E7522" w:rsidP="006E7522">
      <w:pPr>
        <w:pStyle w:val="Prrafodelista"/>
        <w:numPr>
          <w:ilvl w:val="0"/>
          <w:numId w:val="2"/>
        </w:numPr>
        <w:tabs>
          <w:tab w:val="left" w:pos="567"/>
        </w:tabs>
        <w:spacing w:line="360" w:lineRule="auto"/>
        <w:ind w:left="0" w:firstLine="0"/>
        <w:contextualSpacing/>
        <w:jc w:val="both"/>
        <w:rPr>
          <w:rFonts w:ascii="Arial" w:hAnsi="Arial" w:cs="Arial"/>
          <w:sz w:val="26"/>
          <w:szCs w:val="26"/>
        </w:rPr>
      </w:pPr>
      <w:r w:rsidRPr="00172351">
        <w:rPr>
          <w:rFonts w:ascii="Arial" w:hAnsi="Arial" w:cs="Arial"/>
          <w:sz w:val="26"/>
          <w:szCs w:val="26"/>
        </w:rPr>
        <w:lastRenderedPageBreak/>
        <w:t xml:space="preserve">Así las cosas, cuando se da uno de los supuestos señalados, hay lugar a aplicar el régimen objetivo de </w:t>
      </w:r>
      <w:r w:rsidRPr="00172351">
        <w:rPr>
          <w:rFonts w:ascii="Arial" w:hAnsi="Arial" w:cs="Arial"/>
          <w:bCs/>
          <w:sz w:val="26"/>
          <w:szCs w:val="26"/>
        </w:rPr>
        <w:t>responsabilidad</w:t>
      </w:r>
      <w:r w:rsidRPr="00172351">
        <w:rPr>
          <w:rStyle w:val="Refdenotaalpie"/>
          <w:rFonts w:ascii="Arial" w:hAnsi="Arial" w:cs="Arial"/>
          <w:bCs/>
          <w:sz w:val="26"/>
          <w:szCs w:val="26"/>
        </w:rPr>
        <w:footnoteReference w:id="7"/>
      </w:r>
      <w:r w:rsidRPr="00172351">
        <w:rPr>
          <w:rFonts w:ascii="Arial" w:hAnsi="Arial" w:cs="Arial"/>
          <w:bCs/>
          <w:sz w:val="26"/>
          <w:szCs w:val="26"/>
        </w:rPr>
        <w:t xml:space="preserve"> pues, como se expuso, en virtud de la sentencia absolutoria, o su equivalente, que se funda en una de las hipótesis mencionadas, la privación de la libertad de que fue objeto el encartado devino injusta y ello constituye un daño que el encartado no estaba en la obligación de soportar, sin que sea necesario analizar la legalidad de la medida de aseguramiento impuesta. Al respecto vale la pena transcribir las consideraciones de </w:t>
      </w:r>
      <w:smartTag w:uri="urn:schemas-microsoft-com:office:smarttags" w:element="PersonName">
        <w:smartTagPr>
          <w:attr w:name="ProductID" w:val="la Secci￳n Tercera"/>
        </w:smartTagPr>
        <w:r w:rsidRPr="00172351">
          <w:rPr>
            <w:rFonts w:ascii="Arial" w:hAnsi="Arial" w:cs="Arial"/>
            <w:bCs/>
            <w:sz w:val="26"/>
            <w:szCs w:val="26"/>
          </w:rPr>
          <w:t>la Sección Tercera</w:t>
        </w:r>
      </w:smartTag>
      <w:r w:rsidRPr="00172351">
        <w:rPr>
          <w:rFonts w:ascii="Arial" w:hAnsi="Arial" w:cs="Arial"/>
          <w:bCs/>
          <w:sz w:val="26"/>
          <w:szCs w:val="26"/>
        </w:rPr>
        <w:t xml:space="preserve"> en una de las providencias ya citadas</w:t>
      </w:r>
      <w:r w:rsidRPr="00172351">
        <w:rPr>
          <w:rStyle w:val="Refdenotaalpie"/>
          <w:rFonts w:ascii="Arial" w:hAnsi="Arial" w:cs="Arial"/>
          <w:bCs/>
          <w:sz w:val="26"/>
          <w:szCs w:val="26"/>
        </w:rPr>
        <w:footnoteReference w:id="8"/>
      </w:r>
      <w:r w:rsidRPr="00172351">
        <w:rPr>
          <w:rFonts w:ascii="Arial" w:hAnsi="Arial" w:cs="Arial"/>
          <w:bCs/>
          <w:sz w:val="26"/>
          <w:szCs w:val="26"/>
        </w:rPr>
        <w:t xml:space="preserve">: </w:t>
      </w:r>
    </w:p>
    <w:p w:rsidR="006E7522" w:rsidRPr="00172351" w:rsidRDefault="006E7522" w:rsidP="006E7522">
      <w:pPr>
        <w:pStyle w:val="BodyText21"/>
        <w:spacing w:line="240" w:lineRule="auto"/>
        <w:ind w:left="567" w:right="618"/>
        <w:rPr>
          <w:i/>
          <w:lang w:val="es-ES"/>
        </w:rPr>
      </w:pPr>
    </w:p>
    <w:p w:rsidR="006E7522" w:rsidRPr="00172351" w:rsidRDefault="006E7522" w:rsidP="006E7522">
      <w:pPr>
        <w:pStyle w:val="BodyText21"/>
        <w:spacing w:line="240" w:lineRule="auto"/>
        <w:ind w:left="851" w:right="851"/>
        <w:rPr>
          <w:i/>
        </w:rPr>
      </w:pPr>
      <w:r w:rsidRPr="00172351">
        <w:rPr>
          <w:i/>
        </w:rPr>
        <w:t>El concepto de daño antijurídico, como se ha señalado en la jurisprudencia y en la doctrina se desliga de su causación antijurídica</w:t>
      </w:r>
      <w:r w:rsidRPr="00172351">
        <w:rPr>
          <w:rStyle w:val="Refdenotaalpie"/>
          <w:i/>
        </w:rPr>
        <w:footnoteReference w:id="9"/>
      </w:r>
      <w:r w:rsidRPr="00172351">
        <w:rPr>
          <w:i/>
        </w:rPr>
        <w:t xml:space="preserve">. Por lo tanto, aunque la medida de aseguramiento se hubiera dictado atendiendo las exigencias constitucionales, esto es, fundada </w:t>
      </w:r>
      <w:r w:rsidRPr="00172351">
        <w:rPr>
          <w:i/>
          <w:kern w:val="1"/>
        </w:rPr>
        <w:t>en una causa prevista en la ley, con el cumplimiento de los requisitos probatorios señalados, por el tiempo indispensable para la averiguación de los hechos, de manera proporcional a la conducta realizada, con el fin de evitar la fuga del sindicado, asegurar su presencia en el proceso, hacer efectiva la sentencia o impedir la continuación de su actividad delictiva, el daño será antijurídico</w:t>
      </w:r>
      <w:r w:rsidRPr="00172351">
        <w:rPr>
          <w:i/>
        </w:rPr>
        <w:t xml:space="preserve"> cuando esa medida deviene injusta, porque la conducta que se investiga no se materializó en el mundo de los hechos, o habiéndose producido esa conducta, el sindicado no fue su autor, o cuando habiéndola ejecutado éste, tal conducta no encuadraba en la descripción típica o estaba amparada por una causal de justificación o inculpabilidad, es decir, por un hecho que no reviste reproche penal alguno.   </w:t>
      </w:r>
    </w:p>
    <w:p w:rsidR="006E7522" w:rsidRPr="00172351" w:rsidRDefault="006E7522" w:rsidP="006E7522">
      <w:pPr>
        <w:pStyle w:val="BodyText21"/>
        <w:spacing w:line="240" w:lineRule="auto"/>
        <w:ind w:left="851" w:right="1134"/>
        <w:rPr>
          <w:i/>
        </w:rPr>
      </w:pPr>
    </w:p>
    <w:p w:rsidR="006E7522" w:rsidRPr="00172351" w:rsidRDefault="006E7522" w:rsidP="006E7522">
      <w:pPr>
        <w:ind w:left="567" w:right="618"/>
        <w:jc w:val="both"/>
        <w:rPr>
          <w:rFonts w:ascii="Arial" w:hAnsi="Arial" w:cs="Arial"/>
          <w:i/>
          <w:lang w:val="es-ES_tradnl"/>
        </w:rPr>
      </w:pPr>
    </w:p>
    <w:p w:rsidR="006E7522" w:rsidRPr="00172351" w:rsidRDefault="006E7522" w:rsidP="006E7522">
      <w:pPr>
        <w:pStyle w:val="Prrafodelista"/>
        <w:numPr>
          <w:ilvl w:val="0"/>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lastRenderedPageBreak/>
        <w:t xml:space="preserve">Si bien el Estado está legitimado para privar preventivamente de la libertad a las personas que sean sometidas a una investigación penal, la persona que sufra dicha limitación tendrá derecho a que se le indemnicen los daños que con la misma se le hubieran causado, sin que se requiera realizar ninguna valoración diferente, cuando se profiere sentencia absolutoria o su equivalente, por haberse demostrado que esa persona no ha incurrido en ninguna conducta digna de reproche penal, porque en tal caso la medida devendrá injusta. En pocas palabras: quien legal pero injustamente haya sido privado de su libertad, tiene derecho a que se le indemnicen los daños que hubiere sufrido.  </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426"/>
        </w:tabs>
        <w:spacing w:line="360" w:lineRule="auto"/>
        <w:ind w:left="0" w:firstLine="0"/>
        <w:contextualSpacing/>
        <w:jc w:val="both"/>
        <w:rPr>
          <w:rFonts w:ascii="Arial" w:hAnsi="Arial" w:cs="Arial"/>
          <w:sz w:val="26"/>
          <w:szCs w:val="26"/>
        </w:rPr>
      </w:pPr>
      <w:r w:rsidRPr="00172351">
        <w:rPr>
          <w:rFonts w:ascii="Arial" w:hAnsi="Arial" w:cs="Arial"/>
          <w:sz w:val="26"/>
          <w:szCs w:val="26"/>
        </w:rPr>
        <w:t>E</w:t>
      </w:r>
      <w:r w:rsidRPr="00172351">
        <w:rPr>
          <w:rFonts w:ascii="Arial" w:hAnsi="Arial" w:cs="Arial"/>
          <w:bCs/>
          <w:sz w:val="26"/>
          <w:szCs w:val="26"/>
        </w:rPr>
        <w:t xml:space="preserve">mpero, la </w:t>
      </w:r>
      <w:r w:rsidRPr="00172351">
        <w:rPr>
          <w:rFonts w:ascii="Arial" w:hAnsi="Arial" w:cs="Arial"/>
          <w:sz w:val="26"/>
          <w:szCs w:val="26"/>
        </w:rPr>
        <w:t>Ley 270 de 1996 en su artículo 70 señaló que el hecho de la víctima puede dar lugar a exonerar de responsabilidad al Estado:</w:t>
      </w:r>
    </w:p>
    <w:p w:rsidR="006E7522" w:rsidRPr="00172351" w:rsidRDefault="006E7522" w:rsidP="006E7522">
      <w:pPr>
        <w:tabs>
          <w:tab w:val="left" w:pos="0"/>
          <w:tab w:val="left" w:pos="142"/>
        </w:tabs>
        <w:spacing w:line="400" w:lineRule="exact"/>
        <w:jc w:val="both"/>
        <w:rPr>
          <w:rFonts w:ascii="Arial" w:hAnsi="Arial" w:cs="Arial"/>
        </w:rPr>
      </w:pPr>
    </w:p>
    <w:p w:rsidR="006E7522" w:rsidRPr="00172351" w:rsidRDefault="006E7522" w:rsidP="006E7522">
      <w:pPr>
        <w:tabs>
          <w:tab w:val="left" w:pos="5812"/>
          <w:tab w:val="left" w:pos="7938"/>
        </w:tabs>
        <w:overflowPunct w:val="0"/>
        <w:autoSpaceDE w:val="0"/>
        <w:autoSpaceDN w:val="0"/>
        <w:adjustRightInd w:val="0"/>
        <w:ind w:left="851" w:right="851"/>
        <w:jc w:val="both"/>
        <w:rPr>
          <w:rFonts w:ascii="Arial" w:hAnsi="Arial" w:cs="Arial"/>
          <w:lang w:val="es-ES_tradnl"/>
        </w:rPr>
      </w:pPr>
      <w:r w:rsidRPr="00172351">
        <w:rPr>
          <w:rFonts w:ascii="Arial" w:hAnsi="Arial" w:cs="Arial"/>
          <w:i/>
          <w:lang w:val="es-ES_tradnl"/>
        </w:rPr>
        <w:t xml:space="preserve">El daño se entenderá como culpa exclusiva de la víctima cuando ésta haya actuado con culpa grave o dolo, o no haya interpuesto los recursos de ley. En estos eventos se exonerará de responsabilidad al Estado </w:t>
      </w:r>
      <w:r w:rsidRPr="00172351">
        <w:rPr>
          <w:rFonts w:ascii="Arial" w:hAnsi="Arial" w:cs="Arial"/>
          <w:lang w:val="es-ES_tradnl"/>
        </w:rPr>
        <w:t>(…).</w:t>
      </w:r>
    </w:p>
    <w:p w:rsidR="006E7522" w:rsidRPr="00172351" w:rsidRDefault="006E7522" w:rsidP="006E7522">
      <w:pPr>
        <w:tabs>
          <w:tab w:val="left" w:pos="0"/>
          <w:tab w:val="left" w:pos="142"/>
        </w:tabs>
        <w:spacing w:line="400" w:lineRule="exact"/>
        <w:jc w:val="both"/>
        <w:rPr>
          <w:rFonts w:ascii="Arial" w:hAnsi="Arial" w:cs="Arial"/>
          <w:lang w:val="es-ES_tradnl"/>
        </w:rPr>
      </w:pPr>
    </w:p>
    <w:p w:rsidR="006E7522" w:rsidRPr="00172351" w:rsidRDefault="006E7522" w:rsidP="006E7522">
      <w:pPr>
        <w:pStyle w:val="Prrafodelista"/>
        <w:numPr>
          <w:ilvl w:val="0"/>
          <w:numId w:val="2"/>
        </w:numPr>
        <w:tabs>
          <w:tab w:val="left" w:pos="0"/>
          <w:tab w:val="left" w:pos="426"/>
        </w:tabs>
        <w:suppressAutoHyphens/>
        <w:overflowPunct w:val="0"/>
        <w:autoSpaceDE w:val="0"/>
        <w:spacing w:line="360" w:lineRule="auto"/>
        <w:ind w:left="0" w:firstLine="0"/>
        <w:jc w:val="both"/>
        <w:textAlignment w:val="baseline"/>
        <w:rPr>
          <w:rFonts w:ascii="Arial" w:hAnsi="Arial" w:cs="Arial"/>
          <w:iCs/>
          <w:sz w:val="26"/>
          <w:szCs w:val="26"/>
        </w:rPr>
      </w:pPr>
      <w:r w:rsidRPr="00172351">
        <w:rPr>
          <w:rFonts w:ascii="Arial" w:hAnsi="Arial" w:cs="Arial"/>
          <w:sz w:val="26"/>
          <w:szCs w:val="26"/>
        </w:rPr>
        <w:t xml:space="preserve"> En este punto es necesario precisar que el análisis de la conducta dolosa o gravemente culposa en el presente proceso se rige por los preceptos establecidos en el derecho civil, por tanto, difiere del estudio de culpabilidad realizado por el ente investigador en sede penal. </w:t>
      </w:r>
      <w:r w:rsidRPr="00172351">
        <w:rPr>
          <w:rFonts w:ascii="Arial" w:hAnsi="Arial" w:cs="Arial"/>
          <w:iCs/>
          <w:sz w:val="26"/>
          <w:szCs w:val="26"/>
        </w:rPr>
        <w:t>Al respecto, ha dicho esta Corporación</w:t>
      </w:r>
      <w:r w:rsidRPr="00172351">
        <w:rPr>
          <w:rStyle w:val="Refdenotaalpie"/>
          <w:rFonts w:ascii="Arial" w:hAnsi="Arial" w:cs="Arial"/>
          <w:iCs/>
          <w:sz w:val="26"/>
          <w:szCs w:val="26"/>
        </w:rPr>
        <w:footnoteReference w:id="10"/>
      </w:r>
      <w:r w:rsidRPr="00172351">
        <w:rPr>
          <w:rFonts w:ascii="Arial" w:hAnsi="Arial" w:cs="Arial"/>
          <w:iCs/>
          <w:sz w:val="26"/>
          <w:szCs w:val="26"/>
        </w:rPr>
        <w:t>:</w:t>
      </w:r>
    </w:p>
    <w:p w:rsidR="006E7522" w:rsidRPr="00172351" w:rsidRDefault="006E7522" w:rsidP="006E7522">
      <w:pPr>
        <w:pStyle w:val="Textonotapie"/>
        <w:ind w:left="567" w:right="900"/>
        <w:jc w:val="both"/>
        <w:rPr>
          <w:rFonts w:ascii="Arial" w:hAnsi="Arial" w:cs="Arial"/>
          <w:i/>
          <w:iCs/>
          <w:sz w:val="24"/>
          <w:szCs w:val="24"/>
        </w:rPr>
      </w:pPr>
    </w:p>
    <w:p w:rsidR="006E7522" w:rsidRPr="00172351" w:rsidRDefault="006E7522" w:rsidP="006E7522">
      <w:pPr>
        <w:pStyle w:val="Textonotapie"/>
        <w:ind w:left="851" w:right="851"/>
        <w:jc w:val="both"/>
        <w:rPr>
          <w:rFonts w:ascii="Arial" w:hAnsi="Arial" w:cs="Arial"/>
          <w:i/>
          <w:iCs/>
          <w:sz w:val="24"/>
          <w:szCs w:val="24"/>
        </w:rPr>
      </w:pPr>
      <w:r w:rsidRPr="00172351">
        <w:rPr>
          <w:rFonts w:ascii="Arial" w:hAnsi="Arial" w:cs="Arial"/>
          <w:i/>
          <w:iCs/>
          <w:sz w:val="22"/>
          <w:szCs w:val="24"/>
        </w:rPr>
        <w:t>[</w:t>
      </w:r>
      <w:r w:rsidRPr="00172351">
        <w:rPr>
          <w:rFonts w:ascii="Arial" w:hAnsi="Arial" w:cs="Arial"/>
          <w:i/>
          <w:iCs/>
          <w:sz w:val="24"/>
          <w:szCs w:val="24"/>
        </w:rPr>
        <w:t>P]ara responder el anterior asunto cabe recordar que la Sala</w:t>
      </w:r>
      <w:r w:rsidRPr="00172351">
        <w:rPr>
          <w:rStyle w:val="Refdenotaalpie"/>
          <w:rFonts w:ascii="Arial" w:hAnsi="Arial" w:cs="Arial"/>
          <w:i/>
          <w:iCs/>
          <w:sz w:val="24"/>
          <w:szCs w:val="24"/>
        </w:rPr>
        <w:footnoteReference w:id="11"/>
      </w:r>
      <w:r w:rsidRPr="00172351">
        <w:rPr>
          <w:rFonts w:ascii="Arial" w:hAnsi="Arial" w:cs="Arial"/>
          <w:i/>
          <w:iCs/>
          <w:sz w:val="24"/>
          <w:szCs w:val="24"/>
        </w:rPr>
        <w:t xml:space="preserve"> ha determinado que cuando se trata de acciones de responsabilidad patrimonial, el dolo o culpa grave que allí se considera, se rige por los criterios establecidos en el derecho civil, artículo 63 del Código Civil, que no se corresponden con los del derecho penal: </w:t>
      </w:r>
      <w:r w:rsidRPr="00172351">
        <w:rPr>
          <w:rFonts w:ascii="Arial" w:hAnsi="Arial" w:cs="Arial"/>
          <w:iCs/>
          <w:sz w:val="24"/>
          <w:szCs w:val="24"/>
        </w:rPr>
        <w:t>(…)</w:t>
      </w:r>
      <w:r w:rsidRPr="00172351">
        <w:rPr>
          <w:rFonts w:ascii="Arial" w:hAnsi="Arial" w:cs="Arial"/>
          <w:i/>
          <w:iCs/>
          <w:sz w:val="24"/>
          <w:szCs w:val="24"/>
        </w:rPr>
        <w:t>.</w:t>
      </w:r>
    </w:p>
    <w:p w:rsidR="006E7522" w:rsidRPr="00172351" w:rsidRDefault="006E7522" w:rsidP="006E7522">
      <w:pPr>
        <w:pStyle w:val="Textonotapie"/>
        <w:ind w:left="567" w:right="851"/>
        <w:jc w:val="both"/>
        <w:rPr>
          <w:rFonts w:ascii="Arial" w:hAnsi="Arial" w:cs="Arial"/>
          <w:i/>
          <w:iCs/>
          <w:sz w:val="24"/>
          <w:szCs w:val="24"/>
        </w:rPr>
      </w:pPr>
    </w:p>
    <w:p w:rsidR="006E7522" w:rsidRPr="00172351" w:rsidRDefault="006E7522" w:rsidP="006E7522">
      <w:pPr>
        <w:pStyle w:val="Textonotapie"/>
        <w:ind w:left="851" w:right="851"/>
        <w:jc w:val="both"/>
        <w:rPr>
          <w:rFonts w:ascii="Arial" w:hAnsi="Arial" w:cs="Arial"/>
          <w:i/>
          <w:iCs/>
          <w:sz w:val="24"/>
          <w:szCs w:val="24"/>
        </w:rPr>
      </w:pPr>
      <w:r w:rsidRPr="00172351">
        <w:rPr>
          <w:rFonts w:ascii="Arial" w:hAnsi="Arial" w:cs="Arial"/>
          <w:i/>
          <w:sz w:val="24"/>
          <w:szCs w:val="24"/>
        </w:rPr>
        <w:t xml:space="preserve">Sobre la noción de culpa y dolo, en esa oportunidad también consideró, en criterio que aquí se reitera que, culpa se ha dicho que es la reprochable conducta de un agente que generó un daño antijurídico (injusto) no querido por él pero producido por la omisión voluntaria del deber objetivo de cuidado que le era exigible de acuerdo a sus condiciones personales y las circunstancias en que actuó; o sea, la conducta es culposa cuando el resultado dañino es </w:t>
      </w:r>
      <w:r w:rsidRPr="00172351">
        <w:rPr>
          <w:rFonts w:ascii="Arial" w:hAnsi="Arial" w:cs="Arial"/>
          <w:i/>
          <w:sz w:val="24"/>
          <w:szCs w:val="24"/>
        </w:rPr>
        <w:lastRenderedPageBreak/>
        <w:t>producto de la infracción al deber objetivo de cuidado y el agente debió haberlo previsto por ser previsible, o habiéndolo previsto, confió en poder evitarlo. También por culpa se ha entendido el error de conducta en que no habría incurrido una persona en las mismas circunstancias en que obró aquella cuyo comportamiento es analizado y en consideración al deber de diligencia y cuidado que le era exigible. Tradicionalmente se ha calificado como culpa la actuación no intencional de un sujeto en forma negligente, imprudente o imperita, a la de quien de manera descuidada y sin la cautela requerida deja de cumplir u omite el deber funcional o conducta que le es exigible; y por su gravedad o intensidad, siguiendo la tradición romanista, se ha distinguido entre la culpa grave o lata, la culpa leve y la culpa levísima, clasificación tripartita con consecuencias en el ámbito de la responsabilidad contractual o extracontractual, conforme a lo que expresamente a este respecto señale el ordenamiento jurídico. De la norma que antecede [artículo 63 del Código Civil] se entiende que la culpa leve consiste en la omisión de la diligencia del hombre normal (diligens paterfamilias) o sea la omisión de la diligencia ordinaria en los asuntos propios; la levísima u omisión de diligencia que el hombre juicioso, experto y previsivo emplea en sus asuntos relevantes y de importancia; y la culpa lata u omisión de la diligencia mínima exigible aún al hombre descuidado y que consiste en no poner el cuidado en los negocios ajenos que este tipo de personas ponen en los suyos, y que en el régimen civil se asimila al dolo</w:t>
      </w:r>
      <w:r w:rsidRPr="00172351">
        <w:rPr>
          <w:rStyle w:val="Refdenotaalpie"/>
          <w:rFonts w:ascii="Arial" w:hAnsi="Arial" w:cs="Arial"/>
          <w:i/>
          <w:sz w:val="24"/>
          <w:szCs w:val="24"/>
        </w:rPr>
        <w:footnoteReference w:id="12"/>
      </w:r>
      <w:r w:rsidRPr="00172351">
        <w:rPr>
          <w:rFonts w:ascii="Arial" w:hAnsi="Arial" w:cs="Arial"/>
          <w:i/>
          <w:sz w:val="24"/>
          <w:szCs w:val="24"/>
        </w:rPr>
        <w:t xml:space="preserve">. </w:t>
      </w:r>
    </w:p>
    <w:p w:rsidR="006E7522" w:rsidRPr="00172351" w:rsidRDefault="006E7522" w:rsidP="006E7522">
      <w:pPr>
        <w:pStyle w:val="Prrafodelista"/>
        <w:tabs>
          <w:tab w:val="left" w:pos="426"/>
        </w:tabs>
        <w:spacing w:line="360" w:lineRule="auto"/>
        <w:ind w:left="0"/>
        <w:contextualSpacing/>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En el presente caso se tiene que durante la investigación penal adelantada en contra de la señora Berta Baquero se le sindicó por el delito de violación del régimen legal o constitucional de inhabilidades e incompatibilidades, y finalmente se decretó la cesación del procedimiento por prescripción de la acción penal.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Durante el proceso penal, en el cual la señora Berta Baquero resultó condenada, se estableció que la mencionada celebró contratos de suministro con el Municipio de Silvania cuando se encontraba legalmente inhabilitada para hacerlo, toda vez que su esposo era concejal en dicho municipio. Esta situación fáctica fue ratificada por la señora Berta Baquero, quien durante el proceso afirmó que celebró varios contratos sin saber que se encontraba inhabilitada para ello, por cuanto su sociedad conyugal se encontraba disuelta.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lastRenderedPageBreak/>
        <w:t xml:space="preserve">No obstante, el juez penal contó con los testimonios de varias personas que afirmaron haber sido utilizados por la señora Berta Baquero, para suscribir los referidos contratos, con el fin de evadir la inhabilidad que le impedía firmarlos directamente, pero era ella quien cobraba el valor de los mismos, con la celeridad que le imprimía el hecho de que su esposo fuera concejal municipal.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Por lo anterior, en la sentencia se encontró demostrado que la sindicada incurrió en el delito de violación al régimen legal o constitucional de inhabilidades e incompatibilidades de manera dolosa, pues con conocimiento de la inhabilidad que tenía para contratar solicitó a terceros que intervinieran en la relación contractual de índole pública, para poder lucrarse de dicha actividad.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r w:rsidRPr="00172351">
        <w:rPr>
          <w:rFonts w:ascii="Arial" w:hAnsi="Arial" w:cs="Arial"/>
          <w:sz w:val="26"/>
          <w:szCs w:val="26"/>
        </w:rPr>
        <w:t xml:space="preserve"> </w:t>
      </w: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En virtud del recurso extraordinario de revisión interpuesto por la actora, luego de que fracasaran los recursos de apelación y casación contra la sentencia condenatoria, la Corte Suprema de Justicia decretó la cesación del procedimiento por prescripción de la acción penal, debido a que el término de 6 años estipulado para la prescripción de la acción penal, de acuerdo con el delito endilgado, se cumplió antes de la fecha de notificación de la sentencia de casación.</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Sin perjuicio de lo anterior, la Sala considera que la conducta de la encartada fue determinante para el inicio de la investigación penal, máxime cuando durante el proceso la accionada confesó la comisión del hecho delictivo e intentó allanarse a la figura de sentencia anticipada aceptando los cargos que pesaban en su contra.  Así las cosas, del análisis de las circunstancias demostradas sobre los hechos acaecidos, teniendo en cuenta que el juez penal contaba con todas las pruebas necesarias para emitir condena en contra de la señora Berta Baquero, se concluye que la conducta de la encartada determinó el inicio de una investigación en su contra, ya que se encuentra acreditado que celebró contratos con la administración a sabiendas de que se encontraba inhabilitada para ello por ser la esposa de </w:t>
      </w:r>
      <w:r w:rsidRPr="00172351">
        <w:rPr>
          <w:rFonts w:ascii="Arial" w:hAnsi="Arial" w:cs="Arial"/>
          <w:sz w:val="26"/>
          <w:szCs w:val="26"/>
        </w:rPr>
        <w:lastRenderedPageBreak/>
        <w:t>un miembro del concejo municipal, actuación que a todas luces trasgrede la conducta que le era exigible en los términos del artículo 63 del Código Civil.</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El artículo 63 del Código Civil gradualiza la culpa civil en: i) culpa grave, negligencia grave o culpa lata, que en materia civil equivale al dolo; ii) culpa leve, descuido leve o descuido ligero; iii) culpa o descuido levísimo; y iv) dolo. Al respecto, la jurisprudencia ha sostenido: </w:t>
      </w:r>
    </w:p>
    <w:p w:rsidR="006E7522" w:rsidRPr="00172351" w:rsidRDefault="006E7522" w:rsidP="006E7522">
      <w:pPr>
        <w:tabs>
          <w:tab w:val="left" w:pos="0"/>
          <w:tab w:val="left" w:pos="142"/>
        </w:tabs>
        <w:spacing w:line="360" w:lineRule="auto"/>
        <w:ind w:right="49"/>
        <w:jc w:val="both"/>
        <w:rPr>
          <w:rFonts w:ascii="Arial" w:hAnsi="Arial" w:cs="Arial"/>
          <w:i/>
          <w:highlight w:val="yellow"/>
        </w:rPr>
      </w:pPr>
    </w:p>
    <w:p w:rsidR="006E7522" w:rsidRPr="00172351" w:rsidRDefault="006E7522" w:rsidP="006E7522">
      <w:pPr>
        <w:tabs>
          <w:tab w:val="left" w:pos="142"/>
        </w:tabs>
        <w:ind w:left="851" w:right="902"/>
        <w:jc w:val="both"/>
        <w:rPr>
          <w:rFonts w:ascii="Arial" w:hAnsi="Arial" w:cs="Arial"/>
          <w:i/>
        </w:rPr>
      </w:pPr>
      <w:r w:rsidRPr="00172351">
        <w:rPr>
          <w:rFonts w:ascii="Arial" w:hAnsi="Arial" w:cs="Arial"/>
          <w:i/>
        </w:rPr>
        <w:t>Las voces utilizadas por la ley (art. 63 C.C.) para definir el dolo concuerdan con la noción doctrinaria que lo sitúa y destaca en cualquier pretensión de alcanzar un resultado contrario al derecho, caracterizada por la conciencia de quebrantar una obligación o de vulnerar un interés jurídico ajeno; el dolo se constituye pues, por la intención maliciosa, al paso que la culpa, según el mismo precepto y la concepción universal acerca de ella, se configura sobre la falta de diligencia o de cuidado, la imprevisión, la negligencia, la imprudencia. […] 6.1.2. De otra parte, solo en caso de atribuirse al deudor dolo, culpa grave o culpa lata (art. 63 C.C.) este será responsable de todos los perjuicios que fueron consecuencia inmediata y directa de no haberse cumplido la obligación o de haberse demorado su cumplimiento. De esta manera, la norma condiciona la reparación plena a los eventos de culpa grave o de malicia del deudor, la cual debe ser acreditada por el acreedor</w:t>
      </w:r>
      <w:r w:rsidRPr="00172351">
        <w:rPr>
          <w:rFonts w:ascii="Arial" w:hAnsi="Arial" w:cs="Arial"/>
          <w:i/>
          <w:vertAlign w:val="superscript"/>
        </w:rPr>
        <w:footnoteReference w:id="13"/>
      </w:r>
      <w:r w:rsidRPr="00172351">
        <w:rPr>
          <w:rFonts w:ascii="Arial" w:hAnsi="Arial" w:cs="Arial"/>
          <w:i/>
        </w:rPr>
        <w:t>.</w:t>
      </w:r>
    </w:p>
    <w:p w:rsidR="006E7522" w:rsidRPr="00172351" w:rsidRDefault="006E7522" w:rsidP="006E7522">
      <w:pPr>
        <w:tabs>
          <w:tab w:val="left" w:pos="0"/>
          <w:tab w:val="left" w:pos="142"/>
        </w:tabs>
        <w:spacing w:line="360" w:lineRule="auto"/>
        <w:ind w:right="49"/>
        <w:jc w:val="both"/>
        <w:rPr>
          <w:rFonts w:ascii="Arial" w:hAnsi="Arial" w:cs="Arial"/>
          <w:highlight w:val="yellow"/>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El anterior análisis se realiza de manera independiente al reproche de la conducta en materia penal, el cual, a pesar de haber llegado a un punto muy avanzado de la investigación y juzgamiento, cesó debido a que pocos días antes de la ejecutoria de la providencia que daba fin al proceso ocurrió la prescripción de la acción, estudio que escapa de la competencia actual del juez contencioso.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highlight w:val="yellow"/>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rPr>
        <w:t xml:space="preserve">Así, la Sala encuentra la conducta de la señora Berta Baquero intencional, deliberada y dolosa, teniendo en cuenta que incluso confesó expresamente durante el proceso penal que contrató por interpuesta persona para burlar la restricción y  celebrar contratos de índole pública teniendo en cuenta que su cónyuge hacía parte del concejo municipal, por lo que su actuación constituyó una conducta claramente dolosa, desde el punto de vista civil, que permite exonerar de responsabilidad a la administración de justicia.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highlight w:val="yellow"/>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lang w:val="es-ES_tradnl"/>
        </w:rPr>
        <w:t xml:space="preserve">De lo anterior se puede concluir que </w:t>
      </w:r>
      <w:r w:rsidRPr="00172351">
        <w:rPr>
          <w:rFonts w:ascii="Arial" w:hAnsi="Arial" w:cs="Arial"/>
          <w:sz w:val="26"/>
          <w:szCs w:val="26"/>
        </w:rPr>
        <w:t xml:space="preserve">el daño no es imputable a la Nación, pues si bien es cierto que en la sentencia de revisión se decretó la cesación de procedimiento por prescripción penal, también lo es que lo determinante para la imposición de la medida de aseguramiento, la continuación de la investigación penal y el juzgamiento fue la conducta reprochable de la actora, quien obró en forma deliberadamente premeditada al celebrar contratos con la administración sin la observancia de los requisitos mínimos para hacerlo, esto es quebrantó una obligación, conducta civilmente reprochable y que desde ningún punto de vista puede constituir una justificación para que alegue que la privación de la libertad fue injusta, pues constituye una máxima general del derecho que nadie puede alegar en su favor su propia culpa </w:t>
      </w:r>
      <w:r w:rsidRPr="00172351">
        <w:rPr>
          <w:rFonts w:ascii="Arial" w:hAnsi="Arial" w:cs="Arial"/>
          <w:i/>
          <w:sz w:val="26"/>
          <w:szCs w:val="26"/>
          <w:shd w:val="clear" w:color="auto" w:fill="FFFFFF"/>
        </w:rPr>
        <w:t>nemo auditur propriam turpitudinem allegans</w:t>
      </w:r>
      <w:r w:rsidRPr="00172351">
        <w:rPr>
          <w:rFonts w:ascii="Arial" w:hAnsi="Arial" w:cs="Arial"/>
          <w:sz w:val="26"/>
          <w:szCs w:val="26"/>
        </w:rPr>
        <w:t xml:space="preserve">, menos aún si con ello se procura obtener un beneficio, pues sería tanto como aceptar la posibilidad de sacar ventaja de una situación reprochable y originada de manera voluntaria e intencional por quien la esgrime, como ocurrió en el caso concreto pues la encartada confesó en el proceso penal la realización de las conductas que se le imputaron. </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highlight w:val="yellow"/>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lang w:val="es-ES"/>
        </w:rPr>
        <w:t>Así las cosas, la Sala concluye que en el presente caso se configuró la eximente de responsabilidad de culpa de la víctima, razón que impone la revocatoria del fallo impugnado.</w:t>
      </w:r>
    </w:p>
    <w:p w:rsidR="006E7522" w:rsidRPr="00172351" w:rsidRDefault="006E7522" w:rsidP="006E7522">
      <w:pPr>
        <w:pStyle w:val="Prrafodelista"/>
        <w:tabs>
          <w:tab w:val="left" w:pos="0"/>
          <w:tab w:val="left" w:pos="142"/>
          <w:tab w:val="left" w:pos="426"/>
        </w:tabs>
        <w:spacing w:line="360" w:lineRule="auto"/>
        <w:ind w:left="0" w:right="49"/>
        <w:jc w:val="both"/>
        <w:rPr>
          <w:rFonts w:ascii="Arial" w:hAnsi="Arial" w:cs="Arial"/>
          <w:sz w:val="26"/>
          <w:szCs w:val="26"/>
        </w:rPr>
      </w:pPr>
    </w:p>
    <w:p w:rsidR="006E7522" w:rsidRPr="00172351" w:rsidRDefault="006E7522" w:rsidP="006E7522">
      <w:pPr>
        <w:pStyle w:val="Prrafodelista"/>
        <w:numPr>
          <w:ilvl w:val="0"/>
          <w:numId w:val="2"/>
        </w:numPr>
        <w:tabs>
          <w:tab w:val="left" w:pos="0"/>
          <w:tab w:val="left" w:pos="142"/>
          <w:tab w:val="left" w:pos="426"/>
        </w:tabs>
        <w:spacing w:line="360" w:lineRule="auto"/>
        <w:ind w:left="0" w:right="49" w:firstLine="0"/>
        <w:jc w:val="both"/>
        <w:rPr>
          <w:rFonts w:ascii="Arial" w:hAnsi="Arial" w:cs="Arial"/>
          <w:sz w:val="26"/>
          <w:szCs w:val="26"/>
        </w:rPr>
      </w:pPr>
      <w:r w:rsidRPr="00172351">
        <w:rPr>
          <w:rFonts w:ascii="Arial" w:hAnsi="Arial" w:cs="Arial"/>
          <w:sz w:val="26"/>
          <w:szCs w:val="26"/>
          <w:lang w:val="es-ES"/>
        </w:rPr>
        <w:t xml:space="preserve">Debido a que el </w:t>
      </w:r>
      <w:r w:rsidRPr="00172351">
        <w:rPr>
          <w:rFonts w:ascii="Arial" w:hAnsi="Arial" w:cs="Arial"/>
          <w:i/>
          <w:sz w:val="26"/>
          <w:szCs w:val="26"/>
          <w:lang w:val="es-ES"/>
        </w:rPr>
        <w:t>a quo</w:t>
      </w:r>
      <w:r w:rsidRPr="00172351">
        <w:rPr>
          <w:rFonts w:ascii="Arial" w:hAnsi="Arial" w:cs="Arial"/>
          <w:sz w:val="26"/>
          <w:szCs w:val="26"/>
          <w:lang w:val="es-ES"/>
        </w:rPr>
        <w:t xml:space="preserve"> negó las pretensiones de la demanda, se confirmará la sentencia de primera instancia, pero de conformidad con las consideraciones esgrimidas en este proveído. </w:t>
      </w:r>
    </w:p>
    <w:p w:rsidR="006E7522" w:rsidRPr="00172351" w:rsidRDefault="006E7522" w:rsidP="006E7522">
      <w:pPr>
        <w:numPr>
          <w:ilvl w:val="12"/>
          <w:numId w:val="0"/>
        </w:numPr>
        <w:tabs>
          <w:tab w:val="left" w:pos="709"/>
        </w:tabs>
        <w:spacing w:line="360" w:lineRule="auto"/>
        <w:jc w:val="both"/>
        <w:rPr>
          <w:rFonts w:ascii="Arial" w:hAnsi="Arial" w:cs="Arial"/>
          <w:sz w:val="26"/>
          <w:szCs w:val="26"/>
        </w:rPr>
      </w:pPr>
    </w:p>
    <w:p w:rsidR="006E7522" w:rsidRPr="00172351" w:rsidRDefault="006E7522" w:rsidP="006E7522">
      <w:pPr>
        <w:pStyle w:val="Prrafodelista"/>
        <w:tabs>
          <w:tab w:val="left" w:pos="0"/>
          <w:tab w:val="left" w:pos="142"/>
          <w:tab w:val="left" w:pos="567"/>
        </w:tabs>
        <w:spacing w:line="360" w:lineRule="auto"/>
        <w:ind w:left="0" w:right="227"/>
        <w:contextualSpacing/>
        <w:jc w:val="both"/>
        <w:rPr>
          <w:rFonts w:ascii="Arial" w:hAnsi="Arial" w:cs="Arial"/>
          <w:b/>
          <w:bCs/>
          <w:sz w:val="26"/>
          <w:szCs w:val="26"/>
        </w:rPr>
      </w:pPr>
      <w:r w:rsidRPr="00172351">
        <w:rPr>
          <w:rFonts w:ascii="Arial" w:hAnsi="Arial" w:cs="Arial"/>
          <w:b/>
          <w:bCs/>
          <w:sz w:val="26"/>
          <w:szCs w:val="26"/>
        </w:rPr>
        <w:t>Costas</w:t>
      </w:r>
    </w:p>
    <w:p w:rsidR="006E7522" w:rsidRPr="00172351" w:rsidRDefault="006E7522" w:rsidP="006E7522">
      <w:pPr>
        <w:widowControl w:val="0"/>
        <w:autoSpaceDE w:val="0"/>
        <w:autoSpaceDN w:val="0"/>
        <w:adjustRightInd w:val="0"/>
        <w:spacing w:line="360" w:lineRule="auto"/>
        <w:jc w:val="both"/>
        <w:rPr>
          <w:rFonts w:ascii="Arial" w:hAnsi="Arial" w:cs="Arial"/>
          <w:b/>
          <w:bCs/>
          <w:sz w:val="26"/>
          <w:szCs w:val="26"/>
        </w:rPr>
      </w:pPr>
    </w:p>
    <w:p w:rsidR="006E7522" w:rsidRPr="00172351" w:rsidRDefault="006E7522" w:rsidP="006E7522">
      <w:pPr>
        <w:pStyle w:val="Prrafodelista"/>
        <w:widowControl w:val="0"/>
        <w:numPr>
          <w:ilvl w:val="0"/>
          <w:numId w:val="2"/>
        </w:numPr>
        <w:tabs>
          <w:tab w:val="left" w:pos="142"/>
          <w:tab w:val="left" w:pos="426"/>
        </w:tabs>
        <w:spacing w:line="360" w:lineRule="auto"/>
        <w:ind w:left="0" w:right="51" w:firstLine="0"/>
        <w:contextualSpacing/>
        <w:jc w:val="both"/>
        <w:rPr>
          <w:rFonts w:ascii="Arial" w:hAnsi="Arial" w:cs="Arial"/>
          <w:sz w:val="26"/>
          <w:szCs w:val="26"/>
        </w:rPr>
      </w:pPr>
      <w:r w:rsidRPr="00172351">
        <w:rPr>
          <w:rFonts w:ascii="Arial" w:hAnsi="Arial" w:cs="Arial"/>
          <w:sz w:val="26"/>
          <w:szCs w:val="26"/>
        </w:rPr>
        <w:t>De acuerdo con lo dispuesto en el artículo 55 de la Ley 446 de 1998, solo hay lugar a la imposición de costas cuando alguna de las partes hubiere actuado temerariamente y como en este caso ninguna de aquellas actuó de esa forma, no se condenará en este sentido.</w:t>
      </w:r>
    </w:p>
    <w:p w:rsidR="006E7522" w:rsidRPr="00172351" w:rsidRDefault="006E7522" w:rsidP="006E7522">
      <w:pPr>
        <w:pStyle w:val="Prrafodelista"/>
        <w:widowControl w:val="0"/>
        <w:tabs>
          <w:tab w:val="left" w:pos="142"/>
          <w:tab w:val="left" w:pos="426"/>
        </w:tabs>
        <w:spacing w:line="360" w:lineRule="auto"/>
        <w:ind w:left="0" w:right="51"/>
        <w:jc w:val="both"/>
        <w:rPr>
          <w:rFonts w:ascii="Arial" w:hAnsi="Arial" w:cs="Arial"/>
          <w:sz w:val="26"/>
          <w:szCs w:val="26"/>
        </w:rPr>
      </w:pPr>
    </w:p>
    <w:p w:rsidR="006E7522" w:rsidRPr="00172351" w:rsidRDefault="006E7522" w:rsidP="006E7522">
      <w:pPr>
        <w:pStyle w:val="Prrafodelista"/>
        <w:widowControl w:val="0"/>
        <w:numPr>
          <w:ilvl w:val="0"/>
          <w:numId w:val="2"/>
        </w:numPr>
        <w:tabs>
          <w:tab w:val="left" w:pos="142"/>
          <w:tab w:val="left" w:pos="426"/>
        </w:tabs>
        <w:spacing w:line="360" w:lineRule="auto"/>
        <w:ind w:left="0" w:right="51" w:firstLine="0"/>
        <w:contextualSpacing/>
        <w:jc w:val="both"/>
        <w:rPr>
          <w:rFonts w:ascii="Arial" w:hAnsi="Arial" w:cs="Arial"/>
          <w:sz w:val="26"/>
          <w:szCs w:val="26"/>
        </w:rPr>
      </w:pPr>
      <w:r w:rsidRPr="00172351">
        <w:rPr>
          <w:rFonts w:ascii="Arial" w:hAnsi="Arial" w:cs="Arial"/>
          <w:sz w:val="26"/>
          <w:szCs w:val="26"/>
        </w:rPr>
        <w:lastRenderedPageBreak/>
        <w:t>En mérito de lo expuesto, el Consejo de Estado, en Sala de lo Contencioso Administrativo, Sección Tercera, Subsección B, administrando justicia en nombre de la República de Colombia y por autoridad de la ley,</w:t>
      </w: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center"/>
        <w:rPr>
          <w:rFonts w:ascii="Arial" w:hAnsi="Arial" w:cs="Arial"/>
          <w:b/>
          <w:sz w:val="26"/>
          <w:szCs w:val="26"/>
        </w:rPr>
      </w:pP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center"/>
        <w:rPr>
          <w:rFonts w:ascii="Arial" w:hAnsi="Arial" w:cs="Arial"/>
          <w:b/>
          <w:sz w:val="26"/>
          <w:szCs w:val="26"/>
        </w:rPr>
      </w:pPr>
      <w:r w:rsidRPr="00172351">
        <w:rPr>
          <w:rFonts w:ascii="Arial" w:hAnsi="Arial" w:cs="Arial"/>
          <w:b/>
          <w:sz w:val="26"/>
          <w:szCs w:val="26"/>
        </w:rPr>
        <w:t>FALLA</w:t>
      </w: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center"/>
        <w:rPr>
          <w:rFonts w:ascii="Arial" w:hAnsi="Arial" w:cs="Arial"/>
          <w:b/>
          <w:sz w:val="26"/>
          <w:szCs w:val="26"/>
        </w:rPr>
      </w:pP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both"/>
        <w:rPr>
          <w:rFonts w:ascii="Arial" w:hAnsi="Arial" w:cs="Arial"/>
          <w:sz w:val="26"/>
          <w:szCs w:val="26"/>
        </w:rPr>
      </w:pPr>
      <w:r w:rsidRPr="00172351">
        <w:rPr>
          <w:rFonts w:ascii="Arial" w:hAnsi="Arial" w:cs="Arial"/>
          <w:b/>
          <w:sz w:val="26"/>
          <w:szCs w:val="26"/>
        </w:rPr>
        <w:t xml:space="preserve">PRIMERO: CONFÍRMASE </w:t>
      </w:r>
      <w:r w:rsidRPr="00172351">
        <w:rPr>
          <w:rFonts w:ascii="Arial" w:hAnsi="Arial" w:cs="Arial"/>
          <w:sz w:val="26"/>
          <w:szCs w:val="26"/>
        </w:rPr>
        <w:t>la sentencia de primera instancia, proferida el 30 de noviembre del 2011, por el Tribunal Administrativo de Cundinamarca</w:t>
      </w:r>
      <w:r w:rsidRPr="00172351">
        <w:rPr>
          <w:rFonts w:ascii="Arial" w:hAnsi="Arial" w:cs="Arial"/>
          <w:bCs/>
          <w:sz w:val="26"/>
          <w:szCs w:val="26"/>
        </w:rPr>
        <w:t>, Sección Tercera, Subsección C en Descongestión</w:t>
      </w:r>
      <w:r w:rsidRPr="00172351">
        <w:rPr>
          <w:rFonts w:ascii="Arial" w:hAnsi="Arial" w:cs="Arial"/>
          <w:sz w:val="26"/>
          <w:szCs w:val="26"/>
        </w:rPr>
        <w:t>, por medio de la cual negó las pretensiones de la demanda.</w:t>
      </w: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both"/>
        <w:rPr>
          <w:rFonts w:ascii="Arial" w:hAnsi="Arial" w:cs="Arial"/>
          <w:b/>
          <w:sz w:val="26"/>
          <w:szCs w:val="26"/>
        </w:rPr>
      </w:pPr>
    </w:p>
    <w:p w:rsidR="006E7522" w:rsidRPr="00172351" w:rsidRDefault="006E7522" w:rsidP="006E7522">
      <w:pPr>
        <w:pStyle w:val="NormalWeb"/>
        <w:shd w:val="clear" w:color="auto" w:fill="FFFFFF"/>
        <w:tabs>
          <w:tab w:val="left" w:pos="142"/>
          <w:tab w:val="left" w:pos="284"/>
        </w:tabs>
        <w:spacing w:before="0" w:beforeAutospacing="0" w:after="0" w:afterAutospacing="0" w:line="360" w:lineRule="auto"/>
        <w:jc w:val="both"/>
        <w:rPr>
          <w:rFonts w:ascii="Arial" w:hAnsi="Arial" w:cs="Arial"/>
          <w:sz w:val="26"/>
          <w:szCs w:val="26"/>
          <w:lang w:val="es-ES_tradnl"/>
        </w:rPr>
      </w:pPr>
      <w:r w:rsidRPr="00172351">
        <w:rPr>
          <w:rFonts w:ascii="Arial" w:hAnsi="Arial" w:cs="Arial"/>
          <w:b/>
          <w:sz w:val="26"/>
          <w:szCs w:val="26"/>
        </w:rPr>
        <w:t xml:space="preserve">SEGUNDO: </w:t>
      </w:r>
      <w:r w:rsidRPr="00172351">
        <w:rPr>
          <w:rFonts w:ascii="Arial" w:hAnsi="Arial" w:cs="Arial"/>
          <w:sz w:val="26"/>
          <w:szCs w:val="26"/>
        </w:rPr>
        <w:t xml:space="preserve">Ejecutoriada la presente sentencia, </w:t>
      </w:r>
      <w:r w:rsidRPr="00172351">
        <w:rPr>
          <w:rFonts w:ascii="Arial" w:hAnsi="Arial" w:cs="Arial"/>
          <w:b/>
          <w:sz w:val="26"/>
          <w:szCs w:val="26"/>
        </w:rPr>
        <w:t>DEVUÉLVASE</w:t>
      </w:r>
      <w:r w:rsidRPr="00172351">
        <w:rPr>
          <w:rFonts w:ascii="Arial" w:hAnsi="Arial" w:cs="Arial"/>
          <w:sz w:val="26"/>
          <w:szCs w:val="26"/>
        </w:rPr>
        <w:t xml:space="preserve"> el expediente al tribunal de primera instancia para lo de su cargo.</w:t>
      </w:r>
    </w:p>
    <w:p w:rsidR="006E7522" w:rsidRPr="00172351" w:rsidRDefault="006E7522" w:rsidP="006E7522">
      <w:pPr>
        <w:widowControl w:val="0"/>
        <w:overflowPunct w:val="0"/>
        <w:autoSpaceDE w:val="0"/>
        <w:autoSpaceDN w:val="0"/>
        <w:adjustRightInd w:val="0"/>
        <w:spacing w:line="360" w:lineRule="auto"/>
        <w:jc w:val="both"/>
        <w:textAlignment w:val="baseline"/>
        <w:rPr>
          <w:rFonts w:ascii="Arial" w:hAnsi="Arial" w:cs="Arial"/>
          <w:sz w:val="26"/>
          <w:szCs w:val="26"/>
          <w:lang w:val="es-ES_tradnl"/>
        </w:rPr>
      </w:pPr>
    </w:p>
    <w:p w:rsidR="006E7522" w:rsidRPr="00172351" w:rsidRDefault="006E7522" w:rsidP="006E7522">
      <w:pPr>
        <w:widowControl w:val="0"/>
        <w:overflowPunct w:val="0"/>
        <w:autoSpaceDE w:val="0"/>
        <w:autoSpaceDN w:val="0"/>
        <w:adjustRightInd w:val="0"/>
        <w:spacing w:line="360" w:lineRule="auto"/>
        <w:jc w:val="both"/>
        <w:textAlignment w:val="baseline"/>
        <w:rPr>
          <w:rFonts w:ascii="Arial" w:hAnsi="Arial" w:cs="Arial"/>
          <w:sz w:val="26"/>
          <w:szCs w:val="26"/>
        </w:rPr>
      </w:pPr>
      <w:r w:rsidRPr="00172351">
        <w:rPr>
          <w:rFonts w:ascii="Arial" w:hAnsi="Arial" w:cs="Arial"/>
          <w:b/>
          <w:sz w:val="26"/>
          <w:szCs w:val="26"/>
        </w:rPr>
        <w:t>TERCERO:</w:t>
      </w:r>
      <w:r w:rsidRPr="00172351">
        <w:rPr>
          <w:rFonts w:ascii="Arial" w:hAnsi="Arial" w:cs="Arial"/>
          <w:sz w:val="26"/>
          <w:szCs w:val="26"/>
        </w:rPr>
        <w:t xml:space="preserve"> Sin condena en costas.</w:t>
      </w:r>
    </w:p>
    <w:p w:rsidR="006E7522" w:rsidRPr="00172351" w:rsidRDefault="006E7522" w:rsidP="006E7522">
      <w:pPr>
        <w:pStyle w:val="Textoindependiente32"/>
        <w:jc w:val="center"/>
        <w:rPr>
          <w:rFonts w:cs="Arial"/>
          <w:b/>
          <w:sz w:val="26"/>
          <w:szCs w:val="26"/>
          <w:lang w:val="es-CO"/>
        </w:rPr>
      </w:pPr>
    </w:p>
    <w:p w:rsidR="006E7522" w:rsidRPr="00172351" w:rsidRDefault="006E7522" w:rsidP="006E7522">
      <w:pPr>
        <w:pStyle w:val="Textoindependiente32"/>
        <w:jc w:val="center"/>
        <w:rPr>
          <w:rFonts w:cs="Arial"/>
          <w:b/>
          <w:sz w:val="26"/>
          <w:szCs w:val="26"/>
          <w:lang w:val="es-CO"/>
        </w:rPr>
      </w:pPr>
      <w:r w:rsidRPr="00172351">
        <w:rPr>
          <w:rFonts w:cs="Arial"/>
          <w:b/>
          <w:sz w:val="26"/>
          <w:szCs w:val="26"/>
          <w:lang w:val="es-CO"/>
        </w:rPr>
        <w:t>CÓPIESE, NOTIFÍQUESE Y CÚMPLASE</w:t>
      </w: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r w:rsidRPr="00172351">
        <w:rPr>
          <w:rFonts w:cs="Arial"/>
          <w:b/>
          <w:sz w:val="26"/>
          <w:szCs w:val="26"/>
        </w:rPr>
        <w:t xml:space="preserve">RAMIRO PAZOS GUERRERO                        </w:t>
      </w:r>
    </w:p>
    <w:p w:rsidR="006E7522" w:rsidRPr="00172351" w:rsidRDefault="006E7522" w:rsidP="006E7522">
      <w:pPr>
        <w:pStyle w:val="Textoindependiente32"/>
        <w:ind w:left="-426" w:right="-624"/>
        <w:jc w:val="center"/>
        <w:rPr>
          <w:rFonts w:cs="Arial"/>
          <w:b/>
          <w:sz w:val="26"/>
          <w:szCs w:val="26"/>
        </w:rPr>
      </w:pPr>
      <w:r w:rsidRPr="00172351">
        <w:rPr>
          <w:rFonts w:cs="Arial"/>
          <w:b/>
          <w:sz w:val="26"/>
          <w:szCs w:val="26"/>
        </w:rPr>
        <w:t>Presidente</w:t>
      </w: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p>
    <w:p w:rsidR="006E7522" w:rsidRPr="00172351" w:rsidRDefault="006E7522" w:rsidP="006E7522">
      <w:pPr>
        <w:pStyle w:val="Textoindependiente32"/>
        <w:ind w:left="-426" w:right="-624"/>
        <w:jc w:val="center"/>
        <w:rPr>
          <w:rFonts w:cs="Arial"/>
          <w:b/>
          <w:sz w:val="26"/>
          <w:szCs w:val="26"/>
        </w:rPr>
      </w:pPr>
      <w:r w:rsidRPr="00172351">
        <w:rPr>
          <w:rFonts w:cs="Arial"/>
          <w:b/>
          <w:sz w:val="26"/>
          <w:szCs w:val="26"/>
        </w:rPr>
        <w:t xml:space="preserve">STELLA CONTO DÍAZ DEL CASTILLO     DANILO ROJAS BETANCOURTH      </w:t>
      </w:r>
    </w:p>
    <w:p w:rsidR="006E7522" w:rsidRPr="00172351" w:rsidRDefault="006E7522" w:rsidP="006E7522">
      <w:pPr>
        <w:pStyle w:val="Textoindependiente32"/>
        <w:ind w:right="-624"/>
        <w:rPr>
          <w:rFonts w:cs="Arial"/>
        </w:rPr>
      </w:pPr>
      <w:r w:rsidRPr="00172351">
        <w:rPr>
          <w:rFonts w:cs="Arial"/>
          <w:b/>
          <w:sz w:val="26"/>
          <w:szCs w:val="26"/>
        </w:rPr>
        <w:t xml:space="preserve">                   Magistrada</w:t>
      </w:r>
      <w:r w:rsidRPr="00172351">
        <w:rPr>
          <w:rFonts w:cs="Arial"/>
          <w:b/>
          <w:sz w:val="26"/>
          <w:szCs w:val="26"/>
        </w:rPr>
        <w:tab/>
      </w:r>
      <w:r w:rsidRPr="00172351">
        <w:rPr>
          <w:rFonts w:cs="Arial"/>
          <w:b/>
          <w:sz w:val="26"/>
          <w:szCs w:val="26"/>
        </w:rPr>
        <w:tab/>
        <w:t xml:space="preserve">   </w:t>
      </w:r>
      <w:r w:rsidRPr="00172351">
        <w:rPr>
          <w:rFonts w:cs="Arial"/>
          <w:b/>
          <w:sz w:val="26"/>
          <w:szCs w:val="26"/>
        </w:rPr>
        <w:tab/>
        <w:t xml:space="preserve">    </w:t>
      </w:r>
      <w:r w:rsidRPr="00172351">
        <w:rPr>
          <w:rFonts w:cs="Arial"/>
          <w:b/>
          <w:sz w:val="26"/>
          <w:szCs w:val="26"/>
        </w:rPr>
        <w:tab/>
      </w:r>
      <w:r w:rsidRPr="00172351">
        <w:rPr>
          <w:rFonts w:cs="Arial"/>
          <w:b/>
          <w:sz w:val="26"/>
          <w:szCs w:val="26"/>
        </w:rPr>
        <w:tab/>
        <w:t xml:space="preserve">          Magistrado</w:t>
      </w:r>
    </w:p>
    <w:p w:rsidR="00D6532F" w:rsidRPr="00172351" w:rsidRDefault="00D6532F" w:rsidP="00D6532F">
      <w:pPr>
        <w:rPr>
          <w:rFonts w:ascii="Arial" w:hAnsi="Arial" w:cs="Arial"/>
          <w:sz w:val="24"/>
          <w:szCs w:val="24"/>
        </w:rPr>
      </w:pPr>
    </w:p>
    <w:p w:rsidR="00A15A9B" w:rsidRPr="00E74EE5" w:rsidRDefault="00E81230" w:rsidP="00A15A9B">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4"/>
          <w:szCs w:val="24"/>
        </w:rPr>
      </w:pPr>
      <w:r>
        <w:rPr>
          <w:rFonts w:ascii="Arial" w:hAnsi="Arial" w:cs="Arial"/>
        </w:rPr>
        <w:br w:type="page"/>
      </w:r>
      <w:r w:rsidR="009A5523" w:rsidRPr="00E74EE5">
        <w:rPr>
          <w:rFonts w:ascii="Arial" w:eastAsia="Times New Roman" w:hAnsi="Arial" w:cs="Arial"/>
          <w:b/>
          <w:sz w:val="24"/>
          <w:szCs w:val="24"/>
          <w:lang w:val="es-ES" w:eastAsia="es-ES"/>
        </w:rPr>
        <w:lastRenderedPageBreak/>
        <w:t xml:space="preserve">PRIVACIÓN INJUSTA DE LA LIBERTAD / PRESUNCIÓN DE INOCENCIA </w:t>
      </w:r>
      <w:r w:rsidR="00A15A9B">
        <w:rPr>
          <w:rFonts w:ascii="Arial" w:eastAsia="Times New Roman" w:hAnsi="Arial" w:cs="Arial"/>
          <w:b/>
          <w:sz w:val="24"/>
          <w:szCs w:val="24"/>
          <w:lang w:val="es-ES" w:eastAsia="es-ES"/>
        </w:rPr>
        <w:t>/ HECHO DE LA VÍCTIMA</w:t>
      </w:r>
      <w:r w:rsidR="00A15A9B" w:rsidRPr="00E74EE5">
        <w:rPr>
          <w:rFonts w:ascii="Arial" w:eastAsia="Times New Roman" w:hAnsi="Arial" w:cs="Arial"/>
          <w:b/>
          <w:sz w:val="24"/>
          <w:szCs w:val="24"/>
          <w:lang w:val="es-ES" w:eastAsia="es-ES"/>
        </w:rPr>
        <w:t xml:space="preserve"> / DOLO O CULPA GRAVE </w:t>
      </w:r>
      <w:r w:rsidR="00A15A9B">
        <w:rPr>
          <w:rFonts w:ascii="Arial" w:eastAsia="Times New Roman" w:hAnsi="Arial" w:cs="Arial"/>
          <w:b/>
          <w:sz w:val="24"/>
          <w:szCs w:val="24"/>
          <w:lang w:val="es-ES" w:eastAsia="es-ES"/>
        </w:rPr>
        <w:t>- Análisis</w:t>
      </w:r>
    </w:p>
    <w:p w:rsidR="00412A74" w:rsidRPr="00E74EE5" w:rsidRDefault="00412A74" w:rsidP="009A5523">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4"/>
          <w:szCs w:val="24"/>
        </w:rPr>
      </w:pPr>
    </w:p>
    <w:p w:rsidR="00412A74" w:rsidRPr="00E74EE5" w:rsidRDefault="00412A74" w:rsidP="00E74EE5">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4"/>
          <w:szCs w:val="24"/>
        </w:rPr>
      </w:pPr>
      <w:r w:rsidRPr="00E74EE5">
        <w:rPr>
          <w:rFonts w:ascii="Arial" w:hAnsi="Arial" w:cs="Arial"/>
          <w:sz w:val="24"/>
          <w:szCs w:val="24"/>
        </w:rPr>
        <w:t>Con el debido respeto expongo a continuación las razones que me llevaron a aclarar el voto, en relación con algunas consideraciones expuestas en la sentencia de 10 de marzo de 2017, en lo que tiene que ver con el análisis del hecho de la víctima como exime</w:t>
      </w:r>
      <w:r w:rsidR="007C014F" w:rsidRPr="00E74EE5">
        <w:rPr>
          <w:rFonts w:ascii="Arial" w:hAnsi="Arial" w:cs="Arial"/>
          <w:sz w:val="24"/>
          <w:szCs w:val="24"/>
        </w:rPr>
        <w:t>nte de responsabilidad (…) [E]</w:t>
      </w:r>
      <w:r w:rsidRPr="00E74EE5">
        <w:rPr>
          <w:rFonts w:ascii="Arial" w:hAnsi="Arial" w:cs="Arial"/>
          <w:sz w:val="24"/>
          <w:szCs w:val="24"/>
        </w:rPr>
        <w:t xml:space="preserve">s preciso señalar que estoy de acuerdo con la decisión comoquiera que, de las pruebas aportadas al plenario, se colige la actuación dolosa de la víctima; empero, disiento de la manera en que fue abordado el análisis en el caso concreto, pues no resulta ajustado a derecho afirmar que procede absolver a la entidad demandada cuando la conducta de la víctima determinó el inicio de la investigación en su contra, </w:t>
      </w:r>
      <w:r w:rsidR="007C014F" w:rsidRPr="00E74EE5">
        <w:rPr>
          <w:rFonts w:ascii="Arial" w:hAnsi="Arial" w:cs="Arial"/>
          <w:sz w:val="24"/>
          <w:szCs w:val="24"/>
        </w:rPr>
        <w:t xml:space="preserve">es decir, causó el daño (…) </w:t>
      </w:r>
      <w:r w:rsidRPr="00E74EE5">
        <w:rPr>
          <w:rFonts w:ascii="Arial" w:hAnsi="Arial" w:cs="Arial"/>
          <w:iCs/>
          <w:sz w:val="24"/>
          <w:szCs w:val="24"/>
          <w:lang w:val="es-ES"/>
        </w:rPr>
        <w:t xml:space="preserve">En casos como el sub-judice, el análisis de la responsabilidad, en los términos de la Ley 270 de 1996 y particularmente en aplicación de los artículos 2°, 83 y 95 constitucionales exige considerar desde la perspectiva civil, la conducta de la víctima, </w:t>
      </w:r>
      <w:r w:rsidRPr="00E74EE5">
        <w:rPr>
          <w:rFonts w:ascii="Arial" w:hAnsi="Arial" w:cs="Arial"/>
          <w:sz w:val="24"/>
          <w:szCs w:val="24"/>
        </w:rPr>
        <w:t>en tanto no se comprenden las pretensiones de reparación de naturaleza civil, al margen del compromiso de la víctima con sus deberes constitucionales, sin considerar la conducta  desde la perspectiva delictual. Es necesario predicar aquí la autonomía</w:t>
      </w:r>
      <w:r w:rsidR="004322A3" w:rsidRPr="00E74EE5">
        <w:rPr>
          <w:rFonts w:ascii="Arial" w:hAnsi="Arial" w:cs="Arial"/>
          <w:sz w:val="24"/>
          <w:szCs w:val="24"/>
        </w:rPr>
        <w:t xml:space="preserve"> del juicio de responsabilidad (…) </w:t>
      </w:r>
      <w:r w:rsidRPr="00E74EE5">
        <w:rPr>
          <w:rFonts w:ascii="Arial" w:hAnsi="Arial" w:cs="Arial"/>
          <w:bCs/>
          <w:sz w:val="24"/>
          <w:szCs w:val="24"/>
        </w:rPr>
        <w:t>Nótese que se trata de un juicio ajeno al resuelto, mismo que dio lugar a la absolución y, siendo así, debo apartarme de la tesis conforme a la cual la víctima no puede ser indemnizada en la medida en que dio lugar a la privación. Además porque la presunción de inocencia impone al Estado el deber de desvirtuarla, sin que la actuación de la víctima cuente.</w:t>
      </w:r>
      <w:r w:rsidR="003E18B1" w:rsidRPr="00E74EE5">
        <w:rPr>
          <w:rFonts w:ascii="Arial" w:hAnsi="Arial" w:cs="Arial"/>
          <w:bCs/>
          <w:sz w:val="24"/>
          <w:szCs w:val="24"/>
        </w:rPr>
        <w:t xml:space="preserve"> </w:t>
      </w:r>
      <w:r w:rsidRPr="00E74EE5">
        <w:rPr>
          <w:rFonts w:ascii="Arial" w:hAnsi="Arial" w:cs="Arial"/>
          <w:sz w:val="24"/>
          <w:szCs w:val="24"/>
        </w:rPr>
        <w:t>También debo precisar que el Estado ostenta la titularidad de la acción penal y de las actuaciones que de ella se desprenden, en este caso por la fiscalía, luego, la culpa de la víctima, entendida cuando esta ha actuado con dolo o culpa grave, no puede ser abordada como un tema de causalidad, tampoco</w:t>
      </w:r>
      <w:r w:rsidR="00E74EE5" w:rsidRPr="00E74EE5">
        <w:rPr>
          <w:rFonts w:ascii="Arial" w:hAnsi="Arial" w:cs="Arial"/>
          <w:sz w:val="24"/>
          <w:szCs w:val="24"/>
        </w:rPr>
        <w:t xml:space="preserve"> de juridicidad del daño (…) </w:t>
      </w:r>
      <w:r w:rsidRPr="00E74EE5">
        <w:rPr>
          <w:rFonts w:ascii="Arial" w:hAnsi="Arial" w:cs="Arial"/>
          <w:sz w:val="24"/>
          <w:szCs w:val="24"/>
          <w:lang w:val="es-ES_tradnl"/>
        </w:rPr>
        <w:t>Lo anterior encuentra su fundamento en los artículos 90 constitucional, 65, 68 y 70 de la Ley 270 de 1996, que sujetan la responsabilidad patrimonial por la privación de la libertad, no solo a la absolución o preclusión con que se favoreció al privado de la libertad, sino también a</w:t>
      </w:r>
      <w:r w:rsidRPr="00E74EE5">
        <w:rPr>
          <w:rFonts w:ascii="Arial" w:hAnsi="Arial" w:cs="Arial"/>
          <w:bCs/>
          <w:sz w:val="24"/>
          <w:szCs w:val="24"/>
        </w:rPr>
        <w:t xml:space="preserve"> la exigencia de que la víctima no haya actuado de manera dolosa o grave</w:t>
      </w:r>
      <w:r w:rsidR="00E74EE5" w:rsidRPr="00E74EE5">
        <w:rPr>
          <w:rFonts w:ascii="Arial" w:hAnsi="Arial" w:cs="Arial"/>
          <w:bCs/>
          <w:sz w:val="24"/>
          <w:szCs w:val="24"/>
        </w:rPr>
        <w:t>mente culposa -</w:t>
      </w:r>
      <w:r w:rsidRPr="00E74EE5">
        <w:rPr>
          <w:rFonts w:ascii="Arial" w:hAnsi="Arial" w:cs="Arial"/>
          <w:bCs/>
          <w:sz w:val="24"/>
          <w:szCs w:val="24"/>
        </w:rPr>
        <w:t xml:space="preserve">entendido, como es natural, desde </w:t>
      </w:r>
      <w:r w:rsidR="00E74EE5" w:rsidRPr="00E74EE5">
        <w:rPr>
          <w:rFonts w:ascii="Arial" w:hAnsi="Arial" w:cs="Arial"/>
          <w:bCs/>
          <w:sz w:val="24"/>
          <w:szCs w:val="24"/>
        </w:rPr>
        <w:t xml:space="preserve">una perspectiva netamente civil- (…) </w:t>
      </w:r>
      <w:r w:rsidRPr="00E74EE5">
        <w:rPr>
          <w:rFonts w:ascii="Arial" w:hAnsi="Arial" w:cs="Arial"/>
          <w:bCs/>
          <w:sz w:val="24"/>
          <w:szCs w:val="24"/>
        </w:rPr>
        <w:t xml:space="preserve">Se concluye entonces, sin hesitación que (i) a partir de la normatividad bajo análisis, en materia privación injusta de la libertad la culpa grave o el dolo, son elementos sustanciales de la responsabilidad patrimonial del Estado. Esto es, le está vedado al juez de lo contencioso administrativo declarar esa responsabilidad al margen de lo dispuesto por el artículo 70 de la ley estatutaria. </w:t>
      </w:r>
    </w:p>
    <w:p w:rsidR="00412A74" w:rsidRDefault="00412A74" w:rsidP="009A5523">
      <w:pPr>
        <w:jc w:val="both"/>
        <w:rPr>
          <w:rFonts w:ascii="Arial" w:hAnsi="Arial" w:cs="Arial"/>
          <w:bCs/>
          <w:sz w:val="24"/>
          <w:szCs w:val="24"/>
        </w:rPr>
      </w:pPr>
    </w:p>
    <w:p w:rsidR="00412A74" w:rsidRPr="009A5523" w:rsidRDefault="00E74EE5" w:rsidP="00E74EE5">
      <w:pPr>
        <w:jc w:val="both"/>
        <w:rPr>
          <w:rFonts w:ascii="Arial" w:hAnsi="Arial" w:cs="Arial"/>
          <w:bCs/>
          <w:sz w:val="24"/>
          <w:szCs w:val="24"/>
        </w:rPr>
      </w:pPr>
      <w:r w:rsidRPr="00E74EE5">
        <w:rPr>
          <w:rFonts w:ascii="Arial" w:hAnsi="Arial" w:cs="Arial"/>
          <w:b/>
          <w:bCs/>
          <w:sz w:val="24"/>
          <w:szCs w:val="24"/>
        </w:rPr>
        <w:t>FUENTE FORMAL:</w:t>
      </w:r>
      <w:r>
        <w:rPr>
          <w:rFonts w:ascii="Arial" w:hAnsi="Arial" w:cs="Arial"/>
          <w:bCs/>
          <w:sz w:val="24"/>
          <w:szCs w:val="24"/>
        </w:rPr>
        <w:t xml:space="preserve"> LEY 270 DE 1996 - ARTÍCULOS 2, 83 Y 95</w:t>
      </w:r>
    </w:p>
    <w:p w:rsidR="00412A74" w:rsidRPr="009A5523" w:rsidRDefault="00412A74" w:rsidP="009A5523">
      <w:pPr>
        <w:jc w:val="center"/>
        <w:rPr>
          <w:rFonts w:ascii="Arial" w:hAnsi="Arial" w:cs="Arial"/>
          <w:bCs/>
          <w:sz w:val="24"/>
          <w:szCs w:val="24"/>
        </w:rPr>
      </w:pPr>
    </w:p>
    <w:p w:rsidR="00412A74" w:rsidRPr="009A5523" w:rsidRDefault="00412A74" w:rsidP="009A5523">
      <w:pPr>
        <w:jc w:val="center"/>
        <w:rPr>
          <w:rFonts w:ascii="Arial" w:hAnsi="Arial" w:cs="Arial"/>
          <w:bCs/>
          <w:sz w:val="24"/>
          <w:szCs w:val="24"/>
        </w:rPr>
      </w:pPr>
    </w:p>
    <w:p w:rsidR="00E81230" w:rsidRPr="00172351" w:rsidRDefault="00E81230" w:rsidP="009A5523">
      <w:pPr>
        <w:jc w:val="center"/>
        <w:rPr>
          <w:rFonts w:ascii="Arial" w:hAnsi="Arial" w:cs="Arial"/>
          <w:b/>
          <w:sz w:val="24"/>
          <w:szCs w:val="24"/>
        </w:rPr>
      </w:pPr>
      <w:r w:rsidRPr="009A5523">
        <w:rPr>
          <w:rFonts w:ascii="Arial" w:hAnsi="Arial" w:cs="Arial"/>
          <w:b/>
          <w:sz w:val="24"/>
          <w:szCs w:val="24"/>
        </w:rPr>
        <w:t>CONSEJO</w:t>
      </w:r>
      <w:r w:rsidRPr="00172351">
        <w:rPr>
          <w:rFonts w:ascii="Arial" w:hAnsi="Arial" w:cs="Arial"/>
          <w:b/>
          <w:sz w:val="24"/>
          <w:szCs w:val="24"/>
        </w:rPr>
        <w:t xml:space="preserve"> DE ESTADO</w:t>
      </w:r>
    </w:p>
    <w:p w:rsidR="00E81230" w:rsidRPr="00172351" w:rsidRDefault="00E81230" w:rsidP="00E81230">
      <w:pPr>
        <w:jc w:val="center"/>
        <w:rPr>
          <w:rFonts w:ascii="Arial" w:hAnsi="Arial" w:cs="Arial"/>
          <w:b/>
          <w:sz w:val="24"/>
          <w:szCs w:val="24"/>
        </w:rPr>
      </w:pPr>
    </w:p>
    <w:p w:rsidR="00E81230" w:rsidRPr="00172351" w:rsidRDefault="00E81230" w:rsidP="00E81230">
      <w:pPr>
        <w:jc w:val="center"/>
        <w:rPr>
          <w:rFonts w:ascii="Arial" w:hAnsi="Arial" w:cs="Arial"/>
          <w:b/>
          <w:sz w:val="24"/>
          <w:szCs w:val="24"/>
        </w:rPr>
      </w:pPr>
      <w:r w:rsidRPr="00172351">
        <w:rPr>
          <w:rFonts w:ascii="Arial" w:hAnsi="Arial" w:cs="Arial"/>
          <w:b/>
          <w:sz w:val="24"/>
          <w:szCs w:val="24"/>
        </w:rPr>
        <w:t>SALA DE LO CONTENCIOSO ADMINISTRATIVO</w:t>
      </w:r>
    </w:p>
    <w:p w:rsidR="00E81230" w:rsidRPr="00172351" w:rsidRDefault="00E81230" w:rsidP="00E81230">
      <w:pPr>
        <w:jc w:val="center"/>
        <w:rPr>
          <w:rFonts w:ascii="Arial" w:hAnsi="Arial" w:cs="Arial"/>
          <w:b/>
          <w:sz w:val="24"/>
          <w:szCs w:val="24"/>
        </w:rPr>
      </w:pPr>
    </w:p>
    <w:p w:rsidR="00E81230" w:rsidRPr="00172351" w:rsidRDefault="00E81230" w:rsidP="00E81230">
      <w:pPr>
        <w:jc w:val="center"/>
        <w:rPr>
          <w:rFonts w:ascii="Arial" w:hAnsi="Arial" w:cs="Arial"/>
          <w:b/>
          <w:sz w:val="24"/>
          <w:szCs w:val="24"/>
        </w:rPr>
      </w:pPr>
      <w:r w:rsidRPr="00172351">
        <w:rPr>
          <w:rFonts w:ascii="Arial" w:hAnsi="Arial" w:cs="Arial"/>
          <w:b/>
          <w:sz w:val="24"/>
          <w:szCs w:val="24"/>
        </w:rPr>
        <w:t>SECCIÓN TERCERA</w:t>
      </w:r>
    </w:p>
    <w:p w:rsidR="00E81230" w:rsidRPr="00172351" w:rsidRDefault="00E81230" w:rsidP="00E81230">
      <w:pPr>
        <w:jc w:val="center"/>
        <w:rPr>
          <w:rFonts w:ascii="Arial" w:hAnsi="Arial" w:cs="Arial"/>
          <w:b/>
          <w:sz w:val="24"/>
          <w:szCs w:val="24"/>
        </w:rPr>
      </w:pPr>
    </w:p>
    <w:p w:rsidR="00E81230" w:rsidRPr="00172351" w:rsidRDefault="00E81230" w:rsidP="00E81230">
      <w:pPr>
        <w:jc w:val="center"/>
        <w:rPr>
          <w:rFonts w:ascii="Arial" w:hAnsi="Arial" w:cs="Arial"/>
          <w:b/>
          <w:sz w:val="24"/>
          <w:szCs w:val="24"/>
        </w:rPr>
      </w:pPr>
      <w:r w:rsidRPr="00172351">
        <w:rPr>
          <w:rFonts w:ascii="Arial" w:hAnsi="Arial" w:cs="Arial"/>
          <w:b/>
          <w:sz w:val="24"/>
          <w:szCs w:val="24"/>
        </w:rPr>
        <w:t>SUBSECCIÓN B</w:t>
      </w:r>
    </w:p>
    <w:p w:rsidR="00E81230" w:rsidRPr="00172351" w:rsidRDefault="00E81230" w:rsidP="00E81230">
      <w:pPr>
        <w:jc w:val="center"/>
        <w:rPr>
          <w:rFonts w:ascii="Arial" w:hAnsi="Arial" w:cs="Arial"/>
          <w:b/>
          <w:sz w:val="24"/>
          <w:szCs w:val="24"/>
        </w:rPr>
      </w:pPr>
    </w:p>
    <w:p w:rsidR="00E81230" w:rsidRPr="00172351" w:rsidRDefault="00E81230" w:rsidP="00E81230">
      <w:pPr>
        <w:jc w:val="center"/>
        <w:rPr>
          <w:rFonts w:ascii="Arial" w:hAnsi="Arial" w:cs="Arial"/>
          <w:b/>
          <w:sz w:val="24"/>
          <w:szCs w:val="24"/>
        </w:rPr>
      </w:pPr>
      <w:r w:rsidRPr="00172351">
        <w:rPr>
          <w:rFonts w:ascii="Arial" w:hAnsi="Arial" w:cs="Arial"/>
          <w:b/>
          <w:sz w:val="24"/>
          <w:szCs w:val="24"/>
        </w:rPr>
        <w:t>Consejero ponente: RAMIRO PAZOS GUERRERO</w:t>
      </w:r>
    </w:p>
    <w:p w:rsidR="00E81230" w:rsidRPr="00172351" w:rsidRDefault="00E81230" w:rsidP="00E81230">
      <w:pPr>
        <w:jc w:val="center"/>
        <w:rPr>
          <w:rFonts w:ascii="Arial" w:hAnsi="Arial" w:cs="Arial"/>
          <w:b/>
          <w:sz w:val="24"/>
          <w:szCs w:val="24"/>
        </w:rPr>
      </w:pPr>
    </w:p>
    <w:p w:rsidR="00E81230" w:rsidRPr="00172351" w:rsidRDefault="00E81230" w:rsidP="00E81230">
      <w:pPr>
        <w:jc w:val="both"/>
        <w:rPr>
          <w:rFonts w:ascii="Arial" w:hAnsi="Arial" w:cs="Arial"/>
          <w:sz w:val="24"/>
          <w:szCs w:val="24"/>
        </w:rPr>
      </w:pPr>
      <w:r w:rsidRPr="00172351">
        <w:rPr>
          <w:rFonts w:ascii="Arial" w:hAnsi="Arial" w:cs="Arial"/>
          <w:sz w:val="24"/>
          <w:szCs w:val="24"/>
        </w:rPr>
        <w:t>Bogotá</w:t>
      </w:r>
      <w:r>
        <w:rPr>
          <w:rFonts w:ascii="Arial" w:hAnsi="Arial" w:cs="Arial"/>
          <w:sz w:val="24"/>
          <w:szCs w:val="24"/>
        </w:rPr>
        <w:t>,</w:t>
      </w:r>
      <w:r w:rsidRPr="00172351">
        <w:rPr>
          <w:rFonts w:ascii="Arial" w:hAnsi="Arial" w:cs="Arial"/>
          <w:sz w:val="24"/>
          <w:szCs w:val="24"/>
        </w:rPr>
        <w:t xml:space="preserve"> D.C., diez (10) de marzo del dos mil diecisiete (2017)</w:t>
      </w: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r w:rsidRPr="00172351">
        <w:rPr>
          <w:rFonts w:ascii="Arial" w:hAnsi="Arial" w:cs="Arial"/>
          <w:b/>
          <w:sz w:val="24"/>
          <w:szCs w:val="24"/>
        </w:rPr>
        <w:t>Radicación número: 25000-23-26-000-2009-00480-01(43902)</w:t>
      </w: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r w:rsidRPr="00172351">
        <w:rPr>
          <w:rFonts w:ascii="Arial" w:hAnsi="Arial" w:cs="Arial"/>
          <w:b/>
          <w:sz w:val="24"/>
          <w:szCs w:val="24"/>
        </w:rPr>
        <w:lastRenderedPageBreak/>
        <w:t>Actor: BERTA BAQUERO DE GÓMEZ Y OTROS</w:t>
      </w: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r w:rsidRPr="00172351">
        <w:rPr>
          <w:rFonts w:ascii="Arial" w:hAnsi="Arial" w:cs="Arial"/>
          <w:b/>
          <w:sz w:val="24"/>
          <w:szCs w:val="24"/>
        </w:rPr>
        <w:t>Demandado: NACIÓN - FISCALÍA GENERAL DE LA NACIÓN Y OTROS</w:t>
      </w: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r w:rsidRPr="00172351">
        <w:rPr>
          <w:rFonts w:ascii="Arial" w:hAnsi="Arial" w:cs="Arial"/>
          <w:b/>
          <w:sz w:val="24"/>
          <w:szCs w:val="24"/>
        </w:rPr>
        <w:t>Referencia: ACCIÓN DE REPARACIÓN DIRECTA</w:t>
      </w:r>
    </w:p>
    <w:p w:rsidR="00E81230" w:rsidRPr="00172351" w:rsidRDefault="00E81230" w:rsidP="00E81230">
      <w:pPr>
        <w:jc w:val="both"/>
        <w:rPr>
          <w:rFonts w:ascii="Arial" w:hAnsi="Arial" w:cs="Arial"/>
          <w:b/>
          <w:sz w:val="24"/>
          <w:szCs w:val="24"/>
        </w:rPr>
      </w:pPr>
    </w:p>
    <w:p w:rsidR="00E81230" w:rsidRPr="00172351" w:rsidRDefault="00E81230" w:rsidP="00E81230">
      <w:pPr>
        <w:jc w:val="both"/>
        <w:rPr>
          <w:rFonts w:ascii="Arial" w:hAnsi="Arial" w:cs="Arial"/>
          <w:b/>
          <w:sz w:val="24"/>
          <w:szCs w:val="24"/>
        </w:rPr>
      </w:pPr>
    </w:p>
    <w:p w:rsidR="00E81230" w:rsidRDefault="00E81230" w:rsidP="00E81230">
      <w:pPr>
        <w:jc w:val="both"/>
        <w:rPr>
          <w:rFonts w:ascii="Arial" w:hAnsi="Arial" w:cs="Arial"/>
          <w:b/>
          <w:sz w:val="24"/>
          <w:szCs w:val="24"/>
        </w:rPr>
      </w:pPr>
    </w:p>
    <w:p w:rsidR="00412A74" w:rsidRDefault="00412A74" w:rsidP="00412A74">
      <w:pPr>
        <w:jc w:val="center"/>
        <w:rPr>
          <w:rFonts w:ascii="Arial" w:hAnsi="Arial" w:cs="Arial"/>
          <w:b/>
          <w:sz w:val="24"/>
          <w:szCs w:val="24"/>
        </w:rPr>
      </w:pPr>
      <w:r>
        <w:rPr>
          <w:rFonts w:ascii="Arial" w:hAnsi="Arial" w:cs="Arial"/>
          <w:b/>
          <w:sz w:val="24"/>
          <w:szCs w:val="24"/>
        </w:rPr>
        <w:t>ACLARACIÓN DE VOTO DE LA MAGISTRADA STELLA CONTO DÍAZ DEL CASTILLO</w:t>
      </w:r>
    </w:p>
    <w:p w:rsidR="00412A74" w:rsidRDefault="00412A74" w:rsidP="00E81230">
      <w:pPr>
        <w:jc w:val="both"/>
        <w:rPr>
          <w:rFonts w:ascii="Arial" w:hAnsi="Arial" w:cs="Arial"/>
          <w:b/>
          <w:sz w:val="24"/>
          <w:szCs w:val="24"/>
        </w:rPr>
      </w:pPr>
    </w:p>
    <w:p w:rsidR="00412A74" w:rsidRDefault="00412A74" w:rsidP="00E81230">
      <w:pPr>
        <w:jc w:val="both"/>
        <w:rPr>
          <w:rFonts w:ascii="Arial" w:hAnsi="Arial" w:cs="Arial"/>
          <w:b/>
          <w:sz w:val="24"/>
          <w:szCs w:val="24"/>
        </w:rPr>
      </w:pPr>
    </w:p>
    <w:p w:rsidR="00412A74" w:rsidRPr="00172351" w:rsidRDefault="00412A74" w:rsidP="00E81230">
      <w:pPr>
        <w:jc w:val="both"/>
        <w:rPr>
          <w:rFonts w:ascii="Arial" w:hAnsi="Arial" w:cs="Arial"/>
          <w:b/>
          <w:sz w:val="24"/>
          <w:szCs w:val="24"/>
        </w:rPr>
      </w:pPr>
    </w:p>
    <w:p w:rsidR="00E81230" w:rsidRPr="00E9113E"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r w:rsidRPr="00E9113E">
        <w:rPr>
          <w:rFonts w:ascii="Arial" w:hAnsi="Arial" w:cs="Arial"/>
          <w:sz w:val="26"/>
          <w:szCs w:val="26"/>
        </w:rPr>
        <w:t xml:space="preserve">Con el debido respeto expongo a continuación las razones que me llevaron a aclarar el voto, en relación con algunas consideraciones expuestas en la sentencia de </w:t>
      </w:r>
      <w:r>
        <w:rPr>
          <w:rFonts w:ascii="Arial" w:hAnsi="Arial" w:cs="Arial"/>
          <w:sz w:val="26"/>
          <w:szCs w:val="26"/>
        </w:rPr>
        <w:t>10 de marzo de 2017</w:t>
      </w:r>
      <w:r w:rsidRPr="00E9113E">
        <w:rPr>
          <w:rFonts w:ascii="Arial" w:hAnsi="Arial" w:cs="Arial"/>
          <w:sz w:val="26"/>
          <w:szCs w:val="26"/>
        </w:rPr>
        <w:t xml:space="preserve">, en lo que tiene que ver con </w:t>
      </w:r>
      <w:r>
        <w:rPr>
          <w:rFonts w:ascii="Arial" w:hAnsi="Arial" w:cs="Arial"/>
          <w:sz w:val="26"/>
          <w:szCs w:val="26"/>
        </w:rPr>
        <w:t>el análisis</w:t>
      </w:r>
      <w:r w:rsidRPr="00E9113E">
        <w:rPr>
          <w:rFonts w:ascii="Arial" w:hAnsi="Arial" w:cs="Arial"/>
          <w:sz w:val="26"/>
          <w:szCs w:val="26"/>
        </w:rPr>
        <w:t xml:space="preserve"> del hecho de la víctima como eximente de responsabilidad.</w:t>
      </w:r>
    </w:p>
    <w:p w:rsidR="00E81230" w:rsidRPr="00E9113E"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p>
    <w:p w:rsidR="00E81230" w:rsidRDefault="00E81230" w:rsidP="00E81230">
      <w:pPr>
        <w:jc w:val="both"/>
        <w:rPr>
          <w:rFonts w:ascii="Arial" w:hAnsi="Arial" w:cs="Arial"/>
          <w:sz w:val="26"/>
          <w:szCs w:val="26"/>
        </w:rPr>
      </w:pPr>
      <w:r w:rsidRPr="00E9113E">
        <w:rPr>
          <w:rFonts w:ascii="Arial" w:hAnsi="Arial" w:cs="Arial"/>
          <w:sz w:val="26"/>
          <w:szCs w:val="26"/>
        </w:rPr>
        <w:t>En efecto, mediante la p</w:t>
      </w:r>
      <w:r>
        <w:rPr>
          <w:rFonts w:ascii="Arial" w:hAnsi="Arial" w:cs="Arial"/>
          <w:sz w:val="26"/>
          <w:szCs w:val="26"/>
        </w:rPr>
        <w:t>rovidencia de la referencia se confirmó</w:t>
      </w:r>
      <w:r w:rsidRPr="00E9113E">
        <w:rPr>
          <w:rFonts w:ascii="Arial" w:hAnsi="Arial" w:cs="Arial"/>
          <w:sz w:val="26"/>
          <w:szCs w:val="26"/>
        </w:rPr>
        <w:t xml:space="preserve"> la sentencia del </w:t>
      </w:r>
      <w:r>
        <w:rPr>
          <w:rFonts w:ascii="Arial" w:hAnsi="Arial" w:cs="Arial"/>
          <w:sz w:val="26"/>
          <w:szCs w:val="26"/>
        </w:rPr>
        <w:t>30 de noviembre de 2011</w:t>
      </w:r>
      <w:r w:rsidRPr="00E9113E">
        <w:rPr>
          <w:rFonts w:ascii="Arial" w:hAnsi="Arial" w:cs="Arial"/>
          <w:sz w:val="26"/>
          <w:szCs w:val="26"/>
        </w:rPr>
        <w:t xml:space="preserve">, proferida por el Tribunal Administrativo </w:t>
      </w:r>
      <w:r>
        <w:rPr>
          <w:rFonts w:ascii="Arial" w:hAnsi="Arial" w:cs="Arial"/>
          <w:sz w:val="26"/>
          <w:szCs w:val="26"/>
        </w:rPr>
        <w:t xml:space="preserve">de Cundinamarca, Subsección C en descongestión, </w:t>
      </w:r>
      <w:r w:rsidRPr="00E9113E">
        <w:rPr>
          <w:rFonts w:ascii="Arial" w:hAnsi="Arial" w:cs="Arial"/>
          <w:sz w:val="26"/>
          <w:szCs w:val="26"/>
        </w:rPr>
        <w:t>que negó las pretensiones de la demanda</w:t>
      </w:r>
      <w:r>
        <w:rPr>
          <w:rFonts w:ascii="Arial" w:hAnsi="Arial" w:cs="Arial"/>
          <w:sz w:val="26"/>
          <w:szCs w:val="26"/>
        </w:rPr>
        <w:t xml:space="preserve"> por encontrar acreditada la actuación dolosa de la víctima de que trata el artículo 70 de la Ley 270 de 1996.</w:t>
      </w:r>
    </w:p>
    <w:p w:rsidR="00E81230" w:rsidRDefault="00E81230" w:rsidP="00E81230">
      <w:pPr>
        <w:jc w:val="both"/>
        <w:rPr>
          <w:rFonts w:ascii="Arial" w:hAnsi="Arial" w:cs="Arial"/>
          <w:sz w:val="26"/>
          <w:szCs w:val="26"/>
        </w:rPr>
      </w:pPr>
    </w:p>
    <w:p w:rsidR="00E81230" w:rsidRPr="00E9113E" w:rsidRDefault="00E81230" w:rsidP="00E81230">
      <w:pPr>
        <w:jc w:val="both"/>
        <w:rPr>
          <w:rFonts w:ascii="Arial" w:hAnsi="Arial" w:cs="Arial"/>
          <w:sz w:val="26"/>
          <w:szCs w:val="26"/>
        </w:rPr>
      </w:pPr>
      <w:r>
        <w:rPr>
          <w:rFonts w:ascii="Arial" w:hAnsi="Arial" w:cs="Arial"/>
          <w:sz w:val="26"/>
          <w:szCs w:val="26"/>
        </w:rPr>
        <w:t>Entre otros argumentos, se sostuvo:</w:t>
      </w:r>
    </w:p>
    <w:p w:rsidR="00E81230" w:rsidRDefault="00E81230" w:rsidP="00E81230">
      <w:pPr>
        <w:ind w:left="539" w:right="476"/>
        <w:jc w:val="both"/>
        <w:rPr>
          <w:rFonts w:ascii="Arial" w:hAnsi="Arial" w:cs="Arial"/>
          <w:i/>
          <w:sz w:val="24"/>
          <w:szCs w:val="24"/>
        </w:rPr>
      </w:pPr>
    </w:p>
    <w:p w:rsidR="00E81230" w:rsidRPr="00725406" w:rsidRDefault="00E81230" w:rsidP="00E81230">
      <w:pPr>
        <w:tabs>
          <w:tab w:val="left" w:pos="567"/>
        </w:tabs>
        <w:suppressAutoHyphens/>
        <w:overflowPunct w:val="0"/>
        <w:autoSpaceDE w:val="0"/>
        <w:ind w:left="567" w:right="617"/>
        <w:jc w:val="both"/>
        <w:textAlignment w:val="baseline"/>
        <w:rPr>
          <w:rFonts w:ascii="Arial" w:eastAsia="MS Mincho" w:hAnsi="Arial" w:cs="Arial"/>
          <w:i/>
          <w:iCs/>
          <w:lang w:val="es-ES_tradnl" w:eastAsia="ar-SA"/>
        </w:rPr>
      </w:pPr>
    </w:p>
    <w:p w:rsidR="00E81230" w:rsidRPr="00725406" w:rsidRDefault="00E81230" w:rsidP="00E81230">
      <w:pPr>
        <w:ind w:left="539" w:right="476"/>
        <w:jc w:val="both"/>
        <w:rPr>
          <w:rFonts w:ascii="Arial" w:hAnsi="Arial" w:cs="Arial"/>
          <w:i/>
          <w:sz w:val="24"/>
          <w:szCs w:val="24"/>
          <w:u w:val="single"/>
          <w:lang w:val="es-ES_tradnl"/>
        </w:rPr>
      </w:pPr>
      <w:r>
        <w:rPr>
          <w:rFonts w:ascii="Arial" w:hAnsi="Arial" w:cs="Arial"/>
          <w:i/>
          <w:sz w:val="24"/>
          <w:szCs w:val="24"/>
          <w:lang w:val="es-ES_tradnl"/>
        </w:rPr>
        <w:t>“</w:t>
      </w:r>
      <w:r w:rsidRPr="00725406">
        <w:rPr>
          <w:rFonts w:ascii="Arial" w:hAnsi="Arial" w:cs="Arial"/>
          <w:i/>
          <w:sz w:val="24"/>
          <w:szCs w:val="24"/>
          <w:lang w:val="es-ES_tradnl"/>
        </w:rPr>
        <w:t>34.</w:t>
      </w:r>
      <w:r w:rsidRPr="00725406">
        <w:rPr>
          <w:rFonts w:ascii="Arial" w:hAnsi="Arial" w:cs="Arial"/>
          <w:i/>
          <w:sz w:val="24"/>
          <w:szCs w:val="24"/>
          <w:lang w:val="es-ES_tradnl"/>
        </w:rPr>
        <w:tab/>
        <w:t xml:space="preserve">Sin perjuicio de lo anterior, la Sala considera que la conducta de la encartada fue determinante para el inicio de la investigación penal, máxime cuando durante el proceso la accionada confesó la comisión del hecho delictivo e intentó allanarse a la figura de sentencia anticipada aceptando los cargos que pesaban en su contra.  Así las cosas, del análisis de las circunstancias demostradas sobre los hechos acaecidos, teniendo en cuenta que el juez penal contaba con todas las pruebas necesarias para emitir condena en contra de la señora Berta Baquero, </w:t>
      </w:r>
      <w:r w:rsidRPr="00725406">
        <w:rPr>
          <w:rFonts w:ascii="Arial" w:hAnsi="Arial" w:cs="Arial"/>
          <w:i/>
          <w:sz w:val="24"/>
          <w:szCs w:val="24"/>
          <w:u w:val="single"/>
          <w:lang w:val="es-ES_tradnl"/>
        </w:rPr>
        <w:t>se concluye que la conducta de la encartada determinó el inicio de una investigación en su contra, ya que se encuentra acreditado que celebró contratos con la administración a sabiendas de que se encontraba inhabilitada para ello por ser la esposa de un miembro del concejo municipal, actuación que a todas luces trasgrede la conducta que le era exigible en los términos del artículo 63 del Código Civil.</w:t>
      </w:r>
    </w:p>
    <w:p w:rsidR="00E81230" w:rsidRPr="00725406" w:rsidRDefault="00E81230" w:rsidP="00E81230">
      <w:pPr>
        <w:ind w:left="539" w:right="476"/>
        <w:jc w:val="both"/>
        <w:rPr>
          <w:rFonts w:ascii="Arial" w:hAnsi="Arial" w:cs="Arial"/>
          <w:i/>
          <w:sz w:val="24"/>
          <w:szCs w:val="24"/>
          <w:lang w:val="es-ES_tradnl"/>
        </w:rPr>
      </w:pPr>
    </w:p>
    <w:p w:rsidR="00E81230" w:rsidRPr="00725406"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35.</w:t>
      </w:r>
      <w:r w:rsidRPr="00725406">
        <w:rPr>
          <w:rFonts w:ascii="Arial" w:hAnsi="Arial" w:cs="Arial"/>
          <w:i/>
          <w:sz w:val="24"/>
          <w:szCs w:val="24"/>
          <w:lang w:val="es-ES_tradnl"/>
        </w:rPr>
        <w:tab/>
        <w:t xml:space="preserve">El artículo 63 del Código Civil gradualiza la culpa civil en: i) culpa grave, negligencia grave o culpa lata, que en materia civil equivale al dolo; ii) culpa leve, descuido leve o descuido ligero; iii) culpa o descuido levísimo; y iv) dolo. Al respecto, la jurisprudencia ha sostenido: </w:t>
      </w:r>
    </w:p>
    <w:p w:rsidR="00E81230" w:rsidRPr="00725406" w:rsidRDefault="00E81230" w:rsidP="00E81230">
      <w:pPr>
        <w:ind w:left="539" w:right="476"/>
        <w:jc w:val="both"/>
        <w:rPr>
          <w:rFonts w:ascii="Arial" w:hAnsi="Arial" w:cs="Arial"/>
          <w:i/>
          <w:sz w:val="24"/>
          <w:szCs w:val="24"/>
          <w:lang w:val="es-ES_tradnl"/>
        </w:rPr>
      </w:pPr>
    </w:p>
    <w:p w:rsidR="00E81230" w:rsidRPr="00725406"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 xml:space="preserve">Las voces utilizadas por la ley (art. 63 C.C.) para definir el dolo concuerdan con la noción doctrinaria que lo sitúa y destaca en cualquier pretensión de alcanzar un resultado contrario al derecho, caracterizada por la conciencia de quebrantar una obligación o de vulnerar un interés jurídico ajeno; el dolo se constituye pues, por la intención maliciosa, al paso que la culpa, </w:t>
      </w:r>
      <w:r w:rsidRPr="00725406">
        <w:rPr>
          <w:rFonts w:ascii="Arial" w:hAnsi="Arial" w:cs="Arial"/>
          <w:i/>
          <w:sz w:val="24"/>
          <w:szCs w:val="24"/>
          <w:lang w:val="es-ES_tradnl"/>
        </w:rPr>
        <w:lastRenderedPageBreak/>
        <w:t>según el mismo precepto y la concepción universal acerca de ella, se configura sobre la falta de diligencia o de cuidado, la imprevisión, la negligencia, la imprudencia. […] 6.1.2. De otra parte, solo en caso de atribuirse al deudor dolo, culpa grave o culpa lata (art. 63 C.C.) este será responsable de todos los perjuicios que fueron consecuencia inmediata y directa de no haberse cumplido la obligación o de haberse demorado su cumplimiento. De esta manera, la norma condiciona la reparación plena a los eventos de culpa grave o de malicia del deudor, la cual debe ser acreditada por el acreedor.</w:t>
      </w:r>
    </w:p>
    <w:p w:rsidR="00E81230" w:rsidRPr="00725406" w:rsidRDefault="00E81230" w:rsidP="00E81230">
      <w:pPr>
        <w:ind w:left="539" w:right="476"/>
        <w:jc w:val="both"/>
        <w:rPr>
          <w:rFonts w:ascii="Arial" w:hAnsi="Arial" w:cs="Arial"/>
          <w:i/>
          <w:sz w:val="24"/>
          <w:szCs w:val="24"/>
          <w:lang w:val="es-ES_tradnl"/>
        </w:rPr>
      </w:pPr>
    </w:p>
    <w:p w:rsidR="00E81230" w:rsidRPr="00725406"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36.</w:t>
      </w:r>
      <w:r w:rsidRPr="00725406">
        <w:rPr>
          <w:rFonts w:ascii="Arial" w:hAnsi="Arial" w:cs="Arial"/>
          <w:i/>
          <w:sz w:val="24"/>
          <w:szCs w:val="24"/>
          <w:lang w:val="es-ES_tradnl"/>
        </w:rPr>
        <w:tab/>
        <w:t xml:space="preserve">El anterior análisis se realiza de manera independiente al reproche de la conducta en materia penal, el cual, a pesar de haber llegado a un punto muy avanzado de la investigación y juzgamiento, cesó debido a que pocos días antes de la ejecutoria de la providencia que daba fin al proceso ocurrió la prescripción de la acción, estudio que escapa de la competencia actual del juez contencioso.    </w:t>
      </w:r>
    </w:p>
    <w:p w:rsidR="00E81230" w:rsidRPr="00725406" w:rsidRDefault="00E81230" w:rsidP="00E81230">
      <w:pPr>
        <w:ind w:left="539" w:right="476"/>
        <w:jc w:val="both"/>
        <w:rPr>
          <w:rFonts w:ascii="Arial" w:hAnsi="Arial" w:cs="Arial"/>
          <w:i/>
          <w:sz w:val="24"/>
          <w:szCs w:val="24"/>
          <w:lang w:val="es-ES_tradnl"/>
        </w:rPr>
      </w:pPr>
    </w:p>
    <w:p w:rsidR="00E81230" w:rsidRPr="00725406"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37.</w:t>
      </w:r>
      <w:r w:rsidRPr="00725406">
        <w:rPr>
          <w:rFonts w:ascii="Arial" w:hAnsi="Arial" w:cs="Arial"/>
          <w:i/>
          <w:sz w:val="24"/>
          <w:szCs w:val="24"/>
          <w:lang w:val="es-ES_tradnl"/>
        </w:rPr>
        <w:tab/>
        <w:t xml:space="preserve">Así, la Sala encuentra la conducta de la señora Berta Baquero intencional, deliberada y dolosa, teniendo en cuenta que incluso confesó expresamente durante el proceso penal que contrató por interpuesta persona para burlar la restricción y  celebrar contratos de índole pública teniendo en cuenta que su cónyuge hacía parte del concejo municipal, por lo que su actuación constituyó una conducta claramente dolosa, desde el punto de vista civil, que permite exonerar de responsabilidad a la administración de justicia. </w:t>
      </w:r>
    </w:p>
    <w:p w:rsidR="00E81230" w:rsidRPr="00725406" w:rsidRDefault="00E81230" w:rsidP="00E81230">
      <w:pPr>
        <w:ind w:left="539" w:right="476"/>
        <w:jc w:val="both"/>
        <w:rPr>
          <w:rFonts w:ascii="Arial" w:hAnsi="Arial" w:cs="Arial"/>
          <w:i/>
          <w:sz w:val="24"/>
          <w:szCs w:val="24"/>
          <w:lang w:val="es-ES_tradnl"/>
        </w:rPr>
      </w:pPr>
    </w:p>
    <w:p w:rsidR="00E81230" w:rsidRPr="00725406"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38.</w:t>
      </w:r>
      <w:r w:rsidRPr="00725406">
        <w:rPr>
          <w:rFonts w:ascii="Arial" w:hAnsi="Arial" w:cs="Arial"/>
          <w:i/>
          <w:sz w:val="24"/>
          <w:szCs w:val="24"/>
          <w:lang w:val="es-ES_tradnl"/>
        </w:rPr>
        <w:tab/>
        <w:t xml:space="preserve">De lo anterior se puede concluir que el daño no es imputable a la Nación, pues si bien es cierto que en la sentencia de revisión se decretó la cesación de procedimiento por prescripción penal, también lo es que </w:t>
      </w:r>
      <w:r w:rsidRPr="00725406">
        <w:rPr>
          <w:rFonts w:ascii="Arial" w:hAnsi="Arial" w:cs="Arial"/>
          <w:i/>
          <w:sz w:val="24"/>
          <w:szCs w:val="24"/>
          <w:u w:val="single"/>
          <w:lang w:val="es-ES_tradnl"/>
        </w:rPr>
        <w:t>lo determinante para la imposición de la medida de aseguramiento, la continuación de la investigación penal y el juzgamiento fue la conducta reprochable de la actora, quien obró en forma deliberadamente premeditada al celebrar contratos con la administración sin la observancia de los requisitos mínimos para hacerlo, esto es quebrantó una obligación, conducta civilmente reprochable y que desde ningún punto de vista puede constituir una justificación para que alegue que la privación de la libertad fue injusta</w:t>
      </w:r>
      <w:r w:rsidRPr="00725406">
        <w:rPr>
          <w:rFonts w:ascii="Arial" w:hAnsi="Arial" w:cs="Arial"/>
          <w:i/>
          <w:sz w:val="24"/>
          <w:szCs w:val="24"/>
          <w:lang w:val="es-ES_tradnl"/>
        </w:rPr>
        <w:t xml:space="preserve">, pues constituye una máxima general del derecho que nadie puede alegar en su favor su propia culpa nemo auditur propriam turpitudinem allegans, menos aún si con ello se procura obtener un beneficio, pues sería tanto como aceptar la posibilidad de sacar ventaja de una situación reprochable y originada de manera voluntaria e intencional por quien la esgrime, como ocurrió en el caso concreto pues la encartada confesó en el proceso penal la realización de las conductas que se le imputaron. </w:t>
      </w:r>
    </w:p>
    <w:p w:rsidR="00E81230" w:rsidRPr="00725406" w:rsidRDefault="00E81230" w:rsidP="00E81230">
      <w:pPr>
        <w:ind w:left="539" w:right="476"/>
        <w:jc w:val="both"/>
        <w:rPr>
          <w:rFonts w:ascii="Arial" w:hAnsi="Arial" w:cs="Arial"/>
          <w:i/>
          <w:sz w:val="24"/>
          <w:szCs w:val="24"/>
          <w:lang w:val="es-ES_tradnl"/>
        </w:rPr>
      </w:pPr>
    </w:p>
    <w:p w:rsidR="00E81230" w:rsidRDefault="00E81230" w:rsidP="00E81230">
      <w:pPr>
        <w:ind w:left="539" w:right="476"/>
        <w:jc w:val="both"/>
        <w:rPr>
          <w:rFonts w:ascii="Arial" w:hAnsi="Arial" w:cs="Arial"/>
          <w:i/>
          <w:sz w:val="24"/>
          <w:szCs w:val="24"/>
          <w:lang w:val="es-ES_tradnl"/>
        </w:rPr>
      </w:pPr>
      <w:r w:rsidRPr="00725406">
        <w:rPr>
          <w:rFonts w:ascii="Arial" w:hAnsi="Arial" w:cs="Arial"/>
          <w:i/>
          <w:sz w:val="24"/>
          <w:szCs w:val="24"/>
          <w:lang w:val="es-ES_tradnl"/>
        </w:rPr>
        <w:t>39.</w:t>
      </w:r>
      <w:r w:rsidRPr="00725406">
        <w:rPr>
          <w:rFonts w:ascii="Arial" w:hAnsi="Arial" w:cs="Arial"/>
          <w:i/>
          <w:sz w:val="24"/>
          <w:szCs w:val="24"/>
          <w:lang w:val="es-ES_tradnl"/>
        </w:rPr>
        <w:tab/>
        <w:t>Así las cosas, la Sala concluye que en el presente caso se configuró la eximente de responsabilidad de culpa de la víctima, razón que impone la revocatoria del fallo impugnado</w:t>
      </w:r>
      <w:r>
        <w:rPr>
          <w:rFonts w:ascii="Arial" w:hAnsi="Arial" w:cs="Arial"/>
          <w:i/>
          <w:sz w:val="24"/>
          <w:szCs w:val="24"/>
          <w:lang w:val="es-ES_tradnl"/>
        </w:rPr>
        <w:t xml:space="preserve">” </w:t>
      </w:r>
      <w:r>
        <w:rPr>
          <w:rFonts w:ascii="Arial" w:hAnsi="Arial" w:cs="Arial"/>
          <w:sz w:val="24"/>
          <w:szCs w:val="24"/>
          <w:lang w:val="es-ES_tradnl"/>
        </w:rPr>
        <w:t>– se destaca-</w:t>
      </w:r>
      <w:r w:rsidRPr="00725406">
        <w:rPr>
          <w:rFonts w:ascii="Arial" w:hAnsi="Arial" w:cs="Arial"/>
          <w:i/>
          <w:sz w:val="24"/>
          <w:szCs w:val="24"/>
          <w:lang w:val="es-ES_tradnl"/>
        </w:rPr>
        <w:t>.</w:t>
      </w:r>
    </w:p>
    <w:p w:rsidR="00E81230" w:rsidRPr="009D76D5" w:rsidRDefault="00E81230" w:rsidP="00E81230">
      <w:pPr>
        <w:ind w:left="539" w:right="476"/>
        <w:jc w:val="both"/>
        <w:rPr>
          <w:rFonts w:ascii="Arial" w:hAnsi="Arial" w:cs="Arial"/>
          <w:i/>
          <w:sz w:val="24"/>
          <w:szCs w:val="24"/>
          <w:lang w:val="es-ES_tradnl"/>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r w:rsidRPr="00F50F93">
        <w:rPr>
          <w:rFonts w:ascii="Arial" w:hAnsi="Arial" w:cs="Arial"/>
          <w:sz w:val="26"/>
          <w:szCs w:val="26"/>
        </w:rPr>
        <w:t>Visto lo anterior, es preciso señalar que estoy de acuerdo con</w:t>
      </w:r>
      <w:r>
        <w:rPr>
          <w:rFonts w:ascii="Arial" w:hAnsi="Arial" w:cs="Arial"/>
          <w:sz w:val="26"/>
          <w:szCs w:val="26"/>
        </w:rPr>
        <w:t xml:space="preserve"> la decisión comoquiera que, de las pruebas aportadas al plenario, se colige la actuación dolosa de la víctima; empero, disiento de la manera en que fue abordado el análisis en el caso concreto, pues no resulta ajustado a derecho afirmar que procede absolver a la entidad demandada cuando la conducta de la víctima </w:t>
      </w:r>
      <w:r w:rsidRPr="00C54090">
        <w:rPr>
          <w:rFonts w:ascii="Arial" w:hAnsi="Arial" w:cs="Arial"/>
          <w:i/>
          <w:sz w:val="26"/>
          <w:szCs w:val="26"/>
        </w:rPr>
        <w:t>determinó</w:t>
      </w:r>
      <w:r>
        <w:rPr>
          <w:rFonts w:ascii="Arial" w:hAnsi="Arial" w:cs="Arial"/>
          <w:sz w:val="26"/>
          <w:szCs w:val="26"/>
        </w:rPr>
        <w:t xml:space="preserve"> </w:t>
      </w:r>
      <w:r>
        <w:rPr>
          <w:rFonts w:ascii="Arial" w:hAnsi="Arial" w:cs="Arial"/>
          <w:i/>
          <w:sz w:val="26"/>
          <w:szCs w:val="26"/>
        </w:rPr>
        <w:t xml:space="preserve">el inicio de la investigación en su contra, </w:t>
      </w:r>
      <w:r>
        <w:rPr>
          <w:rFonts w:ascii="Arial" w:hAnsi="Arial" w:cs="Arial"/>
          <w:sz w:val="26"/>
          <w:szCs w:val="26"/>
        </w:rPr>
        <w:t xml:space="preserve">es decir, causó el daño. </w:t>
      </w:r>
      <w:r>
        <w:rPr>
          <w:rFonts w:ascii="Arial" w:hAnsi="Arial" w:cs="Arial"/>
          <w:sz w:val="26"/>
          <w:szCs w:val="26"/>
        </w:rPr>
        <w:lastRenderedPageBreak/>
        <w:t>En otras palabras, corresponde negar las pretensiones</w:t>
      </w:r>
      <w:r w:rsidRPr="00F50F93">
        <w:rPr>
          <w:rFonts w:ascii="Arial" w:hAnsi="Arial" w:cs="Arial"/>
          <w:sz w:val="26"/>
          <w:szCs w:val="26"/>
        </w:rPr>
        <w:t xml:space="preserve"> cuando se encuentra acreditado el comportamiento gravemente culposo o doloso de quien fue objeto de la medida preventiva</w:t>
      </w:r>
      <w:r>
        <w:rPr>
          <w:rFonts w:ascii="Arial" w:hAnsi="Arial" w:cs="Arial"/>
          <w:sz w:val="26"/>
          <w:szCs w:val="26"/>
        </w:rPr>
        <w:t xml:space="preserve"> y, en contraposición, concederlas cuando no haya prueba del dolo o culpa grave de la víctima</w:t>
      </w:r>
      <w:r w:rsidRPr="00F50F93">
        <w:rPr>
          <w:rFonts w:ascii="Arial" w:hAnsi="Arial" w:cs="Arial"/>
          <w:sz w:val="26"/>
          <w:szCs w:val="26"/>
        </w:rPr>
        <w:t xml:space="preserve">; </w:t>
      </w:r>
      <w:r>
        <w:rPr>
          <w:rFonts w:ascii="Arial" w:hAnsi="Arial" w:cs="Arial"/>
          <w:sz w:val="26"/>
          <w:szCs w:val="26"/>
        </w:rPr>
        <w:t>sin que</w:t>
      </w:r>
      <w:r w:rsidRPr="00F50F93">
        <w:rPr>
          <w:rFonts w:ascii="Arial" w:hAnsi="Arial" w:cs="Arial"/>
          <w:sz w:val="26"/>
          <w:szCs w:val="26"/>
        </w:rPr>
        <w:t xml:space="preserve"> ello comporte un problema de </w:t>
      </w:r>
      <w:r>
        <w:rPr>
          <w:rFonts w:ascii="Arial" w:hAnsi="Arial" w:cs="Arial"/>
          <w:sz w:val="26"/>
          <w:szCs w:val="26"/>
        </w:rPr>
        <w:t>causalidad</w:t>
      </w:r>
      <w:r w:rsidRPr="00F50F93">
        <w:rPr>
          <w:rFonts w:ascii="Arial" w:hAnsi="Arial" w:cs="Arial"/>
          <w:sz w:val="26"/>
          <w:szCs w:val="26"/>
        </w:rPr>
        <w:t>, como se</w:t>
      </w:r>
      <w:r>
        <w:rPr>
          <w:rFonts w:ascii="Arial" w:hAnsi="Arial" w:cs="Arial"/>
          <w:sz w:val="26"/>
          <w:szCs w:val="26"/>
        </w:rPr>
        <w:t xml:space="preserve"> da a entender </w:t>
      </w:r>
      <w:r w:rsidRPr="00F50F93">
        <w:rPr>
          <w:rFonts w:ascii="Arial" w:hAnsi="Arial" w:cs="Arial"/>
          <w:sz w:val="26"/>
          <w:szCs w:val="26"/>
        </w:rPr>
        <w:t>en la sentencia, sino por las razones que paso a exponer.</w:t>
      </w:r>
    </w:p>
    <w:p w:rsidR="00E81230" w:rsidRPr="00347A72"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r w:rsidRPr="00F50F93">
        <w:rPr>
          <w:rFonts w:ascii="Arial" w:hAnsi="Arial" w:cs="Arial"/>
          <w:iCs/>
          <w:sz w:val="26"/>
          <w:szCs w:val="26"/>
          <w:lang w:val="es-ES"/>
        </w:rPr>
        <w:t xml:space="preserve">En casos como el </w:t>
      </w:r>
      <w:r w:rsidRPr="00F50F93">
        <w:rPr>
          <w:rFonts w:ascii="Arial" w:hAnsi="Arial" w:cs="Arial"/>
          <w:i/>
          <w:iCs/>
          <w:sz w:val="26"/>
          <w:szCs w:val="26"/>
          <w:lang w:val="es-ES"/>
        </w:rPr>
        <w:t>sub-judice</w:t>
      </w:r>
      <w:r w:rsidRPr="00F50F93">
        <w:rPr>
          <w:rFonts w:ascii="Arial" w:hAnsi="Arial" w:cs="Arial"/>
          <w:iCs/>
          <w:sz w:val="26"/>
          <w:szCs w:val="26"/>
          <w:lang w:val="es-ES"/>
        </w:rPr>
        <w:t>, el</w:t>
      </w:r>
      <w:r>
        <w:rPr>
          <w:rFonts w:ascii="Arial" w:hAnsi="Arial" w:cs="Arial"/>
          <w:iCs/>
          <w:sz w:val="26"/>
          <w:szCs w:val="26"/>
          <w:lang w:val="es-ES"/>
        </w:rPr>
        <w:t xml:space="preserve"> análisis de la responsabilidad, </w:t>
      </w:r>
      <w:r w:rsidRPr="00F50F93">
        <w:rPr>
          <w:rFonts w:ascii="Arial" w:hAnsi="Arial" w:cs="Arial"/>
          <w:iCs/>
          <w:sz w:val="26"/>
          <w:szCs w:val="26"/>
          <w:lang w:val="es-ES"/>
        </w:rPr>
        <w:t>en los términos de la Ley 270 de 1996 y particularmente en aplicación de los artículo</w:t>
      </w:r>
      <w:r>
        <w:rPr>
          <w:rFonts w:ascii="Arial" w:hAnsi="Arial" w:cs="Arial"/>
          <w:iCs/>
          <w:sz w:val="26"/>
          <w:szCs w:val="26"/>
          <w:lang w:val="es-ES"/>
        </w:rPr>
        <w:t xml:space="preserve">s 2°, 83 y 95 constitucionales exige considerar desde la perspectiva civil, la conducta de la víctima, </w:t>
      </w:r>
      <w:r>
        <w:rPr>
          <w:rFonts w:ascii="Arial" w:hAnsi="Arial" w:cs="Arial"/>
          <w:sz w:val="26"/>
          <w:szCs w:val="26"/>
        </w:rPr>
        <w:t>en tanto no se comprenden las pretensiones de reparación de naturaleza civil, al margen del compromiso de la víctima con sus deberes constitucionales, sin considerar la conducta  desde la perspectiva delictual.</w:t>
      </w:r>
      <w:r w:rsidRPr="00F50F93">
        <w:rPr>
          <w:rFonts w:ascii="Arial" w:hAnsi="Arial" w:cs="Arial"/>
          <w:sz w:val="26"/>
          <w:szCs w:val="26"/>
        </w:rPr>
        <w:t xml:space="preserve"> Es necesario predicar aquí la autonomía del juicio de responsabilidad.</w:t>
      </w: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r w:rsidRPr="00F50F93">
        <w:rPr>
          <w:rFonts w:ascii="Arial" w:hAnsi="Arial" w:cs="Arial"/>
          <w:bCs/>
          <w:sz w:val="26"/>
          <w:szCs w:val="26"/>
        </w:rPr>
        <w:t xml:space="preserve"> </w:t>
      </w: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r w:rsidRPr="00F50F93">
        <w:rPr>
          <w:rFonts w:ascii="Arial" w:hAnsi="Arial" w:cs="Arial"/>
          <w:bCs/>
          <w:sz w:val="26"/>
          <w:szCs w:val="26"/>
        </w:rPr>
        <w:t xml:space="preserve">De conformidad con las disposiciones de los artículos 28 y 250 constitucionales, la privación de la libertad procede por </w:t>
      </w:r>
      <w:r w:rsidRPr="00F50F93">
        <w:rPr>
          <w:rFonts w:ascii="Arial" w:hAnsi="Arial" w:cs="Arial"/>
          <w:color w:val="000000"/>
          <w:sz w:val="26"/>
          <w:szCs w:val="26"/>
          <w:shd w:val="clear" w:color="auto" w:fill="FFFFFF"/>
        </w:rPr>
        <w:t xml:space="preserve">hechos imputables que revistan las características de delito, siempre que suficientes motivos y circunstancias fácticas indiquen su existencia, conforme un juicio de regulación y competencia estricta y excluyente, sin que de esto se siga que los deberes de corrección se agoten o subsuman en acciones típicas, antijurídicas y culpables. </w:t>
      </w: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r w:rsidRPr="00F50F93">
        <w:rPr>
          <w:rFonts w:ascii="Arial" w:hAnsi="Arial" w:cs="Arial"/>
          <w:bCs/>
          <w:sz w:val="26"/>
          <w:szCs w:val="26"/>
        </w:rPr>
        <w:t xml:space="preserve">En esas circunstancias, aunque el daño consiste en la privación y la antijuridicidad tiene que ver con lo injusto de la medida, vulneraría el principio de juez natural, el </w:t>
      </w:r>
      <w:r w:rsidRPr="00F50F93">
        <w:rPr>
          <w:rFonts w:ascii="Arial" w:hAnsi="Arial" w:cs="Arial"/>
          <w:bCs/>
          <w:i/>
          <w:sz w:val="26"/>
          <w:szCs w:val="26"/>
        </w:rPr>
        <w:t>non bis in ídem</w:t>
      </w:r>
      <w:r w:rsidRPr="00F50F93">
        <w:rPr>
          <w:rFonts w:ascii="Arial" w:hAnsi="Arial" w:cs="Arial"/>
          <w:bCs/>
          <w:sz w:val="26"/>
          <w:szCs w:val="26"/>
        </w:rPr>
        <w:t xml:space="preserve"> y la presunción de inocencia volver sobre lo decidido en sede penal, sin que por ello se tenga que disponer la reparación de todas maneras; como si la víctima de la privación fuese un ser aislado de la comunidad política y </w:t>
      </w:r>
      <w:r>
        <w:rPr>
          <w:rFonts w:ascii="Arial" w:hAnsi="Arial" w:cs="Arial"/>
          <w:bCs/>
          <w:sz w:val="26"/>
          <w:szCs w:val="26"/>
        </w:rPr>
        <w:t xml:space="preserve">al margen de los </w:t>
      </w:r>
      <w:r w:rsidRPr="00F50F93">
        <w:rPr>
          <w:rFonts w:ascii="Arial" w:hAnsi="Arial" w:cs="Arial"/>
          <w:bCs/>
          <w:sz w:val="26"/>
          <w:szCs w:val="26"/>
        </w:rPr>
        <w:t>deberes imperativos de convivencia.</w:t>
      </w: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bCs/>
          <w:sz w:val="26"/>
          <w:szCs w:val="26"/>
        </w:rPr>
      </w:pPr>
      <w:r w:rsidRPr="00F50F93">
        <w:rPr>
          <w:rFonts w:ascii="Arial" w:hAnsi="Arial" w:cs="Arial"/>
          <w:bCs/>
          <w:sz w:val="26"/>
          <w:szCs w:val="26"/>
        </w:rPr>
        <w:t>Nótese que se trata de un juicio ajeno</w:t>
      </w:r>
      <w:r>
        <w:rPr>
          <w:rFonts w:ascii="Arial" w:hAnsi="Arial" w:cs="Arial"/>
          <w:bCs/>
          <w:sz w:val="26"/>
          <w:szCs w:val="26"/>
        </w:rPr>
        <w:t xml:space="preserve"> al </w:t>
      </w:r>
      <w:r w:rsidRPr="00F50F93">
        <w:rPr>
          <w:rFonts w:ascii="Arial" w:hAnsi="Arial" w:cs="Arial"/>
          <w:bCs/>
          <w:sz w:val="26"/>
          <w:szCs w:val="26"/>
        </w:rPr>
        <w:t>resuelto, mismo que dio lugar a la absolución y</w:t>
      </w:r>
      <w:r>
        <w:rPr>
          <w:rFonts w:ascii="Arial" w:hAnsi="Arial" w:cs="Arial"/>
          <w:bCs/>
          <w:sz w:val="26"/>
          <w:szCs w:val="26"/>
        </w:rPr>
        <w:t>,</w:t>
      </w:r>
      <w:r w:rsidRPr="00F50F93">
        <w:rPr>
          <w:rFonts w:ascii="Arial" w:hAnsi="Arial" w:cs="Arial"/>
          <w:bCs/>
          <w:sz w:val="26"/>
          <w:szCs w:val="26"/>
        </w:rPr>
        <w:t xml:space="preserve"> siendo así</w:t>
      </w:r>
      <w:r>
        <w:rPr>
          <w:rFonts w:ascii="Arial" w:hAnsi="Arial" w:cs="Arial"/>
          <w:bCs/>
          <w:sz w:val="26"/>
          <w:szCs w:val="26"/>
        </w:rPr>
        <w:t>,</w:t>
      </w:r>
      <w:r w:rsidRPr="00F50F93">
        <w:rPr>
          <w:rFonts w:ascii="Arial" w:hAnsi="Arial" w:cs="Arial"/>
          <w:bCs/>
          <w:sz w:val="26"/>
          <w:szCs w:val="26"/>
        </w:rPr>
        <w:t xml:space="preserve"> </w:t>
      </w:r>
      <w:r>
        <w:rPr>
          <w:rFonts w:ascii="Arial" w:hAnsi="Arial" w:cs="Arial"/>
          <w:bCs/>
          <w:sz w:val="26"/>
          <w:szCs w:val="26"/>
        </w:rPr>
        <w:t>debo apartarme de</w:t>
      </w:r>
      <w:r w:rsidRPr="00F50F93">
        <w:rPr>
          <w:rFonts w:ascii="Arial" w:hAnsi="Arial" w:cs="Arial"/>
          <w:bCs/>
          <w:sz w:val="26"/>
          <w:szCs w:val="26"/>
        </w:rPr>
        <w:t xml:space="preserve"> la tesis conforme a la cual la víctima no puede ser indemnizada </w:t>
      </w:r>
      <w:r w:rsidRPr="00C54090">
        <w:rPr>
          <w:rFonts w:ascii="Arial" w:hAnsi="Arial" w:cs="Arial"/>
          <w:bCs/>
          <w:i/>
          <w:sz w:val="26"/>
          <w:szCs w:val="26"/>
        </w:rPr>
        <w:t>en la medida en que dio lugar a la privación</w:t>
      </w:r>
      <w:r w:rsidRPr="00F50F93">
        <w:rPr>
          <w:rFonts w:ascii="Arial" w:hAnsi="Arial" w:cs="Arial"/>
          <w:bCs/>
          <w:sz w:val="26"/>
          <w:szCs w:val="26"/>
        </w:rPr>
        <w:t>. Además porque la presunción de inocencia impone al Estado el deber de desvirtuarla, sin que la actuación de la víctima cuente.</w:t>
      </w:r>
    </w:p>
    <w:p w:rsidR="00E81230" w:rsidRPr="00F50F93" w:rsidRDefault="00E81230" w:rsidP="00E81230">
      <w:pPr>
        <w:ind w:left="426"/>
        <w:jc w:val="both"/>
        <w:rPr>
          <w:rFonts w:ascii="Arial" w:hAnsi="Arial" w:cs="Arial"/>
          <w:bCs/>
          <w:sz w:val="26"/>
          <w:szCs w:val="26"/>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r w:rsidRPr="00F50F93">
        <w:rPr>
          <w:rFonts w:ascii="Arial" w:hAnsi="Arial" w:cs="Arial"/>
          <w:sz w:val="26"/>
          <w:szCs w:val="26"/>
        </w:rPr>
        <w:t>En ese orden, no se entiende que alguien pueda ser privado de la libertad por fuerza mayor o por obra de un tercero y que deba soportarlo; tampoco por actuación propia, en cuanto la concepción filosófica de la presunción de inocencia no permite interpretar las acciones y omisiones propias como fuente de respon</w:t>
      </w:r>
      <w:r>
        <w:rPr>
          <w:rFonts w:ascii="Arial" w:hAnsi="Arial" w:cs="Arial"/>
          <w:sz w:val="26"/>
          <w:szCs w:val="26"/>
        </w:rPr>
        <w:t>sabilidad penal, habida cuenta</w:t>
      </w:r>
      <w:r w:rsidRPr="00F50F93">
        <w:rPr>
          <w:rFonts w:ascii="Arial" w:hAnsi="Arial" w:cs="Arial"/>
          <w:sz w:val="26"/>
          <w:szCs w:val="26"/>
        </w:rPr>
        <w:t xml:space="preserve"> que</w:t>
      </w:r>
      <w:r>
        <w:rPr>
          <w:rFonts w:ascii="Arial" w:hAnsi="Arial" w:cs="Arial"/>
          <w:sz w:val="26"/>
          <w:szCs w:val="26"/>
        </w:rPr>
        <w:t xml:space="preserve">, </w:t>
      </w:r>
      <w:r w:rsidRPr="00F50F93">
        <w:rPr>
          <w:rFonts w:ascii="Arial" w:hAnsi="Arial" w:cs="Arial"/>
          <w:sz w:val="26"/>
          <w:szCs w:val="26"/>
        </w:rPr>
        <w:t xml:space="preserve">nadie está obligado a declarar en contra de sí mismo, </w:t>
      </w:r>
      <w:r>
        <w:rPr>
          <w:rFonts w:ascii="Arial" w:hAnsi="Arial" w:cs="Arial"/>
          <w:sz w:val="26"/>
          <w:szCs w:val="26"/>
        </w:rPr>
        <w:t xml:space="preserve">precisamente porque se tiene derecho a que sea el estado  el que </w:t>
      </w:r>
      <w:r w:rsidRPr="00F50F93">
        <w:rPr>
          <w:rFonts w:ascii="Arial" w:hAnsi="Arial" w:cs="Arial"/>
          <w:sz w:val="26"/>
          <w:szCs w:val="26"/>
        </w:rPr>
        <w:t>desvirtúe la inocencia de la que el sindicado es el único titular.</w:t>
      </w: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p>
    <w:p w:rsidR="00E81230" w:rsidRPr="00F50F93"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6"/>
          <w:szCs w:val="26"/>
        </w:rPr>
      </w:pPr>
      <w:r w:rsidRPr="00F50F93">
        <w:rPr>
          <w:rFonts w:ascii="Arial" w:hAnsi="Arial" w:cs="Arial"/>
          <w:sz w:val="26"/>
          <w:szCs w:val="26"/>
        </w:rPr>
        <w:t xml:space="preserve">También </w:t>
      </w:r>
      <w:r>
        <w:rPr>
          <w:rFonts w:ascii="Arial" w:hAnsi="Arial" w:cs="Arial"/>
          <w:sz w:val="26"/>
          <w:szCs w:val="26"/>
        </w:rPr>
        <w:t>debo precisar</w:t>
      </w:r>
      <w:r w:rsidRPr="00F50F93">
        <w:rPr>
          <w:rFonts w:ascii="Arial" w:hAnsi="Arial" w:cs="Arial"/>
          <w:sz w:val="26"/>
          <w:szCs w:val="26"/>
        </w:rPr>
        <w:t xml:space="preserve"> que </w:t>
      </w:r>
      <w:r>
        <w:rPr>
          <w:rFonts w:ascii="Arial" w:hAnsi="Arial" w:cs="Arial"/>
          <w:sz w:val="26"/>
          <w:szCs w:val="26"/>
        </w:rPr>
        <w:t xml:space="preserve">el Estado ostenta </w:t>
      </w:r>
      <w:r w:rsidRPr="00F50F93">
        <w:rPr>
          <w:rFonts w:ascii="Arial" w:hAnsi="Arial" w:cs="Arial"/>
          <w:sz w:val="26"/>
          <w:szCs w:val="26"/>
        </w:rPr>
        <w:t xml:space="preserve">la titularidad de la acción penal y </w:t>
      </w:r>
      <w:r>
        <w:rPr>
          <w:rFonts w:ascii="Arial" w:hAnsi="Arial" w:cs="Arial"/>
          <w:sz w:val="26"/>
          <w:szCs w:val="26"/>
        </w:rPr>
        <w:t xml:space="preserve">de </w:t>
      </w:r>
      <w:r w:rsidRPr="00F50F93">
        <w:rPr>
          <w:rFonts w:ascii="Arial" w:hAnsi="Arial" w:cs="Arial"/>
          <w:sz w:val="26"/>
          <w:szCs w:val="26"/>
        </w:rPr>
        <w:t xml:space="preserve">las </w:t>
      </w:r>
      <w:r>
        <w:rPr>
          <w:rFonts w:ascii="Arial" w:hAnsi="Arial" w:cs="Arial"/>
          <w:sz w:val="26"/>
          <w:szCs w:val="26"/>
        </w:rPr>
        <w:t>actuaciones</w:t>
      </w:r>
      <w:r w:rsidRPr="00F50F93">
        <w:rPr>
          <w:rFonts w:ascii="Arial" w:hAnsi="Arial" w:cs="Arial"/>
          <w:sz w:val="26"/>
          <w:szCs w:val="26"/>
        </w:rPr>
        <w:t xml:space="preserve"> que de ella se desprenden, </w:t>
      </w:r>
      <w:r>
        <w:rPr>
          <w:rFonts w:ascii="Arial" w:hAnsi="Arial" w:cs="Arial"/>
          <w:sz w:val="26"/>
          <w:szCs w:val="26"/>
        </w:rPr>
        <w:t>en este caso por</w:t>
      </w:r>
      <w:r w:rsidRPr="00F50F93">
        <w:rPr>
          <w:rFonts w:ascii="Arial" w:hAnsi="Arial" w:cs="Arial"/>
          <w:sz w:val="26"/>
          <w:szCs w:val="26"/>
        </w:rPr>
        <w:t xml:space="preserve"> la fiscalía, luego, la culpa de la víctima, entendida cuando esta ha actuado con dolo o culpa grave, no puede ser abordada como un tema de causalidad, </w:t>
      </w:r>
      <w:r>
        <w:rPr>
          <w:rFonts w:ascii="Arial" w:hAnsi="Arial" w:cs="Arial"/>
          <w:sz w:val="26"/>
          <w:szCs w:val="26"/>
        </w:rPr>
        <w:t>tampoco</w:t>
      </w:r>
      <w:r w:rsidRPr="00F50F93">
        <w:rPr>
          <w:rFonts w:ascii="Arial" w:hAnsi="Arial" w:cs="Arial"/>
          <w:sz w:val="26"/>
          <w:szCs w:val="26"/>
        </w:rPr>
        <w:t xml:space="preserve"> de juridicidad del daño.</w:t>
      </w:r>
    </w:p>
    <w:p w:rsidR="00E81230" w:rsidRDefault="00E81230" w:rsidP="00E81230">
      <w:p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suppressAutoHyphens/>
        <w:jc w:val="both"/>
        <w:rPr>
          <w:rFonts w:ascii="Arial" w:hAnsi="Arial" w:cs="Arial"/>
          <w:sz w:val="24"/>
          <w:szCs w:val="24"/>
        </w:rPr>
      </w:pPr>
    </w:p>
    <w:p w:rsidR="00E81230" w:rsidRDefault="00E81230" w:rsidP="00E81230">
      <w:pPr>
        <w:jc w:val="both"/>
        <w:rPr>
          <w:rFonts w:ascii="Arial" w:hAnsi="Arial" w:cs="Arial"/>
          <w:bCs/>
          <w:sz w:val="26"/>
          <w:szCs w:val="26"/>
        </w:rPr>
      </w:pPr>
      <w:r>
        <w:rPr>
          <w:rFonts w:ascii="Arial" w:hAnsi="Arial" w:cs="Arial"/>
          <w:bCs/>
          <w:sz w:val="26"/>
          <w:szCs w:val="26"/>
        </w:rPr>
        <w:lastRenderedPageBreak/>
        <w:t xml:space="preserve">En efecto, a partir del ordenamiento citado, la responsabilidad patrimonial por la privación de la libertad se estructura a la luz de un juicio autónomo, complejo, sobre una misma unidad fáctica, en cuanto, a partir de la investigación penal considerada en su conjunto y </w:t>
      </w:r>
      <w:r>
        <w:rPr>
          <w:rFonts w:ascii="Arial" w:hAnsi="Arial" w:cs="Arial"/>
          <w:sz w:val="26"/>
          <w:szCs w:val="26"/>
          <w:lang w:val="es-ES_tradnl"/>
        </w:rPr>
        <w:t>al margen de la configuración del delito que no es objeto del proceso de reparación</w:t>
      </w:r>
      <w:r>
        <w:rPr>
          <w:rFonts w:ascii="Arial" w:hAnsi="Arial" w:cs="Arial"/>
          <w:bCs/>
          <w:sz w:val="26"/>
          <w:szCs w:val="26"/>
        </w:rPr>
        <w:t xml:space="preserve">, al juez de la responsabilidad patrimonial le corresponde determinar, sin adelantar juicios de valor-reservados para una eventual repetición si i) la investigación en la que se impusieron las medidas de aseguramiento invocadas como fundamento de la reparación, concluyó con decisión favorable a la víctima porque el Estado, en ejercicio del </w:t>
      </w:r>
      <w:r w:rsidRPr="0086317A">
        <w:rPr>
          <w:rFonts w:ascii="Arial" w:hAnsi="Arial" w:cs="Arial"/>
          <w:bCs/>
          <w:i/>
          <w:sz w:val="26"/>
          <w:szCs w:val="26"/>
        </w:rPr>
        <w:t>ius puniendi</w:t>
      </w:r>
      <w:r>
        <w:rPr>
          <w:rFonts w:ascii="Arial" w:hAnsi="Arial" w:cs="Arial"/>
          <w:bCs/>
          <w:i/>
          <w:sz w:val="26"/>
          <w:szCs w:val="26"/>
        </w:rPr>
        <w:t>,</w:t>
      </w:r>
      <w:r>
        <w:rPr>
          <w:rFonts w:ascii="Arial" w:hAnsi="Arial" w:cs="Arial"/>
          <w:bCs/>
          <w:sz w:val="26"/>
          <w:szCs w:val="26"/>
        </w:rPr>
        <w:t xml:space="preserve"> no logró desvirtuar la presunción de inocencia y ii) si los hechos o actuaciones que comprometieron en esa investigación a quien demanda en reparación se enmarcan en culpa grave o dolo, con entidad suficiente para no poder alegar la propia culpa y demandar reparación a la luz de las reglas generales de convivencia.</w:t>
      </w:r>
    </w:p>
    <w:p w:rsidR="00E81230" w:rsidRDefault="00E81230" w:rsidP="00E81230">
      <w:pPr>
        <w:jc w:val="both"/>
        <w:rPr>
          <w:rFonts w:ascii="Arial" w:hAnsi="Arial" w:cs="Arial"/>
          <w:bCs/>
          <w:sz w:val="26"/>
          <w:szCs w:val="26"/>
        </w:rPr>
      </w:pPr>
    </w:p>
    <w:p w:rsidR="00E81230" w:rsidRDefault="00E81230" w:rsidP="00E81230">
      <w:pPr>
        <w:jc w:val="both"/>
        <w:rPr>
          <w:rFonts w:ascii="Arial" w:hAnsi="Arial" w:cs="Arial"/>
          <w:bCs/>
          <w:sz w:val="26"/>
          <w:szCs w:val="26"/>
        </w:rPr>
      </w:pPr>
      <w:r>
        <w:rPr>
          <w:rFonts w:ascii="Arial" w:hAnsi="Arial" w:cs="Arial"/>
          <w:bCs/>
          <w:sz w:val="26"/>
          <w:szCs w:val="26"/>
        </w:rPr>
        <w:t xml:space="preserve">En esas circunstancias, siendo que, si bien la </w:t>
      </w:r>
      <w:r w:rsidRPr="009D5259">
        <w:rPr>
          <w:rFonts w:ascii="Arial" w:hAnsi="Arial" w:cs="Arial"/>
          <w:bCs/>
          <w:i/>
          <w:sz w:val="26"/>
          <w:szCs w:val="26"/>
        </w:rPr>
        <w:t xml:space="preserve">causa petendi </w:t>
      </w:r>
      <w:r>
        <w:rPr>
          <w:rFonts w:ascii="Arial" w:hAnsi="Arial" w:cs="Arial"/>
          <w:bCs/>
          <w:sz w:val="26"/>
          <w:szCs w:val="26"/>
        </w:rPr>
        <w:t xml:space="preserve">de la reparación del daño comprende particularmente el hecho de la privación de la libertad, los hechos que se evidencian en la investigación penal, a la luz de la regla precitada, no le resultan ajenos. Ello es así, en tanto la unidad fáctica sobre la que se estructura la responsabilidad por la privación injusta de la responsabilidad, esto es la investigación penal, conformada en su conjunto por los hechos o actuaciones que comprometieron al actor en reparación, los elementos probatorios, las medidas impuestas y la decisión absolutoria o precluyente, no permite que se sostenga que lo resuelto en sede penal se somete al juez de la reparación, porque este no funge como superior funcional y vulneraría el principio del juez natural. Le corresponde sí analizar, desde la perspectiva civil, el comportamiento de la víctima.  </w:t>
      </w:r>
    </w:p>
    <w:p w:rsidR="00E81230" w:rsidRDefault="00E81230" w:rsidP="00E81230">
      <w:pPr>
        <w:jc w:val="both"/>
        <w:rPr>
          <w:rFonts w:ascii="Arial" w:hAnsi="Arial" w:cs="Arial"/>
          <w:bCs/>
          <w:sz w:val="26"/>
          <w:szCs w:val="26"/>
        </w:rPr>
      </w:pPr>
    </w:p>
    <w:p w:rsidR="00E81230" w:rsidRDefault="00E81230" w:rsidP="00E81230">
      <w:pPr>
        <w:jc w:val="both"/>
        <w:rPr>
          <w:rFonts w:ascii="Arial" w:hAnsi="Arial" w:cs="Arial"/>
          <w:sz w:val="26"/>
          <w:szCs w:val="26"/>
          <w:lang w:val="es-ES_tradnl"/>
        </w:rPr>
      </w:pPr>
      <w:r>
        <w:rPr>
          <w:rFonts w:ascii="Arial" w:hAnsi="Arial" w:cs="Arial"/>
          <w:sz w:val="26"/>
          <w:szCs w:val="26"/>
          <w:lang w:val="es-ES_tradnl"/>
        </w:rPr>
        <w:t xml:space="preserve">Esto es así, porque, acorde con el artículo 70 de la ley traída a colación, acreditada la culpa grave o el dolo se impone proferir sentencia adversa a sus pretensiones de reparación, al margen de la presunción de inocencia y los imperativos de legalidad, juez natural, favorabilidad y </w:t>
      </w:r>
      <w:r>
        <w:rPr>
          <w:rFonts w:ascii="Arial" w:hAnsi="Arial" w:cs="Arial"/>
          <w:i/>
          <w:sz w:val="26"/>
          <w:szCs w:val="26"/>
          <w:lang w:val="es-ES_tradnl"/>
        </w:rPr>
        <w:t>non bis in ídem</w:t>
      </w:r>
      <w:r>
        <w:rPr>
          <w:rFonts w:ascii="Arial" w:hAnsi="Arial" w:cs="Arial"/>
          <w:sz w:val="26"/>
          <w:szCs w:val="26"/>
          <w:lang w:val="es-ES_tradnl"/>
        </w:rPr>
        <w:t xml:space="preserve">. </w:t>
      </w:r>
    </w:p>
    <w:p w:rsidR="00E81230" w:rsidRDefault="00E81230" w:rsidP="00E81230">
      <w:pPr>
        <w:jc w:val="both"/>
        <w:rPr>
          <w:rFonts w:ascii="Arial" w:hAnsi="Arial" w:cs="Arial"/>
          <w:sz w:val="26"/>
          <w:szCs w:val="26"/>
          <w:lang w:val="es-ES_tradnl"/>
        </w:rPr>
      </w:pPr>
    </w:p>
    <w:p w:rsidR="00E81230" w:rsidRPr="00781DF0" w:rsidRDefault="00E81230" w:rsidP="00E81230">
      <w:pPr>
        <w:jc w:val="both"/>
        <w:rPr>
          <w:rFonts w:ascii="Arial" w:hAnsi="Arial" w:cs="Arial"/>
          <w:sz w:val="26"/>
          <w:szCs w:val="26"/>
          <w:lang w:val="es-ES_tradnl"/>
        </w:rPr>
      </w:pPr>
      <w:r w:rsidRPr="00781DF0">
        <w:rPr>
          <w:rFonts w:ascii="Arial" w:hAnsi="Arial" w:cs="Arial"/>
          <w:sz w:val="26"/>
          <w:szCs w:val="26"/>
          <w:lang w:val="es-ES_tradnl"/>
        </w:rPr>
        <w:t xml:space="preserve">Siendo así, para efectos de la reparación es menester considerar </w:t>
      </w:r>
      <w:r>
        <w:rPr>
          <w:rFonts w:ascii="Arial" w:hAnsi="Arial" w:cs="Arial"/>
          <w:sz w:val="26"/>
          <w:szCs w:val="26"/>
          <w:lang w:val="es-ES_tradnl"/>
        </w:rPr>
        <w:t xml:space="preserve"> también i) </w:t>
      </w:r>
      <w:r w:rsidRPr="00781DF0">
        <w:rPr>
          <w:rFonts w:ascii="Arial" w:hAnsi="Arial" w:cs="Arial"/>
          <w:sz w:val="26"/>
          <w:szCs w:val="26"/>
          <w:lang w:val="es-ES_tradnl"/>
        </w:rPr>
        <w:t xml:space="preserve">el descuido o negligencia del encartado en el cumplimiento de los deberes, en la vigilancia, cuidado o pericia, en los que no habrían incurrido las personas negligentes o de poca prudencia en sus actuaciones –culpa grave, dolo- </w:t>
      </w:r>
      <w:r>
        <w:rPr>
          <w:rFonts w:ascii="Arial" w:hAnsi="Arial" w:cs="Arial"/>
          <w:sz w:val="26"/>
          <w:szCs w:val="26"/>
          <w:lang w:val="es-ES_tradnl"/>
        </w:rPr>
        <w:t>o</w:t>
      </w:r>
      <w:r w:rsidRPr="00781DF0">
        <w:rPr>
          <w:rFonts w:ascii="Arial" w:hAnsi="Arial" w:cs="Arial"/>
          <w:sz w:val="26"/>
          <w:szCs w:val="26"/>
          <w:lang w:val="es-ES_tradnl"/>
        </w:rPr>
        <w:t xml:space="preserve"> ii) </w:t>
      </w:r>
      <w:r w:rsidRPr="00781DF0">
        <w:rPr>
          <w:rFonts w:ascii="Arial" w:hAnsi="Arial" w:cs="Arial"/>
          <w:i/>
          <w:sz w:val="26"/>
          <w:szCs w:val="26"/>
          <w:lang w:val="es-ES_tradnl"/>
        </w:rPr>
        <w:t>“…la intención positiva de inferir injuria a la persona o propiedad de otro”</w:t>
      </w:r>
      <w:r w:rsidRPr="00781DF0">
        <w:rPr>
          <w:rFonts w:ascii="Arial" w:hAnsi="Arial" w:cs="Arial"/>
          <w:sz w:val="26"/>
          <w:szCs w:val="26"/>
          <w:lang w:val="es-ES_tradnl"/>
        </w:rPr>
        <w:t xml:space="preserve"> (art. 63, Código Civil), al margen de los elementos que configurados legitiman la pérdida de la libertad, habida cuenta que se trata de la culpa o el dolo de quien reclama como víctima y no del infractor de una conducta típica, antijurídica y culpable. Casos en los que, de conformidad con las disposiciones del artículo 70 del a Ley 270 de 1996, “…</w:t>
      </w:r>
      <w:r w:rsidRPr="00781DF0">
        <w:rPr>
          <w:rFonts w:ascii="Arial" w:hAnsi="Arial" w:cs="Arial"/>
          <w:i/>
          <w:color w:val="000000"/>
          <w:sz w:val="26"/>
          <w:szCs w:val="26"/>
          <w:shd w:val="clear" w:color="auto" w:fill="FFFFFF"/>
        </w:rPr>
        <w:t>se exonerará de responsabilidad al Estado”.</w:t>
      </w:r>
    </w:p>
    <w:p w:rsidR="00E81230" w:rsidRDefault="00E81230" w:rsidP="00E81230">
      <w:pPr>
        <w:pStyle w:val="Prrafodelista"/>
        <w:spacing w:line="276" w:lineRule="auto"/>
        <w:ind w:left="0"/>
        <w:rPr>
          <w:rFonts w:ascii="Arial" w:hAnsi="Arial" w:cs="Arial"/>
          <w:sz w:val="26"/>
          <w:szCs w:val="26"/>
        </w:rPr>
      </w:pPr>
    </w:p>
    <w:p w:rsidR="00E81230" w:rsidRDefault="00E81230" w:rsidP="00E81230">
      <w:pPr>
        <w:jc w:val="both"/>
        <w:rPr>
          <w:rFonts w:ascii="Arial" w:hAnsi="Arial" w:cs="Arial"/>
          <w:bCs/>
          <w:sz w:val="26"/>
          <w:szCs w:val="26"/>
        </w:rPr>
      </w:pPr>
      <w:r w:rsidRPr="00FC27AD">
        <w:rPr>
          <w:rFonts w:ascii="Arial" w:hAnsi="Arial" w:cs="Arial"/>
          <w:bCs/>
          <w:sz w:val="26"/>
          <w:szCs w:val="26"/>
        </w:rPr>
        <w:t>Juicio que</w:t>
      </w:r>
      <w:r>
        <w:rPr>
          <w:rFonts w:ascii="Arial" w:hAnsi="Arial" w:cs="Arial"/>
          <w:bCs/>
          <w:sz w:val="26"/>
          <w:szCs w:val="26"/>
        </w:rPr>
        <w:t>, inclusive,</w:t>
      </w:r>
      <w:r w:rsidRPr="00FC27AD">
        <w:rPr>
          <w:rFonts w:ascii="Arial" w:hAnsi="Arial" w:cs="Arial"/>
          <w:bCs/>
          <w:sz w:val="26"/>
          <w:szCs w:val="26"/>
        </w:rPr>
        <w:t xml:space="preserve"> le corresponde al juez de lo contencioso administrativo adelantar</w:t>
      </w:r>
      <w:r>
        <w:rPr>
          <w:rFonts w:ascii="Arial" w:hAnsi="Arial" w:cs="Arial"/>
          <w:bCs/>
          <w:sz w:val="26"/>
          <w:szCs w:val="26"/>
        </w:rPr>
        <w:t>,</w:t>
      </w:r>
      <w:r w:rsidRPr="00FC27AD">
        <w:rPr>
          <w:rFonts w:ascii="Arial" w:hAnsi="Arial" w:cs="Arial"/>
          <w:bCs/>
          <w:sz w:val="26"/>
          <w:szCs w:val="26"/>
        </w:rPr>
        <w:t xml:space="preserve"> al margen de que la demandada </w:t>
      </w:r>
      <w:r>
        <w:rPr>
          <w:rFonts w:ascii="Arial" w:hAnsi="Arial" w:cs="Arial"/>
          <w:bCs/>
          <w:sz w:val="26"/>
          <w:szCs w:val="26"/>
        </w:rPr>
        <w:t xml:space="preserve">no </w:t>
      </w:r>
      <w:r w:rsidRPr="00FC27AD">
        <w:rPr>
          <w:rFonts w:ascii="Arial" w:hAnsi="Arial" w:cs="Arial"/>
          <w:bCs/>
          <w:sz w:val="26"/>
          <w:szCs w:val="26"/>
        </w:rPr>
        <w:t>haya formulado en su defensa la excepción, como lo viene reiterando la jurisprudencia de esta Corporación.</w:t>
      </w:r>
    </w:p>
    <w:p w:rsidR="00E81230" w:rsidRPr="00FC27AD" w:rsidRDefault="00E81230" w:rsidP="00E81230">
      <w:pPr>
        <w:jc w:val="both"/>
        <w:rPr>
          <w:rFonts w:ascii="Arial" w:hAnsi="Arial" w:cs="Arial"/>
          <w:bCs/>
          <w:sz w:val="26"/>
          <w:szCs w:val="26"/>
        </w:rPr>
      </w:pPr>
    </w:p>
    <w:p w:rsidR="00E81230" w:rsidRDefault="00E81230" w:rsidP="00E81230">
      <w:pPr>
        <w:jc w:val="both"/>
        <w:rPr>
          <w:rFonts w:ascii="Arial" w:hAnsi="Arial" w:cs="Arial"/>
          <w:bCs/>
          <w:sz w:val="26"/>
          <w:szCs w:val="26"/>
        </w:rPr>
      </w:pPr>
      <w:r>
        <w:rPr>
          <w:rFonts w:ascii="Arial" w:hAnsi="Arial" w:cs="Arial"/>
          <w:sz w:val="26"/>
          <w:szCs w:val="26"/>
          <w:lang w:val="es-ES_tradnl"/>
        </w:rPr>
        <w:t>Lo anterior encuentra su fundamento en</w:t>
      </w:r>
      <w:r w:rsidRPr="00F50F93">
        <w:rPr>
          <w:rFonts w:ascii="Arial" w:hAnsi="Arial" w:cs="Arial"/>
          <w:sz w:val="26"/>
          <w:szCs w:val="26"/>
          <w:lang w:val="es-ES_tradnl"/>
        </w:rPr>
        <w:t xml:space="preserve"> los artículos 90 constitucional, 65, 68 y 70 de la Ley 270 de 1996</w:t>
      </w:r>
      <w:r>
        <w:rPr>
          <w:rFonts w:ascii="Arial" w:hAnsi="Arial" w:cs="Arial"/>
          <w:sz w:val="26"/>
          <w:szCs w:val="26"/>
          <w:lang w:val="es-ES_tradnl"/>
        </w:rPr>
        <w:t>, que</w:t>
      </w:r>
      <w:r w:rsidRPr="00F50F93">
        <w:rPr>
          <w:rFonts w:ascii="Arial" w:hAnsi="Arial" w:cs="Arial"/>
          <w:sz w:val="26"/>
          <w:szCs w:val="26"/>
          <w:lang w:val="es-ES_tradnl"/>
        </w:rPr>
        <w:t xml:space="preserve"> sujetan la responsabilidad patrimonial por la </w:t>
      </w:r>
      <w:r w:rsidRPr="00F50F93">
        <w:rPr>
          <w:rFonts w:ascii="Arial" w:hAnsi="Arial" w:cs="Arial"/>
          <w:sz w:val="26"/>
          <w:szCs w:val="26"/>
          <w:lang w:val="es-ES_tradnl"/>
        </w:rPr>
        <w:lastRenderedPageBreak/>
        <w:t>privación de la libertad</w:t>
      </w:r>
      <w:r>
        <w:rPr>
          <w:rFonts w:ascii="Arial" w:hAnsi="Arial" w:cs="Arial"/>
          <w:sz w:val="26"/>
          <w:szCs w:val="26"/>
          <w:lang w:val="es-ES_tradnl"/>
        </w:rPr>
        <w:t>,</w:t>
      </w:r>
      <w:r w:rsidRPr="00F50F93">
        <w:rPr>
          <w:rFonts w:ascii="Arial" w:hAnsi="Arial" w:cs="Arial"/>
          <w:sz w:val="26"/>
          <w:szCs w:val="26"/>
          <w:lang w:val="es-ES_tradnl"/>
        </w:rPr>
        <w:t xml:space="preserve"> </w:t>
      </w:r>
      <w:r>
        <w:rPr>
          <w:rFonts w:ascii="Arial" w:hAnsi="Arial" w:cs="Arial"/>
          <w:sz w:val="26"/>
          <w:szCs w:val="26"/>
          <w:lang w:val="es-ES_tradnl"/>
        </w:rPr>
        <w:t>no solo a la absolución o preclusión con que se favoreció al privado de la libertad, sino también a</w:t>
      </w:r>
      <w:r w:rsidRPr="00F50F93">
        <w:rPr>
          <w:rFonts w:ascii="Arial" w:hAnsi="Arial" w:cs="Arial"/>
          <w:bCs/>
          <w:sz w:val="26"/>
          <w:szCs w:val="26"/>
        </w:rPr>
        <w:t xml:space="preserve"> la exigencia de que la víctima no haya actuado </w:t>
      </w:r>
      <w:r>
        <w:rPr>
          <w:rFonts w:ascii="Arial" w:hAnsi="Arial" w:cs="Arial"/>
          <w:bCs/>
          <w:sz w:val="26"/>
          <w:szCs w:val="26"/>
        </w:rPr>
        <w:t xml:space="preserve">de manera </w:t>
      </w:r>
      <w:r w:rsidRPr="00F50F93">
        <w:rPr>
          <w:rFonts w:ascii="Arial" w:hAnsi="Arial" w:cs="Arial"/>
          <w:bCs/>
          <w:sz w:val="26"/>
          <w:szCs w:val="26"/>
        </w:rPr>
        <w:t>dolo</w:t>
      </w:r>
      <w:r>
        <w:rPr>
          <w:rFonts w:ascii="Arial" w:hAnsi="Arial" w:cs="Arial"/>
          <w:bCs/>
          <w:sz w:val="26"/>
          <w:szCs w:val="26"/>
        </w:rPr>
        <w:t>sa</w:t>
      </w:r>
      <w:r w:rsidRPr="00F50F93">
        <w:rPr>
          <w:rFonts w:ascii="Arial" w:hAnsi="Arial" w:cs="Arial"/>
          <w:bCs/>
          <w:sz w:val="26"/>
          <w:szCs w:val="26"/>
        </w:rPr>
        <w:t xml:space="preserve"> o grave</w:t>
      </w:r>
      <w:r>
        <w:rPr>
          <w:rFonts w:ascii="Arial" w:hAnsi="Arial" w:cs="Arial"/>
          <w:bCs/>
          <w:sz w:val="26"/>
          <w:szCs w:val="26"/>
        </w:rPr>
        <w:t>mente culposa –entendido, como es natural, desde una perspectiva netamente civil–</w:t>
      </w:r>
      <w:r w:rsidRPr="00F50F93">
        <w:rPr>
          <w:rFonts w:ascii="Arial" w:hAnsi="Arial" w:cs="Arial"/>
          <w:bCs/>
          <w:sz w:val="26"/>
          <w:szCs w:val="26"/>
        </w:rPr>
        <w:t>. De donde no es dable que se sujete esta última a las exigencias procesales de la excepción,</w:t>
      </w:r>
      <w:r>
        <w:rPr>
          <w:rFonts w:ascii="Arial" w:hAnsi="Arial" w:cs="Arial"/>
          <w:bCs/>
          <w:sz w:val="26"/>
          <w:szCs w:val="26"/>
        </w:rPr>
        <w:t xml:space="preserve"> o que su análisis</w:t>
      </w:r>
      <w:r w:rsidRPr="00294761">
        <w:rPr>
          <w:rFonts w:ascii="Arial" w:hAnsi="Arial" w:cs="Arial"/>
          <w:bCs/>
          <w:sz w:val="26"/>
          <w:szCs w:val="26"/>
        </w:rPr>
        <w:t xml:space="preserve"> </w:t>
      </w:r>
      <w:r>
        <w:rPr>
          <w:rFonts w:ascii="Arial" w:hAnsi="Arial" w:cs="Arial"/>
          <w:bCs/>
          <w:sz w:val="26"/>
          <w:szCs w:val="26"/>
        </w:rPr>
        <w:t>sea abordado desde una perspectiva fundada en la imputabilidad,</w:t>
      </w:r>
      <w:r w:rsidRPr="00F50F93">
        <w:rPr>
          <w:rFonts w:ascii="Arial" w:hAnsi="Arial" w:cs="Arial"/>
          <w:bCs/>
          <w:sz w:val="26"/>
          <w:szCs w:val="26"/>
        </w:rPr>
        <w:t xml:space="preserve"> habida cuenta que lo relevante tiene que ver con que, al tenor de las disposiciones especiales que, desde la Constitución política y la Ley Estatutaria de la Justicia, disciplinan la materia no resulta posible recibir indemnización al margen de la culpa grave o dolo</w:t>
      </w:r>
      <w:r>
        <w:rPr>
          <w:rFonts w:ascii="Arial" w:hAnsi="Arial" w:cs="Arial"/>
          <w:bCs/>
          <w:sz w:val="26"/>
          <w:szCs w:val="26"/>
        </w:rPr>
        <w:t xml:space="preserve"> valorado civilmente, pero en relación con conductas y pruebas que aporta el expediente penal, consideradas unas y otras desde la perspectiva de un juicio civil.</w:t>
      </w:r>
      <w:r w:rsidRPr="00F50F93">
        <w:rPr>
          <w:rFonts w:ascii="Arial" w:hAnsi="Arial" w:cs="Arial"/>
          <w:bCs/>
          <w:sz w:val="26"/>
          <w:szCs w:val="26"/>
        </w:rPr>
        <w:t xml:space="preserve"> </w:t>
      </w:r>
    </w:p>
    <w:p w:rsidR="00E81230" w:rsidRPr="00F50F93" w:rsidRDefault="00E81230" w:rsidP="00E81230">
      <w:pPr>
        <w:jc w:val="both"/>
        <w:rPr>
          <w:rFonts w:ascii="Arial" w:hAnsi="Arial" w:cs="Arial"/>
          <w:bCs/>
          <w:sz w:val="26"/>
          <w:szCs w:val="26"/>
        </w:rPr>
      </w:pPr>
    </w:p>
    <w:p w:rsidR="00E81230" w:rsidRDefault="00E81230" w:rsidP="00E81230">
      <w:pPr>
        <w:jc w:val="both"/>
        <w:rPr>
          <w:rFonts w:ascii="Arial" w:hAnsi="Arial" w:cs="Arial"/>
          <w:bCs/>
          <w:sz w:val="26"/>
          <w:szCs w:val="26"/>
        </w:rPr>
      </w:pPr>
      <w:r>
        <w:rPr>
          <w:rFonts w:ascii="Arial" w:hAnsi="Arial" w:cs="Arial"/>
          <w:bCs/>
          <w:sz w:val="26"/>
          <w:szCs w:val="26"/>
        </w:rPr>
        <w:t>Se concluye entonces</w:t>
      </w:r>
      <w:r w:rsidRPr="00F50F93">
        <w:rPr>
          <w:rFonts w:ascii="Arial" w:hAnsi="Arial" w:cs="Arial"/>
          <w:bCs/>
          <w:sz w:val="26"/>
          <w:szCs w:val="26"/>
        </w:rPr>
        <w:t>, sin hesitación</w:t>
      </w:r>
      <w:r>
        <w:rPr>
          <w:rFonts w:ascii="Arial" w:hAnsi="Arial" w:cs="Arial"/>
          <w:bCs/>
          <w:sz w:val="26"/>
          <w:szCs w:val="26"/>
        </w:rPr>
        <w:t xml:space="preserve"> que</w:t>
      </w:r>
      <w:r w:rsidRPr="00F50F93">
        <w:rPr>
          <w:rFonts w:ascii="Arial" w:hAnsi="Arial" w:cs="Arial"/>
          <w:bCs/>
          <w:sz w:val="26"/>
          <w:szCs w:val="26"/>
        </w:rPr>
        <w:t xml:space="preserve"> </w:t>
      </w:r>
      <w:r>
        <w:rPr>
          <w:rFonts w:ascii="Arial" w:hAnsi="Arial" w:cs="Arial"/>
          <w:bCs/>
          <w:sz w:val="26"/>
          <w:szCs w:val="26"/>
        </w:rPr>
        <w:t xml:space="preserve">(i) </w:t>
      </w:r>
      <w:r w:rsidRPr="00F50F93">
        <w:rPr>
          <w:rFonts w:ascii="Arial" w:hAnsi="Arial" w:cs="Arial"/>
          <w:bCs/>
          <w:sz w:val="26"/>
          <w:szCs w:val="26"/>
        </w:rPr>
        <w:t xml:space="preserve">a partir de la normatividad bajo análisis, en materia privación injusta de la libertad la culpa grave o el dolo, </w:t>
      </w:r>
      <w:r>
        <w:rPr>
          <w:rFonts w:ascii="Arial" w:hAnsi="Arial" w:cs="Arial"/>
          <w:bCs/>
          <w:sz w:val="26"/>
          <w:szCs w:val="26"/>
        </w:rPr>
        <w:t>son</w:t>
      </w:r>
      <w:r w:rsidRPr="00F50F93">
        <w:rPr>
          <w:rFonts w:ascii="Arial" w:hAnsi="Arial" w:cs="Arial"/>
          <w:bCs/>
          <w:sz w:val="26"/>
          <w:szCs w:val="26"/>
        </w:rPr>
        <w:t xml:space="preserve"> elemento</w:t>
      </w:r>
      <w:r>
        <w:rPr>
          <w:rFonts w:ascii="Arial" w:hAnsi="Arial" w:cs="Arial"/>
          <w:bCs/>
          <w:sz w:val="26"/>
          <w:szCs w:val="26"/>
        </w:rPr>
        <w:t>s</w:t>
      </w:r>
      <w:r w:rsidRPr="00F50F93">
        <w:rPr>
          <w:rFonts w:ascii="Arial" w:hAnsi="Arial" w:cs="Arial"/>
          <w:bCs/>
          <w:sz w:val="26"/>
          <w:szCs w:val="26"/>
        </w:rPr>
        <w:t xml:space="preserve"> sustancial</w:t>
      </w:r>
      <w:r>
        <w:rPr>
          <w:rFonts w:ascii="Arial" w:hAnsi="Arial" w:cs="Arial"/>
          <w:bCs/>
          <w:sz w:val="26"/>
          <w:szCs w:val="26"/>
        </w:rPr>
        <w:t>es</w:t>
      </w:r>
      <w:r w:rsidRPr="00F50F93">
        <w:rPr>
          <w:rFonts w:ascii="Arial" w:hAnsi="Arial" w:cs="Arial"/>
          <w:bCs/>
          <w:sz w:val="26"/>
          <w:szCs w:val="26"/>
        </w:rPr>
        <w:t xml:space="preserve"> de la responsabilidad patrimonial del Estado. </w:t>
      </w:r>
      <w:r>
        <w:rPr>
          <w:rFonts w:ascii="Arial" w:hAnsi="Arial" w:cs="Arial"/>
          <w:bCs/>
          <w:sz w:val="26"/>
          <w:szCs w:val="26"/>
        </w:rPr>
        <w:t>Esto es,</w:t>
      </w:r>
      <w:r w:rsidRPr="00F50F93">
        <w:rPr>
          <w:rFonts w:ascii="Arial" w:hAnsi="Arial" w:cs="Arial"/>
          <w:bCs/>
          <w:sz w:val="26"/>
          <w:szCs w:val="26"/>
        </w:rPr>
        <w:t xml:space="preserve"> </w:t>
      </w:r>
      <w:r>
        <w:rPr>
          <w:rFonts w:ascii="Arial" w:hAnsi="Arial" w:cs="Arial"/>
          <w:bCs/>
          <w:sz w:val="26"/>
          <w:szCs w:val="26"/>
        </w:rPr>
        <w:t>le está vedado</w:t>
      </w:r>
      <w:r w:rsidRPr="00F50F93">
        <w:rPr>
          <w:rFonts w:ascii="Arial" w:hAnsi="Arial" w:cs="Arial"/>
          <w:bCs/>
          <w:sz w:val="26"/>
          <w:szCs w:val="26"/>
        </w:rPr>
        <w:t xml:space="preserve"> al juez de lo contencioso administrativo declarar esa responsabilidad al margen de</w:t>
      </w:r>
      <w:r>
        <w:rPr>
          <w:rFonts w:ascii="Arial" w:hAnsi="Arial" w:cs="Arial"/>
          <w:bCs/>
          <w:sz w:val="26"/>
          <w:szCs w:val="26"/>
        </w:rPr>
        <w:t xml:space="preserve"> lo dispuesto </w:t>
      </w:r>
      <w:r w:rsidRPr="00F50F93">
        <w:rPr>
          <w:rFonts w:ascii="Arial" w:hAnsi="Arial" w:cs="Arial"/>
          <w:bCs/>
          <w:sz w:val="26"/>
          <w:szCs w:val="26"/>
        </w:rPr>
        <w:t>por el artículo 70 de la ley estatutaria</w:t>
      </w:r>
      <w:r>
        <w:rPr>
          <w:rFonts w:ascii="Arial" w:hAnsi="Arial" w:cs="Arial"/>
          <w:bCs/>
          <w:sz w:val="26"/>
          <w:szCs w:val="26"/>
        </w:rPr>
        <w:t xml:space="preserve">. </w:t>
      </w:r>
    </w:p>
    <w:p w:rsidR="00E81230" w:rsidRDefault="00E81230" w:rsidP="00E81230">
      <w:pPr>
        <w:jc w:val="both"/>
        <w:rPr>
          <w:rFonts w:ascii="Arial" w:hAnsi="Arial" w:cs="Arial"/>
          <w:bCs/>
          <w:sz w:val="26"/>
          <w:szCs w:val="26"/>
        </w:rPr>
      </w:pPr>
    </w:p>
    <w:p w:rsidR="00E81230" w:rsidRDefault="00E81230" w:rsidP="00E81230">
      <w:pPr>
        <w:jc w:val="both"/>
        <w:rPr>
          <w:rFonts w:ascii="Arial" w:hAnsi="Arial" w:cs="Arial"/>
          <w:bCs/>
          <w:sz w:val="26"/>
          <w:szCs w:val="26"/>
        </w:rPr>
      </w:pPr>
      <w:r w:rsidRPr="00E9113E">
        <w:rPr>
          <w:rFonts w:ascii="Arial" w:hAnsi="Arial" w:cs="Arial"/>
          <w:sz w:val="26"/>
          <w:szCs w:val="26"/>
        </w:rPr>
        <w:t>En lo</w:t>
      </w:r>
      <w:r>
        <w:rPr>
          <w:rFonts w:ascii="Arial" w:hAnsi="Arial" w:cs="Arial"/>
          <w:sz w:val="26"/>
          <w:szCs w:val="26"/>
        </w:rPr>
        <w:t>s</w:t>
      </w:r>
      <w:r w:rsidRPr="00E9113E">
        <w:rPr>
          <w:rFonts w:ascii="Arial" w:hAnsi="Arial" w:cs="Arial"/>
          <w:sz w:val="26"/>
          <w:szCs w:val="26"/>
        </w:rPr>
        <w:t xml:space="preserve"> anteriores términos dejo expuesta mi aclaración de voto en el asunto de la referencia</w:t>
      </w:r>
      <w:r>
        <w:rPr>
          <w:rFonts w:ascii="Arial" w:hAnsi="Arial" w:cs="Arial"/>
          <w:sz w:val="26"/>
          <w:szCs w:val="26"/>
        </w:rPr>
        <w:t xml:space="preserve">, en cuanto se afirma que </w:t>
      </w:r>
      <w:r>
        <w:rPr>
          <w:rFonts w:ascii="Arial" w:hAnsi="Arial" w:cs="Arial"/>
          <w:bCs/>
          <w:sz w:val="26"/>
          <w:szCs w:val="26"/>
        </w:rPr>
        <w:t xml:space="preserve">la víctima </w:t>
      </w:r>
      <w:r>
        <w:rPr>
          <w:rFonts w:ascii="Arial" w:hAnsi="Arial" w:cs="Arial"/>
          <w:bCs/>
          <w:i/>
          <w:sz w:val="26"/>
          <w:szCs w:val="26"/>
        </w:rPr>
        <w:t>causó</w:t>
      </w:r>
      <w:r>
        <w:rPr>
          <w:rFonts w:ascii="Arial" w:hAnsi="Arial" w:cs="Arial"/>
          <w:bCs/>
          <w:sz w:val="26"/>
          <w:szCs w:val="26"/>
        </w:rPr>
        <w:t xml:space="preserve"> su propia detención.</w:t>
      </w:r>
    </w:p>
    <w:p w:rsidR="00412A74" w:rsidRDefault="00412A74" w:rsidP="00412A74">
      <w:pPr>
        <w:jc w:val="both"/>
        <w:rPr>
          <w:rFonts w:ascii="Arial" w:hAnsi="Arial" w:cs="Arial"/>
          <w:bCs/>
          <w:sz w:val="26"/>
          <w:szCs w:val="26"/>
        </w:rPr>
      </w:pPr>
    </w:p>
    <w:p w:rsidR="00412A74" w:rsidRDefault="00412A74" w:rsidP="00412A74">
      <w:pPr>
        <w:jc w:val="both"/>
        <w:rPr>
          <w:rFonts w:ascii="Arial" w:hAnsi="Arial" w:cs="Arial"/>
          <w:bCs/>
          <w:sz w:val="26"/>
          <w:szCs w:val="26"/>
        </w:rPr>
      </w:pPr>
    </w:p>
    <w:p w:rsidR="00412A74" w:rsidRDefault="00412A74" w:rsidP="00412A74">
      <w:pPr>
        <w:jc w:val="both"/>
        <w:rPr>
          <w:rFonts w:ascii="Arial" w:hAnsi="Arial" w:cs="Arial"/>
          <w:bCs/>
          <w:i/>
          <w:sz w:val="26"/>
          <w:szCs w:val="26"/>
        </w:rPr>
      </w:pPr>
      <w:r w:rsidRPr="00E9113E">
        <w:rPr>
          <w:rFonts w:ascii="Arial" w:hAnsi="Arial" w:cs="Arial"/>
          <w:bCs/>
          <w:sz w:val="26"/>
          <w:szCs w:val="26"/>
        </w:rPr>
        <w:t xml:space="preserve">Fecha </w:t>
      </w:r>
      <w:r w:rsidRPr="00E9113E">
        <w:rPr>
          <w:rFonts w:ascii="Arial" w:hAnsi="Arial" w:cs="Arial"/>
          <w:bCs/>
          <w:i/>
          <w:sz w:val="26"/>
          <w:szCs w:val="26"/>
        </w:rPr>
        <w:t>ut supra.</w:t>
      </w:r>
    </w:p>
    <w:p w:rsidR="00412A74" w:rsidRDefault="00412A74" w:rsidP="00412A74">
      <w:pPr>
        <w:jc w:val="both"/>
        <w:rPr>
          <w:rFonts w:ascii="Arial" w:hAnsi="Arial" w:cs="Arial"/>
          <w:bCs/>
          <w:sz w:val="26"/>
          <w:szCs w:val="26"/>
        </w:rPr>
      </w:pPr>
    </w:p>
    <w:p w:rsidR="00412A74" w:rsidRPr="00E9113E" w:rsidRDefault="00412A74" w:rsidP="00412A74">
      <w:pPr>
        <w:jc w:val="both"/>
        <w:rPr>
          <w:rFonts w:ascii="Arial" w:hAnsi="Arial" w:cs="Arial"/>
          <w:bCs/>
          <w:sz w:val="26"/>
          <w:szCs w:val="26"/>
        </w:rPr>
      </w:pPr>
    </w:p>
    <w:p w:rsidR="00412A74" w:rsidRPr="00E9113E" w:rsidRDefault="00412A74" w:rsidP="00412A74">
      <w:pPr>
        <w:jc w:val="center"/>
        <w:rPr>
          <w:rFonts w:ascii="Arial" w:hAnsi="Arial" w:cs="Arial"/>
          <w:b/>
          <w:bCs/>
          <w:sz w:val="26"/>
          <w:szCs w:val="26"/>
        </w:rPr>
      </w:pPr>
      <w:r w:rsidRPr="00E9113E">
        <w:rPr>
          <w:rFonts w:ascii="Arial" w:hAnsi="Arial" w:cs="Arial"/>
          <w:b/>
          <w:bCs/>
          <w:sz w:val="26"/>
          <w:szCs w:val="26"/>
        </w:rPr>
        <w:t>STELLA CONTO DÍAZ DEL CASTILLO</w:t>
      </w:r>
    </w:p>
    <w:p w:rsidR="00763308" w:rsidRPr="00412A74" w:rsidRDefault="00412A74" w:rsidP="00412A74">
      <w:pPr>
        <w:jc w:val="center"/>
        <w:rPr>
          <w:rFonts w:ascii="Arial" w:hAnsi="Arial" w:cs="Arial"/>
          <w:sz w:val="26"/>
          <w:szCs w:val="26"/>
        </w:rPr>
      </w:pPr>
      <w:r w:rsidRPr="00E9113E">
        <w:rPr>
          <w:rFonts w:ascii="Arial" w:hAnsi="Arial" w:cs="Arial"/>
          <w:b/>
          <w:bCs/>
          <w:sz w:val="26"/>
          <w:szCs w:val="26"/>
        </w:rPr>
        <w:t>Magistrada</w:t>
      </w:r>
    </w:p>
    <w:sectPr w:rsidR="00763308" w:rsidRPr="00412A74" w:rsidSect="00D6755C">
      <w:pgSz w:w="12242" w:h="18722" w:code="14"/>
      <w:pgMar w:top="1701" w:right="1701" w:bottom="1701" w:left="1701"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775899" w:rsidRDefault="00775899" w:rsidP="006E7522">
      <w:r>
        <w:separator/>
      </w:r>
    </w:p>
  </w:endnote>
  <w:endnote w:type="continuationSeparator" w:id="0">
    <w:p w:rsidR="00775899" w:rsidRDefault="00775899" w:rsidP="006E752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S Mincho">
    <w:altName w:val="ＭＳ 明朝"/>
    <w:panose1 w:val="02020609040205080304"/>
    <w:charset w:val="80"/>
    <w:family w:val="roman"/>
    <w:pitch w:val="fixed"/>
    <w:sig w:usb0="00000001" w:usb1="08070000" w:usb2="00000010" w:usb3="00000000" w:csb0="00020000"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775899" w:rsidRDefault="00775899" w:rsidP="006E7522">
      <w:r>
        <w:separator/>
      </w:r>
    </w:p>
  </w:footnote>
  <w:footnote w:type="continuationSeparator" w:id="0">
    <w:p w:rsidR="00775899" w:rsidRDefault="00775899" w:rsidP="006E7522">
      <w:r>
        <w:continuationSeparator/>
      </w:r>
    </w:p>
  </w:footnote>
  <w:footnote w:id="1">
    <w:p w:rsidR="006E7522" w:rsidRDefault="006E7522" w:rsidP="006E7522">
      <w:pPr>
        <w:pStyle w:val="Textonotapie"/>
        <w:jc w:val="both"/>
        <w:rPr>
          <w:rFonts w:ascii="Arial" w:hAnsi="Arial" w:cs="Arial"/>
          <w:sz w:val="22"/>
          <w:szCs w:val="22"/>
        </w:rPr>
      </w:pPr>
      <w:r w:rsidRPr="002E34CD">
        <w:rPr>
          <w:rStyle w:val="Refdenotaalpie"/>
          <w:rFonts w:ascii="Arial" w:hAnsi="Arial" w:cs="Arial"/>
          <w:sz w:val="22"/>
          <w:szCs w:val="22"/>
        </w:rPr>
        <w:footnoteRef/>
      </w:r>
      <w:r w:rsidRPr="002E34CD">
        <w:rPr>
          <w:rFonts w:ascii="Arial" w:hAnsi="Arial" w:cs="Arial"/>
          <w:sz w:val="22"/>
          <w:szCs w:val="22"/>
        </w:rPr>
        <w:t xml:space="preserve"> </w:t>
      </w:r>
      <w:r>
        <w:rPr>
          <w:rFonts w:ascii="Arial" w:hAnsi="Arial" w:cs="Arial"/>
          <w:sz w:val="22"/>
          <w:szCs w:val="22"/>
        </w:rPr>
        <w:t>Consejo de Estado,</w:t>
      </w:r>
      <w:r w:rsidRPr="002E34CD">
        <w:rPr>
          <w:rFonts w:ascii="Arial" w:hAnsi="Arial" w:cs="Arial"/>
          <w:sz w:val="22"/>
          <w:szCs w:val="22"/>
        </w:rPr>
        <w:t xml:space="preserve"> Sección Tercera</w:t>
      </w:r>
      <w:r>
        <w:rPr>
          <w:rFonts w:ascii="Arial" w:hAnsi="Arial" w:cs="Arial"/>
          <w:sz w:val="22"/>
          <w:szCs w:val="22"/>
        </w:rPr>
        <w:t>, auto de 3 de marzo de 2010, expediente: 36473, C</w:t>
      </w:r>
      <w:r w:rsidRPr="002E34CD">
        <w:rPr>
          <w:rFonts w:ascii="Arial" w:hAnsi="Arial" w:cs="Arial"/>
          <w:sz w:val="22"/>
          <w:szCs w:val="22"/>
        </w:rPr>
        <w:t>.P. Ruth Stella Correa Palacio y auto de 9 de mayo de 2011 de la Sección Tercera</w:t>
      </w:r>
      <w:r>
        <w:rPr>
          <w:rFonts w:ascii="Arial" w:hAnsi="Arial" w:cs="Arial"/>
          <w:sz w:val="22"/>
          <w:szCs w:val="22"/>
        </w:rPr>
        <w:t xml:space="preserve">, </w:t>
      </w:r>
      <w:r w:rsidRPr="002E34CD">
        <w:rPr>
          <w:rFonts w:ascii="Arial" w:hAnsi="Arial" w:cs="Arial"/>
          <w:sz w:val="22"/>
          <w:szCs w:val="22"/>
        </w:rPr>
        <w:t xml:space="preserve">Subsección C, </w:t>
      </w:r>
      <w:r>
        <w:rPr>
          <w:rFonts w:ascii="Arial" w:hAnsi="Arial" w:cs="Arial"/>
          <w:sz w:val="22"/>
          <w:szCs w:val="22"/>
        </w:rPr>
        <w:t>expediente: 40324, C</w:t>
      </w:r>
      <w:r w:rsidRPr="002E34CD">
        <w:rPr>
          <w:rFonts w:ascii="Arial" w:hAnsi="Arial" w:cs="Arial"/>
          <w:sz w:val="22"/>
          <w:szCs w:val="22"/>
        </w:rPr>
        <w:t>.P. Jaime Orlando Santofimio Gamboa.</w:t>
      </w:r>
    </w:p>
    <w:p w:rsidR="006E7522" w:rsidRPr="002E34CD" w:rsidRDefault="006E7522" w:rsidP="006E7522">
      <w:pPr>
        <w:pStyle w:val="Textonotapie"/>
        <w:jc w:val="both"/>
        <w:rPr>
          <w:rFonts w:ascii="Arial" w:hAnsi="Arial" w:cs="Arial"/>
          <w:sz w:val="22"/>
          <w:szCs w:val="22"/>
        </w:rPr>
      </w:pPr>
    </w:p>
  </w:footnote>
  <w:footnote w:id="2">
    <w:p w:rsidR="006E7522" w:rsidRPr="002E34CD" w:rsidRDefault="006E7522" w:rsidP="006E7522">
      <w:pPr>
        <w:pStyle w:val="Textoindependiente"/>
        <w:spacing w:line="240" w:lineRule="auto"/>
        <w:ind w:right="20"/>
        <w:rPr>
          <w:sz w:val="22"/>
          <w:szCs w:val="22"/>
        </w:rPr>
      </w:pPr>
      <w:r w:rsidRPr="002E34CD">
        <w:rPr>
          <w:rStyle w:val="Refdenotaalpie"/>
          <w:sz w:val="22"/>
          <w:szCs w:val="22"/>
        </w:rPr>
        <w:footnoteRef/>
      </w:r>
      <w:r w:rsidRPr="002E34CD">
        <w:rPr>
          <w:sz w:val="22"/>
          <w:szCs w:val="22"/>
        </w:rPr>
        <w:t xml:space="preserve"> </w:t>
      </w:r>
      <w:r w:rsidRPr="002E34CD">
        <w:rPr>
          <w:i/>
          <w:sz w:val="22"/>
          <w:szCs w:val="22"/>
        </w:rPr>
        <w:t>“En ese contexto, en los eventos en que el perjuicio se deriva de la privación injusta de la libertad, lo cierto es que el conocimiento del daño se evidencia una vez se tiene la plena certeza acerca de la ilegalidad o la falta de fundamento de la medida restrictiva correspondiente; lo anterior, dado que es a partir del momento en que se califica dicha limitación como injusta o ilegal que la persona detenida tiene pleno conocimiento del daño que se le ha ocasionado y, por consiguiente, puede acudir al aparato jurisdiccional en procura de que dicho detrimento sea resarcido. Es posible que en algunos eventos la persona demandante haya obtenido la libertad por una u otra medida jurisdiccional, pero lo cierto es que hasta tanto la decisión que declaró la libertad -y por ende, declaró la ilegalidad de la medida- no haya cobrado fuerza ejecutoria, no se tendrá plena certeza sobre el verdadero acaecimiento del daño y, en consecuencia, no se tendrá certeza acerca de la viabilidad de las pretensiones indemnizatorias”</w:t>
      </w:r>
      <w:r w:rsidRPr="002E34CD">
        <w:rPr>
          <w:sz w:val="22"/>
          <w:szCs w:val="22"/>
        </w:rPr>
        <w:t>. Consejo de Estado, auto de 19 de julio de 2007, exp. 33.918, C. P. Enrique Gil Botero.</w:t>
      </w:r>
    </w:p>
    <w:p w:rsidR="006E7522" w:rsidRPr="002E34CD" w:rsidRDefault="006E7522" w:rsidP="006E7522">
      <w:pPr>
        <w:pStyle w:val="Textoindependiente"/>
        <w:spacing w:line="240" w:lineRule="auto"/>
        <w:ind w:right="20"/>
        <w:rPr>
          <w:sz w:val="22"/>
          <w:szCs w:val="22"/>
        </w:rPr>
      </w:pPr>
    </w:p>
  </w:footnote>
  <w:footnote w:id="3">
    <w:p w:rsidR="006E7522" w:rsidRPr="002E34CD" w:rsidRDefault="006E7522" w:rsidP="006E7522">
      <w:pPr>
        <w:pStyle w:val="Textonotapie"/>
        <w:jc w:val="both"/>
        <w:rPr>
          <w:rFonts w:ascii="Arial" w:hAnsi="Arial" w:cs="Arial"/>
          <w:sz w:val="22"/>
          <w:szCs w:val="22"/>
          <w:lang w:val="es-ES"/>
        </w:rPr>
      </w:pPr>
      <w:r w:rsidRPr="002E34CD">
        <w:rPr>
          <w:rStyle w:val="Refdenotaalpie"/>
          <w:rFonts w:ascii="Arial" w:hAnsi="Arial" w:cs="Arial"/>
          <w:sz w:val="22"/>
          <w:szCs w:val="22"/>
        </w:rPr>
        <w:footnoteRef/>
      </w:r>
      <w:r w:rsidRPr="002E34CD">
        <w:rPr>
          <w:rFonts w:ascii="Arial" w:hAnsi="Arial" w:cs="Arial"/>
          <w:sz w:val="22"/>
          <w:szCs w:val="22"/>
        </w:rPr>
        <w:t xml:space="preserve"> Esta norma establecía: “</w:t>
      </w:r>
      <w:r w:rsidRPr="002E34CD">
        <w:rPr>
          <w:rFonts w:ascii="Arial" w:hAnsi="Arial" w:cs="Arial"/>
          <w:i/>
          <w:sz w:val="22"/>
          <w:szCs w:val="22"/>
          <w:lang w:val="es-ES"/>
        </w:rPr>
        <w:t>Quien haya sido privado injustamente de la libertad podrá demandar al Estado indemnización de perjuicios. Quien haya sido exonerado por sentencia absolutoria definitiva o su equivalente porque el hecho no existió, el sindicado no lo cometió, o la conducta no constituía hecho punible, tendrá derecho a ser indemnizado por la detención preventiva que le hubiese sido impuesta siempre que no haya causado la misma por dolo o culpa grave</w:t>
      </w:r>
      <w:r w:rsidRPr="002E34CD">
        <w:rPr>
          <w:rFonts w:ascii="Arial" w:hAnsi="Arial" w:cs="Arial"/>
          <w:sz w:val="22"/>
          <w:szCs w:val="22"/>
          <w:lang w:val="es-ES"/>
        </w:rPr>
        <w:t>”.</w:t>
      </w:r>
    </w:p>
    <w:p w:rsidR="006E7522" w:rsidRPr="002E34CD" w:rsidRDefault="006E7522" w:rsidP="006E7522">
      <w:pPr>
        <w:pStyle w:val="Textonotapie"/>
        <w:jc w:val="both"/>
        <w:rPr>
          <w:rFonts w:ascii="Arial" w:hAnsi="Arial" w:cs="Arial"/>
          <w:sz w:val="22"/>
          <w:szCs w:val="22"/>
        </w:rPr>
      </w:pPr>
    </w:p>
  </w:footnote>
  <w:footnote w:id="4">
    <w:p w:rsidR="006E7522" w:rsidRDefault="006E7522" w:rsidP="006E7522">
      <w:pPr>
        <w:pStyle w:val="Textonotapie"/>
        <w:jc w:val="both"/>
        <w:rPr>
          <w:rFonts w:ascii="Arial" w:hAnsi="Arial" w:cs="Arial"/>
          <w:sz w:val="22"/>
          <w:szCs w:val="22"/>
        </w:rPr>
      </w:pPr>
      <w:r w:rsidRPr="002E34CD">
        <w:rPr>
          <w:rStyle w:val="Refdenotaalpie"/>
          <w:rFonts w:ascii="Arial" w:hAnsi="Arial" w:cs="Arial"/>
          <w:sz w:val="22"/>
          <w:szCs w:val="22"/>
        </w:rPr>
        <w:footnoteRef/>
      </w:r>
      <w:r w:rsidRPr="002E34CD">
        <w:rPr>
          <w:rFonts w:ascii="Arial" w:hAnsi="Arial" w:cs="Arial"/>
          <w:sz w:val="22"/>
          <w:szCs w:val="22"/>
        </w:rPr>
        <w:t xml:space="preserve"> Sección Tercera, sentencia de 6 de abril de 2011, exp</w:t>
      </w:r>
      <w:r>
        <w:rPr>
          <w:rFonts w:ascii="Arial" w:hAnsi="Arial" w:cs="Arial"/>
          <w:sz w:val="22"/>
          <w:szCs w:val="22"/>
        </w:rPr>
        <w:t>ediente:</w:t>
      </w:r>
      <w:r w:rsidRPr="002E34CD">
        <w:rPr>
          <w:rFonts w:ascii="Arial" w:hAnsi="Arial" w:cs="Arial"/>
          <w:sz w:val="22"/>
          <w:szCs w:val="22"/>
        </w:rPr>
        <w:t xml:space="preserve"> </w:t>
      </w:r>
      <w:smartTag w:uri="urn:schemas-microsoft-com:office:smarttags" w:element="metricconverter">
        <w:smartTagPr>
          <w:attr w:name="ProductID" w:val="21653, C"/>
        </w:smartTagPr>
        <w:r w:rsidRPr="002E34CD">
          <w:rPr>
            <w:rFonts w:ascii="Arial" w:hAnsi="Arial" w:cs="Arial"/>
            <w:sz w:val="22"/>
            <w:szCs w:val="22"/>
          </w:rPr>
          <w:t>21653, C</w:t>
        </w:r>
      </w:smartTag>
      <w:r w:rsidRPr="002E34CD">
        <w:rPr>
          <w:rFonts w:ascii="Arial" w:hAnsi="Arial" w:cs="Arial"/>
          <w:sz w:val="22"/>
          <w:szCs w:val="22"/>
        </w:rPr>
        <w:t>.P. Ruth Stella Correa Palacio.</w:t>
      </w:r>
    </w:p>
    <w:p w:rsidR="006E7522" w:rsidRPr="002E34CD" w:rsidRDefault="006E7522" w:rsidP="006E7522">
      <w:pPr>
        <w:pStyle w:val="Textonotapie"/>
        <w:jc w:val="both"/>
        <w:rPr>
          <w:rFonts w:ascii="Arial" w:hAnsi="Arial" w:cs="Arial"/>
          <w:sz w:val="22"/>
          <w:szCs w:val="22"/>
        </w:rPr>
      </w:pPr>
    </w:p>
  </w:footnote>
  <w:footnote w:id="5">
    <w:p w:rsidR="006E7522" w:rsidRPr="002E34CD" w:rsidRDefault="006E7522" w:rsidP="006E7522">
      <w:pPr>
        <w:pStyle w:val="Textonotapie"/>
        <w:jc w:val="both"/>
        <w:rPr>
          <w:rFonts w:ascii="Arial" w:hAnsi="Arial" w:cs="Arial"/>
          <w:sz w:val="22"/>
          <w:szCs w:val="22"/>
        </w:rPr>
      </w:pPr>
      <w:r w:rsidRPr="002E34CD">
        <w:rPr>
          <w:rStyle w:val="Refdenotaalpie"/>
          <w:rFonts w:ascii="Arial" w:hAnsi="Arial" w:cs="Arial"/>
          <w:sz w:val="22"/>
          <w:szCs w:val="22"/>
        </w:rPr>
        <w:footnoteRef/>
      </w:r>
      <w:r w:rsidRPr="002E34CD">
        <w:rPr>
          <w:rFonts w:ascii="Arial" w:hAnsi="Arial" w:cs="Arial"/>
          <w:sz w:val="22"/>
          <w:szCs w:val="22"/>
        </w:rPr>
        <w:t xml:space="preserve"> M.P. Vladimiro Naranjo Mesa.</w:t>
      </w:r>
    </w:p>
    <w:p w:rsidR="006E7522" w:rsidRPr="002E34CD" w:rsidRDefault="006E7522" w:rsidP="006E7522">
      <w:pPr>
        <w:pStyle w:val="Textonotapie"/>
        <w:jc w:val="both"/>
        <w:rPr>
          <w:rFonts w:ascii="Arial" w:hAnsi="Arial" w:cs="Arial"/>
          <w:sz w:val="22"/>
          <w:szCs w:val="22"/>
          <w:lang w:val="es-ES"/>
        </w:rPr>
      </w:pPr>
    </w:p>
  </w:footnote>
  <w:footnote w:id="6">
    <w:p w:rsidR="006E7522" w:rsidRPr="002E34CD" w:rsidRDefault="006E7522" w:rsidP="006E7522">
      <w:pPr>
        <w:pStyle w:val="Textonotapie"/>
        <w:jc w:val="both"/>
        <w:rPr>
          <w:rFonts w:ascii="Arial" w:hAnsi="Arial" w:cs="Arial"/>
          <w:color w:val="000000"/>
          <w:sz w:val="22"/>
          <w:szCs w:val="22"/>
          <w:shd w:val="clear" w:color="auto" w:fill="FFFFFF"/>
        </w:rPr>
      </w:pPr>
      <w:r w:rsidRPr="002E34CD">
        <w:rPr>
          <w:rStyle w:val="Refdenotaalpie"/>
          <w:rFonts w:ascii="Arial" w:hAnsi="Arial" w:cs="Arial"/>
          <w:sz w:val="22"/>
          <w:szCs w:val="22"/>
        </w:rPr>
        <w:footnoteRef/>
      </w:r>
      <w:r w:rsidRPr="002E34CD">
        <w:rPr>
          <w:rFonts w:ascii="Arial" w:hAnsi="Arial" w:cs="Arial"/>
          <w:sz w:val="22"/>
          <w:szCs w:val="22"/>
        </w:rPr>
        <w:t xml:space="preserve"> </w:t>
      </w:r>
      <w:r w:rsidRPr="002E34CD">
        <w:rPr>
          <w:rFonts w:ascii="Arial" w:hAnsi="Arial" w:cs="Arial"/>
          <w:color w:val="000000"/>
          <w:sz w:val="22"/>
          <w:szCs w:val="22"/>
          <w:shd w:val="clear" w:color="auto" w:fill="FFFFFF"/>
        </w:rPr>
        <w:t>Consejo de Estado, Sección Tercera,</w:t>
      </w:r>
      <w:r>
        <w:rPr>
          <w:rFonts w:ascii="Arial" w:hAnsi="Arial" w:cs="Arial"/>
          <w:color w:val="000000"/>
          <w:sz w:val="22"/>
          <w:szCs w:val="22"/>
          <w:shd w:val="clear" w:color="auto" w:fill="FFFFFF"/>
        </w:rPr>
        <w:t xml:space="preserve"> Subsección B,</w:t>
      </w:r>
      <w:r w:rsidRPr="002E34CD">
        <w:rPr>
          <w:rFonts w:ascii="Arial" w:hAnsi="Arial" w:cs="Arial"/>
          <w:color w:val="000000"/>
          <w:sz w:val="22"/>
          <w:szCs w:val="22"/>
          <w:shd w:val="clear" w:color="auto" w:fill="FFFFFF"/>
        </w:rPr>
        <w:t xml:space="preserve"> sentencia de abril 6 de 2011, exp</w:t>
      </w:r>
      <w:r>
        <w:rPr>
          <w:rFonts w:ascii="Arial" w:hAnsi="Arial" w:cs="Arial"/>
          <w:color w:val="000000"/>
          <w:sz w:val="22"/>
          <w:szCs w:val="22"/>
          <w:shd w:val="clear" w:color="auto" w:fill="FFFFFF"/>
        </w:rPr>
        <w:t>ediente:</w:t>
      </w:r>
      <w:r w:rsidRPr="002E34CD">
        <w:rPr>
          <w:rFonts w:ascii="Arial" w:hAnsi="Arial" w:cs="Arial"/>
          <w:color w:val="000000"/>
          <w:sz w:val="22"/>
          <w:szCs w:val="22"/>
          <w:shd w:val="clear" w:color="auto" w:fill="FFFFFF"/>
        </w:rPr>
        <w:t xml:space="preserve"> 21653, C.P. Ruth Stella Correa Palacio.</w:t>
      </w:r>
    </w:p>
    <w:p w:rsidR="006E7522" w:rsidRPr="002E34CD" w:rsidRDefault="006E7522" w:rsidP="006E7522">
      <w:pPr>
        <w:pStyle w:val="Textonotapie"/>
        <w:jc w:val="both"/>
        <w:rPr>
          <w:rFonts w:ascii="Arial" w:hAnsi="Arial" w:cs="Arial"/>
          <w:sz w:val="22"/>
          <w:szCs w:val="22"/>
          <w:lang w:val="es-ES"/>
        </w:rPr>
      </w:pPr>
    </w:p>
  </w:footnote>
  <w:footnote w:id="7">
    <w:p w:rsidR="006E7522" w:rsidRDefault="006E7522" w:rsidP="006E7522">
      <w:pPr>
        <w:pStyle w:val="Textonotapie"/>
        <w:jc w:val="both"/>
        <w:rPr>
          <w:rFonts w:ascii="Arial" w:hAnsi="Arial" w:cs="Arial"/>
          <w:sz w:val="22"/>
          <w:szCs w:val="22"/>
        </w:rPr>
      </w:pPr>
      <w:r w:rsidRPr="002E34CD">
        <w:rPr>
          <w:rStyle w:val="Refdenotaalpie"/>
          <w:rFonts w:ascii="Arial" w:hAnsi="Arial" w:cs="Arial"/>
          <w:sz w:val="22"/>
          <w:szCs w:val="22"/>
        </w:rPr>
        <w:footnoteRef/>
      </w:r>
      <w:r w:rsidRPr="002E34CD">
        <w:rPr>
          <w:rFonts w:ascii="Arial" w:hAnsi="Arial" w:cs="Arial"/>
          <w:sz w:val="22"/>
          <w:szCs w:val="22"/>
        </w:rPr>
        <w:t xml:space="preserve"> </w:t>
      </w:r>
      <w:r>
        <w:rPr>
          <w:rFonts w:ascii="Arial" w:hAnsi="Arial" w:cs="Arial"/>
          <w:sz w:val="22"/>
          <w:szCs w:val="22"/>
        </w:rPr>
        <w:t xml:space="preserve">Consejo de Estado, </w:t>
      </w:r>
      <w:r w:rsidRPr="002E34CD">
        <w:rPr>
          <w:rFonts w:ascii="Arial" w:hAnsi="Arial" w:cs="Arial"/>
          <w:sz w:val="22"/>
          <w:szCs w:val="22"/>
        </w:rPr>
        <w:t>Sección Tercera, Subsección B, sentencia de 12 de mayo de 2012, exp</w:t>
      </w:r>
      <w:r>
        <w:rPr>
          <w:rFonts w:ascii="Arial" w:hAnsi="Arial" w:cs="Arial"/>
          <w:sz w:val="22"/>
          <w:szCs w:val="22"/>
        </w:rPr>
        <w:t>ediente:</w:t>
      </w:r>
      <w:r w:rsidRPr="002E34CD">
        <w:rPr>
          <w:rFonts w:ascii="Arial" w:hAnsi="Arial" w:cs="Arial"/>
          <w:sz w:val="22"/>
          <w:szCs w:val="22"/>
        </w:rPr>
        <w:t xml:space="preserve"> </w:t>
      </w:r>
      <w:smartTag w:uri="urn:schemas-microsoft-com:office:smarttags" w:element="metricconverter">
        <w:smartTagPr>
          <w:attr w:name="ProductID" w:val="20569, C"/>
        </w:smartTagPr>
        <w:r w:rsidRPr="002E34CD">
          <w:rPr>
            <w:rFonts w:ascii="Arial" w:hAnsi="Arial" w:cs="Arial"/>
            <w:sz w:val="22"/>
            <w:szCs w:val="22"/>
          </w:rPr>
          <w:t>20569, C</w:t>
        </w:r>
      </w:smartTag>
      <w:r w:rsidRPr="002E34CD">
        <w:rPr>
          <w:rFonts w:ascii="Arial" w:hAnsi="Arial" w:cs="Arial"/>
          <w:sz w:val="22"/>
          <w:szCs w:val="22"/>
        </w:rPr>
        <w:t xml:space="preserve">.P. Stella Conto Díaz del Castillo. </w:t>
      </w:r>
    </w:p>
    <w:p w:rsidR="006E7522" w:rsidRPr="002E34CD" w:rsidRDefault="006E7522" w:rsidP="006E7522">
      <w:pPr>
        <w:pStyle w:val="Textonotapie"/>
        <w:jc w:val="both"/>
        <w:rPr>
          <w:rFonts w:ascii="Arial" w:hAnsi="Arial" w:cs="Arial"/>
          <w:sz w:val="22"/>
          <w:szCs w:val="22"/>
        </w:rPr>
      </w:pPr>
    </w:p>
  </w:footnote>
  <w:footnote w:id="8">
    <w:p w:rsidR="006E7522" w:rsidRPr="002E34CD" w:rsidRDefault="006E7522" w:rsidP="006E7522">
      <w:pPr>
        <w:pStyle w:val="Textonotapie"/>
        <w:jc w:val="both"/>
        <w:rPr>
          <w:rFonts w:ascii="Arial" w:hAnsi="Arial" w:cs="Arial"/>
          <w:sz w:val="22"/>
          <w:szCs w:val="22"/>
        </w:rPr>
      </w:pPr>
      <w:r w:rsidRPr="002E34CD">
        <w:rPr>
          <w:rStyle w:val="Refdenotaalpie"/>
          <w:rFonts w:ascii="Arial" w:hAnsi="Arial" w:cs="Arial"/>
          <w:sz w:val="22"/>
          <w:szCs w:val="22"/>
        </w:rPr>
        <w:footnoteRef/>
      </w:r>
      <w:r w:rsidRPr="002E34CD">
        <w:rPr>
          <w:rFonts w:ascii="Arial" w:hAnsi="Arial" w:cs="Arial"/>
          <w:sz w:val="22"/>
          <w:szCs w:val="22"/>
        </w:rPr>
        <w:t xml:space="preserve"> Op. Cit. sentencia de 6 de abril de 2011, exp</w:t>
      </w:r>
      <w:r>
        <w:rPr>
          <w:rFonts w:ascii="Arial" w:hAnsi="Arial" w:cs="Arial"/>
          <w:sz w:val="22"/>
          <w:szCs w:val="22"/>
        </w:rPr>
        <w:t>ediente:</w:t>
      </w:r>
      <w:r w:rsidRPr="002E34CD">
        <w:rPr>
          <w:rFonts w:ascii="Arial" w:hAnsi="Arial" w:cs="Arial"/>
          <w:sz w:val="22"/>
          <w:szCs w:val="22"/>
        </w:rPr>
        <w:t xml:space="preserve"> 21653.</w:t>
      </w:r>
    </w:p>
    <w:p w:rsidR="006E7522" w:rsidRPr="002E34CD" w:rsidRDefault="006E7522" w:rsidP="006E7522">
      <w:pPr>
        <w:pStyle w:val="Textonotapie"/>
        <w:jc w:val="both"/>
        <w:rPr>
          <w:rFonts w:ascii="Arial" w:hAnsi="Arial" w:cs="Arial"/>
          <w:sz w:val="22"/>
          <w:szCs w:val="22"/>
        </w:rPr>
      </w:pPr>
    </w:p>
  </w:footnote>
  <w:footnote w:id="9">
    <w:p w:rsidR="006E7522" w:rsidRPr="002A3F3A" w:rsidRDefault="006E7522" w:rsidP="006E7522">
      <w:pPr>
        <w:pStyle w:val="Textonotapie"/>
        <w:ind w:right="-22"/>
        <w:jc w:val="both"/>
        <w:rPr>
          <w:rFonts w:ascii="Arial" w:hAnsi="Arial" w:cs="Arial"/>
          <w:sz w:val="22"/>
          <w:szCs w:val="22"/>
        </w:rPr>
      </w:pPr>
      <w:r w:rsidRPr="002A3F3A">
        <w:rPr>
          <w:rStyle w:val="Refdenotaalpie"/>
          <w:rFonts w:ascii="Arial" w:hAnsi="Arial" w:cs="Arial"/>
          <w:sz w:val="22"/>
          <w:szCs w:val="22"/>
        </w:rPr>
        <w:footnoteRef/>
      </w:r>
      <w:r w:rsidRPr="002A3F3A">
        <w:rPr>
          <w:rFonts w:ascii="Arial" w:hAnsi="Arial" w:cs="Arial"/>
          <w:sz w:val="22"/>
          <w:szCs w:val="22"/>
        </w:rPr>
        <w:t xml:space="preserve"> [24] </w:t>
      </w:r>
      <w:r w:rsidRPr="002A3F3A">
        <w:rPr>
          <w:rFonts w:ascii="Arial" w:hAnsi="Arial" w:cs="Arial"/>
          <w:i/>
          <w:sz w:val="22"/>
          <w:szCs w:val="22"/>
        </w:rPr>
        <w:t xml:space="preserve">“…lesión indemnizable…se predica, pues, del efecto de la acción administrativa (no de la actuación del agente de la Administración causante material del daño), a partir de un principio objetivo de garantía del patrimonio de los ciudadanos que despliega su operatividad postulando la cobertura del daño causado en tanto en cuanto no existan causas de justificación que legitimen como tal el perjuicio de que se trate. Estas causas de justificación han de ser expresas para que puedan ser estimadas y deben consistir siempre en un título que determine o imponga como jurídicamente querido el perjuicio contemplado”. García de Enterría, Tomas Ramón Fernández. Curso de Derecho Administrativo. Editorial. Cívitas. Tomo II, Madrid, 1995, pág. 373. En el mismo sentido, la Corte Constitucional ha señalado: “este concepto [daño antijurídico] armoniza sistemáticamente con la regulación constitucional de los derechos individuales, pues se entiende que ante el incremento de la actividad del poder público se impone la necesidad de reforzar los mecanismos de protección de los particulares, </w:t>
      </w:r>
      <w:r w:rsidRPr="002A3F3A">
        <w:rPr>
          <w:rFonts w:ascii="Arial" w:hAnsi="Arial" w:cs="Arial"/>
          <w:i/>
          <w:iCs/>
          <w:sz w:val="22"/>
          <w:szCs w:val="22"/>
        </w:rPr>
        <w:t>“al margen de cualquier conducta culposa o ilícita de las autoridades”. Corte Constitucional, sentencia C-254 de 2003.</w:t>
      </w:r>
    </w:p>
  </w:footnote>
  <w:footnote w:id="10">
    <w:p w:rsidR="006E7522" w:rsidRDefault="006E7522" w:rsidP="006E7522">
      <w:pPr>
        <w:pStyle w:val="Textonotapie"/>
        <w:jc w:val="both"/>
        <w:rPr>
          <w:rFonts w:ascii="Arial" w:hAnsi="Arial" w:cs="Arial"/>
        </w:rPr>
      </w:pPr>
      <w:r w:rsidRPr="00C91E31">
        <w:rPr>
          <w:rStyle w:val="Refdenotaalpie"/>
          <w:rFonts w:ascii="Arial" w:hAnsi="Arial" w:cs="Arial"/>
        </w:rPr>
        <w:footnoteRef/>
      </w:r>
      <w:r w:rsidRPr="00C91E31">
        <w:rPr>
          <w:rFonts w:ascii="Arial" w:hAnsi="Arial" w:cs="Arial"/>
        </w:rPr>
        <w:t xml:space="preserve"> </w:t>
      </w:r>
      <w:r w:rsidRPr="00930091">
        <w:rPr>
          <w:rFonts w:ascii="Arial" w:hAnsi="Arial" w:cs="Arial"/>
          <w:sz w:val="22"/>
        </w:rPr>
        <w:t>Consejo de Estado, Sección Tercera, Subsección “B”, sentencia del 30 de abril de 2014, exp. 2001-01145 (27414), C.P. Danilo Rojas Betancourth.</w:t>
      </w:r>
    </w:p>
    <w:p w:rsidR="006E7522" w:rsidRPr="00C91E31" w:rsidRDefault="006E7522" w:rsidP="006E7522">
      <w:pPr>
        <w:pStyle w:val="Textonotapie"/>
        <w:jc w:val="both"/>
        <w:rPr>
          <w:rFonts w:ascii="Arial" w:hAnsi="Arial" w:cs="Arial"/>
        </w:rPr>
      </w:pPr>
    </w:p>
  </w:footnote>
  <w:footnote w:id="11">
    <w:p w:rsidR="006E7522" w:rsidRPr="00A35CFD" w:rsidRDefault="006E7522" w:rsidP="006E7522">
      <w:pPr>
        <w:jc w:val="both"/>
        <w:rPr>
          <w:rFonts w:ascii="Arial" w:hAnsi="Arial" w:cs="Arial"/>
          <w:szCs w:val="20"/>
        </w:rPr>
      </w:pPr>
      <w:r w:rsidRPr="00C91E31">
        <w:rPr>
          <w:rStyle w:val="Refdenotaalpie"/>
          <w:rFonts w:ascii="Arial" w:hAnsi="Arial" w:cs="Arial"/>
          <w:sz w:val="20"/>
          <w:szCs w:val="20"/>
        </w:rPr>
        <w:footnoteRef/>
      </w:r>
      <w:r w:rsidRPr="00C91E31">
        <w:rPr>
          <w:rFonts w:ascii="Arial" w:hAnsi="Arial" w:cs="Arial"/>
          <w:sz w:val="20"/>
          <w:szCs w:val="20"/>
        </w:rPr>
        <w:t xml:space="preserve">[23] </w:t>
      </w:r>
      <w:r w:rsidRPr="00930091">
        <w:rPr>
          <w:rFonts w:ascii="Arial" w:hAnsi="Arial" w:cs="Arial"/>
          <w:i/>
          <w:szCs w:val="20"/>
        </w:rPr>
        <w:t xml:space="preserve">“Consejo de Estado, </w:t>
      </w:r>
      <w:r w:rsidRPr="00930091">
        <w:rPr>
          <w:rFonts w:ascii="Arial" w:hAnsi="Arial" w:cs="Arial"/>
          <w:bCs/>
          <w:i/>
          <w:szCs w:val="20"/>
        </w:rPr>
        <w:t xml:space="preserve">Sala de lo Contencioso Administrativo, Sección Tercera Subsección B, sentencia de </w:t>
      </w:r>
      <w:r w:rsidRPr="00930091">
        <w:rPr>
          <w:rFonts w:ascii="Arial" w:hAnsi="Arial" w:cs="Arial"/>
          <w:i/>
          <w:szCs w:val="20"/>
        </w:rPr>
        <w:t xml:space="preserve">18 de febrero de 2010, </w:t>
      </w:r>
      <w:r w:rsidRPr="00930091">
        <w:rPr>
          <w:rFonts w:ascii="Arial" w:hAnsi="Arial" w:cs="Arial"/>
          <w:bCs/>
          <w:i/>
          <w:szCs w:val="20"/>
        </w:rPr>
        <w:t>rad. 52001-23-31-000-1997-08394-01(17933), C.P.  Ruth Stella Correa Palacio”</w:t>
      </w:r>
      <w:r w:rsidRPr="00930091">
        <w:rPr>
          <w:rFonts w:ascii="Arial" w:hAnsi="Arial" w:cs="Arial"/>
          <w:bCs/>
          <w:szCs w:val="20"/>
        </w:rPr>
        <w:t>.</w:t>
      </w:r>
    </w:p>
  </w:footnote>
  <w:footnote w:id="12">
    <w:p w:rsidR="006E7522" w:rsidRPr="00C91E31" w:rsidRDefault="006E7522" w:rsidP="006E7522">
      <w:pPr>
        <w:pStyle w:val="Textonotapie"/>
        <w:jc w:val="both"/>
        <w:rPr>
          <w:rFonts w:ascii="Arial" w:hAnsi="Arial" w:cs="Arial"/>
        </w:rPr>
      </w:pPr>
      <w:r w:rsidRPr="00A35CFD">
        <w:rPr>
          <w:rStyle w:val="Refdenotaalpie"/>
          <w:rFonts w:ascii="Arial" w:hAnsi="Arial" w:cs="Arial"/>
          <w:sz w:val="22"/>
        </w:rPr>
        <w:footnoteRef/>
      </w:r>
      <w:r w:rsidRPr="00A35CFD">
        <w:rPr>
          <w:rFonts w:ascii="Arial" w:hAnsi="Arial" w:cs="Arial"/>
          <w:sz w:val="22"/>
        </w:rPr>
        <w:t xml:space="preserve"> [24] “[ibídem]”</w:t>
      </w:r>
      <w:r w:rsidRPr="00A35CFD">
        <w:rPr>
          <w:rFonts w:ascii="Arial" w:hAnsi="Arial" w:cs="Arial"/>
          <w:bCs/>
          <w:sz w:val="22"/>
        </w:rPr>
        <w:t>.</w:t>
      </w:r>
    </w:p>
  </w:footnote>
  <w:footnote w:id="13">
    <w:p w:rsidR="006E7522" w:rsidRDefault="006E7522" w:rsidP="006E7522">
      <w:pPr>
        <w:pStyle w:val="Textonotapie"/>
        <w:jc w:val="both"/>
      </w:pPr>
      <w:r w:rsidRPr="00A35CFD">
        <w:rPr>
          <w:rStyle w:val="Refdenotaalpie"/>
          <w:rFonts w:ascii="Arial" w:hAnsi="Arial" w:cs="Arial"/>
          <w:sz w:val="22"/>
        </w:rPr>
        <w:footnoteRef/>
      </w:r>
      <w:r w:rsidRPr="00A35CFD">
        <w:rPr>
          <w:rFonts w:ascii="Arial" w:hAnsi="Arial" w:cs="Arial"/>
          <w:sz w:val="22"/>
        </w:rPr>
        <w:t xml:space="preserve"> Corte Suprema de Justicia. G.J, T IX, pág. 409, sentencia citada por la Corte Constitucional en sentencia C-1008 del 9 de diciembre de 2010, consideración jurídica n.° 4.3.</w:t>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62A7407"/>
    <w:multiLevelType w:val="multilevel"/>
    <w:tmpl w:val="F864AF6A"/>
    <w:lvl w:ilvl="0">
      <w:start w:val="1"/>
      <w:numFmt w:val="decimal"/>
      <w:lvlText w:val="%1."/>
      <w:lvlJc w:val="left"/>
      <w:pPr>
        <w:ind w:left="720" w:hanging="360"/>
      </w:pPr>
      <w:rPr>
        <w:rFonts w:cs="Arial" w:hint="default"/>
      </w:rPr>
    </w:lvl>
    <w:lvl w:ilvl="1">
      <w:start w:val="1"/>
      <w:numFmt w:val="decimal"/>
      <w:isLgl/>
      <w:lvlText w:val="%1.%2."/>
      <w:lvlJc w:val="left"/>
      <w:pPr>
        <w:ind w:left="1080" w:hanging="720"/>
      </w:pPr>
      <w:rPr>
        <w:rFonts w:hint="default"/>
        <w:b w:val="0"/>
        <w:i w:val="0"/>
        <w:color w:val="000000"/>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800" w:hanging="144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1" w15:restartNumberingAfterBreak="0">
    <w:nsid w:val="3D4E1452"/>
    <w:multiLevelType w:val="hybridMultilevel"/>
    <w:tmpl w:val="294A4852"/>
    <w:lvl w:ilvl="0" w:tplc="D59A34D4">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6532F"/>
    <w:rsid w:val="00067F0C"/>
    <w:rsid w:val="000A0F02"/>
    <w:rsid w:val="000A240A"/>
    <w:rsid w:val="0016345E"/>
    <w:rsid w:val="00172351"/>
    <w:rsid w:val="001A7D95"/>
    <w:rsid w:val="002C5EE0"/>
    <w:rsid w:val="002C7E3C"/>
    <w:rsid w:val="00340EA8"/>
    <w:rsid w:val="00342B05"/>
    <w:rsid w:val="003E18B1"/>
    <w:rsid w:val="00412A74"/>
    <w:rsid w:val="004322A3"/>
    <w:rsid w:val="00436100"/>
    <w:rsid w:val="004C5198"/>
    <w:rsid w:val="00514129"/>
    <w:rsid w:val="00541069"/>
    <w:rsid w:val="0062025F"/>
    <w:rsid w:val="006E7522"/>
    <w:rsid w:val="00716A86"/>
    <w:rsid w:val="00763308"/>
    <w:rsid w:val="00775899"/>
    <w:rsid w:val="007B2BD6"/>
    <w:rsid w:val="007C014F"/>
    <w:rsid w:val="008C4E3A"/>
    <w:rsid w:val="008D341D"/>
    <w:rsid w:val="00914EDD"/>
    <w:rsid w:val="0093150F"/>
    <w:rsid w:val="0094460A"/>
    <w:rsid w:val="009A5523"/>
    <w:rsid w:val="00A15A9B"/>
    <w:rsid w:val="00A16647"/>
    <w:rsid w:val="00A906FF"/>
    <w:rsid w:val="00B13EEB"/>
    <w:rsid w:val="00C50F10"/>
    <w:rsid w:val="00C867EB"/>
    <w:rsid w:val="00CF2F79"/>
    <w:rsid w:val="00D51F12"/>
    <w:rsid w:val="00D6532F"/>
    <w:rsid w:val="00D6755C"/>
    <w:rsid w:val="00DA464C"/>
    <w:rsid w:val="00DB4710"/>
    <w:rsid w:val="00DE0D36"/>
    <w:rsid w:val="00E62864"/>
    <w:rsid w:val="00E74EE5"/>
    <w:rsid w:val="00E81230"/>
    <w:rsid w:val="00F27DD4"/>
    <w:rsid w:val="00F27FC5"/>
    <w:rsid w:val="00FE2AD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martTagType w:namespaceuri="urn:schemas-microsoft-com:office:smarttags" w:name="PersonName"/>
  <w:shapeDefaults>
    <o:shapedefaults v:ext="edit" spidmax="1026"/>
    <o:shapelayout v:ext="edit">
      <o:idmap v:ext="edit" data="1"/>
    </o:shapelayout>
  </w:shapeDefaults>
  <w:decimalSymbol w:val="."/>
  <w:listSeparator w:val=","/>
  <w14:docId w14:val="6770624B"/>
  <w15:chartTrackingRefBased/>
  <w15:docId w15:val="{1A033EA0-14E5-4FBD-A7EE-DEB6B3F4C1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2"/>
      <w:szCs w:val="22"/>
      <w:lang w:val="es-CO"/>
    </w:rPr>
  </w:style>
  <w:style w:type="paragraph" w:styleId="Ttulo3">
    <w:name w:val="heading 3"/>
    <w:basedOn w:val="Normal"/>
    <w:next w:val="Normal"/>
    <w:link w:val="Ttulo3Car"/>
    <w:uiPriority w:val="99"/>
    <w:qFormat/>
    <w:rsid w:val="006E7522"/>
    <w:pPr>
      <w:keepNext/>
      <w:overflowPunct w:val="0"/>
      <w:autoSpaceDE w:val="0"/>
      <w:autoSpaceDN w:val="0"/>
      <w:adjustRightInd w:val="0"/>
      <w:spacing w:line="360" w:lineRule="auto"/>
      <w:jc w:val="both"/>
      <w:textAlignment w:val="baseline"/>
      <w:outlineLvl w:val="2"/>
    </w:pPr>
    <w:rPr>
      <w:rFonts w:ascii="Arial" w:eastAsia="Times New Roman" w:hAnsi="Arial" w:cs="Arial"/>
      <w:sz w:val="24"/>
      <w:szCs w:val="24"/>
      <w:lang w:val="es-ES_tradnl"/>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3Car">
    <w:name w:val="Título 3 Car"/>
    <w:link w:val="Ttulo3"/>
    <w:uiPriority w:val="99"/>
    <w:rsid w:val="006E7522"/>
    <w:rPr>
      <w:rFonts w:ascii="Arial" w:eastAsia="Times New Roman" w:hAnsi="Arial" w:cs="Arial"/>
      <w:sz w:val="24"/>
      <w:szCs w:val="24"/>
      <w:lang w:val="es-ES_tradnl" w:eastAsia="en-US"/>
    </w:rPr>
  </w:style>
  <w:style w:type="paragraph" w:customStyle="1" w:styleId="Puesto">
    <w:name w:val="Puesto"/>
    <w:basedOn w:val="Normal"/>
    <w:link w:val="PuestoCar"/>
    <w:qFormat/>
    <w:rsid w:val="006E7522"/>
    <w:pPr>
      <w:overflowPunct w:val="0"/>
      <w:autoSpaceDE w:val="0"/>
      <w:autoSpaceDN w:val="0"/>
      <w:adjustRightInd w:val="0"/>
      <w:jc w:val="center"/>
      <w:textAlignment w:val="baseline"/>
    </w:pPr>
    <w:rPr>
      <w:rFonts w:ascii="Arial" w:eastAsia="Times New Roman" w:hAnsi="Arial" w:cs="Arial"/>
      <w:b/>
      <w:bCs/>
      <w:sz w:val="28"/>
      <w:szCs w:val="28"/>
      <w:lang w:val="es-ES"/>
    </w:rPr>
  </w:style>
  <w:style w:type="character" w:customStyle="1" w:styleId="PuestoCar">
    <w:name w:val="Puesto Car"/>
    <w:link w:val="Puesto"/>
    <w:rsid w:val="006E7522"/>
    <w:rPr>
      <w:rFonts w:ascii="Arial" w:eastAsia="Times New Roman" w:hAnsi="Arial" w:cs="Arial"/>
      <w:b/>
      <w:bCs/>
      <w:sz w:val="28"/>
      <w:szCs w:val="28"/>
      <w:lang w:val="es-ES" w:eastAsia="en-US"/>
    </w:rPr>
  </w:style>
  <w:style w:type="paragraph" w:styleId="Textoindependiente">
    <w:name w:val="Body Text"/>
    <w:aliases w:val="Car Car Car,Car Car Car Car Car Car Car Car,Car Car Car Car Car Car,Car Car, Car Car Car, Car Car Car Car Car Car Car Car, Car Car Car Car Car Car, Car Car"/>
    <w:basedOn w:val="Normal"/>
    <w:link w:val="TextoindependienteCar"/>
    <w:rsid w:val="006E7522"/>
    <w:pPr>
      <w:overflowPunct w:val="0"/>
      <w:autoSpaceDE w:val="0"/>
      <w:autoSpaceDN w:val="0"/>
      <w:adjustRightInd w:val="0"/>
      <w:spacing w:line="360" w:lineRule="auto"/>
      <w:jc w:val="both"/>
      <w:textAlignment w:val="baseline"/>
    </w:pPr>
    <w:rPr>
      <w:rFonts w:ascii="Arial" w:eastAsia="Times New Roman" w:hAnsi="Arial" w:cs="Arial"/>
      <w:sz w:val="24"/>
      <w:szCs w:val="24"/>
      <w:lang w:val="es-ES"/>
    </w:rPr>
  </w:style>
  <w:style w:type="character" w:customStyle="1" w:styleId="TextoindependienteCar">
    <w:name w:val="Texto independiente Car"/>
    <w:aliases w:val="Car Car Car Car,Car Car Car Car Car Car Car Car Car,Car Car Car Car Car Car Car,Car Car Car1, Car Car Car Car, Car Car Car Car Car Car Car Car Car, Car Car Car Car Car Car Car, Car Car Car1"/>
    <w:link w:val="Textoindependiente"/>
    <w:rsid w:val="006E7522"/>
    <w:rPr>
      <w:rFonts w:ascii="Arial" w:eastAsia="Times New Roman" w:hAnsi="Arial" w:cs="Arial"/>
      <w:sz w:val="24"/>
      <w:szCs w:val="24"/>
      <w:lang w:val="es-ES" w:eastAsia="en-US"/>
    </w:rPr>
  </w:style>
  <w:style w:type="paragraph" w:customStyle="1" w:styleId="Textoindependiente21">
    <w:name w:val="Texto independiente 21"/>
    <w:basedOn w:val="Normal"/>
    <w:uiPriority w:val="99"/>
    <w:rsid w:val="006E7522"/>
    <w:pPr>
      <w:overflowPunct w:val="0"/>
      <w:autoSpaceDE w:val="0"/>
      <w:autoSpaceDN w:val="0"/>
      <w:adjustRightInd w:val="0"/>
      <w:spacing w:line="360" w:lineRule="auto"/>
      <w:jc w:val="both"/>
      <w:textAlignment w:val="baseline"/>
    </w:pPr>
    <w:rPr>
      <w:rFonts w:ascii="Arial" w:eastAsia="Times New Roman" w:hAnsi="Arial" w:cs="Arial"/>
      <w:lang w:val="es-ES"/>
    </w:rPr>
  </w:style>
  <w:style w:type="paragraph" w:styleId="Textonotapie">
    <w:name w:val="footnote text"/>
    <w:aliases w:val="Footnote Text Char Char Char Char Char,Footnote Text Char Char Char Char,Footnote reference,FA Fu,Footnote Text Cha,Footnote Text Char Char Char,FA Fußnotentext,FA Fuﬂnotentext,Footnote Text Char Char,FA Fu?notentext,texto de nota al p,C"/>
    <w:basedOn w:val="Normal"/>
    <w:link w:val="TextonotapieCar1"/>
    <w:uiPriority w:val="99"/>
    <w:qFormat/>
    <w:rsid w:val="006E7522"/>
    <w:pPr>
      <w:overflowPunct w:val="0"/>
      <w:autoSpaceDE w:val="0"/>
      <w:autoSpaceDN w:val="0"/>
      <w:adjustRightInd w:val="0"/>
      <w:textAlignment w:val="baseline"/>
    </w:pPr>
    <w:rPr>
      <w:rFonts w:ascii="Times New Roman" w:eastAsia="Times New Roman" w:hAnsi="Times New Roman"/>
      <w:sz w:val="20"/>
      <w:szCs w:val="20"/>
      <w:lang w:val="es-ES_tradnl"/>
    </w:rPr>
  </w:style>
  <w:style w:type="character" w:customStyle="1" w:styleId="TextonotapieCar">
    <w:name w:val="Texto nota pie Car"/>
    <w:uiPriority w:val="99"/>
    <w:semiHidden/>
    <w:rsid w:val="006E7522"/>
    <w:rPr>
      <w:lang w:eastAsia="en-US"/>
    </w:rPr>
  </w:style>
  <w:style w:type="character" w:customStyle="1" w:styleId="TextonotapieCar1">
    <w:name w:val="Texto nota pie Car1"/>
    <w:aliases w:val="Footnote Text Char Char Char Char Char Car,Footnote Text Char Char Char Char Car,Footnote reference Car,FA Fu Car,Footnote Text Cha Car,Footnote Text Char Char Char Car,FA Fußnotentext Car,FA Fuﬂnotentext Car,FA Fu?notentext Car"/>
    <w:link w:val="Textonotapie"/>
    <w:uiPriority w:val="99"/>
    <w:qFormat/>
    <w:locked/>
    <w:rsid w:val="006E7522"/>
    <w:rPr>
      <w:rFonts w:ascii="Times New Roman" w:eastAsia="Times New Roman" w:hAnsi="Times New Roman"/>
      <w:lang w:val="es-ES_tradnl" w:eastAsia="en-US"/>
    </w:rPr>
  </w:style>
  <w:style w:type="character" w:styleId="Refdenotaalpie">
    <w:name w:val="footnote reference"/>
    <w:aliases w:val="Texto de nota al pie,Ref. de nota al pie 2,Appel note de bas de page,Footnotes refss,Footnote number,referencia nota al pie,BVI fnr,f,4_G,16 Point,Superscript 6 Point,Texto nota al pie,Pie de Página,FC,Texto de nota al pi,Pie de Pàgi"/>
    <w:uiPriority w:val="99"/>
    <w:qFormat/>
    <w:rsid w:val="006E7522"/>
    <w:rPr>
      <w:vertAlign w:val="superscript"/>
    </w:rPr>
  </w:style>
  <w:style w:type="paragraph" w:styleId="Prrafodelista">
    <w:name w:val="List Paragraph"/>
    <w:basedOn w:val="Normal"/>
    <w:uiPriority w:val="34"/>
    <w:qFormat/>
    <w:rsid w:val="006E7522"/>
    <w:pPr>
      <w:ind w:left="708"/>
    </w:pPr>
    <w:rPr>
      <w:rFonts w:ascii="Times New Roman" w:eastAsia="Times New Roman" w:hAnsi="Times New Roman"/>
      <w:sz w:val="24"/>
      <w:szCs w:val="24"/>
      <w:lang w:eastAsia="es-ES"/>
    </w:rPr>
  </w:style>
  <w:style w:type="paragraph" w:styleId="Sinespaciado">
    <w:name w:val="No Spacing"/>
    <w:uiPriority w:val="1"/>
    <w:qFormat/>
    <w:rsid w:val="006E7522"/>
    <w:rPr>
      <w:rFonts w:ascii="Times New Roman" w:eastAsia="Times New Roman" w:hAnsi="Times New Roman"/>
      <w:sz w:val="24"/>
      <w:szCs w:val="24"/>
      <w:lang w:val="es-ES" w:eastAsia="es-ES"/>
    </w:rPr>
  </w:style>
  <w:style w:type="paragraph" w:styleId="NormalWeb">
    <w:name w:val="Normal (Web)"/>
    <w:basedOn w:val="Normal"/>
    <w:uiPriority w:val="99"/>
    <w:unhideWhenUsed/>
    <w:rsid w:val="006E7522"/>
    <w:pPr>
      <w:spacing w:before="100" w:beforeAutospacing="1" w:after="100" w:afterAutospacing="1"/>
    </w:pPr>
    <w:rPr>
      <w:rFonts w:ascii="Times New Roman" w:eastAsia="Times New Roman" w:hAnsi="Times New Roman"/>
      <w:sz w:val="24"/>
      <w:szCs w:val="24"/>
      <w:lang w:val="es-ES" w:eastAsia="es-ES"/>
    </w:rPr>
  </w:style>
  <w:style w:type="paragraph" w:customStyle="1" w:styleId="BodyText21">
    <w:name w:val="Body Text 21"/>
    <w:basedOn w:val="Normal"/>
    <w:link w:val="BodyText21Car"/>
    <w:rsid w:val="006E7522"/>
    <w:pPr>
      <w:widowControl w:val="0"/>
      <w:autoSpaceDE w:val="0"/>
      <w:autoSpaceDN w:val="0"/>
      <w:spacing w:line="480" w:lineRule="auto"/>
      <w:jc w:val="both"/>
    </w:pPr>
    <w:rPr>
      <w:rFonts w:ascii="Arial" w:eastAsia="Times New Roman" w:hAnsi="Arial" w:cs="Arial"/>
      <w:sz w:val="24"/>
      <w:szCs w:val="24"/>
      <w:lang w:val="es-ES_tradnl" w:eastAsia="es-ES"/>
    </w:rPr>
  </w:style>
  <w:style w:type="paragraph" w:customStyle="1" w:styleId="Textoindependiente32">
    <w:name w:val="Texto independiente 32"/>
    <w:basedOn w:val="Normal"/>
    <w:rsid w:val="006E7522"/>
    <w:pPr>
      <w:widowControl w:val="0"/>
      <w:spacing w:line="360" w:lineRule="auto"/>
      <w:jc w:val="both"/>
    </w:pPr>
    <w:rPr>
      <w:rFonts w:ascii="Arial" w:eastAsia="Times New Roman" w:hAnsi="Arial"/>
      <w:sz w:val="24"/>
      <w:szCs w:val="20"/>
      <w:lang w:val="es-ES" w:eastAsia="es-ES"/>
    </w:rPr>
  </w:style>
  <w:style w:type="character" w:customStyle="1" w:styleId="BodyText21Car">
    <w:name w:val="Body Text 21 Car"/>
    <w:link w:val="BodyText21"/>
    <w:rsid w:val="006E7522"/>
    <w:rPr>
      <w:rFonts w:ascii="Arial" w:eastAsia="Times New Roman" w:hAnsi="Arial" w:cs="Arial"/>
      <w:sz w:val="24"/>
      <w:szCs w:val="24"/>
      <w:lang w:val="es-ES_tradnl" w:eastAsia="es-ES"/>
    </w:rPr>
  </w:style>
  <w:style w:type="paragraph" w:styleId="Encabezado">
    <w:name w:val="header"/>
    <w:basedOn w:val="Normal"/>
    <w:link w:val="EncabezadoCar"/>
    <w:uiPriority w:val="99"/>
    <w:unhideWhenUsed/>
    <w:rsid w:val="006E7522"/>
    <w:pPr>
      <w:tabs>
        <w:tab w:val="center" w:pos="4419"/>
        <w:tab w:val="right" w:pos="8838"/>
      </w:tabs>
    </w:pPr>
  </w:style>
  <w:style w:type="character" w:customStyle="1" w:styleId="EncabezadoCar">
    <w:name w:val="Encabezado Car"/>
    <w:link w:val="Encabezado"/>
    <w:uiPriority w:val="99"/>
    <w:rsid w:val="006E7522"/>
    <w:rPr>
      <w:sz w:val="22"/>
      <w:szCs w:val="22"/>
      <w:lang w:eastAsia="en-US"/>
    </w:rPr>
  </w:style>
  <w:style w:type="paragraph" w:styleId="Piedepgina">
    <w:name w:val="footer"/>
    <w:basedOn w:val="Normal"/>
    <w:link w:val="PiedepginaCar"/>
    <w:uiPriority w:val="99"/>
    <w:unhideWhenUsed/>
    <w:rsid w:val="006E7522"/>
    <w:pPr>
      <w:tabs>
        <w:tab w:val="center" w:pos="4419"/>
        <w:tab w:val="right" w:pos="8838"/>
      </w:tabs>
    </w:pPr>
  </w:style>
  <w:style w:type="character" w:customStyle="1" w:styleId="PiedepginaCar">
    <w:name w:val="Pie de página Car"/>
    <w:link w:val="Piedepgina"/>
    <w:uiPriority w:val="99"/>
    <w:rsid w:val="006E7522"/>
    <w:rPr>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theme" Target="theme/theme1.xml"/><Relationship Id="rId5" Type="http://schemas.openxmlformats.org/officeDocument/2006/relationships/styles" Target="styles.xml"/><Relationship Id="rId10"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1" ma:contentTypeDescription="Crear nuevo documento." ma:contentTypeScope="" ma:versionID="3b92459d2aaeba420575d7951743e2fa">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c1fc7eb49e2841bef75d19e31d8ad33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CBB1C79F-C991-44E2-9B0F-44DF89A93F1B}">
  <ds:schemaRefs>
    <ds:schemaRef ds:uri="http://schemas.microsoft.com/sharepoint/v3/contenttype/forms"/>
  </ds:schemaRefs>
</ds:datastoreItem>
</file>

<file path=customXml/itemProps2.xml><?xml version="1.0" encoding="utf-8"?>
<ds:datastoreItem xmlns:ds="http://schemas.openxmlformats.org/officeDocument/2006/customXml" ds:itemID="{82A5101E-7D26-4BC9-BBCF-DF5727D5A552}">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75D2CF39-832F-4CE8-8CC3-F8B3F1B79ED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32</Pages>
  <Words>10777</Words>
  <Characters>61431</Characters>
  <Application>Microsoft Office Word</Application>
  <DocSecurity>0</DocSecurity>
  <Lines>511</Lines>
  <Paragraphs>144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LUZ MERY MARTINEZ RODRIGUEZ</dc:creator>
  <cp:keywords/>
  <dc:description/>
  <cp:lastModifiedBy>Silvia Juliana Saavedra Arguello</cp:lastModifiedBy>
  <cp:revision>2</cp:revision>
  <dcterms:created xsi:type="dcterms:W3CDTF">2020-06-23T23:02:00Z</dcterms:created>
  <dcterms:modified xsi:type="dcterms:W3CDTF">2020-06-23T23:02:00Z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0x0101004F7186EE8CE72B4BA2409C45C4A187BC</vt:lpwstr>
  </property>
</Properties>
</file>