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275E24" w14:textId="39A863D9" w:rsidR="00CE77BF" w:rsidRDefault="00CE77BF" w:rsidP="00AA1777">
      <w:pPr>
        <w:jc w:val="both"/>
        <w:rPr>
          <w:rFonts w:eastAsia="Times New Roman"/>
          <w:sz w:val="24"/>
          <w:szCs w:val="24"/>
        </w:rPr>
      </w:pPr>
    </w:p>
    <w:p w14:paraId="0C0B4843" w14:textId="3D0BB5CB" w:rsidR="00F45404" w:rsidRPr="003724E1" w:rsidRDefault="00F45404" w:rsidP="00AA1777">
      <w:pPr>
        <w:jc w:val="both"/>
        <w:rPr>
          <w:rFonts w:eastAsia="Times New Roman"/>
          <w:sz w:val="22"/>
          <w:szCs w:val="22"/>
        </w:rPr>
      </w:pPr>
    </w:p>
    <w:p w14:paraId="318BC935" w14:textId="3A8A8750" w:rsidR="00F45404" w:rsidRPr="003724E1" w:rsidRDefault="00F45404" w:rsidP="00AA1777">
      <w:pPr>
        <w:jc w:val="both"/>
        <w:rPr>
          <w:rFonts w:eastAsia="Times New Roman"/>
          <w:b/>
          <w:sz w:val="22"/>
          <w:szCs w:val="22"/>
        </w:rPr>
      </w:pPr>
      <w:r w:rsidRPr="003724E1">
        <w:rPr>
          <w:rFonts w:eastAsia="Times New Roman"/>
          <w:b/>
          <w:sz w:val="22"/>
          <w:szCs w:val="22"/>
        </w:rPr>
        <w:t>ACCIÓN DE TUTELA – Acto de adjudicación – Acción procedente – Tesis Sección Tercera – Autonomía del juez – Aplicación</w:t>
      </w:r>
    </w:p>
    <w:p w14:paraId="6F75ECD7" w14:textId="77777777" w:rsidR="00F45404" w:rsidRPr="003724E1" w:rsidRDefault="00F45404" w:rsidP="00AA1777">
      <w:pPr>
        <w:jc w:val="both"/>
        <w:rPr>
          <w:rFonts w:eastAsia="Times New Roman"/>
          <w:b/>
          <w:sz w:val="22"/>
          <w:szCs w:val="22"/>
        </w:rPr>
      </w:pPr>
    </w:p>
    <w:p w14:paraId="5512C27E" w14:textId="09CA9D93" w:rsidR="00F45404" w:rsidRPr="003724E1" w:rsidRDefault="00F45404" w:rsidP="00AA1777">
      <w:pPr>
        <w:jc w:val="both"/>
        <w:rPr>
          <w:rFonts w:eastAsia="Times New Roman"/>
          <w:sz w:val="22"/>
          <w:szCs w:val="22"/>
        </w:rPr>
      </w:pPr>
      <w:r w:rsidRPr="003724E1">
        <w:rPr>
          <w:rFonts w:eastAsia="Times New Roman"/>
          <w:color w:val="000000"/>
          <w:sz w:val="22"/>
          <w:szCs w:val="22"/>
        </w:rPr>
        <w:t>L</w:t>
      </w:r>
      <w:r w:rsidRPr="003724E1">
        <w:rPr>
          <w:rFonts w:eastAsia="Times New Roman"/>
          <w:color w:val="000000"/>
          <w:sz w:val="22"/>
          <w:szCs w:val="22"/>
          <w:lang w:val="es-MX"/>
        </w:rPr>
        <w:t xml:space="preserve">a tesis aplicada por la autoridad judicial cuestionada en esta oportunidad viene soportada en </w:t>
      </w:r>
      <w:r w:rsidRPr="003724E1">
        <w:rPr>
          <w:rFonts w:eastAsia="Times New Roman"/>
          <w:color w:val="000000"/>
          <w:sz w:val="22"/>
          <w:szCs w:val="22"/>
          <w:lang w:val="es-MX" w:eastAsia="es-ES"/>
        </w:rPr>
        <w:t xml:space="preserve">la </w:t>
      </w:r>
      <w:r w:rsidRPr="003724E1">
        <w:rPr>
          <w:rFonts w:eastAsia="Times New Roman"/>
          <w:color w:val="000000"/>
          <w:sz w:val="22"/>
          <w:szCs w:val="22"/>
          <w:lang w:val="es-MX"/>
        </w:rPr>
        <w:t>línea jurisprudencial de la Sección Tercera del Consejo de Estado</w:t>
      </w:r>
      <w:r w:rsidRPr="003724E1">
        <w:rPr>
          <w:rFonts w:eastAsia="Times New Roman"/>
          <w:color w:val="000000"/>
          <w:sz w:val="22"/>
          <w:szCs w:val="22"/>
          <w:lang w:val="es-MX" w:eastAsia="es-ES"/>
        </w:rPr>
        <w:t>, adoptada</w:t>
      </w:r>
      <w:r w:rsidRPr="003724E1">
        <w:rPr>
          <w:rFonts w:eastAsia="Times New Roman"/>
          <w:color w:val="000000"/>
          <w:sz w:val="22"/>
          <w:szCs w:val="22"/>
          <w:lang w:val="es-MX"/>
        </w:rPr>
        <w:t xml:space="preserve"> desde los años 1999 y 2000</w:t>
      </w:r>
      <w:r w:rsidRPr="003724E1">
        <w:rPr>
          <w:rFonts w:eastAsia="Times New Roman"/>
          <w:color w:val="000000"/>
          <w:sz w:val="22"/>
          <w:szCs w:val="22"/>
          <w:lang w:val="es-MX" w:eastAsia="es-ES"/>
        </w:rPr>
        <w:t>.</w:t>
      </w:r>
      <w:r w:rsidRPr="003724E1">
        <w:rPr>
          <w:rFonts w:eastAsia="Times New Roman"/>
          <w:color w:val="000000"/>
          <w:sz w:val="22"/>
          <w:szCs w:val="22"/>
          <w:vertAlign w:val="superscript"/>
          <w:lang w:val="es-MX"/>
        </w:rPr>
        <w:footnoteReference w:id="1"/>
      </w:r>
      <w:r w:rsidRPr="003724E1">
        <w:rPr>
          <w:rFonts w:eastAsia="Times New Roman"/>
          <w:color w:val="000000"/>
          <w:sz w:val="22"/>
          <w:szCs w:val="22"/>
          <w:lang w:val="es-MX"/>
        </w:rPr>
        <w:t xml:space="preserve"> </w:t>
      </w:r>
      <w:r w:rsidRPr="003724E1">
        <w:rPr>
          <w:rFonts w:eastAsia="Times New Roman"/>
          <w:color w:val="000000"/>
          <w:sz w:val="22"/>
          <w:szCs w:val="22"/>
          <w:lang w:val="es-MX" w:eastAsia="es-ES"/>
        </w:rPr>
        <w:t>A</w:t>
      </w:r>
      <w:r w:rsidRPr="003724E1">
        <w:rPr>
          <w:rFonts w:eastAsia="Times New Roman"/>
          <w:iCs/>
          <w:color w:val="000000"/>
          <w:sz w:val="22"/>
          <w:szCs w:val="22"/>
          <w:lang w:eastAsia="es-ES"/>
        </w:rPr>
        <w:t>sí</w:t>
      </w:r>
      <w:r w:rsidRPr="003724E1">
        <w:rPr>
          <w:rFonts w:eastAsia="Times New Roman"/>
          <w:color w:val="000000"/>
          <w:sz w:val="22"/>
          <w:szCs w:val="22"/>
        </w:rPr>
        <w:t xml:space="preserve"> las cosas, resulta evidente para la Sala</w:t>
      </w:r>
      <w:r w:rsidRPr="003724E1">
        <w:rPr>
          <w:rFonts w:eastAsia="Times New Roman"/>
          <w:color w:val="000000"/>
          <w:sz w:val="22"/>
          <w:szCs w:val="22"/>
          <w:lang w:eastAsia="es-ES"/>
        </w:rPr>
        <w:t>,</w:t>
      </w:r>
      <w:r w:rsidRPr="003724E1">
        <w:rPr>
          <w:rFonts w:eastAsia="Times New Roman"/>
          <w:color w:val="000000"/>
          <w:sz w:val="22"/>
          <w:szCs w:val="22"/>
        </w:rPr>
        <w:t xml:space="preserve"> que al aplicarla para resolver la acción de controversias contractuales puesta en su conocimiento, hace parte de la autonomía e independencia de la que gozan los jueces de la república y</w:t>
      </w:r>
      <w:r w:rsidRPr="003724E1">
        <w:rPr>
          <w:rFonts w:eastAsia="Times New Roman"/>
          <w:color w:val="000000"/>
          <w:sz w:val="22"/>
          <w:szCs w:val="22"/>
          <w:lang w:eastAsia="es-ES"/>
        </w:rPr>
        <w:t>,</w:t>
      </w:r>
      <w:r w:rsidRPr="003724E1">
        <w:rPr>
          <w:rFonts w:eastAsia="Times New Roman"/>
          <w:color w:val="000000"/>
          <w:sz w:val="22"/>
          <w:szCs w:val="22"/>
        </w:rPr>
        <w:t xml:space="preserve"> por lo mismo, las partes </w:t>
      </w:r>
      <w:r w:rsidRPr="003724E1">
        <w:rPr>
          <w:rFonts w:eastAsia="Times New Roman"/>
          <w:color w:val="000000"/>
          <w:sz w:val="22"/>
          <w:szCs w:val="22"/>
          <w:lang w:eastAsia="es-ES"/>
        </w:rPr>
        <w:t>ni</w:t>
      </w:r>
      <w:r w:rsidRPr="003724E1">
        <w:rPr>
          <w:rFonts w:eastAsia="Times New Roman"/>
          <w:color w:val="000000"/>
          <w:sz w:val="22"/>
          <w:szCs w:val="22"/>
        </w:rPr>
        <w:t xml:space="preserve"> mucho menos el juez constitucional, puede imponer a toda costa su criterio</w:t>
      </w:r>
      <w:r w:rsidRPr="003724E1">
        <w:rPr>
          <w:rFonts w:eastAsia="Times New Roman"/>
          <w:b/>
          <w:color w:val="000000"/>
          <w:sz w:val="22"/>
          <w:szCs w:val="22"/>
        </w:rPr>
        <w:t xml:space="preserve">, interpretación y lógica sobre la del natural, </w:t>
      </w:r>
      <w:r w:rsidRPr="003724E1">
        <w:rPr>
          <w:rFonts w:eastAsia="Times New Roman"/>
          <w:b/>
          <w:color w:val="000000"/>
          <w:sz w:val="22"/>
          <w:szCs w:val="22"/>
          <w:lang w:eastAsia="es-ES"/>
        </w:rPr>
        <w:t>la cual en el presente caso, es razonable frente al cambio normativo que introdujo el artículo 32 de la Ley 446 de 1998 a la acción de controversias contractuales</w:t>
      </w:r>
      <w:r w:rsidRPr="003724E1">
        <w:rPr>
          <w:rFonts w:eastAsia="Times New Roman"/>
          <w:color w:val="000000"/>
          <w:sz w:val="22"/>
          <w:szCs w:val="22"/>
          <w:lang w:eastAsia="es-ES"/>
        </w:rPr>
        <w:t xml:space="preserve">, </w:t>
      </w:r>
      <w:r w:rsidRPr="003724E1">
        <w:rPr>
          <w:rFonts w:eastAsia="Times New Roman"/>
          <w:color w:val="000000"/>
          <w:sz w:val="22"/>
          <w:szCs w:val="22"/>
        </w:rPr>
        <w:t>como si se tratara de un juez superior e infalible; por las anteriores razones, al no configurarse los defectos alegados, se confirmará el fallo de tutela de primera instancia proferido por la Sección Cuarta del Consejo de Estado.</w:t>
      </w:r>
    </w:p>
    <w:p w14:paraId="6C536AFC" w14:textId="77777777" w:rsidR="00BF3F08" w:rsidRPr="00CE77BF" w:rsidRDefault="00BF3F08" w:rsidP="00AA1777">
      <w:pPr>
        <w:jc w:val="both"/>
        <w:rPr>
          <w:rFonts w:eastAsia="Times New Roman"/>
          <w:sz w:val="24"/>
          <w:szCs w:val="24"/>
        </w:rPr>
      </w:pPr>
    </w:p>
    <w:p w14:paraId="573C3291" w14:textId="77777777" w:rsidR="00AA1777" w:rsidRPr="00CE77BF" w:rsidRDefault="00AA1777" w:rsidP="00AA1777">
      <w:pPr>
        <w:jc w:val="both"/>
        <w:rPr>
          <w:rFonts w:eastAsia="Times New Roman"/>
          <w:sz w:val="24"/>
          <w:szCs w:val="24"/>
        </w:rPr>
      </w:pPr>
    </w:p>
    <w:p w14:paraId="3B6CC99B" w14:textId="77777777" w:rsidR="00136C0C" w:rsidRPr="00332C16" w:rsidRDefault="00136C0C" w:rsidP="00332C16">
      <w:pPr>
        <w:jc w:val="center"/>
        <w:rPr>
          <w:b/>
          <w:sz w:val="24"/>
          <w:szCs w:val="24"/>
        </w:rPr>
      </w:pPr>
      <w:r w:rsidRPr="00332C16">
        <w:rPr>
          <w:b/>
          <w:sz w:val="24"/>
          <w:szCs w:val="24"/>
        </w:rPr>
        <w:t>CONSEJO DE ESTADO</w:t>
      </w:r>
    </w:p>
    <w:p w14:paraId="577F0C7C" w14:textId="77777777" w:rsidR="00136C0C" w:rsidRPr="00332C16" w:rsidRDefault="00136C0C" w:rsidP="00332C16">
      <w:pPr>
        <w:jc w:val="center"/>
        <w:rPr>
          <w:b/>
          <w:sz w:val="24"/>
          <w:szCs w:val="24"/>
        </w:rPr>
      </w:pPr>
    </w:p>
    <w:p w14:paraId="400ECE55" w14:textId="77777777" w:rsidR="00136C0C" w:rsidRPr="00332C16" w:rsidRDefault="00136C0C" w:rsidP="00332C16">
      <w:pPr>
        <w:jc w:val="center"/>
        <w:rPr>
          <w:b/>
          <w:sz w:val="24"/>
          <w:szCs w:val="24"/>
        </w:rPr>
      </w:pPr>
      <w:r w:rsidRPr="00332C16">
        <w:rPr>
          <w:b/>
          <w:sz w:val="24"/>
          <w:szCs w:val="24"/>
        </w:rPr>
        <w:t>SALA DE LO CONTENCIOSO ADMINISTRATIVO</w:t>
      </w:r>
    </w:p>
    <w:p w14:paraId="130E7231" w14:textId="77777777" w:rsidR="00136C0C" w:rsidRPr="00332C16" w:rsidRDefault="00136C0C" w:rsidP="00332C16">
      <w:pPr>
        <w:jc w:val="center"/>
        <w:rPr>
          <w:b/>
          <w:sz w:val="24"/>
          <w:szCs w:val="24"/>
        </w:rPr>
      </w:pPr>
    </w:p>
    <w:p w14:paraId="2C3F7714" w14:textId="77777777" w:rsidR="00136C0C" w:rsidRPr="00332C16" w:rsidRDefault="00136C0C" w:rsidP="00332C16">
      <w:pPr>
        <w:jc w:val="center"/>
        <w:rPr>
          <w:b/>
          <w:sz w:val="24"/>
          <w:szCs w:val="24"/>
        </w:rPr>
      </w:pPr>
      <w:r w:rsidRPr="00332C16">
        <w:rPr>
          <w:b/>
          <w:sz w:val="24"/>
          <w:szCs w:val="24"/>
        </w:rPr>
        <w:t>SECCIÓN QUINTA</w:t>
      </w:r>
    </w:p>
    <w:p w14:paraId="19C7F35D" w14:textId="77777777" w:rsidR="00136C0C" w:rsidRPr="00332C16" w:rsidRDefault="00136C0C" w:rsidP="00332C16">
      <w:pPr>
        <w:jc w:val="center"/>
        <w:rPr>
          <w:b/>
          <w:sz w:val="24"/>
          <w:szCs w:val="24"/>
        </w:rPr>
      </w:pPr>
    </w:p>
    <w:p w14:paraId="26CFF9FF" w14:textId="77777777" w:rsidR="00136C0C" w:rsidRPr="00332C16" w:rsidRDefault="00136C0C" w:rsidP="00332C16">
      <w:pPr>
        <w:jc w:val="center"/>
        <w:rPr>
          <w:b/>
          <w:sz w:val="24"/>
          <w:szCs w:val="24"/>
        </w:rPr>
      </w:pPr>
      <w:r w:rsidRPr="00332C16">
        <w:rPr>
          <w:b/>
          <w:sz w:val="24"/>
          <w:szCs w:val="24"/>
        </w:rPr>
        <w:t xml:space="preserve">Consejera ponente: LUCY JEANNETTE BERMÚDEZ </w:t>
      </w:r>
      <w:proofErr w:type="spellStart"/>
      <w:r w:rsidRPr="00332C16">
        <w:rPr>
          <w:b/>
          <w:sz w:val="24"/>
          <w:szCs w:val="24"/>
        </w:rPr>
        <w:t>BERMÚDEZ</w:t>
      </w:r>
      <w:proofErr w:type="spellEnd"/>
    </w:p>
    <w:p w14:paraId="13B682DB" w14:textId="77777777" w:rsidR="00136C0C" w:rsidRPr="00332C16" w:rsidRDefault="00136C0C" w:rsidP="00332C16">
      <w:pPr>
        <w:jc w:val="both"/>
        <w:rPr>
          <w:b/>
          <w:sz w:val="24"/>
          <w:szCs w:val="24"/>
        </w:rPr>
      </w:pPr>
    </w:p>
    <w:p w14:paraId="5BC6CF84" w14:textId="77777777" w:rsidR="00136C0C" w:rsidRPr="00332C16" w:rsidRDefault="00136C0C" w:rsidP="00332C16">
      <w:pPr>
        <w:jc w:val="both"/>
        <w:rPr>
          <w:sz w:val="24"/>
          <w:szCs w:val="24"/>
        </w:rPr>
      </w:pPr>
      <w:r w:rsidRPr="00332C16">
        <w:rPr>
          <w:sz w:val="24"/>
          <w:szCs w:val="24"/>
        </w:rPr>
        <w:t>Bogotá</w:t>
      </w:r>
      <w:r w:rsidR="006F3592">
        <w:rPr>
          <w:sz w:val="24"/>
          <w:szCs w:val="24"/>
        </w:rPr>
        <w:t>,</w:t>
      </w:r>
      <w:r w:rsidRPr="00332C16">
        <w:rPr>
          <w:sz w:val="24"/>
          <w:szCs w:val="24"/>
        </w:rPr>
        <w:t xml:space="preserve"> D.C., veintiséis (26) de septiembre de dos mil diecisiete (2017)</w:t>
      </w:r>
    </w:p>
    <w:p w14:paraId="7513F17D" w14:textId="77777777" w:rsidR="00136C0C" w:rsidRPr="00332C16" w:rsidRDefault="00136C0C" w:rsidP="00332C16">
      <w:pPr>
        <w:jc w:val="both"/>
        <w:rPr>
          <w:b/>
          <w:sz w:val="24"/>
          <w:szCs w:val="24"/>
        </w:rPr>
      </w:pPr>
    </w:p>
    <w:p w14:paraId="19242FE4" w14:textId="77777777" w:rsidR="00136C0C" w:rsidRPr="00332C16" w:rsidRDefault="00136C0C" w:rsidP="00332C16">
      <w:pPr>
        <w:jc w:val="both"/>
        <w:rPr>
          <w:b/>
          <w:sz w:val="24"/>
          <w:szCs w:val="24"/>
        </w:rPr>
      </w:pPr>
      <w:r w:rsidRPr="00332C16">
        <w:rPr>
          <w:b/>
          <w:sz w:val="24"/>
          <w:szCs w:val="24"/>
        </w:rPr>
        <w:t>Radicación número: 11001-03-15-000-2017-00066-01</w:t>
      </w:r>
      <w:r w:rsidR="006F3592">
        <w:rPr>
          <w:b/>
          <w:sz w:val="24"/>
          <w:szCs w:val="24"/>
        </w:rPr>
        <w:t>(AC)</w:t>
      </w:r>
    </w:p>
    <w:p w14:paraId="1C4DEB76" w14:textId="77777777" w:rsidR="00136C0C" w:rsidRPr="00332C16" w:rsidRDefault="00136C0C" w:rsidP="00332C16">
      <w:pPr>
        <w:jc w:val="both"/>
        <w:rPr>
          <w:b/>
          <w:sz w:val="24"/>
          <w:szCs w:val="24"/>
        </w:rPr>
      </w:pPr>
    </w:p>
    <w:p w14:paraId="744ED918" w14:textId="77777777" w:rsidR="00136C0C" w:rsidRPr="00332C16" w:rsidRDefault="006F3592" w:rsidP="00332C16">
      <w:pPr>
        <w:jc w:val="both"/>
        <w:rPr>
          <w:b/>
          <w:sz w:val="24"/>
          <w:szCs w:val="24"/>
        </w:rPr>
      </w:pPr>
      <w:r>
        <w:rPr>
          <w:b/>
          <w:sz w:val="24"/>
          <w:szCs w:val="24"/>
        </w:rPr>
        <w:t>Actor</w:t>
      </w:r>
      <w:r w:rsidR="00136C0C" w:rsidRPr="00332C16">
        <w:rPr>
          <w:b/>
          <w:sz w:val="24"/>
          <w:szCs w:val="24"/>
        </w:rPr>
        <w:t>: ANALYTICA S.A.S</w:t>
      </w:r>
    </w:p>
    <w:p w14:paraId="0FEB55A6" w14:textId="77777777" w:rsidR="00136C0C" w:rsidRPr="00332C16" w:rsidRDefault="00136C0C" w:rsidP="00332C16">
      <w:pPr>
        <w:jc w:val="both"/>
        <w:rPr>
          <w:b/>
          <w:sz w:val="24"/>
          <w:szCs w:val="24"/>
        </w:rPr>
      </w:pPr>
    </w:p>
    <w:p w14:paraId="52417262" w14:textId="77777777" w:rsidR="00136C0C" w:rsidRPr="00332C16" w:rsidRDefault="006F3592" w:rsidP="00332C16">
      <w:pPr>
        <w:jc w:val="both"/>
        <w:rPr>
          <w:b/>
          <w:sz w:val="24"/>
          <w:szCs w:val="24"/>
        </w:rPr>
      </w:pPr>
      <w:r>
        <w:rPr>
          <w:b/>
          <w:sz w:val="24"/>
          <w:szCs w:val="24"/>
        </w:rPr>
        <w:t>Demandado</w:t>
      </w:r>
      <w:r w:rsidR="00136C0C" w:rsidRPr="00332C16">
        <w:rPr>
          <w:b/>
          <w:sz w:val="24"/>
          <w:szCs w:val="24"/>
        </w:rPr>
        <w:t>: CONSEJO DE ESTADO, SECCIÓN TERCERA, SUBSECCIÓN B</w:t>
      </w:r>
    </w:p>
    <w:p w14:paraId="33CDF278" w14:textId="77777777" w:rsidR="00136C0C" w:rsidRPr="005327CF" w:rsidRDefault="00136C0C" w:rsidP="00332C16">
      <w:pPr>
        <w:jc w:val="both"/>
        <w:rPr>
          <w:sz w:val="24"/>
          <w:szCs w:val="24"/>
        </w:rPr>
      </w:pPr>
    </w:p>
    <w:p w14:paraId="7EDBA966" w14:textId="77777777" w:rsidR="006F3592" w:rsidRPr="005327CF" w:rsidRDefault="006F3592" w:rsidP="00332C16">
      <w:pPr>
        <w:jc w:val="both"/>
        <w:rPr>
          <w:sz w:val="24"/>
          <w:szCs w:val="24"/>
        </w:rPr>
      </w:pPr>
    </w:p>
    <w:p w14:paraId="4BFEBD04" w14:textId="77777777" w:rsidR="00136C0C" w:rsidRPr="005327CF" w:rsidRDefault="00136C0C" w:rsidP="00136C0C">
      <w:pPr>
        <w:spacing w:line="276" w:lineRule="auto"/>
        <w:rPr>
          <w:rFonts w:eastAsia="Times New Roman"/>
          <w:color w:val="000000"/>
          <w:sz w:val="24"/>
          <w:szCs w:val="24"/>
          <w:lang w:val="es-ES"/>
        </w:rPr>
      </w:pPr>
    </w:p>
    <w:p w14:paraId="06A6322D" w14:textId="77777777" w:rsidR="00136C0C" w:rsidRPr="00332C16" w:rsidRDefault="00136C0C" w:rsidP="00136C0C">
      <w:pPr>
        <w:spacing w:line="276" w:lineRule="auto"/>
        <w:contextualSpacing/>
        <w:jc w:val="both"/>
        <w:rPr>
          <w:rFonts w:eastAsia="Times New Roman"/>
          <w:color w:val="000000"/>
          <w:sz w:val="24"/>
          <w:szCs w:val="24"/>
          <w:lang w:val="es-ES_tradnl"/>
        </w:rPr>
      </w:pPr>
      <w:r w:rsidRPr="00332C16">
        <w:rPr>
          <w:rFonts w:eastAsia="Times New Roman"/>
          <w:color w:val="000000"/>
          <w:sz w:val="24"/>
          <w:szCs w:val="24"/>
          <w:lang w:val="es-ES_tradnl"/>
        </w:rPr>
        <w:t>Decide la Sala la impugnación</w:t>
      </w:r>
      <w:r w:rsidRPr="00332C16">
        <w:rPr>
          <w:rFonts w:eastAsia="Times New Roman"/>
          <w:color w:val="000000"/>
          <w:sz w:val="24"/>
          <w:szCs w:val="24"/>
          <w:vertAlign w:val="superscript"/>
          <w:lang w:val="es-ES_tradnl"/>
        </w:rPr>
        <w:footnoteReference w:id="2"/>
      </w:r>
      <w:r w:rsidRPr="00332C16">
        <w:rPr>
          <w:rFonts w:eastAsia="Times New Roman"/>
          <w:color w:val="000000"/>
          <w:sz w:val="24"/>
          <w:szCs w:val="24"/>
          <w:lang w:val="es-ES_tradnl"/>
        </w:rPr>
        <w:t xml:space="preserve"> presentada por la apoderada judicial de la sociedad </w:t>
      </w:r>
      <w:r w:rsidRPr="00332C16">
        <w:rPr>
          <w:rFonts w:eastAsia="Times New Roman"/>
          <w:b/>
          <w:color w:val="000000"/>
          <w:sz w:val="24"/>
          <w:szCs w:val="24"/>
          <w:lang w:val="es-ES_tradnl"/>
        </w:rPr>
        <w:t>ANALYTICA S.A.S</w:t>
      </w:r>
      <w:r w:rsidRPr="00332C16">
        <w:rPr>
          <w:rFonts w:eastAsia="Times New Roman"/>
          <w:color w:val="000000"/>
          <w:sz w:val="24"/>
          <w:szCs w:val="24"/>
          <w:lang w:val="es-ES_tradnl"/>
        </w:rPr>
        <w:t xml:space="preserve"> contra el fallo del 2 de agosto de 2017 de la Sección Cuarta del Consejo de Estado, por medio del cual </w:t>
      </w:r>
      <w:r w:rsidRPr="00332C16">
        <w:rPr>
          <w:rFonts w:eastAsia="Times New Roman"/>
          <w:b/>
          <w:color w:val="000000"/>
          <w:sz w:val="24"/>
          <w:szCs w:val="24"/>
          <w:lang w:val="es-ES_tradnl"/>
        </w:rPr>
        <w:t>negó</w:t>
      </w:r>
      <w:r w:rsidRPr="00332C16">
        <w:rPr>
          <w:rFonts w:eastAsia="Times New Roman"/>
          <w:b/>
          <w:i/>
          <w:color w:val="000000"/>
          <w:sz w:val="24"/>
          <w:szCs w:val="24"/>
          <w:lang w:val="es-ES_tradnl"/>
        </w:rPr>
        <w:t xml:space="preserve"> </w:t>
      </w:r>
      <w:r w:rsidRPr="00332C16">
        <w:rPr>
          <w:rFonts w:eastAsia="Times New Roman"/>
          <w:color w:val="000000"/>
          <w:sz w:val="24"/>
          <w:szCs w:val="24"/>
          <w:lang w:val="es-ES_tradnl"/>
        </w:rPr>
        <w:t>el amparo deprecado, por no existir vulneración de derechos.</w:t>
      </w:r>
    </w:p>
    <w:p w14:paraId="30DF9528" w14:textId="77777777" w:rsidR="00136C0C" w:rsidRPr="00332C16" w:rsidRDefault="00136C0C" w:rsidP="00136C0C">
      <w:pPr>
        <w:spacing w:line="276" w:lineRule="auto"/>
        <w:contextualSpacing/>
        <w:jc w:val="both"/>
        <w:rPr>
          <w:rFonts w:eastAsia="Times New Roman"/>
          <w:color w:val="000000"/>
          <w:sz w:val="24"/>
          <w:szCs w:val="24"/>
          <w:lang w:val="es-ES_tradnl"/>
        </w:rPr>
      </w:pPr>
    </w:p>
    <w:p w14:paraId="0C69EAD6" w14:textId="77777777" w:rsidR="00136C0C" w:rsidRPr="00332C16" w:rsidRDefault="00136C0C" w:rsidP="00136C0C">
      <w:pPr>
        <w:numPr>
          <w:ilvl w:val="0"/>
          <w:numId w:val="1"/>
        </w:numPr>
        <w:spacing w:line="276" w:lineRule="auto"/>
        <w:jc w:val="center"/>
        <w:rPr>
          <w:rFonts w:eastAsia="Times New Roman"/>
          <w:b/>
          <w:color w:val="000000"/>
          <w:sz w:val="24"/>
          <w:szCs w:val="24"/>
          <w:lang w:val="es-ES"/>
        </w:rPr>
      </w:pPr>
      <w:r w:rsidRPr="00332C16">
        <w:rPr>
          <w:rFonts w:eastAsia="Times New Roman"/>
          <w:b/>
          <w:color w:val="000000"/>
          <w:sz w:val="24"/>
          <w:szCs w:val="24"/>
          <w:lang w:val="es-ES"/>
        </w:rPr>
        <w:t>ANTECEDENTES</w:t>
      </w:r>
    </w:p>
    <w:p w14:paraId="5662DC46" w14:textId="77777777" w:rsidR="00136C0C" w:rsidRPr="00332C16" w:rsidRDefault="00136C0C" w:rsidP="00136C0C">
      <w:pPr>
        <w:spacing w:line="276" w:lineRule="auto"/>
        <w:rPr>
          <w:rFonts w:eastAsia="Times New Roman"/>
          <w:color w:val="000000"/>
          <w:sz w:val="24"/>
          <w:szCs w:val="24"/>
          <w:lang w:val="es-ES"/>
        </w:rPr>
      </w:pPr>
    </w:p>
    <w:p w14:paraId="29A93CAD"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r w:rsidRPr="00332C16">
        <w:rPr>
          <w:rFonts w:eastAsia="Times New Roman"/>
          <w:b/>
          <w:color w:val="000000"/>
          <w:sz w:val="24"/>
          <w:szCs w:val="24"/>
          <w:lang w:val="es-ES"/>
        </w:rPr>
        <w:t>1. La tutela</w:t>
      </w:r>
    </w:p>
    <w:p w14:paraId="5C898B1E"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p>
    <w:p w14:paraId="23AAE8AC"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r w:rsidRPr="00332C16">
        <w:rPr>
          <w:rFonts w:eastAsia="Times New Roman"/>
          <w:color w:val="000000"/>
          <w:sz w:val="24"/>
          <w:szCs w:val="24"/>
          <w:lang w:val="es-ES_tradnl"/>
        </w:rPr>
        <w:t xml:space="preserve">Mediante apoderada judicial, la sociedad </w:t>
      </w:r>
      <w:r w:rsidRPr="00332C16">
        <w:rPr>
          <w:rFonts w:eastAsia="Times New Roman"/>
          <w:b/>
          <w:color w:val="000000"/>
          <w:sz w:val="24"/>
          <w:szCs w:val="24"/>
          <w:lang w:val="es-ES_tradnl"/>
        </w:rPr>
        <w:t xml:space="preserve">ANALYTICA </w:t>
      </w:r>
      <w:r w:rsidRPr="00332C16">
        <w:rPr>
          <w:rFonts w:eastAsia="Times New Roman"/>
          <w:color w:val="000000"/>
          <w:sz w:val="24"/>
          <w:szCs w:val="24"/>
          <w:lang w:val="es-ES_tradnl"/>
        </w:rPr>
        <w:t xml:space="preserve">solicitó el amparo del derecho fundamental </w:t>
      </w:r>
      <w:r w:rsidRPr="00332C16">
        <w:rPr>
          <w:rFonts w:eastAsia="Times New Roman"/>
          <w:color w:val="000000"/>
          <w:sz w:val="24"/>
          <w:szCs w:val="24"/>
        </w:rPr>
        <w:t>al debido proceso y al acceso a la administración de justicia</w:t>
      </w:r>
      <w:r w:rsidRPr="00332C16">
        <w:rPr>
          <w:rFonts w:eastAsia="Times New Roman"/>
          <w:color w:val="000000"/>
          <w:sz w:val="24"/>
          <w:szCs w:val="24"/>
          <w:lang w:val="es-ES_tradnl"/>
        </w:rPr>
        <w:t>,</w:t>
      </w:r>
      <w:r w:rsidRPr="00332C16">
        <w:rPr>
          <w:rFonts w:eastAsia="Times New Roman"/>
          <w:color w:val="000000"/>
          <w:sz w:val="24"/>
          <w:szCs w:val="24"/>
          <w:vertAlign w:val="superscript"/>
          <w:lang w:val="es-ES_tradnl"/>
        </w:rPr>
        <w:footnoteReference w:id="3"/>
      </w:r>
      <w:r w:rsidRPr="00332C16">
        <w:rPr>
          <w:rFonts w:eastAsia="Times New Roman"/>
          <w:color w:val="000000"/>
          <w:sz w:val="24"/>
          <w:szCs w:val="24"/>
          <w:lang w:val="es-ES_tradnl"/>
        </w:rPr>
        <w:t xml:space="preserve"> que consideró vulnerados con las decisiones adoptadas en segunda instancia por la Subsección B, Sección Tercera del Consejo de Estado</w:t>
      </w:r>
      <w:r w:rsidRPr="00332C16">
        <w:rPr>
          <w:rFonts w:eastAsia="Times New Roman"/>
          <w:color w:val="000000"/>
          <w:sz w:val="24"/>
          <w:szCs w:val="24"/>
          <w:lang w:val="es-ES_tradnl" w:eastAsia="es-ES"/>
        </w:rPr>
        <w:t>,</w:t>
      </w:r>
      <w:r w:rsidRPr="00332C16">
        <w:rPr>
          <w:rFonts w:eastAsia="Times New Roman"/>
          <w:color w:val="000000"/>
          <w:sz w:val="24"/>
          <w:szCs w:val="24"/>
          <w:lang w:val="es-ES_tradnl"/>
        </w:rPr>
        <w:t xml:space="preserve"> dentro del proceso de </w:t>
      </w:r>
      <w:r w:rsidRPr="00332C16">
        <w:rPr>
          <w:rFonts w:eastAsia="Times New Roman"/>
          <w:color w:val="000000"/>
          <w:sz w:val="24"/>
          <w:szCs w:val="24"/>
          <w:lang w:val="es-ES_tradnl"/>
        </w:rPr>
        <w:lastRenderedPageBreak/>
        <w:t>controversias contractuales No. 25000-23-15-000-2004-00447-01; en el que declaró oficiosamente la caducidad de la acción, frente a la pretensión de restablecimiento del derecho respecto del acto de adjudicación de un contrato.</w:t>
      </w:r>
    </w:p>
    <w:p w14:paraId="6EACE21A"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796AF48E" w14:textId="77777777" w:rsidR="00136C0C" w:rsidRPr="00332C16" w:rsidRDefault="00136C0C" w:rsidP="00136C0C">
      <w:pPr>
        <w:widowControl w:val="0"/>
        <w:autoSpaceDE w:val="0"/>
        <w:autoSpaceDN w:val="0"/>
        <w:adjustRightInd w:val="0"/>
        <w:spacing w:line="276" w:lineRule="auto"/>
        <w:jc w:val="both"/>
        <w:rPr>
          <w:rFonts w:eastAsia="Times New Roman"/>
          <w:b/>
          <w:color w:val="000000"/>
          <w:sz w:val="24"/>
          <w:szCs w:val="24"/>
          <w:lang w:val="es-ES_tradnl"/>
        </w:rPr>
      </w:pPr>
      <w:r w:rsidRPr="00332C16">
        <w:rPr>
          <w:rFonts w:eastAsia="Times New Roman"/>
          <w:b/>
          <w:color w:val="000000"/>
          <w:sz w:val="24"/>
          <w:szCs w:val="24"/>
          <w:lang w:val="es-ES_tradnl"/>
        </w:rPr>
        <w:t xml:space="preserve">1.2. Hechos de la acción </w:t>
      </w:r>
    </w:p>
    <w:p w14:paraId="1734E832"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63BC7C56"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r w:rsidRPr="00332C16">
        <w:rPr>
          <w:rFonts w:eastAsia="Times New Roman"/>
          <w:color w:val="000000"/>
          <w:sz w:val="24"/>
          <w:szCs w:val="24"/>
          <w:lang w:val="es-ES_tradnl"/>
        </w:rPr>
        <w:t>La Sala resume los hechos relevantes de la tutela de la siguiente manera:</w:t>
      </w:r>
    </w:p>
    <w:p w14:paraId="50FAD598"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41E106B4"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r w:rsidRPr="00332C16">
        <w:rPr>
          <w:rFonts w:eastAsia="Times New Roman"/>
          <w:color w:val="000000"/>
          <w:sz w:val="24"/>
          <w:szCs w:val="24"/>
          <w:lang w:val="es-ES_tradnl"/>
        </w:rPr>
        <w:t>a) Mediante apoderado</w:t>
      </w:r>
      <w:r w:rsidRPr="00332C16">
        <w:rPr>
          <w:rFonts w:eastAsia="Times New Roman"/>
          <w:color w:val="000000"/>
          <w:sz w:val="24"/>
          <w:szCs w:val="24"/>
          <w:lang w:val="es-ES_tradnl" w:eastAsia="es-ES"/>
        </w:rPr>
        <w:t>,</w:t>
      </w:r>
      <w:r w:rsidRPr="00332C16">
        <w:rPr>
          <w:rFonts w:eastAsia="Times New Roman"/>
          <w:color w:val="000000"/>
          <w:sz w:val="24"/>
          <w:szCs w:val="24"/>
          <w:lang w:val="es-ES_tradnl"/>
        </w:rPr>
        <w:t xml:space="preserve"> la sociedad </w:t>
      </w:r>
      <w:r w:rsidRPr="00332C16">
        <w:rPr>
          <w:rFonts w:eastAsia="Times New Roman"/>
          <w:b/>
          <w:color w:val="000000"/>
          <w:sz w:val="24"/>
          <w:szCs w:val="24"/>
          <w:lang w:val="es-ES_tradnl"/>
        </w:rPr>
        <w:t>ANALYTICA</w:t>
      </w:r>
      <w:r w:rsidRPr="00332C16">
        <w:rPr>
          <w:rFonts w:eastAsia="Times New Roman"/>
          <w:color w:val="000000"/>
          <w:sz w:val="24"/>
          <w:szCs w:val="24"/>
          <w:lang w:val="es-ES_tradnl"/>
        </w:rPr>
        <w:t xml:space="preserve"> presentó demanda de controversias contractuales contra </w:t>
      </w:r>
      <w:r w:rsidRPr="00332C16">
        <w:rPr>
          <w:rFonts w:eastAsia="Times New Roman"/>
          <w:color w:val="000000"/>
          <w:sz w:val="24"/>
          <w:szCs w:val="24"/>
          <w:lang w:val="es-ES_tradnl" w:eastAsia="es-ES"/>
        </w:rPr>
        <w:t xml:space="preserve">la </w:t>
      </w:r>
      <w:r w:rsidRPr="00332C16">
        <w:rPr>
          <w:rFonts w:eastAsia="Times New Roman"/>
          <w:color w:val="000000"/>
          <w:sz w:val="24"/>
          <w:szCs w:val="24"/>
          <w:lang w:val="es-ES_tradnl"/>
        </w:rPr>
        <w:t xml:space="preserve">Secretaría de Educación Distrital </w:t>
      </w:r>
      <w:r w:rsidRPr="00332C16">
        <w:rPr>
          <w:rFonts w:eastAsia="Times New Roman"/>
          <w:color w:val="000000"/>
          <w:sz w:val="24"/>
          <w:szCs w:val="24"/>
          <w:lang w:val="es-ES_tradnl" w:eastAsia="es-ES"/>
        </w:rPr>
        <w:t>de</w:t>
      </w:r>
      <w:r w:rsidRPr="00332C16">
        <w:rPr>
          <w:rFonts w:eastAsia="Times New Roman"/>
          <w:color w:val="000000"/>
          <w:sz w:val="24"/>
          <w:szCs w:val="24"/>
          <w:lang w:val="es-ES_tradnl"/>
        </w:rPr>
        <w:t xml:space="preserve"> Bogotá, en la que solicitó </w:t>
      </w:r>
      <w:r w:rsidRPr="00332C16">
        <w:rPr>
          <w:rFonts w:eastAsia="Times New Roman"/>
          <w:color w:val="000000"/>
          <w:sz w:val="24"/>
          <w:szCs w:val="24"/>
          <w:lang w:val="es-ES"/>
        </w:rPr>
        <w:t xml:space="preserve">declarar la nulidad </w:t>
      </w:r>
      <w:r w:rsidRPr="00332C16">
        <w:rPr>
          <w:rFonts w:eastAsia="Times New Roman"/>
          <w:color w:val="000000"/>
          <w:sz w:val="24"/>
          <w:szCs w:val="24"/>
          <w:lang w:val="es-ES" w:eastAsia="es-ES"/>
        </w:rPr>
        <w:t>de:</w:t>
      </w:r>
      <w:r w:rsidRPr="00332C16">
        <w:rPr>
          <w:rFonts w:eastAsia="Times New Roman"/>
          <w:color w:val="000000"/>
          <w:sz w:val="24"/>
          <w:szCs w:val="24"/>
          <w:lang w:val="es-ES_tradnl" w:eastAsia="es-ES"/>
        </w:rPr>
        <w:t xml:space="preserve"> </w:t>
      </w:r>
      <w:r w:rsidRPr="00332C16">
        <w:rPr>
          <w:rFonts w:eastAsia="Times New Roman"/>
          <w:color w:val="000000"/>
          <w:sz w:val="24"/>
          <w:szCs w:val="24"/>
          <w:lang w:val="es-ES" w:eastAsia="es-ES"/>
        </w:rPr>
        <w:t>i) el</w:t>
      </w:r>
      <w:r w:rsidRPr="00332C16">
        <w:rPr>
          <w:rFonts w:eastAsia="Times New Roman"/>
          <w:color w:val="000000"/>
          <w:sz w:val="24"/>
          <w:szCs w:val="24"/>
          <w:lang w:val="es-ES"/>
        </w:rPr>
        <w:t xml:space="preserve"> acto de adjudicación contenido en la resolución No. 4205 de 29 de diciembre de 2003, relacionado con la convocatoria SED-PMC-SME-UEL-386-2003, ii) </w:t>
      </w:r>
      <w:r w:rsidRPr="00332C16">
        <w:rPr>
          <w:rFonts w:eastAsia="Times New Roman"/>
          <w:color w:val="000000"/>
          <w:sz w:val="24"/>
          <w:szCs w:val="24"/>
          <w:lang w:val="es-ES" w:eastAsia="es-ES"/>
        </w:rPr>
        <w:t>el</w:t>
      </w:r>
      <w:r w:rsidRPr="00332C16">
        <w:rPr>
          <w:rFonts w:eastAsia="Times New Roman"/>
          <w:color w:val="000000"/>
          <w:sz w:val="24"/>
          <w:szCs w:val="24"/>
          <w:lang w:val="es-ES"/>
        </w:rPr>
        <w:t xml:space="preserve"> contrato 193 suscrito entre la demandada y la firma ABC LABORATORIOS, cuyo objeto fue la dotación de los laboratorios escolares de biología y ciencias, física y química para Instituciones Educativas Distritales; iii) condenar a la demandada a pagar a la tutelante perjuicios materiales en la modalidad de daño emergente y lucro cesante y iv) las costas del proceso.</w:t>
      </w:r>
      <w:r w:rsidRPr="00332C16">
        <w:rPr>
          <w:rFonts w:eastAsia="Times New Roman"/>
          <w:color w:val="000000"/>
          <w:sz w:val="24"/>
          <w:szCs w:val="24"/>
          <w:vertAlign w:val="superscript"/>
          <w:lang w:val="es-ES"/>
        </w:rPr>
        <w:footnoteReference w:id="4"/>
      </w:r>
    </w:p>
    <w:p w14:paraId="70CB031A"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3742E2E0"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r w:rsidRPr="00332C16">
        <w:rPr>
          <w:rFonts w:eastAsia="Times New Roman"/>
          <w:color w:val="000000"/>
          <w:sz w:val="24"/>
          <w:szCs w:val="24"/>
          <w:lang w:val="es-ES_tradnl"/>
        </w:rPr>
        <w:t>b) La Subsección B, Sección Tercera del Tribunal Administrativo de Cundinamarca con sentencia del 29 de agosto de 2007, resolvió la primera instancia y accedió parcialmente a las pretensiones de la demanda así:</w:t>
      </w:r>
      <w:r w:rsidRPr="00332C16">
        <w:rPr>
          <w:rFonts w:eastAsia="Times New Roman"/>
          <w:color w:val="000000"/>
          <w:sz w:val="24"/>
          <w:szCs w:val="24"/>
          <w:vertAlign w:val="superscript"/>
          <w:lang w:val="es-ES_tradnl"/>
        </w:rPr>
        <w:footnoteReference w:id="5"/>
      </w:r>
    </w:p>
    <w:p w14:paraId="1C066A8B"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3D320EB1"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_tradnl"/>
        </w:rPr>
      </w:pPr>
      <w:r w:rsidRPr="00332C16">
        <w:rPr>
          <w:rFonts w:eastAsia="Times New Roman"/>
          <w:color w:val="000000"/>
          <w:sz w:val="24"/>
          <w:szCs w:val="24"/>
          <w:lang w:val="es-ES_tradnl"/>
        </w:rPr>
        <w:t>«</w:t>
      </w:r>
      <w:r w:rsidRPr="00332C16">
        <w:rPr>
          <w:rFonts w:eastAsia="Times New Roman"/>
          <w:b/>
          <w:color w:val="000000"/>
          <w:sz w:val="24"/>
          <w:szCs w:val="24"/>
          <w:lang w:val="es-ES_tradnl"/>
        </w:rPr>
        <w:t xml:space="preserve">PRIMERO: </w:t>
      </w:r>
      <w:r w:rsidRPr="00332C16">
        <w:rPr>
          <w:rFonts w:eastAsia="Times New Roman"/>
          <w:color w:val="000000"/>
          <w:sz w:val="24"/>
          <w:szCs w:val="24"/>
          <w:lang w:val="es-ES_tradnl"/>
        </w:rPr>
        <w:t>DECLÁRESE la nulidad de las (sic) Resolución No. 4205 del 29 de diciembre de 2003 expedida por la Secretaría de Educación Distrital.</w:t>
      </w:r>
    </w:p>
    <w:p w14:paraId="446A7EFB"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_tradnl"/>
        </w:rPr>
      </w:pPr>
    </w:p>
    <w:p w14:paraId="4496457D"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_tradnl"/>
        </w:rPr>
      </w:pPr>
      <w:r w:rsidRPr="00332C16">
        <w:rPr>
          <w:rFonts w:eastAsia="Times New Roman"/>
          <w:b/>
          <w:color w:val="000000"/>
          <w:sz w:val="24"/>
          <w:szCs w:val="24"/>
          <w:lang w:val="es-ES_tradnl"/>
        </w:rPr>
        <w:t xml:space="preserve">SEGUNDO: </w:t>
      </w:r>
      <w:r w:rsidRPr="00332C16">
        <w:rPr>
          <w:rFonts w:eastAsia="Times New Roman"/>
          <w:color w:val="000000"/>
          <w:sz w:val="24"/>
          <w:szCs w:val="24"/>
          <w:lang w:val="es-ES_tradnl"/>
        </w:rPr>
        <w:t>DECLÁRESE la nulidad absoluta del contrato UEL–SED–VL–193–00–03 celebrado por la Secretaría de Educación Distrital y la Sociedad ABC Laboratorios S.A.</w:t>
      </w:r>
    </w:p>
    <w:p w14:paraId="53F4B23D"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_tradnl"/>
        </w:rPr>
      </w:pPr>
    </w:p>
    <w:p w14:paraId="6D66A23A"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_tradnl"/>
        </w:rPr>
      </w:pPr>
      <w:r w:rsidRPr="00332C16">
        <w:rPr>
          <w:rFonts w:eastAsia="Times New Roman"/>
          <w:b/>
          <w:color w:val="000000"/>
          <w:sz w:val="24"/>
          <w:szCs w:val="24"/>
          <w:lang w:val="es-ES_tradnl"/>
        </w:rPr>
        <w:t xml:space="preserve">TERCERO: </w:t>
      </w:r>
      <w:r w:rsidRPr="00332C16">
        <w:rPr>
          <w:rFonts w:eastAsia="Times New Roman"/>
          <w:color w:val="000000"/>
          <w:sz w:val="24"/>
          <w:szCs w:val="24"/>
          <w:lang w:val="es-ES_tradnl"/>
        </w:rPr>
        <w:t>Como consecuencia de lo anterior, CONDÉNASE al Distrito Capital–Secretaría de Educación a pagar a la Sociedad ANALYTICA LTDA., la suma de ciento diecisiete millones novecientos ocho mil seiscientos veinticinco pesos con cuarenta y cuatro centavos m/cte. ($117’908.625,44).</w:t>
      </w:r>
    </w:p>
    <w:p w14:paraId="156A83A2"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_tradnl"/>
        </w:rPr>
      </w:pPr>
    </w:p>
    <w:p w14:paraId="32489B5E"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_tradnl"/>
        </w:rPr>
      </w:pPr>
      <w:r w:rsidRPr="00332C16">
        <w:rPr>
          <w:rFonts w:eastAsia="Times New Roman"/>
          <w:b/>
          <w:color w:val="000000"/>
          <w:sz w:val="24"/>
          <w:szCs w:val="24"/>
          <w:lang w:val="es-ES_tradnl"/>
        </w:rPr>
        <w:t xml:space="preserve">CUARTO: </w:t>
      </w:r>
      <w:r w:rsidRPr="00332C16">
        <w:rPr>
          <w:rFonts w:eastAsia="Times New Roman"/>
          <w:color w:val="000000"/>
          <w:sz w:val="24"/>
          <w:szCs w:val="24"/>
          <w:lang w:val="es-ES_tradnl"/>
        </w:rPr>
        <w:t>NIÉGANSE las demás pretensiones de la demanda».</w:t>
      </w:r>
    </w:p>
    <w:p w14:paraId="267D43DC"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2EA1192D"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r w:rsidRPr="00332C16">
        <w:rPr>
          <w:rFonts w:eastAsia="Times New Roman"/>
          <w:color w:val="000000"/>
          <w:sz w:val="24"/>
          <w:szCs w:val="24"/>
          <w:lang w:val="es-ES_tradnl"/>
        </w:rPr>
        <w:t>c) Inconforme con la anterior decisión</w:t>
      </w:r>
      <w:r w:rsidRPr="00332C16">
        <w:rPr>
          <w:rFonts w:eastAsia="Times New Roman"/>
          <w:color w:val="000000"/>
          <w:sz w:val="24"/>
          <w:szCs w:val="24"/>
          <w:lang w:val="es-ES_tradnl" w:eastAsia="es-ES"/>
        </w:rPr>
        <w:t>,</w:t>
      </w:r>
      <w:r w:rsidRPr="00332C16">
        <w:rPr>
          <w:rFonts w:eastAsia="Times New Roman"/>
          <w:color w:val="000000"/>
          <w:sz w:val="24"/>
          <w:szCs w:val="24"/>
          <w:lang w:val="es-ES_tradnl"/>
        </w:rPr>
        <w:t xml:space="preserve"> la sociedad </w:t>
      </w:r>
      <w:r w:rsidRPr="00332C16">
        <w:rPr>
          <w:rFonts w:eastAsia="Times New Roman"/>
          <w:b/>
          <w:color w:val="000000"/>
          <w:sz w:val="24"/>
          <w:szCs w:val="24"/>
          <w:lang w:val="es-ES_tradnl"/>
        </w:rPr>
        <w:t>ANALYTICA</w:t>
      </w:r>
      <w:r w:rsidRPr="00332C16">
        <w:rPr>
          <w:rFonts w:eastAsia="Times New Roman"/>
          <w:color w:val="000000"/>
          <w:sz w:val="24"/>
          <w:szCs w:val="24"/>
          <w:lang w:val="es-ES_tradnl"/>
        </w:rPr>
        <w:t xml:space="preserve"> la apeló.</w:t>
      </w:r>
    </w:p>
    <w:p w14:paraId="754FAD69"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0CBC7BBA"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r w:rsidRPr="00332C16">
        <w:rPr>
          <w:rFonts w:eastAsia="Times New Roman"/>
          <w:color w:val="000000"/>
          <w:sz w:val="24"/>
          <w:szCs w:val="24"/>
          <w:lang w:val="es-ES_tradnl"/>
        </w:rPr>
        <w:t>d) La Subsección B, Sección Tercera del Consejo de Estado</w:t>
      </w:r>
      <w:r w:rsidRPr="00332C16">
        <w:rPr>
          <w:rFonts w:eastAsia="Times New Roman"/>
          <w:color w:val="000000"/>
          <w:sz w:val="24"/>
          <w:szCs w:val="24"/>
          <w:lang w:val="es-ES_tradnl" w:eastAsia="es-ES"/>
        </w:rPr>
        <w:t>,</w:t>
      </w:r>
      <w:r w:rsidRPr="00332C16">
        <w:rPr>
          <w:rFonts w:eastAsia="Times New Roman"/>
          <w:color w:val="000000"/>
          <w:sz w:val="24"/>
          <w:szCs w:val="24"/>
          <w:lang w:val="es-ES_tradnl"/>
        </w:rPr>
        <w:t xml:space="preserve"> con providencia del 29 de octubre de 2015, resolvió lo siguiente:</w:t>
      </w:r>
      <w:r w:rsidRPr="00332C16">
        <w:rPr>
          <w:rFonts w:eastAsia="Times New Roman"/>
          <w:color w:val="000000"/>
          <w:sz w:val="24"/>
          <w:szCs w:val="24"/>
          <w:vertAlign w:val="superscript"/>
          <w:lang w:val="es-ES_tradnl"/>
        </w:rPr>
        <w:footnoteReference w:id="6"/>
      </w:r>
    </w:p>
    <w:p w14:paraId="35E3354F"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6880EE04"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
        </w:rPr>
      </w:pPr>
      <w:r w:rsidRPr="00332C16">
        <w:rPr>
          <w:rFonts w:eastAsia="Times New Roman"/>
          <w:color w:val="000000"/>
          <w:sz w:val="24"/>
          <w:szCs w:val="24"/>
          <w:lang w:val="es-ES_tradnl"/>
        </w:rPr>
        <w:t>«</w:t>
      </w:r>
      <w:r w:rsidRPr="00332C16">
        <w:rPr>
          <w:rFonts w:eastAsia="Times New Roman"/>
          <w:b/>
          <w:color w:val="000000"/>
          <w:sz w:val="24"/>
          <w:szCs w:val="24"/>
          <w:lang w:val="es-ES"/>
        </w:rPr>
        <w:t xml:space="preserve">REVÓCASE parcialmente </w:t>
      </w:r>
      <w:r w:rsidRPr="00332C16">
        <w:rPr>
          <w:rFonts w:eastAsia="Times New Roman"/>
          <w:color w:val="000000"/>
          <w:sz w:val="24"/>
          <w:szCs w:val="24"/>
          <w:lang w:val="es-ES"/>
        </w:rPr>
        <w:t xml:space="preserve">la sentencia proferida el 29 de agosto de 2007, por el Tribunal Administrativo de Cundinamarca- Sección Tercera- Subsección “B”, que accedió parcialmente a las súplicas de la demanda y en su lugar se dispone: </w:t>
      </w:r>
    </w:p>
    <w:p w14:paraId="3537F2E2" w14:textId="77777777" w:rsidR="00136C0C" w:rsidRPr="00332C16" w:rsidRDefault="00136C0C" w:rsidP="00136C0C">
      <w:pPr>
        <w:widowControl w:val="0"/>
        <w:autoSpaceDE w:val="0"/>
        <w:autoSpaceDN w:val="0"/>
        <w:adjustRightInd w:val="0"/>
        <w:ind w:left="567"/>
        <w:jc w:val="both"/>
        <w:rPr>
          <w:rFonts w:eastAsia="Times New Roman"/>
          <w:b/>
          <w:color w:val="000000"/>
          <w:sz w:val="24"/>
          <w:szCs w:val="24"/>
          <w:lang w:val="es-ES"/>
        </w:rPr>
      </w:pPr>
    </w:p>
    <w:p w14:paraId="3E6DA35D"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
        </w:rPr>
      </w:pPr>
      <w:r w:rsidRPr="00332C16">
        <w:rPr>
          <w:rFonts w:eastAsia="Times New Roman"/>
          <w:b/>
          <w:color w:val="000000"/>
          <w:sz w:val="24"/>
          <w:szCs w:val="24"/>
          <w:lang w:val="es-ES"/>
        </w:rPr>
        <w:lastRenderedPageBreak/>
        <w:t xml:space="preserve">PRIMERO: DECLÁRASE </w:t>
      </w:r>
      <w:r w:rsidRPr="00332C16">
        <w:rPr>
          <w:rFonts w:eastAsia="Times New Roman"/>
          <w:color w:val="000000"/>
          <w:sz w:val="24"/>
          <w:szCs w:val="24"/>
          <w:lang w:val="es-ES"/>
        </w:rPr>
        <w:t xml:space="preserve">probada oficiosamente la caducidad de </w:t>
      </w:r>
      <w:r w:rsidRPr="00332C16">
        <w:rPr>
          <w:rFonts w:eastAsia="Times New Roman"/>
          <w:bCs/>
          <w:color w:val="000000"/>
          <w:sz w:val="24"/>
          <w:szCs w:val="24"/>
          <w:lang w:val="es-ES" w:eastAsia="es-ES"/>
        </w:rPr>
        <w:t>la</w:t>
      </w:r>
      <w:r w:rsidRPr="00332C16">
        <w:rPr>
          <w:rFonts w:eastAsia="Times New Roman"/>
          <w:color w:val="000000"/>
          <w:sz w:val="24"/>
          <w:szCs w:val="24"/>
          <w:lang w:val="es-ES"/>
        </w:rPr>
        <w:t xml:space="preserve"> acción frente a las pretensiones de restablecimiento presentadas por la firma demandante.</w:t>
      </w:r>
    </w:p>
    <w:p w14:paraId="0F2109C5"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
        </w:rPr>
      </w:pPr>
    </w:p>
    <w:p w14:paraId="01807C06" w14:textId="77777777" w:rsidR="00136C0C" w:rsidRPr="00332C16" w:rsidRDefault="00136C0C" w:rsidP="00136C0C">
      <w:pPr>
        <w:widowControl w:val="0"/>
        <w:autoSpaceDE w:val="0"/>
        <w:autoSpaceDN w:val="0"/>
        <w:adjustRightInd w:val="0"/>
        <w:ind w:left="567"/>
        <w:jc w:val="both"/>
        <w:rPr>
          <w:rFonts w:eastAsia="Times New Roman"/>
          <w:b/>
          <w:color w:val="000000"/>
          <w:sz w:val="24"/>
          <w:szCs w:val="24"/>
          <w:lang w:val="es-ES"/>
        </w:rPr>
      </w:pPr>
      <w:r w:rsidRPr="00332C16">
        <w:rPr>
          <w:rFonts w:eastAsia="Times New Roman"/>
          <w:b/>
          <w:color w:val="000000"/>
          <w:sz w:val="24"/>
          <w:szCs w:val="24"/>
          <w:lang w:val="es-ES"/>
        </w:rPr>
        <w:t xml:space="preserve">SEGUNDO: ESTESE </w:t>
      </w:r>
      <w:r w:rsidRPr="00332C16">
        <w:rPr>
          <w:rFonts w:eastAsia="Times New Roman"/>
          <w:color w:val="000000"/>
          <w:sz w:val="24"/>
          <w:szCs w:val="24"/>
          <w:lang w:val="es-ES"/>
        </w:rPr>
        <w:t>a lo resuelto por el tribunal en cuanto declaró i) la nulidad del acto de adjudicación contenido en la resolución n.° 4205 de 29 de diciembre de 2003 relacionado con la convocatoria SED-PMC-SME-UEL-386-2003 y ii) la nulidad del Contrato sin fecha n.° 193 suscrito entre la SECRETARÍA DE EDUCACIÓN DEL DISTRITO CAPITAL y la firma ABC LABORATORIOS, mediante el cual se contrató la dotación de los laboratorios escolares de biología y ciencias, física y química para Instituciones Educativas Distritales</w:t>
      </w:r>
      <w:r w:rsidRPr="00332C16">
        <w:rPr>
          <w:rFonts w:eastAsia="Times New Roman"/>
          <w:color w:val="000000"/>
          <w:sz w:val="24"/>
          <w:szCs w:val="24"/>
          <w:lang w:val="es-ES_tradnl"/>
        </w:rPr>
        <w:t>».</w:t>
      </w:r>
    </w:p>
    <w:p w14:paraId="3922A129"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008D7778"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r w:rsidRPr="00332C16">
        <w:rPr>
          <w:rFonts w:eastAsia="Times New Roman"/>
          <w:color w:val="000000"/>
          <w:sz w:val="24"/>
          <w:szCs w:val="24"/>
          <w:lang w:val="es-ES_tradnl"/>
        </w:rPr>
        <w:t xml:space="preserve">La autoridad judicial cuestionada, antes de entrar a estudiar el fondo del recurso de apelación, analizó los presupuestos procesales de la acción, con fundamento en sentencia de unificación de la Sección Tercera del Consejo de Estado de </w:t>
      </w:r>
      <w:r w:rsidRPr="00332C16">
        <w:rPr>
          <w:rFonts w:eastAsia="Times New Roman"/>
          <w:color w:val="000000"/>
          <w:sz w:val="24"/>
          <w:szCs w:val="24"/>
          <w:lang w:val="es-ES"/>
        </w:rPr>
        <w:t>9 de febrero de 2012.</w:t>
      </w:r>
      <w:r w:rsidRPr="00332C16">
        <w:rPr>
          <w:rFonts w:eastAsia="Times New Roman"/>
          <w:color w:val="000000"/>
          <w:sz w:val="24"/>
          <w:szCs w:val="24"/>
          <w:vertAlign w:val="superscript"/>
          <w:lang w:val="es-ES"/>
        </w:rPr>
        <w:footnoteReference w:id="7"/>
      </w:r>
    </w:p>
    <w:p w14:paraId="4E2CDFCE"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p>
    <w:p w14:paraId="2A92B7EE"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r w:rsidRPr="00332C16">
        <w:rPr>
          <w:rFonts w:eastAsia="Times New Roman"/>
          <w:color w:val="000000"/>
          <w:sz w:val="24"/>
          <w:szCs w:val="24"/>
          <w:lang w:val="es-ES"/>
        </w:rPr>
        <w:t>Luego</w:t>
      </w:r>
      <w:r w:rsidRPr="00332C16">
        <w:rPr>
          <w:rFonts w:eastAsia="Times New Roman"/>
          <w:color w:val="000000"/>
          <w:sz w:val="24"/>
          <w:szCs w:val="24"/>
          <w:lang w:val="es-ES" w:eastAsia="es-ES"/>
        </w:rPr>
        <w:t>,</w:t>
      </w:r>
      <w:r w:rsidRPr="00332C16">
        <w:rPr>
          <w:rFonts w:eastAsia="Times New Roman"/>
          <w:color w:val="000000"/>
          <w:sz w:val="24"/>
          <w:szCs w:val="24"/>
          <w:lang w:val="es-ES"/>
        </w:rPr>
        <w:t xml:space="preserve"> explicó que la sociedad tutelante, en ejercicio de la acción contractual consagrada en el artículo 87 del Código Contencioso Administrativo (en adelante CCA), presentó demanda el 25 de febrero de 2004, en contra de la Secretaría de Educación del Distrito de Bogotá, para que se declarara la nulidad de los actos previos (adjudicación) y del contrato de suministro sin fecha No. 193 de 2003, suscrito entre el ente Distrital y la firma ABC LABORATORIOS S.A. </w:t>
      </w:r>
    </w:p>
    <w:p w14:paraId="59A6FF73"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p>
    <w:p w14:paraId="76A2BE62"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r w:rsidRPr="00332C16">
        <w:rPr>
          <w:rFonts w:eastAsia="Times New Roman"/>
          <w:color w:val="000000"/>
          <w:sz w:val="24"/>
          <w:szCs w:val="24"/>
          <w:lang w:val="es-ES"/>
        </w:rPr>
        <w:t>La Subsección B, Sección Tercera del Consejo de Estado</w:t>
      </w:r>
      <w:r w:rsidRPr="00332C16">
        <w:rPr>
          <w:rFonts w:eastAsia="Times New Roman"/>
          <w:iCs/>
          <w:color w:val="000000"/>
          <w:sz w:val="24"/>
          <w:szCs w:val="24"/>
          <w:lang w:val="es-ES" w:eastAsia="es-ES"/>
        </w:rPr>
        <w:t>,</w:t>
      </w:r>
      <w:r w:rsidRPr="00332C16">
        <w:rPr>
          <w:rFonts w:eastAsia="Times New Roman"/>
          <w:color w:val="000000"/>
          <w:sz w:val="24"/>
          <w:szCs w:val="24"/>
          <w:lang w:val="es-ES"/>
        </w:rPr>
        <w:t xml:space="preserve"> hizo hincapié</w:t>
      </w:r>
      <w:r w:rsidRPr="00332C16">
        <w:rPr>
          <w:rFonts w:eastAsia="Times New Roman"/>
          <w:iCs/>
          <w:color w:val="000000"/>
          <w:sz w:val="24"/>
          <w:szCs w:val="24"/>
          <w:lang w:val="es-ES" w:eastAsia="es-ES"/>
        </w:rPr>
        <w:t xml:space="preserve"> en</w:t>
      </w:r>
      <w:r w:rsidRPr="00332C16">
        <w:rPr>
          <w:rFonts w:eastAsia="Times New Roman"/>
          <w:color w:val="000000"/>
          <w:sz w:val="24"/>
          <w:szCs w:val="24"/>
          <w:lang w:val="es-ES"/>
        </w:rPr>
        <w:t xml:space="preserve"> que esta acción se promovió en vigencia de la modificación introducida por la Ley 446 de 1998 al artículo 87 del CCA, por lo que le correspondía establecer si las pretensiones de restablecimiento fueron propuestas oportunamente, para lo cual explicó:</w:t>
      </w:r>
    </w:p>
    <w:p w14:paraId="5C6EAD1C"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p>
    <w:p w14:paraId="1CF40096"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
        </w:rPr>
      </w:pPr>
      <w:r w:rsidRPr="00332C16">
        <w:rPr>
          <w:rFonts w:eastAsia="Times New Roman"/>
          <w:color w:val="000000"/>
          <w:sz w:val="24"/>
          <w:szCs w:val="24"/>
          <w:lang w:val="es-ES"/>
        </w:rPr>
        <w:t>«El artículo 32 de la Ley 446 de 1998 dispuso que los actos previos a la celebración del contrato podrán ser controvertidos indistintamente en ejercicio de las acciones de nulidad y nulidad y restablecimiento del derecho, dentro de los treinta días siguientes a su comunicación, notificación o publicación</w:t>
      </w:r>
      <w:r w:rsidRPr="00332C16">
        <w:rPr>
          <w:rFonts w:eastAsia="Times New Roman"/>
          <w:color w:val="000000"/>
          <w:sz w:val="24"/>
          <w:szCs w:val="24"/>
          <w:vertAlign w:val="superscript"/>
          <w:lang w:val="es-ES"/>
        </w:rPr>
        <w:footnoteReference w:id="8"/>
      </w:r>
      <w:r w:rsidRPr="00332C16">
        <w:rPr>
          <w:rFonts w:eastAsia="Times New Roman"/>
          <w:color w:val="000000"/>
          <w:sz w:val="24"/>
          <w:szCs w:val="24"/>
          <w:lang w:val="es-ES"/>
        </w:rPr>
        <w:t xml:space="preserve">. Aunque la Sala entendió inicialmente que la norma involucraba todos los actos </w:t>
      </w:r>
      <w:r w:rsidRPr="00332C16">
        <w:rPr>
          <w:rFonts w:eastAsia="Times New Roman"/>
          <w:color w:val="000000"/>
          <w:sz w:val="24"/>
          <w:szCs w:val="24"/>
          <w:lang w:val="es-ES"/>
        </w:rPr>
        <w:lastRenderedPageBreak/>
        <w:t>previos</w:t>
      </w:r>
      <w:r w:rsidRPr="00332C16">
        <w:rPr>
          <w:rFonts w:eastAsia="Times New Roman"/>
          <w:i/>
          <w:color w:val="000000"/>
          <w:sz w:val="24"/>
          <w:szCs w:val="24"/>
          <w:vertAlign w:val="superscript"/>
          <w:lang w:val="es-ES"/>
        </w:rPr>
        <w:footnoteReference w:id="9"/>
      </w:r>
      <w:r w:rsidRPr="00332C16">
        <w:rPr>
          <w:rFonts w:eastAsia="Times New Roman"/>
          <w:color w:val="000000"/>
          <w:sz w:val="24"/>
          <w:szCs w:val="24"/>
          <w:lang w:val="es-ES"/>
        </w:rPr>
        <w:t>, por lo que los administrados con un interés directo –para el efecto los proponentes vencidos- o quienes en interés general pretendían preservar el ordenamiento, podían demandar la ilegalidad del acto de apertura del proceso licitatorio, el pliego de condiciones o el acto de adjudicación, sin inmiscuirse en la acción contractual. En suma, porque al tenor del artículo 87 del Código Contencioso Administrativo, modificado por el artículo 32 de la Ley 446 de 1998, los actos proferidos antes de la celebración del contrato, con ocasión de la gestión contractual se demandaban en ejercicio de las acciones “de nulidad y de nulidad y restablecimiento del derecho según el caso”.</w:t>
      </w:r>
    </w:p>
    <w:p w14:paraId="57C7462B"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
        </w:rPr>
      </w:pPr>
    </w:p>
    <w:p w14:paraId="12DBCAFF" w14:textId="77777777" w:rsidR="00136C0C" w:rsidRPr="00332C16" w:rsidRDefault="00136C0C" w:rsidP="00136C0C">
      <w:pPr>
        <w:widowControl w:val="0"/>
        <w:autoSpaceDE w:val="0"/>
        <w:autoSpaceDN w:val="0"/>
        <w:adjustRightInd w:val="0"/>
        <w:ind w:left="567"/>
        <w:jc w:val="both"/>
        <w:rPr>
          <w:rFonts w:eastAsia="Times New Roman"/>
          <w:i/>
          <w:color w:val="000000"/>
          <w:sz w:val="24"/>
          <w:szCs w:val="24"/>
          <w:lang w:val="es-ES"/>
        </w:rPr>
      </w:pPr>
      <w:r w:rsidRPr="00332C16">
        <w:rPr>
          <w:rFonts w:eastAsia="Times New Roman"/>
          <w:color w:val="000000"/>
          <w:sz w:val="24"/>
          <w:szCs w:val="24"/>
          <w:lang w:val="es-ES"/>
        </w:rPr>
        <w:t>Sin embargo, la misma Sala, con el propósito de precisar su alcance, encontró que solo podían impugnarse los actos precontractuales definitivos, dentro de los treinta días siguientes a la notificación</w:t>
      </w:r>
      <w:r w:rsidRPr="00332C16">
        <w:rPr>
          <w:rFonts w:eastAsia="Times New Roman"/>
          <w:color w:val="000000"/>
          <w:sz w:val="24"/>
          <w:szCs w:val="24"/>
          <w:vertAlign w:val="superscript"/>
          <w:lang w:val="es-ES"/>
        </w:rPr>
        <w:footnoteReference w:id="10"/>
      </w:r>
      <w:r w:rsidRPr="00332C16">
        <w:rPr>
          <w:rFonts w:eastAsia="Times New Roman"/>
          <w:color w:val="000000"/>
          <w:sz w:val="24"/>
          <w:szCs w:val="24"/>
          <w:lang w:val="es-ES"/>
        </w:rPr>
        <w:t>».</w:t>
      </w:r>
    </w:p>
    <w:p w14:paraId="15075748"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p>
    <w:p w14:paraId="55AC12F0"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r w:rsidRPr="00332C16">
        <w:rPr>
          <w:rFonts w:eastAsia="Times New Roman"/>
          <w:color w:val="000000"/>
          <w:sz w:val="24"/>
          <w:szCs w:val="24"/>
          <w:lang w:val="es-ES"/>
        </w:rPr>
        <w:t xml:space="preserve">Afirmó </w:t>
      </w:r>
      <w:proofErr w:type="gramStart"/>
      <w:r w:rsidRPr="00332C16">
        <w:rPr>
          <w:rFonts w:eastAsia="Times New Roman"/>
          <w:color w:val="000000"/>
          <w:sz w:val="24"/>
          <w:szCs w:val="24"/>
          <w:lang w:val="es-ES"/>
        </w:rPr>
        <w:t>que</w:t>
      </w:r>
      <w:proofErr w:type="gramEnd"/>
      <w:r w:rsidRPr="00332C16">
        <w:rPr>
          <w:rFonts w:eastAsia="Times New Roman"/>
          <w:color w:val="000000"/>
          <w:sz w:val="24"/>
          <w:szCs w:val="24"/>
          <w:lang w:val="es-ES"/>
        </w:rPr>
        <w:t xml:space="preserve"> como consecuencia de lo anterior, no hay duda </w:t>
      </w:r>
      <w:r w:rsidRPr="00332C16">
        <w:rPr>
          <w:rFonts w:eastAsia="Times New Roman"/>
          <w:iCs/>
          <w:color w:val="000000"/>
          <w:sz w:val="24"/>
          <w:szCs w:val="24"/>
          <w:lang w:val="es-ES" w:eastAsia="es-ES"/>
        </w:rPr>
        <w:t xml:space="preserve">de </w:t>
      </w:r>
      <w:r w:rsidRPr="00332C16">
        <w:rPr>
          <w:rFonts w:eastAsia="Times New Roman"/>
          <w:color w:val="000000"/>
          <w:sz w:val="24"/>
          <w:szCs w:val="24"/>
          <w:lang w:val="es-ES"/>
        </w:rPr>
        <w:t>que una vez celebrado el contrato el proponente vencido podrá solicitar tanto la nulidad de los actos previos como del contrato, en ejercicio de la acción contractual y concretar allí mismo sus aspiraciones económicas a título de restablecimiento del derecho, pero en este caso el término para el ejercicio de la acción será de treinta días, contados a partir de la comunicación, publicación o notificación del acto, según el caso.</w:t>
      </w:r>
    </w:p>
    <w:p w14:paraId="455F5A5A" w14:textId="77777777" w:rsidR="00136C0C" w:rsidRPr="00332C16" w:rsidRDefault="006F3592" w:rsidP="006F3592">
      <w:pPr>
        <w:widowControl w:val="0"/>
        <w:tabs>
          <w:tab w:val="left" w:pos="1590"/>
        </w:tabs>
        <w:autoSpaceDE w:val="0"/>
        <w:autoSpaceDN w:val="0"/>
        <w:adjustRightInd w:val="0"/>
        <w:spacing w:line="276" w:lineRule="auto"/>
        <w:jc w:val="both"/>
        <w:rPr>
          <w:rFonts w:eastAsia="Times New Roman"/>
          <w:color w:val="000000"/>
          <w:sz w:val="24"/>
          <w:szCs w:val="24"/>
          <w:lang w:val="es-ES"/>
        </w:rPr>
      </w:pPr>
      <w:r>
        <w:rPr>
          <w:rFonts w:eastAsia="Times New Roman"/>
          <w:color w:val="000000"/>
          <w:sz w:val="24"/>
          <w:szCs w:val="24"/>
          <w:lang w:val="es-ES"/>
        </w:rPr>
        <w:tab/>
      </w:r>
    </w:p>
    <w:p w14:paraId="761A0E60"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r w:rsidRPr="00332C16">
        <w:rPr>
          <w:rFonts w:eastAsia="Times New Roman"/>
          <w:color w:val="000000"/>
          <w:sz w:val="24"/>
          <w:szCs w:val="24"/>
          <w:lang w:val="es-ES"/>
        </w:rPr>
        <w:t>La autoridad judicial cuestionada aclaró que una vez transcurridos los treinta días desde la publicidad del acto administrativo precontractual, así el ordenamiento prevea la posibilidad de demandar la nulidad del contrato, con base en la nulidad de los actos previos, no cabe el restablecimiento del derecho consecuencial, por haber caducado el término previsto por la ley para invocarlo, al margen de que la acción contractual se interponga con vocación de restablecimiento, por haber caducado la acción frente a la reparación del daño.</w:t>
      </w:r>
      <w:r w:rsidRPr="00332C16">
        <w:rPr>
          <w:rFonts w:eastAsia="Times New Roman"/>
          <w:color w:val="000000"/>
          <w:sz w:val="24"/>
          <w:szCs w:val="24"/>
          <w:vertAlign w:val="superscript"/>
          <w:lang w:val="es-ES"/>
        </w:rPr>
        <w:footnoteReference w:id="11"/>
      </w:r>
    </w:p>
    <w:p w14:paraId="60A6775A"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p>
    <w:p w14:paraId="6D3DA8E9"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r w:rsidRPr="00332C16">
        <w:rPr>
          <w:rFonts w:eastAsia="Times New Roman"/>
          <w:color w:val="000000"/>
          <w:sz w:val="24"/>
          <w:szCs w:val="24"/>
          <w:lang w:val="es-ES"/>
        </w:rPr>
        <w:t>A partir de lo anterior, en el caso concreto, explicó sobre la caducidad, lo siguiente:</w:t>
      </w:r>
    </w:p>
    <w:p w14:paraId="7185DE17"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p>
    <w:p w14:paraId="37A6047A"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
        </w:rPr>
      </w:pPr>
      <w:r w:rsidRPr="00332C16">
        <w:rPr>
          <w:rFonts w:eastAsia="Times New Roman"/>
          <w:color w:val="000000"/>
          <w:sz w:val="24"/>
          <w:szCs w:val="24"/>
          <w:lang w:val="es-ES"/>
        </w:rPr>
        <w:t>«</w:t>
      </w:r>
      <w:r w:rsidRPr="00332C16">
        <w:rPr>
          <w:rFonts w:eastAsia="Times New Roman"/>
          <w:color w:val="000000"/>
          <w:sz w:val="24"/>
          <w:szCs w:val="24"/>
          <w:lang w:val="es-ES_tradnl"/>
        </w:rPr>
        <w:t xml:space="preserve">En el caso concreto, aunque la sociedad ANALYTICA tiene la condición de apelante único, por lo que en principio no podría hacerse más gravosa su situación, no puede pasarse por alto lo relativo a los presupuestos procesales, cuyo cumplimiento corresponde verificar en tanto requisitos objetivos de procedibilidad, por lo que, en el caso concreto, aunque se desconoce la fecha exacta del contrato de suministro n.° </w:t>
      </w:r>
      <w:r w:rsidRPr="00332C16">
        <w:rPr>
          <w:rFonts w:eastAsia="Times New Roman"/>
          <w:color w:val="000000"/>
          <w:sz w:val="24"/>
          <w:szCs w:val="24"/>
          <w:lang w:val="es-ES"/>
        </w:rPr>
        <w:t xml:space="preserve">VL-193-00-03, suscrito entre la Secretaría de Educación y la firma ABC LABORATORIOS S.A., lo cierto es que el 29 de diciembre de 2003 en el marco de la audiencia convocada con tal fin se resolvió adjudicar el contrato a la firma ABC LABORATORIOS y se expidió la </w:t>
      </w:r>
      <w:r w:rsidRPr="00332C16">
        <w:rPr>
          <w:rFonts w:eastAsia="Times New Roman"/>
          <w:color w:val="000000"/>
          <w:sz w:val="24"/>
          <w:szCs w:val="24"/>
          <w:lang w:val="es-ES_tradnl"/>
        </w:rPr>
        <w:t xml:space="preserve">resolución n.° 4205, para hacer constar la decisión. </w:t>
      </w:r>
      <w:r w:rsidRPr="00332C16">
        <w:rPr>
          <w:rFonts w:eastAsia="Times New Roman"/>
          <w:b/>
          <w:color w:val="000000"/>
          <w:sz w:val="24"/>
          <w:szCs w:val="24"/>
          <w:lang w:val="es-ES_tradnl"/>
        </w:rPr>
        <w:t xml:space="preserve">En ese orden, acorde </w:t>
      </w:r>
      <w:r w:rsidRPr="00332C16">
        <w:rPr>
          <w:rFonts w:eastAsia="Times New Roman"/>
          <w:b/>
          <w:color w:val="000000"/>
          <w:sz w:val="24"/>
          <w:szCs w:val="24"/>
          <w:lang w:val="es-ES_tradnl"/>
        </w:rPr>
        <w:lastRenderedPageBreak/>
        <w:t>con la jurisprudencia unificada, corresponde a la Sala, oficiosamente, pronunciarse sobre la caducidad de la acción en lo que tiene que ver con la pretensión de restablecimiento. Esto porque –como quedó explicado- a partir del día siguiente a la notificación, publicación o ejecución de la resolución en cita, la sociedad actora contaba con treinta días hábiles para impugnar el acto, con miras a lograr la reparación del daño, sin perjuicio de la acumulación con la acción de nulidad del contrato en razón del acto de adjudicación</w:t>
      </w:r>
      <w:r w:rsidRPr="00332C16">
        <w:rPr>
          <w:rFonts w:eastAsia="Times New Roman"/>
          <w:color w:val="000000"/>
          <w:sz w:val="24"/>
          <w:szCs w:val="24"/>
          <w:lang w:val="es-ES_tradnl"/>
        </w:rPr>
        <w:t xml:space="preserve">. A juicio de la Sala, el restablecimiento del proponente vencido deberá plantearse ante el juez, dentro de los treinta días siguientes a la expedición del acto y no dentro de los dos años contados a partir del perfeccionamiento del contrato, término reservado a la acción contractual, inclusive para ejercer el control de legalidad del acto para efectos de su confrontación con el ordenamiento. Sin embargo, la acción que se resuelve, se ejerció el </w:t>
      </w:r>
      <w:r w:rsidRPr="00332C16">
        <w:rPr>
          <w:rFonts w:eastAsia="Times New Roman"/>
          <w:color w:val="000000"/>
          <w:sz w:val="24"/>
          <w:szCs w:val="24"/>
          <w:lang w:val="es-ES"/>
        </w:rPr>
        <w:t xml:space="preserve">25 de febrero de 2004, cuando ya había vencido el término para solicitar el restablecimiento en orden a la reparación de sus aspiraciones económicas, por lo que no hay duda de su ejercicio extemporáneo. </w:t>
      </w:r>
    </w:p>
    <w:p w14:paraId="77069A5A"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
        </w:rPr>
      </w:pPr>
    </w:p>
    <w:p w14:paraId="535C6D53"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
        </w:rPr>
      </w:pPr>
      <w:r w:rsidRPr="00332C16">
        <w:rPr>
          <w:rFonts w:eastAsia="Times New Roman"/>
          <w:color w:val="000000"/>
          <w:sz w:val="24"/>
          <w:szCs w:val="24"/>
          <w:lang w:val="es-ES"/>
        </w:rPr>
        <w:t>En conclusión, las pretensiones de restablecimiento del derecho fueron propuestas de manera extemporánea, por lo que corresponde declarar de ofició la caducidad de la acción respecto de aquellas, sin perjuicio de la competencia para revisar la nulidad del contrato, en razón de la nulidad del acto de adjudicación, por haberse presentado dentro del bienio establecido en la ley, en los términos que se dejan expuestos».</w:t>
      </w:r>
      <w:r w:rsidRPr="00332C16">
        <w:rPr>
          <w:rFonts w:eastAsia="Times New Roman"/>
          <w:color w:val="000000"/>
          <w:sz w:val="24"/>
          <w:szCs w:val="24"/>
          <w:vertAlign w:val="superscript"/>
          <w:lang w:val="es-ES"/>
        </w:rPr>
        <w:footnoteReference w:id="12"/>
      </w:r>
    </w:p>
    <w:p w14:paraId="1BDAE218"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37207D80"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r w:rsidRPr="00332C16">
        <w:rPr>
          <w:rFonts w:eastAsia="Times New Roman"/>
          <w:color w:val="000000"/>
          <w:sz w:val="24"/>
          <w:szCs w:val="24"/>
          <w:lang w:val="es-ES_tradnl"/>
        </w:rPr>
        <w:t>e) Frente a la anterior providencia se solicitó adición.</w:t>
      </w:r>
      <w:r w:rsidRPr="00332C16">
        <w:rPr>
          <w:rFonts w:eastAsia="Times New Roman"/>
          <w:color w:val="000000"/>
          <w:sz w:val="24"/>
          <w:szCs w:val="24"/>
          <w:vertAlign w:val="superscript"/>
          <w:lang w:val="es-ES_tradnl"/>
        </w:rPr>
        <w:footnoteReference w:id="13"/>
      </w:r>
      <w:r w:rsidRPr="00332C16">
        <w:rPr>
          <w:rFonts w:eastAsia="Times New Roman"/>
          <w:color w:val="000000"/>
          <w:sz w:val="24"/>
          <w:szCs w:val="24"/>
          <w:lang w:val="es-ES_tradnl"/>
        </w:rPr>
        <w:t xml:space="preserve"> </w:t>
      </w:r>
      <w:r w:rsidRPr="00332C16">
        <w:rPr>
          <w:rFonts w:eastAsia="Times New Roman"/>
          <w:color w:val="000000"/>
          <w:sz w:val="24"/>
          <w:szCs w:val="24"/>
          <w:lang w:val="es-ES_tradnl" w:eastAsia="es-ES"/>
        </w:rPr>
        <w:t>Esta</w:t>
      </w:r>
      <w:r w:rsidRPr="00332C16">
        <w:rPr>
          <w:rFonts w:eastAsia="Times New Roman"/>
          <w:color w:val="000000"/>
          <w:sz w:val="24"/>
          <w:szCs w:val="24"/>
          <w:lang w:val="es-ES_tradnl"/>
        </w:rPr>
        <w:t xml:space="preserve"> fue negada mediante auto del 2 de mayo de 2016</w:t>
      </w:r>
      <w:r w:rsidRPr="00332C16">
        <w:rPr>
          <w:rFonts w:eastAsia="Times New Roman"/>
          <w:color w:val="000000"/>
          <w:sz w:val="24"/>
          <w:szCs w:val="24"/>
          <w:lang w:val="es-ES_tradnl" w:eastAsia="es-ES"/>
        </w:rPr>
        <w:t>, dictada</w:t>
      </w:r>
      <w:r w:rsidRPr="00332C16">
        <w:rPr>
          <w:rFonts w:eastAsia="Times New Roman"/>
          <w:color w:val="000000"/>
          <w:sz w:val="24"/>
          <w:szCs w:val="24"/>
          <w:lang w:val="es-ES_tradnl"/>
        </w:rPr>
        <w:t xml:space="preserve"> por la Subsección B, Sección Tercera de Consejo de Estado.</w:t>
      </w:r>
      <w:r w:rsidRPr="00332C16">
        <w:rPr>
          <w:rFonts w:eastAsia="Times New Roman"/>
          <w:color w:val="000000"/>
          <w:sz w:val="24"/>
          <w:szCs w:val="24"/>
          <w:vertAlign w:val="superscript"/>
          <w:lang w:val="es-ES_tradnl"/>
        </w:rPr>
        <w:footnoteReference w:id="14"/>
      </w:r>
      <w:r w:rsidRPr="00332C16">
        <w:rPr>
          <w:rFonts w:eastAsia="Times New Roman"/>
          <w:color w:val="000000"/>
          <w:sz w:val="24"/>
          <w:szCs w:val="24"/>
          <w:lang w:val="es-ES_tradnl"/>
        </w:rPr>
        <w:t xml:space="preserve"> </w:t>
      </w:r>
      <w:r w:rsidRPr="00332C16">
        <w:rPr>
          <w:rFonts w:eastAsia="Times New Roman"/>
          <w:color w:val="000000"/>
          <w:sz w:val="24"/>
          <w:szCs w:val="24"/>
          <w:lang w:val="es-ES_tradnl" w:eastAsia="es-ES"/>
        </w:rPr>
        <w:t>Dicha decisión fue</w:t>
      </w:r>
      <w:r w:rsidRPr="00332C16">
        <w:rPr>
          <w:rFonts w:eastAsia="Times New Roman"/>
          <w:color w:val="000000"/>
          <w:sz w:val="24"/>
          <w:szCs w:val="24"/>
          <w:lang w:val="es-ES_tradnl"/>
        </w:rPr>
        <w:t xml:space="preserve"> notificada en estado del 6 de julio de ese año.</w:t>
      </w:r>
    </w:p>
    <w:p w14:paraId="747B559D"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3A905821" w14:textId="77777777" w:rsidR="00136C0C" w:rsidRPr="00332C16" w:rsidRDefault="00136C0C" w:rsidP="00136C0C">
      <w:pPr>
        <w:widowControl w:val="0"/>
        <w:autoSpaceDE w:val="0"/>
        <w:autoSpaceDN w:val="0"/>
        <w:adjustRightInd w:val="0"/>
        <w:spacing w:line="276" w:lineRule="auto"/>
        <w:jc w:val="both"/>
        <w:rPr>
          <w:rFonts w:eastAsia="Times New Roman"/>
          <w:b/>
          <w:color w:val="000000"/>
          <w:sz w:val="24"/>
          <w:szCs w:val="24"/>
          <w:lang w:val="es-ES_tradnl"/>
        </w:rPr>
      </w:pPr>
      <w:r w:rsidRPr="00332C16">
        <w:rPr>
          <w:rFonts w:eastAsia="Times New Roman"/>
          <w:b/>
          <w:color w:val="000000"/>
          <w:sz w:val="24"/>
          <w:szCs w:val="24"/>
          <w:lang w:val="es-ES_tradnl"/>
        </w:rPr>
        <w:t>1.3. Pretensión constitucional</w:t>
      </w:r>
    </w:p>
    <w:p w14:paraId="4E91B9A3"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478B7F47"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r w:rsidRPr="00332C16">
        <w:rPr>
          <w:rFonts w:eastAsia="Times New Roman"/>
          <w:color w:val="000000"/>
          <w:sz w:val="24"/>
          <w:szCs w:val="24"/>
          <w:lang w:val="es-ES_tradnl"/>
        </w:rPr>
        <w:t>La tutelante con la presente acción solicitó:</w:t>
      </w:r>
      <w:r w:rsidRPr="00332C16">
        <w:rPr>
          <w:rFonts w:eastAsia="Times New Roman"/>
          <w:color w:val="000000"/>
          <w:sz w:val="24"/>
          <w:szCs w:val="24"/>
          <w:vertAlign w:val="superscript"/>
          <w:lang w:val="es-ES_tradnl"/>
        </w:rPr>
        <w:footnoteReference w:id="15"/>
      </w:r>
    </w:p>
    <w:p w14:paraId="4D9E9132"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5735132A"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rPr>
      </w:pPr>
      <w:r w:rsidRPr="00332C16">
        <w:rPr>
          <w:rFonts w:eastAsia="Times New Roman"/>
          <w:color w:val="000000"/>
          <w:sz w:val="24"/>
          <w:szCs w:val="24"/>
          <w:lang w:val="es-ES_tradnl"/>
        </w:rPr>
        <w:t>«</w:t>
      </w:r>
      <w:r w:rsidRPr="00332C16">
        <w:rPr>
          <w:rFonts w:eastAsia="Times New Roman"/>
          <w:color w:val="000000"/>
          <w:sz w:val="24"/>
          <w:szCs w:val="24"/>
        </w:rPr>
        <w:t>…que revoque las referidas decisiones de 29 de octubre de 2015 y 2 de mayo de 2016 tomadas por una de sus subsecciones {sic} en aras de que: (I) se preserve el Derecho al Debido proceso y al Acceso a la Justicia de la accionante, vulnerados por la mencionada subsección al declarar caducada la acción promovida; (ii) se cuente con la oportunidad para que la máxima autoridad en la Jurisdicción de lo Contencioso Administrativo siente un tan necesario precedente en materia del principio de confianza legítima, fundamental en un estado de derecho</w:t>
      </w:r>
      <w:r w:rsidRPr="00332C16">
        <w:rPr>
          <w:rFonts w:eastAsia="Times New Roman"/>
          <w:color w:val="000000"/>
          <w:sz w:val="24"/>
          <w:szCs w:val="24"/>
          <w:lang w:val="es-ES_tradnl"/>
        </w:rPr>
        <w:t>».</w:t>
      </w:r>
    </w:p>
    <w:p w14:paraId="2A2D1098"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1DE264FF" w14:textId="77777777" w:rsidR="00136C0C" w:rsidRPr="00332C16" w:rsidRDefault="00136C0C" w:rsidP="00136C0C">
      <w:pPr>
        <w:widowControl w:val="0"/>
        <w:autoSpaceDE w:val="0"/>
        <w:autoSpaceDN w:val="0"/>
        <w:adjustRightInd w:val="0"/>
        <w:spacing w:line="276" w:lineRule="auto"/>
        <w:jc w:val="both"/>
        <w:rPr>
          <w:rFonts w:eastAsia="Times New Roman"/>
          <w:b/>
          <w:color w:val="000000"/>
          <w:sz w:val="24"/>
          <w:szCs w:val="24"/>
          <w:lang w:val="es-ES"/>
        </w:rPr>
      </w:pPr>
      <w:r w:rsidRPr="00332C16">
        <w:rPr>
          <w:rFonts w:eastAsia="Times New Roman"/>
          <w:b/>
          <w:color w:val="000000"/>
          <w:sz w:val="24"/>
          <w:szCs w:val="24"/>
          <w:lang w:val="es-ES"/>
        </w:rPr>
        <w:t>1.4. Fundamentos de la tutela</w:t>
      </w:r>
    </w:p>
    <w:p w14:paraId="114952F2"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p>
    <w:p w14:paraId="44FFCC41"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r w:rsidRPr="00332C16">
        <w:rPr>
          <w:rFonts w:eastAsia="Times New Roman"/>
          <w:color w:val="000000"/>
          <w:sz w:val="24"/>
          <w:szCs w:val="24"/>
          <w:lang w:val="es-ES"/>
        </w:rPr>
        <w:t xml:space="preserve">Revisado el escrito de tutela, la sociedad </w:t>
      </w:r>
      <w:r w:rsidRPr="00332C16">
        <w:rPr>
          <w:rFonts w:eastAsia="Times New Roman"/>
          <w:b/>
          <w:color w:val="000000"/>
          <w:sz w:val="24"/>
          <w:szCs w:val="24"/>
          <w:lang w:val="es-ES"/>
        </w:rPr>
        <w:t>ANALYTICA</w:t>
      </w:r>
      <w:r w:rsidRPr="00332C16">
        <w:rPr>
          <w:rFonts w:eastAsia="Times New Roman"/>
          <w:color w:val="000000"/>
          <w:sz w:val="24"/>
          <w:szCs w:val="24"/>
          <w:lang w:val="es-ES"/>
        </w:rPr>
        <w:t xml:space="preserve"> planteó como causales especiales de procedibilidad</w:t>
      </w:r>
      <w:r w:rsidRPr="00332C16">
        <w:rPr>
          <w:rFonts w:eastAsia="Times New Roman"/>
          <w:color w:val="000000"/>
          <w:sz w:val="24"/>
          <w:szCs w:val="24"/>
          <w:lang w:val="es-ES" w:eastAsia="es-ES"/>
        </w:rPr>
        <w:t>,</w:t>
      </w:r>
      <w:r w:rsidRPr="00332C16">
        <w:rPr>
          <w:rFonts w:eastAsia="Times New Roman"/>
          <w:color w:val="000000"/>
          <w:sz w:val="24"/>
          <w:szCs w:val="24"/>
          <w:lang w:val="es-ES"/>
        </w:rPr>
        <w:t xml:space="preserve"> las siguientes:</w:t>
      </w:r>
    </w:p>
    <w:p w14:paraId="244BB840"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p>
    <w:p w14:paraId="07E8328A"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eastAsia="es-ES"/>
        </w:rPr>
      </w:pPr>
      <w:r w:rsidRPr="00332C16">
        <w:rPr>
          <w:rFonts w:eastAsia="Times New Roman"/>
          <w:b/>
          <w:color w:val="000000"/>
          <w:sz w:val="24"/>
          <w:szCs w:val="24"/>
          <w:lang w:val="es-ES"/>
        </w:rPr>
        <w:lastRenderedPageBreak/>
        <w:t>1.4.1. Defecto sustantivo</w:t>
      </w:r>
      <w:r w:rsidRPr="00332C16">
        <w:rPr>
          <w:rFonts w:eastAsia="Times New Roman"/>
          <w:color w:val="000000"/>
          <w:sz w:val="24"/>
          <w:szCs w:val="24"/>
          <w:lang w:val="es-ES"/>
        </w:rPr>
        <w:t>. Para soportar dicho defecto, trajo a colación varias sentencias de la Sección Tercera del Consejo de Estado,</w:t>
      </w:r>
      <w:r w:rsidRPr="00332C16">
        <w:rPr>
          <w:rFonts w:eastAsia="Times New Roman"/>
          <w:color w:val="000000"/>
          <w:sz w:val="24"/>
          <w:szCs w:val="24"/>
          <w:vertAlign w:val="superscript"/>
          <w:lang w:val="es-ES"/>
        </w:rPr>
        <w:footnoteReference w:id="16"/>
      </w:r>
      <w:r w:rsidRPr="00332C16">
        <w:rPr>
          <w:rFonts w:eastAsia="Times New Roman"/>
          <w:color w:val="000000"/>
          <w:sz w:val="24"/>
          <w:szCs w:val="24"/>
          <w:lang w:val="es-ES"/>
        </w:rPr>
        <w:t xml:space="preserve"> a partir de lo cual, indicó que «</w:t>
      </w:r>
      <w:r w:rsidRPr="00332C16">
        <w:rPr>
          <w:rFonts w:eastAsia="Times New Roman"/>
          <w:i/>
          <w:color w:val="000000"/>
          <w:sz w:val="24"/>
          <w:szCs w:val="24"/>
          <w:lang w:val="es-ES"/>
        </w:rPr>
        <w:t>…</w:t>
      </w:r>
      <w:r w:rsidRPr="00332C16">
        <w:rPr>
          <w:rFonts w:eastAsia="Times New Roman"/>
          <w:i/>
          <w:color w:val="000000"/>
          <w:sz w:val="24"/>
          <w:szCs w:val="24"/>
          <w:lang w:val="es-ES" w:eastAsia="es-ES"/>
        </w:rPr>
        <w:t>para la época en que la sociedad ANALYTICA LTDA. instauró la demanda en contra de la SECRETARÍA DE EDUCACIÓN DEL DISTRITO CAPITAL, esto es, el 25 de febrero de 2004, el perjudicado podía acceder a la administración de justicia, en ejercicio de la acción de controversias contractuales establecida en el artículo 87 del C.C.A., que, estipulaba la posibilidad de demandar la nulidad del contrato atada a  la declaratoria de nulidad del acto de adjudicación y, de allí, conexo, las pretensiones consecuenciales indemnizatorias</w:t>
      </w:r>
      <w:r w:rsidRPr="00332C16">
        <w:rPr>
          <w:rFonts w:eastAsia="Times New Roman"/>
          <w:color w:val="000000"/>
          <w:sz w:val="24"/>
          <w:szCs w:val="24"/>
          <w:lang w:val="es-ES" w:eastAsia="es-ES"/>
        </w:rPr>
        <w:t>».</w:t>
      </w:r>
    </w:p>
    <w:p w14:paraId="71E78FF4" w14:textId="77777777" w:rsidR="00136C0C" w:rsidRPr="00332C16" w:rsidRDefault="00136C0C" w:rsidP="00136C0C">
      <w:pPr>
        <w:widowControl w:val="0"/>
        <w:autoSpaceDE w:val="0"/>
        <w:autoSpaceDN w:val="0"/>
        <w:adjustRightInd w:val="0"/>
        <w:jc w:val="both"/>
        <w:rPr>
          <w:rFonts w:eastAsia="Times New Roman"/>
          <w:color w:val="000000"/>
          <w:sz w:val="24"/>
          <w:szCs w:val="24"/>
          <w:lang w:val="es-ES"/>
        </w:rPr>
      </w:pPr>
    </w:p>
    <w:p w14:paraId="5B8A69D7"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r w:rsidRPr="00332C16">
        <w:rPr>
          <w:rFonts w:eastAsia="Times New Roman"/>
          <w:b/>
          <w:color w:val="000000"/>
          <w:sz w:val="24"/>
          <w:szCs w:val="24"/>
          <w:lang w:val="es-ES"/>
        </w:rPr>
        <w:t>1.4.2. Defecto procedimental</w:t>
      </w:r>
      <w:r w:rsidRPr="00332C16">
        <w:rPr>
          <w:rFonts w:eastAsia="Times New Roman"/>
          <w:color w:val="000000"/>
          <w:sz w:val="24"/>
          <w:szCs w:val="24"/>
          <w:lang w:val="es-ES"/>
        </w:rPr>
        <w:t xml:space="preserve">. Como en el anterior defecto, citó y transcribió apartes de una sentencia de la Sección Tercera del Consejo de </w:t>
      </w:r>
      <w:r w:rsidRPr="00332C16">
        <w:rPr>
          <w:rFonts w:eastAsia="Times New Roman"/>
          <w:color w:val="000000"/>
          <w:sz w:val="24"/>
          <w:szCs w:val="24"/>
          <w:lang w:val="es-ES" w:eastAsia="es-ES"/>
        </w:rPr>
        <w:t>Estado</w:t>
      </w:r>
      <w:r w:rsidRPr="00332C16">
        <w:rPr>
          <w:rFonts w:eastAsia="Times New Roman"/>
          <w:color w:val="000000"/>
          <w:sz w:val="24"/>
          <w:szCs w:val="24"/>
          <w:lang w:val="es-ES"/>
        </w:rPr>
        <w:t xml:space="preserve"> y de la Corte Constitucional,</w:t>
      </w:r>
      <w:r w:rsidRPr="00332C16">
        <w:rPr>
          <w:rFonts w:eastAsia="Times New Roman"/>
          <w:color w:val="000000"/>
          <w:sz w:val="24"/>
          <w:szCs w:val="24"/>
          <w:vertAlign w:val="superscript"/>
          <w:lang w:val="es-ES"/>
        </w:rPr>
        <w:footnoteReference w:id="17"/>
      </w:r>
      <w:r w:rsidRPr="00332C16">
        <w:rPr>
          <w:rFonts w:eastAsia="Times New Roman"/>
          <w:color w:val="000000"/>
          <w:sz w:val="24"/>
          <w:szCs w:val="24"/>
          <w:lang w:val="es-ES"/>
        </w:rPr>
        <w:t xml:space="preserve"> para indicar que la Subsección B de la mencionada sección «</w:t>
      </w:r>
      <w:r w:rsidRPr="00332C16">
        <w:rPr>
          <w:rFonts w:eastAsia="Times New Roman"/>
          <w:i/>
          <w:color w:val="000000"/>
          <w:sz w:val="24"/>
          <w:szCs w:val="24"/>
          <w:lang w:val="es-ES"/>
        </w:rPr>
        <w:t>…i</w:t>
      </w:r>
      <w:r w:rsidRPr="00332C16">
        <w:rPr>
          <w:rFonts w:eastAsia="Times New Roman"/>
          <w:i/>
          <w:color w:val="000000"/>
          <w:sz w:val="24"/>
          <w:szCs w:val="24"/>
          <w:lang w:val="es-ES" w:eastAsia="es-ES"/>
        </w:rPr>
        <w:t xml:space="preserve">ncurrió en una vía de hecho por defecto procedimental, vulnerando los derechos de mi poderdante, al haber proferido la Sentencia {sic} de fecha 29 de octubre de 2015 mediante la cual se declaró probada oficiosamente la caducidad de la acción contractual promovida por la sociedad </w:t>
      </w:r>
      <w:proofErr w:type="spellStart"/>
      <w:r w:rsidRPr="00332C16">
        <w:rPr>
          <w:rFonts w:eastAsia="Times New Roman"/>
          <w:i/>
          <w:color w:val="000000"/>
          <w:sz w:val="24"/>
          <w:szCs w:val="24"/>
          <w:lang w:val="es-ES" w:eastAsia="es-ES"/>
        </w:rPr>
        <w:t>Analytica</w:t>
      </w:r>
      <w:proofErr w:type="spellEnd"/>
      <w:r w:rsidRPr="00332C16">
        <w:rPr>
          <w:rFonts w:eastAsia="Times New Roman"/>
          <w:i/>
          <w:color w:val="000000"/>
          <w:sz w:val="24"/>
          <w:szCs w:val="24"/>
          <w:lang w:val="es-ES" w:eastAsia="es-ES"/>
        </w:rPr>
        <w:t>, así como la providencia de 2 de mayo de 2016, notificada por estado de 6 de julio de 2016, mediante la cual se negó la adición de la Sentencia {sic} de 29 de octubre de 2015, desconociendo la jurisprudencia que hemos citado anteriormente, según la cual era procedente acudir a la acción contractual, cuyo término de caducidad es de 2 años, a partir de la suscripción del respectivo contrato</w:t>
      </w:r>
      <w:r w:rsidRPr="00332C16">
        <w:rPr>
          <w:rFonts w:eastAsia="Times New Roman"/>
          <w:color w:val="000000"/>
          <w:sz w:val="24"/>
          <w:szCs w:val="24"/>
          <w:lang w:val="es-ES" w:eastAsia="es-ES"/>
        </w:rPr>
        <w:t>».</w:t>
      </w:r>
    </w:p>
    <w:p w14:paraId="680B5404" w14:textId="77777777" w:rsidR="00136C0C" w:rsidRPr="00332C16" w:rsidRDefault="00136C0C" w:rsidP="00136C0C">
      <w:pPr>
        <w:widowControl w:val="0"/>
        <w:autoSpaceDE w:val="0"/>
        <w:autoSpaceDN w:val="0"/>
        <w:adjustRightInd w:val="0"/>
        <w:jc w:val="both"/>
        <w:rPr>
          <w:rFonts w:eastAsia="Times New Roman"/>
          <w:color w:val="000000"/>
          <w:sz w:val="24"/>
          <w:szCs w:val="24"/>
          <w:lang w:val="es-ES"/>
        </w:rPr>
      </w:pPr>
    </w:p>
    <w:p w14:paraId="15A30169"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r w:rsidRPr="00332C16">
        <w:rPr>
          <w:rFonts w:eastAsia="Times New Roman"/>
          <w:b/>
          <w:color w:val="000000"/>
          <w:sz w:val="24"/>
          <w:szCs w:val="24"/>
          <w:lang w:val="es-ES"/>
        </w:rPr>
        <w:t>2. Trámite de instancia</w:t>
      </w:r>
    </w:p>
    <w:p w14:paraId="2979D876" w14:textId="77777777" w:rsidR="00136C0C" w:rsidRPr="00332C16" w:rsidRDefault="00136C0C" w:rsidP="00136C0C">
      <w:pPr>
        <w:widowControl w:val="0"/>
        <w:autoSpaceDE w:val="0"/>
        <w:autoSpaceDN w:val="0"/>
        <w:adjustRightInd w:val="0"/>
        <w:jc w:val="both"/>
        <w:rPr>
          <w:rFonts w:eastAsia="Times New Roman"/>
          <w:color w:val="000000"/>
          <w:sz w:val="24"/>
          <w:szCs w:val="24"/>
          <w:lang w:val="es-ES"/>
        </w:rPr>
      </w:pPr>
    </w:p>
    <w:p w14:paraId="4271ED00"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r w:rsidRPr="00332C16">
        <w:rPr>
          <w:rFonts w:eastAsia="Times New Roman"/>
          <w:color w:val="000000"/>
          <w:sz w:val="24"/>
          <w:szCs w:val="24"/>
          <w:lang w:val="es-ES"/>
        </w:rPr>
        <w:t>La Sección Cuarta del Consejo de Estado, mediante auto del 17 de enero de 2016, admitió la tutela y ordenó notificar como demandados a los Magistrados integrantes de la Subsección B, Sección Tercera del Consejo de Estado.</w:t>
      </w:r>
      <w:r w:rsidRPr="00332C16">
        <w:rPr>
          <w:rFonts w:eastAsia="Times New Roman"/>
          <w:color w:val="000000"/>
          <w:sz w:val="24"/>
          <w:szCs w:val="24"/>
          <w:vertAlign w:val="superscript"/>
          <w:lang w:val="es-ES"/>
        </w:rPr>
        <w:footnoteReference w:id="18"/>
      </w:r>
    </w:p>
    <w:p w14:paraId="279DF371" w14:textId="77777777" w:rsidR="00136C0C" w:rsidRPr="00332C16" w:rsidRDefault="00136C0C" w:rsidP="00136C0C">
      <w:pPr>
        <w:widowControl w:val="0"/>
        <w:autoSpaceDE w:val="0"/>
        <w:autoSpaceDN w:val="0"/>
        <w:adjustRightInd w:val="0"/>
        <w:jc w:val="both"/>
        <w:rPr>
          <w:rFonts w:eastAsia="Times New Roman"/>
          <w:color w:val="000000"/>
          <w:sz w:val="24"/>
          <w:szCs w:val="24"/>
          <w:lang w:val="es-ES"/>
        </w:rPr>
      </w:pPr>
    </w:p>
    <w:p w14:paraId="7190F2BD"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r w:rsidRPr="00332C16">
        <w:rPr>
          <w:rFonts w:eastAsia="Times New Roman"/>
          <w:color w:val="000000"/>
          <w:sz w:val="24"/>
          <w:szCs w:val="24"/>
          <w:lang w:val="es-ES"/>
        </w:rPr>
        <w:t xml:space="preserve">De igual manera, ordenó comunicar como terceros con interés </w:t>
      </w:r>
      <w:r w:rsidRPr="00332C16">
        <w:rPr>
          <w:rFonts w:eastAsia="Times New Roman"/>
          <w:color w:val="000000"/>
          <w:sz w:val="24"/>
          <w:szCs w:val="24"/>
        </w:rPr>
        <w:t>al Alcalde Mayor de Bogotá, al Secretario de Educación del Distrito de Bogotá y al representante legal de ABC Laboratorios S.A.</w:t>
      </w:r>
    </w:p>
    <w:p w14:paraId="60BD41CE" w14:textId="77777777" w:rsidR="00136C0C" w:rsidRPr="00332C16" w:rsidRDefault="00136C0C" w:rsidP="00136C0C">
      <w:pPr>
        <w:widowControl w:val="0"/>
        <w:autoSpaceDE w:val="0"/>
        <w:autoSpaceDN w:val="0"/>
        <w:adjustRightInd w:val="0"/>
        <w:jc w:val="both"/>
        <w:rPr>
          <w:rFonts w:eastAsia="Times New Roman"/>
          <w:color w:val="000000"/>
          <w:sz w:val="24"/>
          <w:szCs w:val="24"/>
          <w:lang w:val="es-ES"/>
        </w:rPr>
      </w:pPr>
    </w:p>
    <w:p w14:paraId="5792737F"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r w:rsidRPr="00332C16">
        <w:rPr>
          <w:rFonts w:eastAsia="Times New Roman"/>
          <w:color w:val="000000"/>
          <w:sz w:val="24"/>
          <w:szCs w:val="24"/>
          <w:lang w:val="es-ES"/>
        </w:rPr>
        <w:t>Remitidas las misivas del caso, se dieron las siguientes intervenciones.</w:t>
      </w:r>
      <w:r w:rsidRPr="00332C16">
        <w:rPr>
          <w:rFonts w:eastAsia="Times New Roman"/>
          <w:color w:val="000000"/>
          <w:sz w:val="24"/>
          <w:szCs w:val="24"/>
          <w:vertAlign w:val="superscript"/>
          <w:lang w:val="es-ES"/>
        </w:rPr>
        <w:footnoteReference w:id="19"/>
      </w:r>
    </w:p>
    <w:p w14:paraId="2865AC0D" w14:textId="77777777" w:rsidR="00136C0C" w:rsidRPr="00332C16" w:rsidRDefault="00136C0C" w:rsidP="00136C0C">
      <w:pPr>
        <w:widowControl w:val="0"/>
        <w:autoSpaceDE w:val="0"/>
        <w:autoSpaceDN w:val="0"/>
        <w:adjustRightInd w:val="0"/>
        <w:jc w:val="both"/>
        <w:rPr>
          <w:rFonts w:eastAsia="Times New Roman"/>
          <w:color w:val="000000"/>
          <w:sz w:val="24"/>
          <w:szCs w:val="24"/>
          <w:lang w:val="es-ES"/>
        </w:rPr>
      </w:pPr>
    </w:p>
    <w:p w14:paraId="5F862B30" w14:textId="77777777" w:rsidR="00136C0C" w:rsidRPr="00332C16" w:rsidRDefault="00136C0C" w:rsidP="00136C0C">
      <w:pPr>
        <w:widowControl w:val="0"/>
        <w:autoSpaceDE w:val="0"/>
        <w:autoSpaceDN w:val="0"/>
        <w:adjustRightInd w:val="0"/>
        <w:spacing w:line="276" w:lineRule="auto"/>
        <w:jc w:val="both"/>
        <w:rPr>
          <w:rFonts w:eastAsia="Times New Roman"/>
          <w:b/>
          <w:color w:val="000000"/>
          <w:sz w:val="24"/>
          <w:szCs w:val="24"/>
          <w:lang w:val="es-ES"/>
        </w:rPr>
      </w:pPr>
      <w:r w:rsidRPr="00332C16">
        <w:rPr>
          <w:rFonts w:eastAsia="Times New Roman"/>
          <w:b/>
          <w:color w:val="000000"/>
          <w:sz w:val="24"/>
          <w:szCs w:val="24"/>
          <w:lang w:val="es-ES"/>
        </w:rPr>
        <w:t>3. Intervenciones</w:t>
      </w:r>
    </w:p>
    <w:p w14:paraId="3933C0AE" w14:textId="77777777" w:rsidR="00136C0C" w:rsidRPr="00332C16" w:rsidRDefault="00136C0C" w:rsidP="00136C0C">
      <w:pPr>
        <w:widowControl w:val="0"/>
        <w:autoSpaceDE w:val="0"/>
        <w:autoSpaceDN w:val="0"/>
        <w:adjustRightInd w:val="0"/>
        <w:jc w:val="both"/>
        <w:rPr>
          <w:rFonts w:eastAsia="Times New Roman"/>
          <w:color w:val="000000"/>
          <w:sz w:val="24"/>
          <w:szCs w:val="24"/>
          <w:lang w:val="es-ES"/>
        </w:rPr>
      </w:pPr>
    </w:p>
    <w:p w14:paraId="1173B0CD"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r w:rsidRPr="00332C16">
        <w:rPr>
          <w:rFonts w:eastAsia="Times New Roman"/>
          <w:b/>
          <w:color w:val="000000"/>
          <w:sz w:val="24"/>
          <w:szCs w:val="24"/>
          <w:lang w:val="es-ES"/>
        </w:rPr>
        <w:t>3.1. La Secretaría de Educación del Distrito de Bogotá</w:t>
      </w:r>
    </w:p>
    <w:p w14:paraId="1E5256EE" w14:textId="77777777" w:rsidR="00136C0C" w:rsidRPr="00332C16" w:rsidRDefault="00136C0C" w:rsidP="00136C0C">
      <w:pPr>
        <w:widowControl w:val="0"/>
        <w:autoSpaceDE w:val="0"/>
        <w:autoSpaceDN w:val="0"/>
        <w:adjustRightInd w:val="0"/>
        <w:jc w:val="both"/>
        <w:rPr>
          <w:rFonts w:eastAsia="Times New Roman"/>
          <w:color w:val="000000"/>
          <w:sz w:val="24"/>
          <w:szCs w:val="24"/>
          <w:lang w:val="es-ES"/>
        </w:rPr>
      </w:pPr>
    </w:p>
    <w:p w14:paraId="57DDB39D" w14:textId="77777777" w:rsidR="00136C0C" w:rsidRPr="00332C16" w:rsidRDefault="00136C0C" w:rsidP="00136C0C">
      <w:pPr>
        <w:widowControl w:val="0"/>
        <w:tabs>
          <w:tab w:val="left" w:pos="1498"/>
        </w:tabs>
        <w:autoSpaceDE w:val="0"/>
        <w:autoSpaceDN w:val="0"/>
        <w:adjustRightInd w:val="0"/>
        <w:spacing w:line="276" w:lineRule="auto"/>
        <w:jc w:val="both"/>
        <w:rPr>
          <w:rFonts w:eastAsia="Times New Roman"/>
          <w:color w:val="000000"/>
          <w:sz w:val="24"/>
          <w:szCs w:val="24"/>
        </w:rPr>
      </w:pPr>
      <w:r w:rsidRPr="00332C16">
        <w:rPr>
          <w:rFonts w:eastAsia="Times New Roman"/>
          <w:color w:val="000000"/>
          <w:sz w:val="24"/>
          <w:szCs w:val="24"/>
          <w:lang w:val="es-ES"/>
        </w:rPr>
        <w:t>El Jefe de la Oficina Jurídica de esta entidad solicitó mantener incólume la providencia judicial atacada, por estar ajustada a derecho. Manifestó que el hecho</w:t>
      </w:r>
      <w:r w:rsidRPr="00332C16">
        <w:rPr>
          <w:rFonts w:eastAsia="Times New Roman"/>
          <w:color w:val="000000"/>
          <w:sz w:val="24"/>
          <w:szCs w:val="24"/>
          <w:lang w:val="es-ES" w:eastAsia="es-ES"/>
        </w:rPr>
        <w:t xml:space="preserve"> de</w:t>
      </w:r>
      <w:r w:rsidRPr="00332C16">
        <w:rPr>
          <w:rFonts w:eastAsia="Times New Roman"/>
          <w:color w:val="000000"/>
          <w:sz w:val="24"/>
          <w:szCs w:val="24"/>
          <w:lang w:val="es-ES"/>
        </w:rPr>
        <w:t xml:space="preserve"> que la sociedad tutelante no comparta la decisión adoptada, ni satisfaga sus </w:t>
      </w:r>
      <w:r w:rsidRPr="00332C16">
        <w:rPr>
          <w:rFonts w:eastAsia="Times New Roman"/>
          <w:color w:val="000000"/>
          <w:sz w:val="24"/>
          <w:szCs w:val="24"/>
          <w:lang w:val="es-ES"/>
        </w:rPr>
        <w:lastRenderedPageBreak/>
        <w:t>pretensiones, no significa que aquella</w:t>
      </w:r>
      <w:r w:rsidRPr="00332C16">
        <w:rPr>
          <w:rFonts w:eastAsia="Times New Roman"/>
          <w:color w:val="000000"/>
          <w:sz w:val="24"/>
          <w:szCs w:val="24"/>
          <w:lang w:val="es-ES" w:eastAsia="es-ES"/>
        </w:rPr>
        <w:t xml:space="preserve"> se</w:t>
      </w:r>
      <w:r w:rsidRPr="00332C16">
        <w:rPr>
          <w:rFonts w:eastAsia="Times New Roman"/>
          <w:color w:val="000000"/>
          <w:sz w:val="24"/>
          <w:szCs w:val="24"/>
          <w:lang w:val="es-ES"/>
        </w:rPr>
        <w:t xml:space="preserve"> constituya en una infracción o vulneración a algún derecho fundamental, por tanto, no se dan los supuestos de hecho ni de derecho contemplados en el artículo 86 de la Constitución Nacional para acceder a un amparo,</w:t>
      </w:r>
      <w:r w:rsidRPr="00332C16">
        <w:rPr>
          <w:rFonts w:eastAsia="Times New Roman"/>
          <w:color w:val="000000"/>
          <w:sz w:val="24"/>
          <w:szCs w:val="24"/>
          <w:lang w:val="es-ES" w:eastAsia="es-ES"/>
        </w:rPr>
        <w:t xml:space="preserve"> en</w:t>
      </w:r>
      <w:r w:rsidRPr="00332C16">
        <w:rPr>
          <w:rFonts w:eastAsia="Times New Roman"/>
          <w:color w:val="000000"/>
          <w:sz w:val="24"/>
          <w:szCs w:val="24"/>
          <w:lang w:val="es-ES"/>
        </w:rPr>
        <w:t xml:space="preserve"> el presente caso.</w:t>
      </w:r>
      <w:r w:rsidRPr="00332C16">
        <w:rPr>
          <w:rFonts w:eastAsia="Times New Roman"/>
          <w:color w:val="000000"/>
          <w:sz w:val="24"/>
          <w:szCs w:val="24"/>
          <w:vertAlign w:val="superscript"/>
          <w:lang w:val="es-ES"/>
        </w:rPr>
        <w:footnoteReference w:id="20"/>
      </w:r>
    </w:p>
    <w:p w14:paraId="6F406EFD" w14:textId="77777777" w:rsidR="00136C0C" w:rsidRPr="00332C16" w:rsidRDefault="00136C0C" w:rsidP="00136C0C">
      <w:pPr>
        <w:widowControl w:val="0"/>
        <w:tabs>
          <w:tab w:val="left" w:pos="1498"/>
        </w:tabs>
        <w:autoSpaceDE w:val="0"/>
        <w:autoSpaceDN w:val="0"/>
        <w:adjustRightInd w:val="0"/>
        <w:spacing w:line="276" w:lineRule="auto"/>
        <w:jc w:val="both"/>
        <w:rPr>
          <w:rFonts w:eastAsia="Times New Roman"/>
          <w:color w:val="000000"/>
          <w:sz w:val="24"/>
          <w:szCs w:val="24"/>
          <w:lang w:val="es-ES_tradnl"/>
        </w:rPr>
      </w:pPr>
    </w:p>
    <w:p w14:paraId="15EEE1C4" w14:textId="77777777" w:rsidR="00136C0C" w:rsidRPr="00332C16" w:rsidRDefault="00136C0C" w:rsidP="00136C0C">
      <w:pPr>
        <w:widowControl w:val="0"/>
        <w:tabs>
          <w:tab w:val="left" w:pos="1498"/>
        </w:tabs>
        <w:autoSpaceDE w:val="0"/>
        <w:autoSpaceDN w:val="0"/>
        <w:adjustRightInd w:val="0"/>
        <w:spacing w:line="276" w:lineRule="auto"/>
        <w:jc w:val="both"/>
        <w:rPr>
          <w:rFonts w:eastAsia="Times New Roman"/>
          <w:color w:val="000000"/>
          <w:sz w:val="24"/>
          <w:szCs w:val="24"/>
          <w:lang w:val="es-ES"/>
        </w:rPr>
      </w:pPr>
      <w:r w:rsidRPr="00332C16">
        <w:rPr>
          <w:rFonts w:eastAsia="Times New Roman"/>
          <w:b/>
          <w:color w:val="000000"/>
          <w:sz w:val="24"/>
          <w:szCs w:val="24"/>
          <w:lang w:val="es-ES"/>
        </w:rPr>
        <w:t>3.2. La Subsección B, Sección Tercera del Consejo de Estado</w:t>
      </w:r>
    </w:p>
    <w:p w14:paraId="0857C771" w14:textId="77777777" w:rsidR="00136C0C" w:rsidRPr="00332C16" w:rsidRDefault="00136C0C" w:rsidP="00136C0C">
      <w:pPr>
        <w:widowControl w:val="0"/>
        <w:tabs>
          <w:tab w:val="left" w:pos="1498"/>
        </w:tabs>
        <w:autoSpaceDE w:val="0"/>
        <w:autoSpaceDN w:val="0"/>
        <w:adjustRightInd w:val="0"/>
        <w:spacing w:line="276" w:lineRule="auto"/>
        <w:jc w:val="both"/>
        <w:rPr>
          <w:rFonts w:eastAsia="Times New Roman"/>
          <w:color w:val="000000"/>
          <w:sz w:val="24"/>
          <w:szCs w:val="24"/>
          <w:lang w:val="es-ES"/>
        </w:rPr>
      </w:pPr>
    </w:p>
    <w:p w14:paraId="2A8AE61C" w14:textId="77777777" w:rsidR="00136C0C" w:rsidRPr="00332C16" w:rsidRDefault="00136C0C" w:rsidP="00136C0C">
      <w:pPr>
        <w:widowControl w:val="0"/>
        <w:tabs>
          <w:tab w:val="left" w:pos="1498"/>
        </w:tabs>
        <w:autoSpaceDE w:val="0"/>
        <w:autoSpaceDN w:val="0"/>
        <w:adjustRightInd w:val="0"/>
        <w:spacing w:line="276" w:lineRule="auto"/>
        <w:jc w:val="both"/>
        <w:rPr>
          <w:rFonts w:eastAsia="Times New Roman"/>
          <w:color w:val="000000"/>
          <w:sz w:val="24"/>
          <w:szCs w:val="24"/>
          <w:lang w:val="es-ES"/>
        </w:rPr>
      </w:pPr>
      <w:r w:rsidRPr="00332C16">
        <w:rPr>
          <w:rFonts w:eastAsia="Times New Roman"/>
          <w:color w:val="000000"/>
          <w:sz w:val="24"/>
          <w:szCs w:val="24"/>
          <w:lang w:val="es-ES"/>
        </w:rPr>
        <w:t xml:space="preserve">A través de la Consejera </w:t>
      </w:r>
      <w:r w:rsidRPr="00332C16">
        <w:rPr>
          <w:rFonts w:eastAsia="Times New Roman"/>
          <w:color w:val="000000"/>
          <w:sz w:val="24"/>
          <w:szCs w:val="24"/>
          <w:lang w:val="es-ES" w:eastAsia="es-ES"/>
        </w:rPr>
        <w:t>Ponente</w:t>
      </w:r>
      <w:r w:rsidRPr="00332C16">
        <w:rPr>
          <w:rFonts w:eastAsia="Times New Roman"/>
          <w:color w:val="000000"/>
          <w:sz w:val="24"/>
          <w:szCs w:val="24"/>
          <w:lang w:val="es-ES"/>
        </w:rPr>
        <w:t xml:space="preserve"> del proceso ordinario, </w:t>
      </w:r>
      <w:r w:rsidRPr="00332C16">
        <w:rPr>
          <w:rFonts w:eastAsia="Times New Roman"/>
          <w:color w:val="000000"/>
          <w:sz w:val="24"/>
          <w:szCs w:val="24"/>
          <w:lang w:val="es-ES" w:eastAsia="es-ES"/>
        </w:rPr>
        <w:t xml:space="preserve">la citada Sala </w:t>
      </w:r>
      <w:r w:rsidRPr="00332C16">
        <w:rPr>
          <w:rFonts w:eastAsia="Times New Roman"/>
          <w:color w:val="000000"/>
          <w:sz w:val="24"/>
          <w:szCs w:val="24"/>
          <w:lang w:val="es-ES"/>
        </w:rPr>
        <w:t xml:space="preserve">contestó la tutela </w:t>
      </w:r>
      <w:r w:rsidRPr="00332C16">
        <w:rPr>
          <w:rFonts w:eastAsia="Times New Roman"/>
          <w:color w:val="000000"/>
          <w:sz w:val="24"/>
          <w:szCs w:val="24"/>
          <w:lang w:val="es-ES" w:eastAsia="es-ES"/>
        </w:rPr>
        <w:t>y solicitó</w:t>
      </w:r>
      <w:r w:rsidRPr="00332C16">
        <w:rPr>
          <w:rFonts w:eastAsia="Times New Roman"/>
          <w:color w:val="000000"/>
          <w:sz w:val="24"/>
          <w:szCs w:val="24"/>
          <w:lang w:val="es-ES"/>
        </w:rPr>
        <w:t xml:space="preserve"> negarla.</w:t>
      </w:r>
      <w:r w:rsidRPr="00332C16">
        <w:rPr>
          <w:rFonts w:eastAsia="Times New Roman"/>
          <w:color w:val="000000"/>
          <w:sz w:val="24"/>
          <w:szCs w:val="24"/>
          <w:vertAlign w:val="superscript"/>
          <w:lang w:val="es-ES"/>
        </w:rPr>
        <w:footnoteReference w:id="21"/>
      </w:r>
    </w:p>
    <w:p w14:paraId="2DAA9285" w14:textId="77777777" w:rsidR="00136C0C" w:rsidRPr="00332C16" w:rsidRDefault="00136C0C" w:rsidP="00136C0C">
      <w:pPr>
        <w:widowControl w:val="0"/>
        <w:tabs>
          <w:tab w:val="left" w:pos="1498"/>
        </w:tabs>
        <w:autoSpaceDE w:val="0"/>
        <w:autoSpaceDN w:val="0"/>
        <w:adjustRightInd w:val="0"/>
        <w:spacing w:line="276" w:lineRule="auto"/>
        <w:jc w:val="both"/>
        <w:rPr>
          <w:rFonts w:eastAsia="Times New Roman"/>
          <w:color w:val="000000"/>
          <w:sz w:val="24"/>
          <w:szCs w:val="24"/>
          <w:lang w:val="es-ES"/>
        </w:rPr>
      </w:pPr>
    </w:p>
    <w:p w14:paraId="03C3C3B3" w14:textId="77777777" w:rsidR="00136C0C" w:rsidRPr="00332C16" w:rsidRDefault="00136C0C" w:rsidP="00136C0C">
      <w:pPr>
        <w:widowControl w:val="0"/>
        <w:tabs>
          <w:tab w:val="left" w:pos="1498"/>
        </w:tabs>
        <w:autoSpaceDE w:val="0"/>
        <w:autoSpaceDN w:val="0"/>
        <w:adjustRightInd w:val="0"/>
        <w:spacing w:line="276" w:lineRule="auto"/>
        <w:jc w:val="both"/>
        <w:rPr>
          <w:rFonts w:eastAsia="Times New Roman"/>
          <w:color w:val="000000"/>
          <w:sz w:val="24"/>
          <w:szCs w:val="24"/>
          <w:lang w:val="es-ES" w:eastAsia="es-ES"/>
        </w:rPr>
      </w:pPr>
      <w:r w:rsidRPr="00332C16">
        <w:rPr>
          <w:rFonts w:eastAsia="Times New Roman"/>
          <w:color w:val="000000"/>
          <w:sz w:val="24"/>
          <w:szCs w:val="24"/>
          <w:lang w:val="es-ES"/>
        </w:rPr>
        <w:t>Hizo referencia a los hechos y a la forma en que se resolvió el proceso ordinario</w:t>
      </w:r>
      <w:r w:rsidRPr="00332C16">
        <w:rPr>
          <w:rFonts w:eastAsia="Times New Roman"/>
          <w:color w:val="000000"/>
          <w:sz w:val="24"/>
          <w:szCs w:val="24"/>
          <w:lang w:val="es-ES" w:eastAsia="es-ES"/>
        </w:rPr>
        <w:t>. A</w:t>
      </w:r>
      <w:r w:rsidRPr="00332C16">
        <w:rPr>
          <w:rFonts w:eastAsia="Times New Roman"/>
          <w:color w:val="000000"/>
          <w:sz w:val="24"/>
          <w:szCs w:val="24"/>
          <w:lang w:val="es-ES"/>
        </w:rPr>
        <w:t xml:space="preserve"> partir de ello, expresó que como «</w:t>
      </w:r>
      <w:r w:rsidRPr="00332C16">
        <w:rPr>
          <w:rFonts w:eastAsia="Times New Roman"/>
          <w:i/>
          <w:color w:val="000000"/>
          <w:sz w:val="24"/>
          <w:szCs w:val="24"/>
          <w:lang w:val="es-ES"/>
        </w:rPr>
        <w:t>…</w:t>
      </w:r>
      <w:r w:rsidRPr="00332C16">
        <w:rPr>
          <w:rFonts w:eastAsia="Times New Roman"/>
          <w:i/>
          <w:color w:val="000000"/>
          <w:sz w:val="24"/>
          <w:szCs w:val="24"/>
          <w:lang w:val="es-ES" w:eastAsia="es-ES"/>
        </w:rPr>
        <w:t>se observa del contenido de la sentencia, todas y cada una de las pretensiones fueron debidamente analizadas y resueltas de conformidad con el acervo probatorio que obraba en el proceso para, finalmente, establecer la ilegalidad del acto de adjudicación y del contrato, como efectivamente se resolvió. De donde el accionante no puede pretender que, acudiendo a la acción de tutela, se estudien nuevamente los argumentos de la demanda y la impugnación, como si se tratara de una tercera instancia</w:t>
      </w:r>
      <w:r w:rsidRPr="00332C16">
        <w:rPr>
          <w:rFonts w:eastAsia="Times New Roman"/>
          <w:color w:val="000000"/>
          <w:sz w:val="24"/>
          <w:szCs w:val="24"/>
          <w:lang w:val="es-ES" w:eastAsia="es-ES"/>
        </w:rPr>
        <w:t>».</w:t>
      </w:r>
    </w:p>
    <w:p w14:paraId="0837532B" w14:textId="77777777" w:rsidR="00136C0C" w:rsidRPr="00332C16" w:rsidRDefault="00136C0C" w:rsidP="00136C0C">
      <w:pPr>
        <w:widowControl w:val="0"/>
        <w:tabs>
          <w:tab w:val="left" w:pos="1498"/>
        </w:tabs>
        <w:autoSpaceDE w:val="0"/>
        <w:autoSpaceDN w:val="0"/>
        <w:adjustRightInd w:val="0"/>
        <w:spacing w:line="276" w:lineRule="auto"/>
        <w:jc w:val="both"/>
        <w:rPr>
          <w:rFonts w:eastAsia="Times New Roman"/>
          <w:color w:val="000000"/>
          <w:sz w:val="24"/>
          <w:szCs w:val="24"/>
          <w:lang w:val="es-ES" w:eastAsia="es-ES"/>
        </w:rPr>
      </w:pPr>
    </w:p>
    <w:p w14:paraId="4D7E4162" w14:textId="77777777" w:rsidR="00136C0C" w:rsidRPr="00332C16" w:rsidRDefault="00136C0C" w:rsidP="00136C0C">
      <w:pPr>
        <w:widowControl w:val="0"/>
        <w:tabs>
          <w:tab w:val="left" w:pos="1498"/>
        </w:tabs>
        <w:autoSpaceDE w:val="0"/>
        <w:autoSpaceDN w:val="0"/>
        <w:adjustRightInd w:val="0"/>
        <w:spacing w:line="276" w:lineRule="auto"/>
        <w:jc w:val="both"/>
        <w:rPr>
          <w:rFonts w:eastAsia="Times New Roman"/>
          <w:color w:val="000000"/>
          <w:sz w:val="24"/>
          <w:szCs w:val="24"/>
          <w:lang w:val="es-ES" w:eastAsia="es-ES"/>
        </w:rPr>
      </w:pPr>
      <w:r w:rsidRPr="00332C16">
        <w:rPr>
          <w:rFonts w:eastAsia="Times New Roman"/>
          <w:color w:val="000000"/>
          <w:sz w:val="24"/>
          <w:szCs w:val="24"/>
          <w:lang w:val="es-ES" w:eastAsia="es-ES"/>
        </w:rPr>
        <w:t>Por otro lado, afirmó, en lo atinente al cambio de jurisprudencia relativa a la oportunidad para reclamar perjuicios frente al acto administrativo de adjudicación, se hace necesario destacar que lo que aconteció fue un tránsito de legislación con la entrada en vigencia de la Ley 446 de 1998, aplicable para la fecha de expedición del mencionado acto y la celebración del contrato de 29 de diciembre de 2003, toda vez que la demanda se presentó el 25 de febrero de 2004.</w:t>
      </w:r>
    </w:p>
    <w:p w14:paraId="7F9F1F3E" w14:textId="77777777" w:rsidR="00136C0C" w:rsidRPr="00332C16" w:rsidRDefault="00136C0C" w:rsidP="00136C0C">
      <w:pPr>
        <w:widowControl w:val="0"/>
        <w:tabs>
          <w:tab w:val="left" w:pos="1498"/>
        </w:tabs>
        <w:autoSpaceDE w:val="0"/>
        <w:autoSpaceDN w:val="0"/>
        <w:adjustRightInd w:val="0"/>
        <w:spacing w:line="276" w:lineRule="auto"/>
        <w:jc w:val="both"/>
        <w:rPr>
          <w:rFonts w:eastAsia="Times New Roman"/>
          <w:color w:val="000000"/>
          <w:sz w:val="24"/>
          <w:szCs w:val="24"/>
          <w:lang w:val="es-ES" w:eastAsia="es-ES"/>
        </w:rPr>
      </w:pPr>
    </w:p>
    <w:p w14:paraId="167E9B24" w14:textId="77777777" w:rsidR="00136C0C" w:rsidRPr="00332C16" w:rsidRDefault="00136C0C" w:rsidP="00136C0C">
      <w:pPr>
        <w:widowControl w:val="0"/>
        <w:tabs>
          <w:tab w:val="left" w:pos="1498"/>
        </w:tabs>
        <w:autoSpaceDE w:val="0"/>
        <w:autoSpaceDN w:val="0"/>
        <w:adjustRightInd w:val="0"/>
        <w:spacing w:line="276" w:lineRule="auto"/>
        <w:jc w:val="both"/>
        <w:rPr>
          <w:rFonts w:eastAsia="Times New Roman"/>
          <w:color w:val="000000"/>
          <w:sz w:val="24"/>
          <w:szCs w:val="24"/>
          <w:lang w:val="es-ES" w:eastAsia="es-ES"/>
        </w:rPr>
      </w:pPr>
      <w:r w:rsidRPr="00332C16">
        <w:rPr>
          <w:rFonts w:eastAsia="Times New Roman"/>
          <w:color w:val="000000"/>
          <w:sz w:val="24"/>
          <w:szCs w:val="24"/>
          <w:lang w:val="es-ES" w:eastAsia="es-ES"/>
        </w:rPr>
        <w:t>Por tanto, la sociedad tutelante estaba obligada a conocer el cambio normativo, necesario para acceder a la administración de justicia, justamente porque la ignorancia de la ley no sirve de excusa.</w:t>
      </w:r>
    </w:p>
    <w:p w14:paraId="1212733F" w14:textId="77777777" w:rsidR="00136C0C" w:rsidRPr="00332C16" w:rsidRDefault="00136C0C" w:rsidP="00136C0C">
      <w:pPr>
        <w:widowControl w:val="0"/>
        <w:tabs>
          <w:tab w:val="left" w:pos="1498"/>
        </w:tabs>
        <w:autoSpaceDE w:val="0"/>
        <w:autoSpaceDN w:val="0"/>
        <w:adjustRightInd w:val="0"/>
        <w:spacing w:line="276" w:lineRule="auto"/>
        <w:jc w:val="both"/>
        <w:rPr>
          <w:rFonts w:eastAsia="Times New Roman"/>
          <w:color w:val="000000"/>
          <w:sz w:val="24"/>
          <w:szCs w:val="24"/>
          <w:lang w:val="es-ES" w:eastAsia="es-ES"/>
        </w:rPr>
      </w:pPr>
    </w:p>
    <w:p w14:paraId="68DBF015" w14:textId="77777777" w:rsidR="00136C0C" w:rsidRPr="00332C16" w:rsidRDefault="00136C0C" w:rsidP="00136C0C">
      <w:pPr>
        <w:widowControl w:val="0"/>
        <w:tabs>
          <w:tab w:val="left" w:pos="1498"/>
        </w:tabs>
        <w:autoSpaceDE w:val="0"/>
        <w:autoSpaceDN w:val="0"/>
        <w:adjustRightInd w:val="0"/>
        <w:spacing w:line="276" w:lineRule="auto"/>
        <w:jc w:val="both"/>
        <w:rPr>
          <w:rFonts w:eastAsia="Times New Roman"/>
          <w:color w:val="000000"/>
          <w:sz w:val="24"/>
          <w:szCs w:val="24"/>
          <w:lang w:val="es-ES"/>
        </w:rPr>
      </w:pPr>
      <w:r w:rsidRPr="00332C16">
        <w:rPr>
          <w:rFonts w:eastAsia="Times New Roman"/>
          <w:color w:val="000000"/>
          <w:sz w:val="24"/>
          <w:szCs w:val="24"/>
          <w:lang w:val="es-ES" w:eastAsia="es-ES"/>
        </w:rPr>
        <w:t>Finalmente, citó y transcribió abundante jurisprudencia de la Sección Tercera del Consejo de Estado, para indicar que como «</w:t>
      </w:r>
      <w:r w:rsidRPr="00332C16">
        <w:rPr>
          <w:rFonts w:eastAsia="Times New Roman"/>
          <w:i/>
          <w:color w:val="000000"/>
          <w:sz w:val="24"/>
          <w:szCs w:val="24"/>
          <w:lang w:val="es-ES" w:eastAsia="es-ES"/>
        </w:rPr>
        <w:t>…se observa, la posición reiterada de la Sala ha señalado que, si en el marco de la tercera hipótesis se ejerce la acción contractual con posterioridad al vencimiento de los treinta (30) días siguientes a la notificación, comunicación o publicación del acto de adjudicación, según fuere el caso, necesariamente habrá de concluirse de nuevo que en este específico contexto las únicas pretensiones que podrían abrirse paso serán aquellas encaminadas a obtener las declaratorias de nulidad del acto administrativo previo de adjudicación y la nulidad absoluta del contrato. Por tanto, no resulta posible considerar y estimar las pretensiones económicas o resarcitorias del restablecimiento del derecho, por la no adjudicación del contrato»</w:t>
      </w:r>
      <w:r w:rsidRPr="00332C16">
        <w:rPr>
          <w:rFonts w:eastAsia="Times New Roman"/>
          <w:color w:val="000000"/>
          <w:sz w:val="24"/>
          <w:szCs w:val="24"/>
          <w:lang w:val="es-ES" w:eastAsia="es-ES"/>
        </w:rPr>
        <w:t>.</w:t>
      </w:r>
    </w:p>
    <w:p w14:paraId="5896384F" w14:textId="77777777" w:rsidR="00136C0C" w:rsidRPr="00332C16" w:rsidRDefault="00136C0C" w:rsidP="00136C0C">
      <w:pPr>
        <w:widowControl w:val="0"/>
        <w:tabs>
          <w:tab w:val="left" w:pos="1498"/>
        </w:tabs>
        <w:autoSpaceDE w:val="0"/>
        <w:autoSpaceDN w:val="0"/>
        <w:adjustRightInd w:val="0"/>
        <w:spacing w:line="276" w:lineRule="auto"/>
        <w:jc w:val="both"/>
        <w:rPr>
          <w:rFonts w:eastAsia="Times New Roman"/>
          <w:color w:val="000000"/>
          <w:sz w:val="24"/>
          <w:szCs w:val="24"/>
          <w:lang w:val="es-ES"/>
        </w:rPr>
      </w:pPr>
    </w:p>
    <w:p w14:paraId="15FB1102" w14:textId="77777777" w:rsidR="00136C0C" w:rsidRPr="00332C16" w:rsidRDefault="00136C0C" w:rsidP="00136C0C">
      <w:pPr>
        <w:widowControl w:val="0"/>
        <w:tabs>
          <w:tab w:val="left" w:pos="1498"/>
        </w:tabs>
        <w:autoSpaceDE w:val="0"/>
        <w:autoSpaceDN w:val="0"/>
        <w:adjustRightInd w:val="0"/>
        <w:spacing w:line="276" w:lineRule="auto"/>
        <w:jc w:val="both"/>
        <w:rPr>
          <w:rFonts w:eastAsia="Times New Roman"/>
          <w:color w:val="000000"/>
          <w:sz w:val="24"/>
          <w:szCs w:val="24"/>
          <w:lang w:val="es-ES"/>
        </w:rPr>
      </w:pPr>
      <w:r w:rsidRPr="00332C16">
        <w:rPr>
          <w:rFonts w:eastAsia="Times New Roman"/>
          <w:color w:val="000000"/>
          <w:sz w:val="24"/>
          <w:szCs w:val="24"/>
          <w:lang w:val="es-ES"/>
        </w:rPr>
        <w:t>Los demás sujetos convocados a participar en el presente trámite no intervinieron</w:t>
      </w:r>
      <w:r w:rsidRPr="00332C16">
        <w:rPr>
          <w:rFonts w:eastAsia="Times New Roman"/>
          <w:color w:val="000000"/>
          <w:sz w:val="24"/>
          <w:szCs w:val="24"/>
          <w:lang w:val="es-ES" w:eastAsia="es-ES"/>
        </w:rPr>
        <w:t>,</w:t>
      </w:r>
      <w:r w:rsidRPr="00332C16">
        <w:rPr>
          <w:rFonts w:eastAsia="Times New Roman"/>
          <w:color w:val="000000"/>
          <w:sz w:val="24"/>
          <w:szCs w:val="24"/>
          <w:lang w:val="es-ES"/>
        </w:rPr>
        <w:t xml:space="preserve"> a pesar de haber sido debidamente notificados.</w:t>
      </w:r>
    </w:p>
    <w:p w14:paraId="5BC83931" w14:textId="77777777" w:rsidR="00136C0C" w:rsidRPr="00332C16" w:rsidRDefault="00136C0C" w:rsidP="00136C0C">
      <w:pPr>
        <w:widowControl w:val="0"/>
        <w:tabs>
          <w:tab w:val="left" w:pos="1498"/>
        </w:tabs>
        <w:autoSpaceDE w:val="0"/>
        <w:autoSpaceDN w:val="0"/>
        <w:adjustRightInd w:val="0"/>
        <w:spacing w:line="276" w:lineRule="auto"/>
        <w:jc w:val="both"/>
        <w:rPr>
          <w:rFonts w:eastAsia="Times New Roman"/>
          <w:color w:val="000000"/>
          <w:sz w:val="24"/>
          <w:szCs w:val="24"/>
          <w:lang w:val="es-ES"/>
        </w:rPr>
      </w:pPr>
    </w:p>
    <w:p w14:paraId="2B46E0DF" w14:textId="77777777" w:rsidR="00136C0C" w:rsidRPr="00332C16" w:rsidRDefault="00136C0C" w:rsidP="00136C0C">
      <w:pPr>
        <w:widowControl w:val="0"/>
        <w:autoSpaceDE w:val="0"/>
        <w:autoSpaceDN w:val="0"/>
        <w:adjustRightInd w:val="0"/>
        <w:spacing w:line="276" w:lineRule="auto"/>
        <w:jc w:val="both"/>
        <w:rPr>
          <w:rFonts w:eastAsia="Times New Roman"/>
          <w:b/>
          <w:color w:val="000000"/>
          <w:sz w:val="24"/>
          <w:szCs w:val="24"/>
          <w:lang w:val="es-ES_tradnl"/>
        </w:rPr>
      </w:pPr>
      <w:r w:rsidRPr="00332C16">
        <w:rPr>
          <w:rFonts w:eastAsia="Times New Roman"/>
          <w:b/>
          <w:color w:val="000000"/>
          <w:sz w:val="24"/>
          <w:szCs w:val="24"/>
          <w:lang w:val="es-ES_tradnl"/>
        </w:rPr>
        <w:lastRenderedPageBreak/>
        <w:t>4. Fallo de primera instancia</w:t>
      </w:r>
    </w:p>
    <w:p w14:paraId="592D9D35" w14:textId="77777777" w:rsidR="00136C0C" w:rsidRPr="00332C16" w:rsidRDefault="00136C0C" w:rsidP="00136C0C">
      <w:pPr>
        <w:widowControl w:val="0"/>
        <w:autoSpaceDE w:val="0"/>
        <w:autoSpaceDN w:val="0"/>
        <w:adjustRightInd w:val="0"/>
        <w:spacing w:line="276" w:lineRule="auto"/>
        <w:jc w:val="both"/>
        <w:rPr>
          <w:rFonts w:eastAsia="Times New Roman"/>
          <w:b/>
          <w:color w:val="000000"/>
          <w:sz w:val="24"/>
          <w:szCs w:val="24"/>
          <w:lang w:val="es-ES_tradnl"/>
        </w:rPr>
      </w:pPr>
    </w:p>
    <w:p w14:paraId="45F4DE0F"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r w:rsidRPr="00332C16">
        <w:rPr>
          <w:rFonts w:eastAsia="Times New Roman"/>
          <w:color w:val="000000"/>
          <w:sz w:val="24"/>
          <w:szCs w:val="24"/>
          <w:lang w:val="es-ES_tradnl"/>
        </w:rPr>
        <w:t>La Sección Cuarta del Consejo de Estado</w:t>
      </w:r>
      <w:r w:rsidRPr="00332C16">
        <w:rPr>
          <w:rFonts w:eastAsia="Times New Roman"/>
          <w:color w:val="000000"/>
          <w:sz w:val="24"/>
          <w:szCs w:val="24"/>
          <w:lang w:val="es-ES_tradnl" w:eastAsia="es-ES"/>
        </w:rPr>
        <w:t>, mediante sentencia del 2 de agosto de 2017,</w:t>
      </w:r>
      <w:r w:rsidRPr="00332C16">
        <w:rPr>
          <w:rFonts w:eastAsia="Times New Roman"/>
          <w:color w:val="000000"/>
          <w:sz w:val="24"/>
          <w:szCs w:val="24"/>
          <w:lang w:val="es-ES_tradnl"/>
        </w:rPr>
        <w:t xml:space="preserve"> </w:t>
      </w:r>
      <w:r w:rsidRPr="00332C16">
        <w:rPr>
          <w:rFonts w:eastAsia="Times New Roman"/>
          <w:b/>
          <w:color w:val="000000"/>
          <w:sz w:val="24"/>
          <w:szCs w:val="24"/>
          <w:lang w:val="es-ES_tradnl"/>
        </w:rPr>
        <w:t>negó</w:t>
      </w:r>
      <w:r w:rsidRPr="00332C16">
        <w:rPr>
          <w:rFonts w:eastAsia="Times New Roman"/>
          <w:b/>
          <w:i/>
          <w:color w:val="000000"/>
          <w:sz w:val="24"/>
          <w:szCs w:val="24"/>
          <w:lang w:val="es-ES_tradnl"/>
        </w:rPr>
        <w:t xml:space="preserve"> </w:t>
      </w:r>
      <w:r w:rsidRPr="00332C16">
        <w:rPr>
          <w:rFonts w:eastAsia="Times New Roman"/>
          <w:color w:val="000000"/>
          <w:sz w:val="24"/>
          <w:szCs w:val="24"/>
          <w:lang w:val="es-ES_tradnl"/>
        </w:rPr>
        <w:t xml:space="preserve">el amparo requerido por la sociedad </w:t>
      </w:r>
      <w:r w:rsidRPr="00332C16">
        <w:rPr>
          <w:rFonts w:eastAsia="Times New Roman"/>
          <w:b/>
          <w:color w:val="000000"/>
          <w:sz w:val="24"/>
          <w:szCs w:val="24"/>
          <w:lang w:val="es-ES_tradnl"/>
        </w:rPr>
        <w:t>ANALYTICA</w:t>
      </w:r>
      <w:r w:rsidRPr="00332C16">
        <w:rPr>
          <w:rFonts w:eastAsia="Times New Roman"/>
          <w:color w:val="000000"/>
          <w:sz w:val="24"/>
          <w:szCs w:val="24"/>
          <w:lang w:val="es-ES_tradnl"/>
        </w:rPr>
        <w:t>, pues al estudiar las pruebas allegadas a la acción constitucional y la providencia judicial cuestionada, manifestó:</w:t>
      </w:r>
      <w:r w:rsidRPr="00332C16">
        <w:rPr>
          <w:rFonts w:eastAsia="Times New Roman"/>
          <w:color w:val="000000"/>
          <w:sz w:val="24"/>
          <w:szCs w:val="24"/>
          <w:vertAlign w:val="superscript"/>
          <w:lang w:val="es-ES_tradnl"/>
        </w:rPr>
        <w:footnoteReference w:id="22"/>
      </w:r>
    </w:p>
    <w:p w14:paraId="5DF7BD30"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0421CF2E"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rPr>
      </w:pPr>
      <w:r w:rsidRPr="00332C16">
        <w:rPr>
          <w:rFonts w:eastAsia="Times New Roman"/>
          <w:color w:val="000000"/>
          <w:sz w:val="24"/>
          <w:szCs w:val="24"/>
          <w:lang w:val="es-ES_tradnl"/>
        </w:rPr>
        <w:t>«</w:t>
      </w:r>
      <w:r w:rsidRPr="00332C16">
        <w:rPr>
          <w:rFonts w:eastAsia="Times New Roman"/>
          <w:color w:val="000000"/>
          <w:sz w:val="24"/>
          <w:szCs w:val="24"/>
        </w:rPr>
        <w:t xml:space="preserve">Como se ve, el Consejo de Estado, Sección Tercera, Subsección B, estimó que las pretensiones de restablecimiento del derecho formuladas por </w:t>
      </w:r>
      <w:proofErr w:type="spellStart"/>
      <w:r w:rsidRPr="00332C16">
        <w:rPr>
          <w:rFonts w:eastAsia="Times New Roman"/>
          <w:color w:val="000000"/>
          <w:sz w:val="24"/>
          <w:szCs w:val="24"/>
        </w:rPr>
        <w:t>Analytica</w:t>
      </w:r>
      <w:proofErr w:type="spellEnd"/>
      <w:r w:rsidRPr="00332C16">
        <w:rPr>
          <w:rFonts w:eastAsia="Times New Roman"/>
          <w:color w:val="000000"/>
          <w:sz w:val="24"/>
          <w:szCs w:val="24"/>
        </w:rPr>
        <w:t xml:space="preserve"> SAS estaban caducadas, por cuanto presentó la demanda después de 30 días de haberse adjudicado el contrato de suministro, circunstancia que, según la jurisprudencia reiterada de la Sección Tercera de esta Corporación, imponía declarar probada, de oficio, la caducidad de la acción, respecto de las pretensiones de restablecimiento del derecho. </w:t>
      </w:r>
    </w:p>
    <w:p w14:paraId="2015CB0A"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rPr>
      </w:pPr>
    </w:p>
    <w:p w14:paraId="7F1B025D" w14:textId="77777777" w:rsidR="00136C0C" w:rsidRPr="005327CF" w:rsidRDefault="00136C0C" w:rsidP="00136C0C">
      <w:pPr>
        <w:widowControl w:val="0"/>
        <w:autoSpaceDE w:val="0"/>
        <w:autoSpaceDN w:val="0"/>
        <w:adjustRightInd w:val="0"/>
        <w:ind w:left="567"/>
        <w:jc w:val="both"/>
        <w:rPr>
          <w:rFonts w:eastAsia="Times New Roman"/>
          <w:color w:val="000000"/>
          <w:sz w:val="24"/>
          <w:szCs w:val="24"/>
        </w:rPr>
      </w:pPr>
      <w:r w:rsidRPr="00332C16">
        <w:rPr>
          <w:rFonts w:eastAsia="Times New Roman"/>
          <w:color w:val="000000"/>
          <w:sz w:val="24"/>
          <w:szCs w:val="24"/>
        </w:rPr>
        <w:t xml:space="preserve">Lo anterior denota que la autoridad judicial demandada no desconoció que, mediante la acción de controversias contractuales, el tercero con interés directo (oferente vencido, en este caso, </w:t>
      </w:r>
      <w:proofErr w:type="spellStart"/>
      <w:r w:rsidRPr="00332C16">
        <w:rPr>
          <w:rFonts w:eastAsia="Times New Roman"/>
          <w:color w:val="000000"/>
          <w:sz w:val="24"/>
          <w:szCs w:val="24"/>
        </w:rPr>
        <w:t>Analytica</w:t>
      </w:r>
      <w:proofErr w:type="spellEnd"/>
      <w:r w:rsidRPr="00332C16">
        <w:rPr>
          <w:rFonts w:eastAsia="Times New Roman"/>
          <w:color w:val="000000"/>
          <w:sz w:val="24"/>
          <w:szCs w:val="24"/>
        </w:rPr>
        <w:t xml:space="preserve"> SAS) podía acumular pretensiones de nulidad y restablecimiento del derecho. Empero, ocurre que, en ese caso, el término de caducidad no es de dos años, como lo alega la sociedad demandante, sino de 30 días, contados a partir de la notificación, </w:t>
      </w:r>
      <w:r w:rsidRPr="005327CF">
        <w:rPr>
          <w:rFonts w:eastAsia="Times New Roman"/>
          <w:color w:val="000000"/>
          <w:sz w:val="24"/>
          <w:szCs w:val="24"/>
        </w:rPr>
        <w:t xml:space="preserve">comunicación o publicación del acto, según lo ha entendido la Sección Tercera del Consejo de Estado cuando fijó el alcance </w:t>
      </w:r>
      <w:r w:rsidRPr="005327CF">
        <w:rPr>
          <w:rFonts w:eastAsia="Times New Roman"/>
          <w:color w:val="000000"/>
          <w:sz w:val="24"/>
          <w:szCs w:val="24"/>
          <w:lang w:eastAsia="es-ES"/>
        </w:rPr>
        <w:t>del</w:t>
      </w:r>
      <w:r w:rsidRPr="005327CF">
        <w:rPr>
          <w:rFonts w:eastAsia="Times New Roman"/>
          <w:color w:val="000000"/>
          <w:sz w:val="24"/>
          <w:szCs w:val="24"/>
        </w:rPr>
        <w:t xml:space="preserve"> artículo 87 del Decreto 01 de 1984, modificado por el artículo 32 de la Ley 446 de 1998. </w:t>
      </w:r>
    </w:p>
    <w:p w14:paraId="4A36B1C8" w14:textId="77777777" w:rsidR="00136C0C" w:rsidRPr="005327CF" w:rsidRDefault="00136C0C" w:rsidP="00136C0C">
      <w:pPr>
        <w:widowControl w:val="0"/>
        <w:autoSpaceDE w:val="0"/>
        <w:autoSpaceDN w:val="0"/>
        <w:adjustRightInd w:val="0"/>
        <w:ind w:left="567"/>
        <w:jc w:val="both"/>
        <w:rPr>
          <w:rFonts w:eastAsia="Times New Roman"/>
          <w:color w:val="000000"/>
          <w:sz w:val="24"/>
          <w:szCs w:val="24"/>
        </w:rPr>
      </w:pPr>
    </w:p>
    <w:p w14:paraId="2F4F1335" w14:textId="77777777" w:rsidR="00136C0C" w:rsidRPr="005327CF" w:rsidRDefault="00136C0C" w:rsidP="00136C0C">
      <w:pPr>
        <w:widowControl w:val="0"/>
        <w:autoSpaceDE w:val="0"/>
        <w:autoSpaceDN w:val="0"/>
        <w:adjustRightInd w:val="0"/>
        <w:ind w:left="567"/>
        <w:jc w:val="both"/>
        <w:rPr>
          <w:rFonts w:eastAsia="Times New Roman"/>
          <w:color w:val="000000"/>
          <w:sz w:val="24"/>
          <w:szCs w:val="24"/>
        </w:rPr>
      </w:pPr>
      <w:r w:rsidRPr="005327CF">
        <w:rPr>
          <w:rFonts w:eastAsia="Times New Roman"/>
          <w:color w:val="000000"/>
          <w:sz w:val="24"/>
          <w:szCs w:val="24"/>
        </w:rPr>
        <w:t>De modo que, a juicio de la Sala, la decisión objeto de tutela no vulnera los derechos invocados. Por el contrario, la autoridad judicial demandada aplicó la jurisprudencia vigente sobre la interpretación del artículo 87 del Decreto 01 de 1984, con la modificación del artículo 32 de la Ley 446 de 1998, interpretación que garantiza los derechos de las personas que participaron en el proceso de selección y que resultaron afectados con los actos previos a la celebración del contrato.</w:t>
      </w:r>
    </w:p>
    <w:p w14:paraId="07A0B206" w14:textId="77777777" w:rsidR="00136C0C" w:rsidRPr="005327CF" w:rsidRDefault="00136C0C" w:rsidP="007C00CC">
      <w:pPr>
        <w:widowControl w:val="0"/>
        <w:autoSpaceDE w:val="0"/>
        <w:autoSpaceDN w:val="0"/>
        <w:adjustRightInd w:val="0"/>
        <w:jc w:val="both"/>
        <w:rPr>
          <w:rFonts w:eastAsia="Times New Roman"/>
          <w:color w:val="000000"/>
          <w:sz w:val="24"/>
          <w:szCs w:val="24"/>
        </w:rPr>
      </w:pPr>
    </w:p>
    <w:p w14:paraId="3ADA3485"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rPr>
      </w:pPr>
      <w:r w:rsidRPr="005327CF">
        <w:rPr>
          <w:rFonts w:eastAsia="Times New Roman"/>
          <w:color w:val="000000"/>
          <w:sz w:val="24"/>
          <w:szCs w:val="24"/>
        </w:rPr>
        <w:t>Como bien lo entiende la Sección Tercera del Consejo de Estado, una interpretación exegética del artículo 87 del Decreto 01 de 1984 daría lugar a entender que una vez celebrado el contrato, solo procede la acción de controversias contractuales, sin que pueda pedirse la nulidad de los actos previos ni el restablecimiento del derecho del tercero con interés. Justamente para evitar esa interpretación, la Sección Tercera del Consejo de Estado precisó el alcance de esa norma y estableció que el tercero directamente afectado podía acumular a la acción de controversias contractuales pretensiones propias de la acción de nulidad y restablecimiento del derecho, siempre que la demanda se ejerciera en los 30 días siguientes a la celebración del contrato, pues, de lo contrario, la acción impugnatoria habría caducado y ya no era posible reclamar indemnización de perjuicios</w:t>
      </w:r>
      <w:r w:rsidRPr="005327CF">
        <w:rPr>
          <w:rFonts w:eastAsia="Times New Roman"/>
          <w:color w:val="000000"/>
          <w:sz w:val="24"/>
          <w:szCs w:val="24"/>
          <w:lang w:val="es-ES_tradnl"/>
        </w:rPr>
        <w:t>».</w:t>
      </w:r>
    </w:p>
    <w:p w14:paraId="601DAFD3"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
        </w:rPr>
      </w:pPr>
    </w:p>
    <w:p w14:paraId="6DEF25DD" w14:textId="77777777" w:rsidR="00136C0C" w:rsidRPr="00332C16" w:rsidRDefault="00136C0C" w:rsidP="00136C0C">
      <w:pPr>
        <w:shd w:val="clear" w:color="auto" w:fill="FFFFFF"/>
        <w:spacing w:line="276" w:lineRule="auto"/>
        <w:contextualSpacing/>
        <w:jc w:val="both"/>
        <w:rPr>
          <w:rFonts w:eastAsia="Times New Roman"/>
          <w:b/>
          <w:color w:val="000000"/>
          <w:sz w:val="24"/>
          <w:szCs w:val="24"/>
          <w:lang w:val="es-ES_tradnl"/>
        </w:rPr>
      </w:pPr>
      <w:r w:rsidRPr="00332C16">
        <w:rPr>
          <w:rFonts w:eastAsia="Times New Roman"/>
          <w:b/>
          <w:color w:val="000000"/>
          <w:sz w:val="24"/>
          <w:szCs w:val="24"/>
          <w:lang w:val="es-ES_tradnl"/>
        </w:rPr>
        <w:t>5. Impugnación</w:t>
      </w:r>
    </w:p>
    <w:p w14:paraId="0A8C84ED"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4BD43277"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r w:rsidRPr="00332C16">
        <w:rPr>
          <w:rFonts w:eastAsia="Times New Roman"/>
          <w:color w:val="000000"/>
          <w:sz w:val="24"/>
          <w:szCs w:val="24"/>
          <w:lang w:val="es-ES_tradnl"/>
        </w:rPr>
        <w:t xml:space="preserve">La sociedad </w:t>
      </w:r>
      <w:r w:rsidRPr="00332C16">
        <w:rPr>
          <w:rFonts w:eastAsia="Times New Roman"/>
          <w:b/>
          <w:color w:val="000000"/>
          <w:sz w:val="24"/>
          <w:szCs w:val="24"/>
          <w:lang w:val="es-ES_tradnl"/>
        </w:rPr>
        <w:t>ANALYTICA</w:t>
      </w:r>
      <w:r w:rsidRPr="00332C16">
        <w:rPr>
          <w:rFonts w:eastAsia="Times New Roman"/>
          <w:color w:val="000000"/>
          <w:sz w:val="24"/>
          <w:szCs w:val="24"/>
          <w:lang w:val="es-ES_tradnl"/>
        </w:rPr>
        <w:t xml:space="preserve"> inconforme con la anterior decisión la impugnó.</w:t>
      </w:r>
      <w:r w:rsidRPr="00332C16">
        <w:rPr>
          <w:rFonts w:eastAsia="Times New Roman"/>
          <w:color w:val="000000"/>
          <w:sz w:val="24"/>
          <w:szCs w:val="24"/>
          <w:vertAlign w:val="superscript"/>
          <w:lang w:val="es-ES_tradnl"/>
        </w:rPr>
        <w:footnoteReference w:id="23"/>
      </w:r>
    </w:p>
    <w:p w14:paraId="26A0EC2E"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0691583D"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r w:rsidRPr="00332C16">
        <w:rPr>
          <w:rFonts w:eastAsia="Times New Roman"/>
          <w:color w:val="000000"/>
          <w:sz w:val="24"/>
          <w:szCs w:val="24"/>
          <w:lang w:val="es-ES_tradnl"/>
        </w:rPr>
        <w:lastRenderedPageBreak/>
        <w:t xml:space="preserve">La apoderada judicial de la tutelante afirmó que tanto la autoridad judicial cuestionada como el </w:t>
      </w:r>
      <w:r w:rsidRPr="00332C16">
        <w:rPr>
          <w:rFonts w:eastAsia="Times New Roman"/>
          <w:i/>
          <w:color w:val="000000"/>
          <w:sz w:val="24"/>
          <w:szCs w:val="24"/>
          <w:lang w:val="es-ES_tradnl"/>
        </w:rPr>
        <w:t>a quo</w:t>
      </w:r>
      <w:r w:rsidRPr="00332C16">
        <w:rPr>
          <w:rFonts w:eastAsia="Times New Roman"/>
          <w:color w:val="000000"/>
          <w:sz w:val="24"/>
          <w:szCs w:val="24"/>
          <w:lang w:val="es-ES_tradnl"/>
        </w:rPr>
        <w:t xml:space="preserve"> constitucional, incurrieron en una denegación de justicia por indebida interpretación de la jurisprudencia en acciones contractuales </w:t>
      </w:r>
      <w:r w:rsidRPr="00332C16">
        <w:rPr>
          <w:rFonts w:eastAsia="Times New Roman"/>
          <w:color w:val="000000"/>
          <w:sz w:val="24"/>
          <w:szCs w:val="24"/>
          <w:lang w:val="es-ES_tradnl" w:eastAsia="es-ES"/>
        </w:rPr>
        <w:t>aplicable</w:t>
      </w:r>
      <w:r w:rsidRPr="00332C16">
        <w:rPr>
          <w:rFonts w:eastAsia="Times New Roman"/>
          <w:color w:val="000000"/>
          <w:sz w:val="24"/>
          <w:szCs w:val="24"/>
          <w:lang w:val="es-ES_tradnl"/>
        </w:rPr>
        <w:t xml:space="preserve"> para la fecha de presentación de la demanda ordinaria. A partir de lo cual afirmó:</w:t>
      </w:r>
    </w:p>
    <w:p w14:paraId="10F2C021"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4BC16CA8"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_tradnl"/>
        </w:rPr>
      </w:pPr>
      <w:r w:rsidRPr="00332C16">
        <w:rPr>
          <w:rFonts w:eastAsia="Times New Roman"/>
          <w:color w:val="000000"/>
          <w:sz w:val="24"/>
          <w:szCs w:val="24"/>
          <w:lang w:val="es-ES_tradnl"/>
        </w:rPr>
        <w:t>«</w:t>
      </w:r>
      <w:r w:rsidRPr="00332C16">
        <w:rPr>
          <w:rFonts w:eastAsia="Times New Roman"/>
          <w:color w:val="000000"/>
          <w:sz w:val="24"/>
          <w:szCs w:val="24"/>
          <w:lang w:val="es-ES_tradnl" w:eastAsia="es-ES"/>
        </w:rPr>
        <w:t>En relación con el tema de las acciones contractuales se ha generado un debate, que esperamos permita hacer cambiar la actual posición del C. de E. cuando ocurren cambios intempestivos en la jurisprudencia que pudieren afectar una decisión. Esto es, que la confianza legítima de los administrados y la seguridad jurídica del sistema jurídico, que determina la actuación del juez y las posibles afectaciones en las inversiones que se hacen en un mercado competitivo, no pueden ser vulneradas por cambios abruptos e intempestivos en la interpretación de la ley, y que se pretende o ejecutan o son aplicables en forma retroactiva. Esto es, al cambiarse de tesis jurídica sobre un determinado asunto y en contravía de la tesis que se venía aplicando y de manera mucho más contundente y valedera cuando se trata de normas procesales, se decida afectar el caso en forma retroactiva</w:t>
      </w:r>
      <w:r w:rsidRPr="00332C16">
        <w:rPr>
          <w:rFonts w:eastAsia="Times New Roman"/>
          <w:color w:val="000000"/>
          <w:sz w:val="24"/>
          <w:szCs w:val="24"/>
          <w:lang w:val="es-ES_tradnl"/>
        </w:rPr>
        <w:t>».</w:t>
      </w:r>
    </w:p>
    <w:p w14:paraId="56724B7C"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79C6C7CF"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r w:rsidRPr="00332C16">
        <w:rPr>
          <w:rFonts w:eastAsia="Times New Roman"/>
          <w:color w:val="000000"/>
          <w:sz w:val="24"/>
          <w:szCs w:val="24"/>
          <w:lang w:val="es-ES_tradnl"/>
        </w:rPr>
        <w:t>Como en la tutela, relacionó varias sentencias para soportar su posición, para finalmente, solicitar el amparo de los derechos al debido proceso y al acceso a la administración de justicia.</w:t>
      </w:r>
    </w:p>
    <w:p w14:paraId="59EC4264"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57BBC946" w14:textId="77777777" w:rsidR="00136C0C" w:rsidRPr="00332C16" w:rsidRDefault="00136C0C" w:rsidP="00136C0C">
      <w:pPr>
        <w:widowControl w:val="0"/>
        <w:autoSpaceDE w:val="0"/>
        <w:autoSpaceDN w:val="0"/>
        <w:adjustRightInd w:val="0"/>
        <w:spacing w:line="276" w:lineRule="auto"/>
        <w:jc w:val="both"/>
        <w:rPr>
          <w:rFonts w:eastAsia="Times New Roman"/>
          <w:b/>
          <w:color w:val="000000"/>
          <w:sz w:val="24"/>
          <w:szCs w:val="24"/>
        </w:rPr>
      </w:pPr>
      <w:r w:rsidRPr="00332C16">
        <w:rPr>
          <w:rFonts w:eastAsia="Times New Roman"/>
          <w:b/>
          <w:color w:val="000000"/>
          <w:sz w:val="24"/>
          <w:szCs w:val="24"/>
        </w:rPr>
        <w:t>6. Trámite en segunda instancia</w:t>
      </w:r>
    </w:p>
    <w:p w14:paraId="5A255F31"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rPr>
      </w:pPr>
    </w:p>
    <w:p w14:paraId="66C1AFB1"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r w:rsidRPr="00332C16">
        <w:rPr>
          <w:rFonts w:eastAsia="Times New Roman"/>
          <w:color w:val="000000"/>
          <w:sz w:val="24"/>
          <w:szCs w:val="24"/>
        </w:rPr>
        <w:t>La Consejera Ponente</w:t>
      </w:r>
      <w:r w:rsidRPr="00332C16">
        <w:rPr>
          <w:rFonts w:eastAsia="Times New Roman"/>
          <w:color w:val="000000"/>
          <w:sz w:val="24"/>
          <w:szCs w:val="24"/>
          <w:lang w:eastAsia="es-ES"/>
        </w:rPr>
        <w:t>,</w:t>
      </w:r>
      <w:r w:rsidRPr="00332C16">
        <w:rPr>
          <w:rFonts w:eastAsia="Times New Roman"/>
          <w:color w:val="000000"/>
          <w:sz w:val="24"/>
          <w:szCs w:val="24"/>
        </w:rPr>
        <w:t xml:space="preserve"> mediante auto del 5 de septiembre de 2017, de conformidad con el</w:t>
      </w:r>
      <w:r w:rsidRPr="00332C16">
        <w:rPr>
          <w:rFonts w:eastAsia="Times New Roman"/>
          <w:color w:val="000000"/>
          <w:sz w:val="24"/>
          <w:szCs w:val="24"/>
          <w:lang w:val="es-ES"/>
        </w:rPr>
        <w:t xml:space="preserve"> artículo 137 del Código General del Proceso, aplicable por remisión que a él hace el artículo 2.2.3.1.1.3 del Decreto No. 1069 de 2015, ordenó que por Secretaría General, se pusiera en conocimiento </w:t>
      </w:r>
      <w:r w:rsidRPr="00332C16">
        <w:rPr>
          <w:rFonts w:eastAsia="Times New Roman"/>
          <w:color w:val="000000"/>
          <w:sz w:val="24"/>
          <w:szCs w:val="24"/>
        </w:rPr>
        <w:t xml:space="preserve">a la </w:t>
      </w:r>
      <w:r w:rsidRPr="00332C16">
        <w:rPr>
          <w:rFonts w:eastAsia="Times New Roman"/>
          <w:b/>
          <w:color w:val="000000"/>
          <w:sz w:val="24"/>
          <w:szCs w:val="24"/>
        </w:rPr>
        <w:t>Subsección B, Sección Tercera del Tribunal Administrativo de Cundinamarca</w:t>
      </w:r>
      <w:r w:rsidRPr="00332C16">
        <w:rPr>
          <w:rFonts w:eastAsia="Times New Roman"/>
          <w:b/>
          <w:color w:val="000000"/>
          <w:sz w:val="24"/>
          <w:szCs w:val="24"/>
          <w:lang w:val="es-ES"/>
        </w:rPr>
        <w:t xml:space="preserve"> </w:t>
      </w:r>
      <w:r w:rsidRPr="00332C16">
        <w:rPr>
          <w:rFonts w:eastAsia="Times New Roman"/>
          <w:color w:val="000000"/>
          <w:sz w:val="24"/>
          <w:szCs w:val="24"/>
          <w:lang w:val="es-ES"/>
        </w:rPr>
        <w:t xml:space="preserve">la nulidad </w:t>
      </w:r>
      <w:proofErr w:type="spellStart"/>
      <w:r w:rsidRPr="00332C16">
        <w:rPr>
          <w:rFonts w:eastAsia="Times New Roman"/>
          <w:color w:val="000000"/>
          <w:sz w:val="24"/>
          <w:szCs w:val="24"/>
          <w:lang w:val="es-ES"/>
        </w:rPr>
        <w:t>saneable</w:t>
      </w:r>
      <w:proofErr w:type="spellEnd"/>
      <w:r w:rsidRPr="00332C16">
        <w:rPr>
          <w:rFonts w:eastAsia="Times New Roman"/>
          <w:color w:val="000000"/>
          <w:sz w:val="24"/>
          <w:szCs w:val="24"/>
          <w:lang w:val="es-ES"/>
        </w:rPr>
        <w:t xml:space="preserve"> que presenta el proceso de la referencia; lo anterior, toda vez que, dicha autoridad judicial profirió </w:t>
      </w:r>
      <w:r w:rsidRPr="00332C16">
        <w:rPr>
          <w:rFonts w:eastAsia="Times New Roman"/>
          <w:bCs/>
          <w:color w:val="000000"/>
          <w:sz w:val="24"/>
          <w:szCs w:val="24"/>
          <w:lang w:val="es-ES" w:eastAsia="es-ES"/>
        </w:rPr>
        <w:t>la providencia</w:t>
      </w:r>
      <w:r w:rsidRPr="00332C16">
        <w:rPr>
          <w:rFonts w:eastAsia="Times New Roman"/>
          <w:color w:val="000000"/>
          <w:sz w:val="24"/>
          <w:szCs w:val="24"/>
          <w:lang w:val="es-ES"/>
        </w:rPr>
        <w:t xml:space="preserve"> de primera instancia dentro del proceso </w:t>
      </w:r>
      <w:r w:rsidRPr="00332C16">
        <w:rPr>
          <w:rFonts w:eastAsia="Times New Roman"/>
          <w:bCs/>
          <w:color w:val="000000"/>
          <w:sz w:val="24"/>
          <w:szCs w:val="24"/>
          <w:lang w:val="es-ES" w:eastAsia="es-ES"/>
        </w:rPr>
        <w:t>contractual</w:t>
      </w:r>
      <w:r w:rsidRPr="00332C16">
        <w:rPr>
          <w:rFonts w:eastAsia="Times New Roman"/>
          <w:color w:val="000000"/>
          <w:sz w:val="24"/>
          <w:szCs w:val="24"/>
          <w:lang w:val="es-ES"/>
        </w:rPr>
        <w:t xml:space="preserve"> de marras y quien no fue vinculado a la actuación durante la primera instancia.</w:t>
      </w:r>
      <w:r w:rsidRPr="00332C16">
        <w:rPr>
          <w:rFonts w:eastAsia="Times New Roman"/>
          <w:color w:val="000000"/>
          <w:sz w:val="24"/>
          <w:szCs w:val="24"/>
          <w:vertAlign w:val="superscript"/>
          <w:lang w:val="es-ES"/>
        </w:rPr>
        <w:footnoteReference w:id="24"/>
      </w:r>
    </w:p>
    <w:p w14:paraId="2F7E11C9"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p>
    <w:p w14:paraId="127D28DC"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r w:rsidRPr="00332C16">
        <w:rPr>
          <w:rFonts w:eastAsia="Times New Roman"/>
          <w:color w:val="000000"/>
          <w:sz w:val="24"/>
          <w:szCs w:val="24"/>
          <w:lang w:val="es-ES"/>
        </w:rPr>
        <w:t>La Secretaría General dio cumplimiento a lo anterior con los memoriales visibles a folios 179 a 185 del expediente</w:t>
      </w:r>
      <w:r w:rsidRPr="00332C16">
        <w:rPr>
          <w:rFonts w:eastAsia="Times New Roman"/>
          <w:bCs/>
          <w:color w:val="000000"/>
          <w:sz w:val="24"/>
          <w:szCs w:val="24"/>
          <w:lang w:val="es-ES" w:eastAsia="es-ES"/>
        </w:rPr>
        <w:t>,</w:t>
      </w:r>
      <w:r w:rsidRPr="00332C16">
        <w:rPr>
          <w:rFonts w:eastAsia="Times New Roman"/>
          <w:color w:val="000000"/>
          <w:sz w:val="24"/>
          <w:szCs w:val="24"/>
          <w:lang w:val="es-ES"/>
        </w:rPr>
        <w:t xml:space="preserve"> a partir de lo cual, intervino:</w:t>
      </w:r>
    </w:p>
    <w:p w14:paraId="6695356B"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p>
    <w:p w14:paraId="052F3E3D" w14:textId="77777777" w:rsidR="00136C0C" w:rsidRPr="00332C16" w:rsidRDefault="00136C0C" w:rsidP="00136C0C">
      <w:pPr>
        <w:widowControl w:val="0"/>
        <w:autoSpaceDE w:val="0"/>
        <w:autoSpaceDN w:val="0"/>
        <w:adjustRightInd w:val="0"/>
        <w:spacing w:line="276" w:lineRule="auto"/>
        <w:jc w:val="both"/>
        <w:rPr>
          <w:rFonts w:eastAsia="Times New Roman"/>
          <w:b/>
          <w:color w:val="000000"/>
          <w:sz w:val="24"/>
          <w:szCs w:val="24"/>
          <w:lang w:val="es-ES"/>
        </w:rPr>
      </w:pPr>
      <w:r w:rsidRPr="00332C16">
        <w:rPr>
          <w:rFonts w:eastAsia="Times New Roman"/>
          <w:b/>
          <w:color w:val="000000"/>
          <w:sz w:val="24"/>
          <w:szCs w:val="24"/>
          <w:lang w:val="es-ES"/>
        </w:rPr>
        <w:t>7. La Subsección B, Sección Tercera del Tribunal Administrativo de Cundinamarca</w:t>
      </w:r>
    </w:p>
    <w:p w14:paraId="00736103"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rPr>
      </w:pPr>
    </w:p>
    <w:p w14:paraId="655D6211"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r w:rsidRPr="00332C16">
        <w:rPr>
          <w:rFonts w:eastAsia="Times New Roman"/>
          <w:color w:val="000000"/>
          <w:sz w:val="24"/>
          <w:szCs w:val="24"/>
          <w:lang w:val="es-ES_tradnl"/>
        </w:rPr>
        <w:t>La autoridad judicial que profirió el fallo de primera instancia dentro del proceso ordinario, luego de hacer referencia a los hechos de la misma y a lo resuelto por esta, manifestó:</w:t>
      </w:r>
      <w:r w:rsidRPr="00332C16">
        <w:rPr>
          <w:rFonts w:eastAsia="Times New Roman"/>
          <w:color w:val="000000"/>
          <w:sz w:val="24"/>
          <w:szCs w:val="24"/>
          <w:vertAlign w:val="superscript"/>
          <w:lang w:val="es-ES_tradnl"/>
        </w:rPr>
        <w:footnoteReference w:id="25"/>
      </w:r>
    </w:p>
    <w:p w14:paraId="4A8805EF"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5F588C5F"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_tradnl" w:eastAsia="es-ES"/>
        </w:rPr>
      </w:pPr>
      <w:r w:rsidRPr="005327CF">
        <w:rPr>
          <w:rFonts w:eastAsia="Times New Roman"/>
          <w:color w:val="000000"/>
          <w:sz w:val="24"/>
          <w:szCs w:val="24"/>
          <w:lang w:val="es-ES_tradnl"/>
        </w:rPr>
        <w:t>«</w:t>
      </w:r>
      <w:r w:rsidRPr="005327CF">
        <w:rPr>
          <w:rFonts w:eastAsia="Times New Roman"/>
          <w:color w:val="000000"/>
          <w:sz w:val="24"/>
          <w:szCs w:val="24"/>
          <w:lang w:val="es-ES_tradnl" w:eastAsia="es-ES"/>
        </w:rPr>
        <w:t>La acción de tutela es improcedente, por cuanto se pretende en el proceso, no el amparo de los derechos fundamentales invocados, sino que se convierta en una tercera instancia en el proceso de Controversias Contractuales.</w:t>
      </w:r>
    </w:p>
    <w:p w14:paraId="630DFD97"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_tradnl" w:eastAsia="es-ES"/>
        </w:rPr>
      </w:pPr>
    </w:p>
    <w:p w14:paraId="2AC664F8"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_tradnl" w:eastAsia="es-ES"/>
        </w:rPr>
      </w:pPr>
      <w:r w:rsidRPr="00332C16">
        <w:rPr>
          <w:rFonts w:eastAsia="Times New Roman"/>
          <w:color w:val="000000"/>
          <w:sz w:val="24"/>
          <w:szCs w:val="24"/>
          <w:lang w:val="es-ES_tradnl" w:eastAsia="es-ES"/>
        </w:rPr>
        <w:t xml:space="preserve">Ahora bien el defecto factico {sic} procedimental alegado por la parte actora </w:t>
      </w:r>
      <w:r w:rsidRPr="00332C16">
        <w:rPr>
          <w:rFonts w:eastAsia="Times New Roman"/>
          <w:color w:val="000000"/>
          <w:sz w:val="24"/>
          <w:szCs w:val="24"/>
          <w:lang w:val="es-ES_tradnl" w:eastAsia="es-ES"/>
        </w:rPr>
        <w:lastRenderedPageBreak/>
        <w:t>no tiene relación con la sentencia proferida por este despacho en primera instancia, pues en esta sede se accedió parcialmente a las pretensiones de la demanda, declarándose la nulidad del contrato 0193 celebrado entre la Secretaría de Educación de Bogotá D.C. y la firma ABC laboratorios S.A, de la resolución que adjudicó el contrato en mención y en consecuencia condenándose al pago de CIENTO DIECISIETE MILLONES NOVECIENTOS OCHO MIL SEISCIENTOS VEINTICINCO PESOS CON CUARENTA Y CUATRO CENTAVOS ($117.908.625,44).</w:t>
      </w:r>
    </w:p>
    <w:p w14:paraId="181C5324"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_tradnl" w:eastAsia="es-ES"/>
        </w:rPr>
      </w:pPr>
    </w:p>
    <w:p w14:paraId="11AE45C7" w14:textId="77777777" w:rsidR="00136C0C" w:rsidRPr="00332C16" w:rsidRDefault="00136C0C" w:rsidP="00136C0C">
      <w:pPr>
        <w:widowControl w:val="0"/>
        <w:autoSpaceDE w:val="0"/>
        <w:autoSpaceDN w:val="0"/>
        <w:adjustRightInd w:val="0"/>
        <w:ind w:left="567"/>
        <w:jc w:val="both"/>
        <w:rPr>
          <w:rFonts w:eastAsia="Times New Roman"/>
          <w:color w:val="000000"/>
          <w:sz w:val="24"/>
          <w:szCs w:val="24"/>
          <w:lang w:val="es-ES_tradnl"/>
        </w:rPr>
      </w:pPr>
      <w:r w:rsidRPr="00332C16">
        <w:rPr>
          <w:rFonts w:eastAsia="Times New Roman"/>
          <w:color w:val="000000"/>
          <w:sz w:val="24"/>
          <w:szCs w:val="24"/>
          <w:lang w:val="es-ES_tradnl" w:eastAsia="es-ES"/>
        </w:rPr>
        <w:t>Por lo anterior, la vulneración de los derechos al debido proceso y al acceso a la administración de justicia no le es imputable al Juez de primera instancia</w:t>
      </w:r>
      <w:r w:rsidRPr="00332C16">
        <w:rPr>
          <w:rFonts w:eastAsia="Times New Roman"/>
          <w:color w:val="000000"/>
          <w:sz w:val="24"/>
          <w:szCs w:val="24"/>
          <w:lang w:val="es-ES_tradnl"/>
        </w:rPr>
        <w:t>».</w:t>
      </w:r>
    </w:p>
    <w:p w14:paraId="65B79186"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_tradnl"/>
        </w:rPr>
      </w:pPr>
    </w:p>
    <w:p w14:paraId="4E569E4A" w14:textId="77777777" w:rsidR="00136C0C" w:rsidRPr="00332C16" w:rsidRDefault="00136C0C" w:rsidP="00136C0C">
      <w:pPr>
        <w:numPr>
          <w:ilvl w:val="0"/>
          <w:numId w:val="1"/>
        </w:numPr>
        <w:spacing w:line="276" w:lineRule="auto"/>
        <w:jc w:val="center"/>
        <w:rPr>
          <w:rFonts w:eastAsia="Times New Roman"/>
          <w:b/>
          <w:color w:val="000000"/>
          <w:sz w:val="24"/>
          <w:szCs w:val="24"/>
          <w:lang w:val="es-ES"/>
        </w:rPr>
      </w:pPr>
      <w:r w:rsidRPr="00332C16">
        <w:rPr>
          <w:rFonts w:eastAsia="Times New Roman"/>
          <w:b/>
          <w:color w:val="000000"/>
          <w:sz w:val="24"/>
          <w:szCs w:val="24"/>
          <w:lang w:val="es-ES"/>
        </w:rPr>
        <w:t>CONSIDERACIONES DE LA SALA</w:t>
      </w:r>
    </w:p>
    <w:p w14:paraId="6C036A33" w14:textId="77777777" w:rsidR="00136C0C" w:rsidRPr="00332C16" w:rsidRDefault="00136C0C" w:rsidP="00136C0C">
      <w:pPr>
        <w:spacing w:line="276" w:lineRule="auto"/>
        <w:jc w:val="both"/>
        <w:rPr>
          <w:rFonts w:eastAsia="Times New Roman"/>
          <w:color w:val="000000"/>
          <w:sz w:val="24"/>
          <w:szCs w:val="24"/>
          <w:lang w:val="es-ES"/>
        </w:rPr>
      </w:pPr>
    </w:p>
    <w:p w14:paraId="5A0E2741" w14:textId="77777777" w:rsidR="00136C0C" w:rsidRPr="00332C16" w:rsidRDefault="00136C0C" w:rsidP="00136C0C">
      <w:pPr>
        <w:spacing w:line="276" w:lineRule="auto"/>
        <w:jc w:val="both"/>
        <w:rPr>
          <w:rFonts w:eastAsia="Times New Roman"/>
          <w:color w:val="000000"/>
          <w:sz w:val="24"/>
          <w:szCs w:val="24"/>
          <w:lang w:val="es-ES_tradnl"/>
        </w:rPr>
      </w:pPr>
      <w:r w:rsidRPr="00332C16">
        <w:rPr>
          <w:rFonts w:eastAsia="Times New Roman"/>
          <w:b/>
          <w:color w:val="000000"/>
          <w:sz w:val="24"/>
          <w:szCs w:val="24"/>
          <w:lang w:val="es-ES_tradnl"/>
        </w:rPr>
        <w:t>1. Competencia</w:t>
      </w:r>
    </w:p>
    <w:p w14:paraId="6C04C4D9" w14:textId="77777777" w:rsidR="00136C0C" w:rsidRPr="00332C16" w:rsidRDefault="00136C0C" w:rsidP="00136C0C">
      <w:pPr>
        <w:tabs>
          <w:tab w:val="left" w:pos="2437"/>
        </w:tabs>
        <w:spacing w:line="276" w:lineRule="auto"/>
        <w:jc w:val="both"/>
        <w:rPr>
          <w:rFonts w:eastAsia="Times New Roman"/>
          <w:color w:val="000000"/>
          <w:sz w:val="24"/>
          <w:szCs w:val="24"/>
          <w:lang w:val="es-ES_tradnl"/>
        </w:rPr>
      </w:pPr>
    </w:p>
    <w:p w14:paraId="0E00A9AD" w14:textId="77777777" w:rsidR="00136C0C" w:rsidRPr="00332C16" w:rsidRDefault="00136C0C" w:rsidP="00136C0C">
      <w:pPr>
        <w:spacing w:line="276" w:lineRule="auto"/>
        <w:jc w:val="both"/>
        <w:rPr>
          <w:rFonts w:eastAsia="Times New Roman"/>
          <w:color w:val="000000"/>
          <w:sz w:val="24"/>
          <w:szCs w:val="24"/>
          <w:lang w:val="es-ES_tradnl"/>
        </w:rPr>
      </w:pPr>
      <w:r w:rsidRPr="00332C16">
        <w:rPr>
          <w:rFonts w:eastAsia="Times New Roman"/>
          <w:color w:val="000000"/>
          <w:sz w:val="24"/>
          <w:szCs w:val="24"/>
          <w:lang w:val="es-ES_tradnl"/>
        </w:rPr>
        <w:t>Esta Sala es competente para asumir el conocimiento de la impugnación presentada, según lo establecido por el Decreto No. 2591 de 1991,</w:t>
      </w:r>
      <w:r w:rsidRPr="00332C16">
        <w:rPr>
          <w:rFonts w:eastAsia="Times New Roman"/>
          <w:color w:val="000000"/>
          <w:sz w:val="24"/>
          <w:szCs w:val="24"/>
          <w:vertAlign w:val="superscript"/>
          <w:lang w:val="es-ES_tradnl"/>
        </w:rPr>
        <w:footnoteReference w:id="26"/>
      </w:r>
      <w:r w:rsidRPr="00332C16">
        <w:rPr>
          <w:rFonts w:eastAsia="Times New Roman"/>
          <w:color w:val="000000"/>
          <w:sz w:val="24"/>
          <w:szCs w:val="24"/>
          <w:lang w:val="es-ES_tradnl"/>
        </w:rPr>
        <w:t xml:space="preserve"> el artículo 2.2.3.1.2.1 del Decreto No. 1069 de 2015</w:t>
      </w:r>
      <w:r w:rsidRPr="00332C16">
        <w:rPr>
          <w:rFonts w:eastAsia="Times New Roman"/>
          <w:color w:val="000000"/>
          <w:sz w:val="24"/>
          <w:szCs w:val="24"/>
          <w:vertAlign w:val="superscript"/>
          <w:lang w:val="es-ES_tradnl"/>
        </w:rPr>
        <w:footnoteReference w:id="27"/>
      </w:r>
      <w:r w:rsidRPr="00332C16">
        <w:rPr>
          <w:rFonts w:eastAsia="Times New Roman"/>
          <w:color w:val="000000"/>
          <w:sz w:val="24"/>
          <w:szCs w:val="24"/>
          <w:lang w:val="es-ES_tradnl"/>
        </w:rPr>
        <w:t xml:space="preserve"> y por el artículo 2º del Acuerdo 55 de 2003</w:t>
      </w:r>
      <w:r w:rsidRPr="00332C16">
        <w:rPr>
          <w:rFonts w:eastAsia="Times New Roman"/>
          <w:color w:val="000000"/>
          <w:sz w:val="24"/>
          <w:szCs w:val="24"/>
          <w:vertAlign w:val="superscript"/>
          <w:lang w:val="es-ES_tradnl"/>
        </w:rPr>
        <w:footnoteReference w:id="28"/>
      </w:r>
      <w:r w:rsidRPr="00332C16">
        <w:rPr>
          <w:rFonts w:eastAsia="Times New Roman"/>
          <w:color w:val="000000"/>
          <w:sz w:val="24"/>
          <w:szCs w:val="24"/>
          <w:lang w:val="es-ES_tradnl"/>
        </w:rPr>
        <w:t xml:space="preserve"> de la Sala Plena del Consejo de Estado.</w:t>
      </w:r>
    </w:p>
    <w:p w14:paraId="4A7A1A9A" w14:textId="77777777" w:rsidR="00136C0C" w:rsidRPr="00332C16" w:rsidRDefault="00136C0C" w:rsidP="00136C0C">
      <w:pPr>
        <w:spacing w:line="276" w:lineRule="auto"/>
        <w:jc w:val="both"/>
        <w:rPr>
          <w:rFonts w:eastAsia="Times New Roman"/>
          <w:color w:val="000000"/>
          <w:sz w:val="24"/>
          <w:szCs w:val="24"/>
          <w:lang w:val="es-ES_tradnl"/>
        </w:rPr>
      </w:pPr>
    </w:p>
    <w:p w14:paraId="495B6E18" w14:textId="77777777" w:rsidR="00136C0C" w:rsidRPr="00332C16" w:rsidRDefault="00136C0C" w:rsidP="00136C0C">
      <w:pPr>
        <w:spacing w:line="276" w:lineRule="auto"/>
        <w:jc w:val="both"/>
        <w:rPr>
          <w:rFonts w:eastAsia="Times New Roman"/>
          <w:b/>
          <w:color w:val="000000"/>
          <w:sz w:val="24"/>
          <w:szCs w:val="24"/>
          <w:lang w:val="es-ES_tradnl"/>
        </w:rPr>
      </w:pPr>
      <w:r w:rsidRPr="00332C16">
        <w:rPr>
          <w:rFonts w:eastAsia="Times New Roman"/>
          <w:b/>
          <w:color w:val="000000"/>
          <w:sz w:val="24"/>
          <w:szCs w:val="24"/>
          <w:lang w:val="es-ES_tradnl"/>
        </w:rPr>
        <w:t>2. Asunto bajo análisis</w:t>
      </w:r>
    </w:p>
    <w:p w14:paraId="539B7AFD" w14:textId="77777777" w:rsidR="00136C0C" w:rsidRPr="00332C16" w:rsidRDefault="00136C0C" w:rsidP="00136C0C">
      <w:pPr>
        <w:spacing w:line="276" w:lineRule="auto"/>
        <w:jc w:val="both"/>
        <w:rPr>
          <w:rFonts w:eastAsia="Times New Roman"/>
          <w:b/>
          <w:color w:val="000000"/>
          <w:sz w:val="24"/>
          <w:szCs w:val="24"/>
          <w:lang w:val="es-ES_tradnl"/>
        </w:rPr>
      </w:pPr>
    </w:p>
    <w:p w14:paraId="0ECA27CF" w14:textId="77777777" w:rsidR="00136C0C" w:rsidRPr="00332C16" w:rsidRDefault="00136C0C" w:rsidP="00136C0C">
      <w:pPr>
        <w:spacing w:line="276" w:lineRule="auto"/>
        <w:jc w:val="both"/>
        <w:rPr>
          <w:rFonts w:eastAsia="Times New Roman"/>
          <w:color w:val="000000"/>
          <w:sz w:val="24"/>
          <w:szCs w:val="24"/>
          <w:lang w:val="es-ES_tradnl"/>
        </w:rPr>
      </w:pPr>
      <w:r w:rsidRPr="00332C16">
        <w:rPr>
          <w:rFonts w:eastAsia="Times New Roman"/>
          <w:color w:val="000000"/>
          <w:sz w:val="24"/>
          <w:szCs w:val="24"/>
          <w:lang w:val="es-ES_tradnl"/>
        </w:rPr>
        <w:t>De acuerdo con los antecedentes de la acción de tutela, las intervenciones durante su trámite y la impugnación presentada, corresponde a la Sala determinar:</w:t>
      </w:r>
    </w:p>
    <w:p w14:paraId="7C65F940" w14:textId="77777777" w:rsidR="00136C0C" w:rsidRPr="00332C16" w:rsidRDefault="00136C0C" w:rsidP="00136C0C">
      <w:pPr>
        <w:spacing w:line="276" w:lineRule="auto"/>
        <w:jc w:val="both"/>
        <w:rPr>
          <w:rFonts w:eastAsia="Times New Roman"/>
          <w:color w:val="000000"/>
          <w:sz w:val="24"/>
          <w:szCs w:val="24"/>
          <w:lang w:val="es-ES_tradnl"/>
        </w:rPr>
      </w:pPr>
    </w:p>
    <w:p w14:paraId="6F181045" w14:textId="77777777" w:rsidR="00136C0C" w:rsidRPr="00332C16" w:rsidRDefault="00136C0C" w:rsidP="00136C0C">
      <w:pPr>
        <w:spacing w:line="276" w:lineRule="auto"/>
        <w:jc w:val="both"/>
        <w:rPr>
          <w:rFonts w:eastAsia="Times New Roman"/>
          <w:color w:val="000000"/>
          <w:sz w:val="24"/>
          <w:szCs w:val="24"/>
          <w:lang w:val="es-ES_tradnl"/>
        </w:rPr>
      </w:pPr>
      <w:r w:rsidRPr="00332C16">
        <w:rPr>
          <w:rFonts w:eastAsia="Times New Roman"/>
          <w:color w:val="000000"/>
          <w:sz w:val="24"/>
          <w:szCs w:val="24"/>
          <w:lang w:val="es-ES_tradnl"/>
        </w:rPr>
        <w:t>i. Procedencia de la acción de tutela contra providencias judiciales</w:t>
      </w:r>
      <w:r w:rsidRPr="00332C16">
        <w:rPr>
          <w:rFonts w:eastAsia="Times New Roman"/>
          <w:color w:val="000000"/>
          <w:sz w:val="24"/>
          <w:szCs w:val="24"/>
          <w:lang w:val="es-ES_tradnl" w:eastAsia="es-ES"/>
        </w:rPr>
        <w:t>. Superado</w:t>
      </w:r>
      <w:r w:rsidRPr="00332C16">
        <w:rPr>
          <w:rFonts w:eastAsia="Times New Roman"/>
          <w:color w:val="000000"/>
          <w:sz w:val="24"/>
          <w:szCs w:val="24"/>
          <w:lang w:val="es-ES_tradnl"/>
        </w:rPr>
        <w:t xml:space="preserve"> lo anterior</w:t>
      </w:r>
      <w:r w:rsidRPr="00332C16">
        <w:rPr>
          <w:rFonts w:eastAsia="Times New Roman"/>
          <w:color w:val="000000"/>
          <w:sz w:val="24"/>
          <w:szCs w:val="24"/>
          <w:lang w:val="es-ES_tradnl" w:eastAsia="es-ES"/>
        </w:rPr>
        <w:t>.</w:t>
      </w:r>
    </w:p>
    <w:p w14:paraId="0935295F" w14:textId="77777777" w:rsidR="00136C0C" w:rsidRPr="00332C16" w:rsidRDefault="00136C0C" w:rsidP="00136C0C">
      <w:pPr>
        <w:spacing w:line="276" w:lineRule="auto"/>
        <w:jc w:val="both"/>
        <w:rPr>
          <w:rFonts w:eastAsia="Times New Roman"/>
          <w:color w:val="000000"/>
          <w:sz w:val="24"/>
          <w:szCs w:val="24"/>
          <w:lang w:val="es-ES_tradnl"/>
        </w:rPr>
      </w:pPr>
    </w:p>
    <w:p w14:paraId="5780D031" w14:textId="77777777" w:rsidR="00136C0C" w:rsidRPr="00332C16" w:rsidRDefault="00136C0C" w:rsidP="00136C0C">
      <w:pPr>
        <w:spacing w:line="276" w:lineRule="auto"/>
        <w:jc w:val="both"/>
        <w:rPr>
          <w:rFonts w:eastAsia="Times New Roman"/>
          <w:color w:val="000000"/>
          <w:sz w:val="24"/>
          <w:szCs w:val="24"/>
          <w:lang w:val="es-ES_tradnl"/>
        </w:rPr>
      </w:pPr>
      <w:r w:rsidRPr="00332C16">
        <w:rPr>
          <w:rFonts w:eastAsia="Times New Roman"/>
          <w:color w:val="000000"/>
          <w:sz w:val="24"/>
          <w:szCs w:val="24"/>
          <w:lang w:val="es-ES_tradnl"/>
        </w:rPr>
        <w:t xml:space="preserve">ii. Se debe establecer si el fallo de tutela de primera instancia se debe confirmar, modificar o revocar, a partir de los argumentos dados en la impugnación por la apoderada judicial de la sociedad </w:t>
      </w:r>
      <w:r w:rsidRPr="00332C16">
        <w:rPr>
          <w:rFonts w:eastAsia="Times New Roman"/>
          <w:b/>
          <w:color w:val="000000"/>
          <w:sz w:val="24"/>
          <w:szCs w:val="24"/>
          <w:lang w:val="es-ES_tradnl"/>
        </w:rPr>
        <w:t>ANALYTICA</w:t>
      </w:r>
      <w:r w:rsidRPr="00332C16">
        <w:rPr>
          <w:rFonts w:eastAsia="Times New Roman"/>
          <w:color w:val="000000"/>
          <w:sz w:val="24"/>
          <w:szCs w:val="24"/>
          <w:lang w:val="es-ES_tradnl"/>
        </w:rPr>
        <w:t xml:space="preserve"> y a partir de la providencia cuestionada, determinar si se vulneraron los derechos fundamentales invocados por la tutelante.</w:t>
      </w:r>
    </w:p>
    <w:p w14:paraId="03BFC7DD" w14:textId="77777777" w:rsidR="00136C0C" w:rsidRPr="00332C16" w:rsidRDefault="00136C0C" w:rsidP="00136C0C">
      <w:pPr>
        <w:spacing w:line="276" w:lineRule="auto"/>
        <w:jc w:val="both"/>
        <w:rPr>
          <w:rFonts w:eastAsia="Times New Roman"/>
          <w:color w:val="000000"/>
          <w:sz w:val="24"/>
          <w:szCs w:val="24"/>
          <w:lang w:val="es-ES"/>
        </w:rPr>
      </w:pPr>
    </w:p>
    <w:p w14:paraId="6F631783" w14:textId="77777777" w:rsidR="00136C0C" w:rsidRPr="00332C16" w:rsidRDefault="00136C0C" w:rsidP="00136C0C">
      <w:pPr>
        <w:spacing w:line="276" w:lineRule="auto"/>
        <w:contextualSpacing/>
        <w:jc w:val="both"/>
        <w:outlineLvl w:val="0"/>
        <w:rPr>
          <w:rFonts w:eastAsia="Times New Roman"/>
          <w:b/>
          <w:color w:val="000000"/>
          <w:sz w:val="24"/>
          <w:szCs w:val="24"/>
          <w:lang w:val="es-ES"/>
        </w:rPr>
      </w:pPr>
      <w:r w:rsidRPr="00332C16">
        <w:rPr>
          <w:rFonts w:eastAsia="Times New Roman"/>
          <w:b/>
          <w:color w:val="000000"/>
          <w:sz w:val="24"/>
          <w:szCs w:val="24"/>
          <w:lang w:val="es-ES"/>
        </w:rPr>
        <w:t>3. Procedencia de la acción de tutela contra providencias judiciales</w:t>
      </w:r>
    </w:p>
    <w:p w14:paraId="4789FF90" w14:textId="77777777" w:rsidR="00136C0C" w:rsidRPr="00332C16" w:rsidRDefault="00136C0C" w:rsidP="00136C0C">
      <w:pPr>
        <w:spacing w:line="276" w:lineRule="auto"/>
        <w:jc w:val="both"/>
        <w:rPr>
          <w:rFonts w:eastAsia="Times New Roman"/>
          <w:b/>
          <w:color w:val="000000"/>
          <w:sz w:val="24"/>
          <w:szCs w:val="24"/>
          <w:lang w:val="es-ES"/>
        </w:rPr>
      </w:pPr>
    </w:p>
    <w:p w14:paraId="141E24A3" w14:textId="77777777" w:rsidR="00136C0C" w:rsidRPr="00332C16" w:rsidRDefault="00136C0C" w:rsidP="00136C0C">
      <w:pPr>
        <w:spacing w:line="276" w:lineRule="auto"/>
        <w:jc w:val="both"/>
        <w:rPr>
          <w:rFonts w:eastAsia="Times New Roman"/>
          <w:color w:val="000000"/>
          <w:sz w:val="24"/>
          <w:szCs w:val="24"/>
          <w:lang w:val="es-ES"/>
        </w:rPr>
      </w:pPr>
      <w:r w:rsidRPr="00332C16">
        <w:rPr>
          <w:rFonts w:eastAsia="Times New Roman"/>
          <w:color w:val="000000"/>
          <w:sz w:val="24"/>
          <w:szCs w:val="24"/>
          <w:lang w:val="es-ES"/>
        </w:rPr>
        <w:t>La Sala Plena de lo Contencioso Administrativo, en sentencia de 31 de julio de 2012,</w:t>
      </w:r>
      <w:r w:rsidRPr="00332C16">
        <w:rPr>
          <w:rFonts w:eastAsia="Times New Roman"/>
          <w:color w:val="000000"/>
          <w:sz w:val="24"/>
          <w:szCs w:val="24"/>
          <w:vertAlign w:val="superscript"/>
          <w:lang w:val="es-ES"/>
        </w:rPr>
        <w:footnoteReference w:id="29"/>
      </w:r>
      <w:r w:rsidRPr="00332C16">
        <w:rPr>
          <w:rFonts w:eastAsia="Times New Roman"/>
          <w:color w:val="000000"/>
          <w:sz w:val="24"/>
          <w:szCs w:val="24"/>
          <w:lang w:val="es-ES"/>
        </w:rPr>
        <w:t xml:space="preserve"> </w:t>
      </w:r>
      <w:r w:rsidRPr="00332C16">
        <w:rPr>
          <w:rFonts w:eastAsia="Times New Roman"/>
          <w:b/>
          <w:color w:val="000000"/>
          <w:sz w:val="24"/>
          <w:szCs w:val="24"/>
          <w:lang w:val="es-ES"/>
        </w:rPr>
        <w:t xml:space="preserve">unificó </w:t>
      </w:r>
      <w:r w:rsidRPr="00332C16">
        <w:rPr>
          <w:rFonts w:eastAsia="Times New Roman"/>
          <w:color w:val="000000"/>
          <w:sz w:val="24"/>
          <w:szCs w:val="24"/>
          <w:lang w:val="es-ES"/>
        </w:rPr>
        <w:t>la diversidad de criterios que la Corporación tenía sobre la procedencia de la acción de tutela contra providencias judiciales,</w:t>
      </w:r>
      <w:r w:rsidRPr="00332C16">
        <w:rPr>
          <w:rFonts w:eastAsia="Times New Roman"/>
          <w:color w:val="000000"/>
          <w:sz w:val="24"/>
          <w:szCs w:val="24"/>
          <w:vertAlign w:val="superscript"/>
          <w:lang w:val="es-ES"/>
        </w:rPr>
        <w:footnoteReference w:id="30"/>
      </w:r>
      <w:r w:rsidRPr="00332C16">
        <w:rPr>
          <w:rFonts w:eastAsia="Times New Roman"/>
          <w:color w:val="000000"/>
          <w:sz w:val="24"/>
          <w:szCs w:val="24"/>
          <w:lang w:val="es-ES"/>
        </w:rPr>
        <w:t xml:space="preserve"> y en ella concluyó:</w:t>
      </w:r>
    </w:p>
    <w:p w14:paraId="63703537" w14:textId="77777777" w:rsidR="00136C0C" w:rsidRPr="00332C16" w:rsidRDefault="00136C0C" w:rsidP="00136C0C">
      <w:pPr>
        <w:spacing w:line="276" w:lineRule="auto"/>
        <w:jc w:val="both"/>
        <w:rPr>
          <w:rFonts w:eastAsia="Times New Roman"/>
          <w:color w:val="000000"/>
          <w:sz w:val="24"/>
          <w:szCs w:val="24"/>
          <w:lang w:val="es-ES"/>
        </w:rPr>
      </w:pPr>
    </w:p>
    <w:p w14:paraId="62B65B11" w14:textId="77777777" w:rsidR="00136C0C" w:rsidRPr="00332C16" w:rsidRDefault="00136C0C" w:rsidP="00136C0C">
      <w:pPr>
        <w:ind w:left="567"/>
        <w:jc w:val="both"/>
        <w:rPr>
          <w:rFonts w:eastAsia="Times New Roman"/>
          <w:color w:val="000000"/>
          <w:sz w:val="24"/>
          <w:szCs w:val="24"/>
          <w:lang w:val="es-ES"/>
        </w:rPr>
      </w:pPr>
      <w:r w:rsidRPr="00332C16">
        <w:rPr>
          <w:rFonts w:eastAsia="Times New Roman"/>
          <w:color w:val="000000"/>
          <w:sz w:val="24"/>
          <w:szCs w:val="24"/>
          <w:lang w:val="es-ES"/>
        </w:rPr>
        <w:lastRenderedPageBreak/>
        <w:t xml:space="preserve">«… si bien es cierto que el criterio mayoritario de la Sala Plena de lo Contencioso Administrativo ha sido el de considerar improcedente la acción de tutela contra providencias judiciales, no lo es menos que las distintas Secciones que la componen, </w:t>
      </w:r>
      <w:r w:rsidRPr="00332C16">
        <w:rPr>
          <w:rFonts w:eastAsia="Times New Roman"/>
          <w:b/>
          <w:color w:val="000000"/>
          <w:sz w:val="24"/>
          <w:szCs w:val="24"/>
          <w:lang w:val="es-ES"/>
        </w:rPr>
        <w:t>antes y después del pronunciamiento de 29 de junio de 2004 (Expediente AC-10203)</w:t>
      </w:r>
      <w:r w:rsidRPr="00332C16">
        <w:rPr>
          <w:rFonts w:eastAsia="Times New Roman"/>
          <w:color w:val="000000"/>
          <w:sz w:val="24"/>
          <w:szCs w:val="24"/>
          <w:lang w:val="es-ES"/>
        </w:rPr>
        <w:t xml:space="preserve">, han abierto paso a dicha acción constitucional, de manera excepcional, cuando se ha advertido la vulneración de derechos constitucionales fundamentales, </w:t>
      </w:r>
      <w:r w:rsidRPr="00332C16">
        <w:rPr>
          <w:rFonts w:eastAsia="Times New Roman"/>
          <w:b/>
          <w:color w:val="000000"/>
          <w:sz w:val="24"/>
          <w:szCs w:val="24"/>
          <w:u w:val="single"/>
          <w:lang w:val="es-ES"/>
        </w:rPr>
        <w:t>de ahí que se modifique tal criterio radical y se admita, como se hace en esta providencia, que debe acometerse el estudio de fondo, cuando se esté en presencia de providencias judiciales que resulten violatorias de tales derechos, observando al efecto los parámetros fijados hasta el momento Jurisprudencialmente</w:t>
      </w:r>
      <w:r w:rsidRPr="00332C16">
        <w:rPr>
          <w:rFonts w:eastAsia="Times New Roman"/>
          <w:color w:val="000000"/>
          <w:sz w:val="24"/>
          <w:szCs w:val="24"/>
          <w:lang w:val="es-ES"/>
        </w:rPr>
        <w:t>…».</w:t>
      </w:r>
      <w:r w:rsidRPr="00332C16">
        <w:rPr>
          <w:rFonts w:eastAsia="Times New Roman"/>
          <w:color w:val="000000"/>
          <w:sz w:val="24"/>
          <w:szCs w:val="24"/>
          <w:vertAlign w:val="superscript"/>
          <w:lang w:val="es-ES"/>
        </w:rPr>
        <w:footnoteReference w:id="31"/>
      </w:r>
    </w:p>
    <w:p w14:paraId="08D07E16" w14:textId="77777777" w:rsidR="00136C0C" w:rsidRPr="00332C16" w:rsidRDefault="00136C0C" w:rsidP="00136C0C">
      <w:pPr>
        <w:spacing w:line="276" w:lineRule="auto"/>
        <w:jc w:val="both"/>
        <w:rPr>
          <w:rFonts w:eastAsia="Times New Roman"/>
          <w:color w:val="000000"/>
          <w:sz w:val="24"/>
          <w:szCs w:val="24"/>
          <w:lang w:val="es-ES"/>
        </w:rPr>
      </w:pPr>
    </w:p>
    <w:p w14:paraId="4181BC7A" w14:textId="77777777" w:rsidR="00136C0C" w:rsidRPr="00332C16" w:rsidRDefault="00136C0C" w:rsidP="00136C0C">
      <w:pPr>
        <w:spacing w:line="276" w:lineRule="auto"/>
        <w:jc w:val="both"/>
        <w:rPr>
          <w:rFonts w:eastAsia="Times New Roman"/>
          <w:color w:val="000000"/>
          <w:sz w:val="24"/>
          <w:szCs w:val="24"/>
          <w:lang w:val="es-ES"/>
        </w:rPr>
      </w:pPr>
      <w:r w:rsidRPr="00332C16">
        <w:rPr>
          <w:rFonts w:eastAsia="Times New Roman"/>
          <w:color w:val="000000"/>
          <w:sz w:val="24"/>
          <w:szCs w:val="24"/>
          <w:lang w:val="es-ES"/>
        </w:rPr>
        <w:t>Conforme al anterior precedente, es claro que la Corporación ha</w:t>
      </w:r>
      <w:r w:rsidRPr="00332C16">
        <w:rPr>
          <w:rFonts w:eastAsia="Times New Roman"/>
          <w:b/>
          <w:color w:val="000000"/>
          <w:sz w:val="24"/>
          <w:szCs w:val="24"/>
          <w:lang w:val="es-ES"/>
        </w:rPr>
        <w:t xml:space="preserve"> </w:t>
      </w:r>
      <w:r w:rsidRPr="00332C16">
        <w:rPr>
          <w:rFonts w:eastAsia="Times New Roman"/>
          <w:color w:val="000000"/>
          <w:sz w:val="24"/>
          <w:szCs w:val="24"/>
          <w:lang w:val="es-ES"/>
        </w:rPr>
        <w:t>modificado su criterio sobre la procedencia de la acción de tutela</w:t>
      </w:r>
      <w:r w:rsidRPr="00332C16">
        <w:rPr>
          <w:rFonts w:eastAsia="Times New Roman"/>
          <w:b/>
          <w:color w:val="000000"/>
          <w:sz w:val="24"/>
          <w:szCs w:val="24"/>
          <w:lang w:val="es-ES"/>
        </w:rPr>
        <w:t xml:space="preserve"> </w:t>
      </w:r>
      <w:r w:rsidRPr="00332C16">
        <w:rPr>
          <w:rFonts w:eastAsia="Times New Roman"/>
          <w:color w:val="000000"/>
          <w:sz w:val="24"/>
          <w:szCs w:val="24"/>
          <w:lang w:val="es-ES"/>
        </w:rPr>
        <w:t>y, en consecuencia, conforme a él, es necesario</w:t>
      </w:r>
      <w:r w:rsidRPr="00332C16">
        <w:rPr>
          <w:rFonts w:eastAsia="Times New Roman"/>
          <w:b/>
          <w:color w:val="000000"/>
          <w:sz w:val="24"/>
          <w:szCs w:val="24"/>
          <w:lang w:val="es-ES"/>
        </w:rPr>
        <w:t xml:space="preserve"> </w:t>
      </w:r>
      <w:r w:rsidRPr="00332C16">
        <w:rPr>
          <w:rFonts w:eastAsia="Times New Roman"/>
          <w:color w:val="000000"/>
          <w:sz w:val="24"/>
          <w:szCs w:val="24"/>
          <w:lang w:val="es-ES"/>
        </w:rPr>
        <w:t>estudiar las acciones de tutela que se presenten contra providencia judicial y analizar si ellas vulneran algún derecho fundamental, observando al efecto los parámetros fijados hasta el momento por la jurisprudencia, como expresamente lo indica la decisión de unificación.</w:t>
      </w:r>
    </w:p>
    <w:p w14:paraId="29286DC9" w14:textId="77777777" w:rsidR="00136C0C" w:rsidRPr="00332C16" w:rsidRDefault="00136C0C" w:rsidP="00136C0C">
      <w:pPr>
        <w:spacing w:line="276" w:lineRule="auto"/>
        <w:jc w:val="both"/>
        <w:rPr>
          <w:rFonts w:eastAsia="Times New Roman"/>
          <w:color w:val="000000"/>
          <w:sz w:val="24"/>
          <w:szCs w:val="24"/>
          <w:lang w:val="es-ES"/>
        </w:rPr>
      </w:pPr>
    </w:p>
    <w:p w14:paraId="0F088D37" w14:textId="77777777" w:rsidR="00136C0C" w:rsidRPr="00332C16" w:rsidRDefault="00136C0C" w:rsidP="00136C0C">
      <w:pPr>
        <w:spacing w:line="276" w:lineRule="auto"/>
        <w:jc w:val="both"/>
        <w:rPr>
          <w:rFonts w:eastAsia="Times New Roman"/>
          <w:color w:val="000000"/>
          <w:sz w:val="24"/>
          <w:szCs w:val="24"/>
          <w:lang w:val="es-ES"/>
        </w:rPr>
      </w:pPr>
      <w:r w:rsidRPr="00332C16">
        <w:rPr>
          <w:rFonts w:eastAsia="Times New Roman"/>
          <w:color w:val="000000"/>
          <w:sz w:val="24"/>
          <w:szCs w:val="24"/>
          <w:lang w:val="es-ES"/>
        </w:rPr>
        <w:t>Así, para la Sala ahora es importante precisar bajo qué parámetros se hará ese estudio, pues la sentencia de unificación se refirió a los «</w:t>
      </w:r>
      <w:r w:rsidRPr="00332C16">
        <w:rPr>
          <w:rFonts w:eastAsia="Times New Roman"/>
          <w:i/>
          <w:color w:val="000000"/>
          <w:sz w:val="24"/>
          <w:szCs w:val="24"/>
          <w:lang w:val="es-ES"/>
        </w:rPr>
        <w:t>… fijados hasta el momento jurisprudencialmente…</w:t>
      </w:r>
      <w:r w:rsidRPr="00332C16">
        <w:rPr>
          <w:rFonts w:eastAsia="Times New Roman"/>
          <w:color w:val="000000"/>
          <w:sz w:val="24"/>
          <w:szCs w:val="24"/>
          <w:lang w:val="es-ES"/>
        </w:rPr>
        <w:t>».</w:t>
      </w:r>
      <w:r w:rsidRPr="00332C16">
        <w:rPr>
          <w:rFonts w:eastAsia="Times New Roman"/>
          <w:i/>
          <w:color w:val="000000"/>
          <w:sz w:val="24"/>
          <w:szCs w:val="24"/>
          <w:lang w:val="es-ES"/>
        </w:rPr>
        <w:t xml:space="preserve"> </w:t>
      </w:r>
      <w:r w:rsidRPr="00332C16">
        <w:rPr>
          <w:rFonts w:eastAsia="Times New Roman"/>
          <w:color w:val="000000"/>
          <w:sz w:val="24"/>
          <w:szCs w:val="24"/>
          <w:lang w:val="es-ES"/>
        </w:rPr>
        <w:t>En efecto, sabido es que la tutela es un mecanismo residual y excepcional para la protección de derechos fundamentales como lo señala el artículo 86 constitucional y, por ende, la procedencia de esta acción constitucional contra providencia judicial no puede ser ajena a esas características.</w:t>
      </w:r>
    </w:p>
    <w:p w14:paraId="561E3E9C" w14:textId="77777777" w:rsidR="00136C0C" w:rsidRPr="00332C16" w:rsidRDefault="00136C0C" w:rsidP="00136C0C">
      <w:pPr>
        <w:spacing w:line="276" w:lineRule="auto"/>
        <w:jc w:val="both"/>
        <w:rPr>
          <w:rFonts w:eastAsia="Times New Roman"/>
          <w:color w:val="000000"/>
          <w:sz w:val="24"/>
          <w:szCs w:val="24"/>
          <w:lang w:val="es-ES"/>
        </w:rPr>
      </w:pPr>
    </w:p>
    <w:p w14:paraId="6154D963" w14:textId="77777777" w:rsidR="00136C0C" w:rsidRPr="00332C16" w:rsidRDefault="00136C0C" w:rsidP="00136C0C">
      <w:pPr>
        <w:spacing w:line="276" w:lineRule="auto"/>
        <w:jc w:val="both"/>
        <w:rPr>
          <w:rFonts w:eastAsia="Times New Roman"/>
          <w:color w:val="000000"/>
          <w:sz w:val="24"/>
          <w:szCs w:val="24"/>
          <w:lang w:val="es-ES"/>
        </w:rPr>
      </w:pPr>
      <w:r w:rsidRPr="00332C16">
        <w:rPr>
          <w:rFonts w:eastAsia="Times New Roman"/>
          <w:color w:val="000000"/>
          <w:sz w:val="24"/>
          <w:szCs w:val="24"/>
          <w:lang w:val="es-ES"/>
        </w:rPr>
        <w:t>La Corte Constitucional se ha referido en forma amplia</w:t>
      </w:r>
      <w:r w:rsidRPr="00332C16">
        <w:rPr>
          <w:rFonts w:eastAsia="Times New Roman"/>
          <w:color w:val="000000"/>
          <w:sz w:val="24"/>
          <w:szCs w:val="24"/>
          <w:vertAlign w:val="superscript"/>
          <w:lang w:val="es-ES"/>
        </w:rPr>
        <w:footnoteReference w:id="32"/>
      </w:r>
      <w:r w:rsidRPr="00332C16">
        <w:rPr>
          <w:rFonts w:eastAsia="Times New Roman"/>
          <w:color w:val="000000"/>
          <w:sz w:val="24"/>
          <w:szCs w:val="24"/>
          <w:lang w:val="es-ES"/>
        </w:rPr>
        <w:t xml:space="preserve"> a unos requisitos generales y otros específicos de procedencia de la acción de tutela, sin distinguir cuáles dan origen a que se conceda o niegue el derecho al amparo -procedencia sustantiva- y cuáles impiden efectivamente adentrarnos en el fondo del asunto - procedencia adjetiva.</w:t>
      </w:r>
    </w:p>
    <w:p w14:paraId="0F248854" w14:textId="77777777" w:rsidR="00136C0C" w:rsidRPr="00332C16" w:rsidRDefault="00136C0C" w:rsidP="00136C0C">
      <w:pPr>
        <w:spacing w:line="276" w:lineRule="auto"/>
        <w:jc w:val="both"/>
        <w:rPr>
          <w:rFonts w:eastAsia="Times New Roman"/>
          <w:color w:val="000000"/>
          <w:sz w:val="24"/>
          <w:szCs w:val="24"/>
          <w:lang w:val="es-ES"/>
        </w:rPr>
      </w:pPr>
    </w:p>
    <w:p w14:paraId="078EBE6F" w14:textId="77777777" w:rsidR="00136C0C" w:rsidRPr="00332C16" w:rsidRDefault="00136C0C" w:rsidP="00136C0C">
      <w:pPr>
        <w:spacing w:line="276" w:lineRule="auto"/>
        <w:jc w:val="both"/>
        <w:rPr>
          <w:rFonts w:eastAsia="Times New Roman"/>
          <w:color w:val="000000"/>
          <w:sz w:val="24"/>
          <w:szCs w:val="24"/>
          <w:lang w:val="es-ES"/>
        </w:rPr>
      </w:pPr>
      <w:r w:rsidRPr="00332C16">
        <w:rPr>
          <w:rFonts w:eastAsia="Times New Roman"/>
          <w:color w:val="000000"/>
          <w:sz w:val="24"/>
          <w:szCs w:val="24"/>
          <w:lang w:val="es-ES"/>
        </w:rPr>
        <w:t xml:space="preserve">En ese orden, primero se verificará que la solicitud de tutela cumpla unos presupuestos generales de procedibilidad. Estos requisitos son: </w:t>
      </w:r>
      <w:r w:rsidRPr="00332C16">
        <w:rPr>
          <w:rFonts w:eastAsia="Times New Roman"/>
          <w:i/>
          <w:color w:val="000000"/>
          <w:sz w:val="24"/>
          <w:szCs w:val="24"/>
          <w:lang w:val="es-ES"/>
        </w:rPr>
        <w:t>i)</w:t>
      </w:r>
      <w:r w:rsidRPr="00332C16">
        <w:rPr>
          <w:rFonts w:eastAsia="Times New Roman"/>
          <w:color w:val="000000"/>
          <w:sz w:val="24"/>
          <w:szCs w:val="24"/>
          <w:lang w:val="es-ES"/>
        </w:rPr>
        <w:t xml:space="preserve"> que no se trate de tutela contra tutela; </w:t>
      </w:r>
      <w:r w:rsidRPr="00332C16">
        <w:rPr>
          <w:rFonts w:eastAsia="Times New Roman"/>
          <w:i/>
          <w:color w:val="000000"/>
          <w:sz w:val="24"/>
          <w:szCs w:val="24"/>
          <w:lang w:val="es-ES"/>
        </w:rPr>
        <w:t>ii)</w:t>
      </w:r>
      <w:r w:rsidRPr="00332C16">
        <w:rPr>
          <w:rFonts w:eastAsia="Times New Roman"/>
          <w:color w:val="000000"/>
          <w:sz w:val="24"/>
          <w:szCs w:val="24"/>
          <w:lang w:val="es-ES"/>
        </w:rPr>
        <w:t xml:space="preserve"> subsidiariedad, es decir, agotamiento de los requisitos ordinarios y extraordinarios, siempre y cuando ellos sean idóneos y eficaces para la protección del derecho que se dice vulnerado; y</w:t>
      </w:r>
      <w:r w:rsidRPr="00332C16">
        <w:rPr>
          <w:rFonts w:eastAsia="Times New Roman"/>
          <w:i/>
          <w:color w:val="000000"/>
          <w:sz w:val="24"/>
          <w:szCs w:val="24"/>
          <w:lang w:val="es-ES"/>
        </w:rPr>
        <w:t xml:space="preserve"> iii)</w:t>
      </w:r>
      <w:r w:rsidRPr="00332C16">
        <w:rPr>
          <w:rFonts w:eastAsia="Times New Roman"/>
          <w:color w:val="000000"/>
          <w:sz w:val="24"/>
          <w:szCs w:val="24"/>
          <w:lang w:val="es-ES"/>
        </w:rPr>
        <w:t xml:space="preserve"> inmediatez.</w:t>
      </w:r>
    </w:p>
    <w:p w14:paraId="0A2C597B" w14:textId="77777777" w:rsidR="00136C0C" w:rsidRPr="00332C16" w:rsidRDefault="00136C0C" w:rsidP="00136C0C">
      <w:pPr>
        <w:spacing w:line="276" w:lineRule="auto"/>
        <w:jc w:val="both"/>
        <w:rPr>
          <w:rFonts w:eastAsia="Times New Roman"/>
          <w:color w:val="000000"/>
          <w:sz w:val="24"/>
          <w:szCs w:val="24"/>
          <w:lang w:val="es-ES"/>
        </w:rPr>
      </w:pPr>
    </w:p>
    <w:p w14:paraId="62717D27" w14:textId="77777777" w:rsidR="00136C0C" w:rsidRPr="00332C16" w:rsidRDefault="00136C0C" w:rsidP="00136C0C">
      <w:pPr>
        <w:spacing w:line="276" w:lineRule="auto"/>
        <w:jc w:val="both"/>
        <w:rPr>
          <w:rFonts w:eastAsia="Times New Roman"/>
          <w:color w:val="000000"/>
          <w:sz w:val="24"/>
          <w:szCs w:val="24"/>
          <w:lang w:val="es-ES"/>
        </w:rPr>
      </w:pPr>
      <w:r w:rsidRPr="00332C16">
        <w:rPr>
          <w:rFonts w:eastAsia="Times New Roman"/>
          <w:color w:val="000000"/>
          <w:sz w:val="24"/>
          <w:szCs w:val="24"/>
          <w:lang w:val="es-ES"/>
        </w:rPr>
        <w:t xml:space="preserve">Cuando no se cumpla con uno de esos presupuestos, la Sección declarará </w:t>
      </w:r>
      <w:r w:rsidRPr="00332C16">
        <w:rPr>
          <w:rFonts w:eastAsia="Times New Roman"/>
          <w:b/>
          <w:color w:val="000000"/>
          <w:sz w:val="24"/>
          <w:szCs w:val="24"/>
          <w:lang w:val="es-ES"/>
        </w:rPr>
        <w:t>improcedente</w:t>
      </w:r>
      <w:r w:rsidRPr="00332C16">
        <w:rPr>
          <w:rFonts w:eastAsia="Times New Roman"/>
          <w:color w:val="000000"/>
          <w:sz w:val="24"/>
          <w:szCs w:val="24"/>
          <w:lang w:val="es-ES"/>
        </w:rPr>
        <w:t xml:space="preserve"> el amparo solicitado y no entrará a analizar el fondo del asunto.</w:t>
      </w:r>
    </w:p>
    <w:p w14:paraId="36DB2739" w14:textId="77777777" w:rsidR="00136C0C" w:rsidRPr="00332C16" w:rsidRDefault="00136C0C" w:rsidP="00136C0C">
      <w:pPr>
        <w:jc w:val="both"/>
        <w:rPr>
          <w:rFonts w:eastAsia="Times New Roman"/>
          <w:color w:val="000000"/>
          <w:sz w:val="24"/>
          <w:szCs w:val="24"/>
          <w:lang w:val="es-ES"/>
        </w:rPr>
      </w:pPr>
    </w:p>
    <w:p w14:paraId="107C7852" w14:textId="77777777" w:rsidR="00136C0C" w:rsidRPr="00332C16" w:rsidRDefault="00136C0C" w:rsidP="00136C0C">
      <w:pPr>
        <w:jc w:val="both"/>
        <w:rPr>
          <w:rFonts w:eastAsia="Times New Roman"/>
          <w:b/>
          <w:color w:val="000000"/>
          <w:sz w:val="24"/>
          <w:szCs w:val="24"/>
          <w:lang w:val="es-ES"/>
        </w:rPr>
      </w:pPr>
      <w:r w:rsidRPr="00332C16">
        <w:rPr>
          <w:rFonts w:eastAsia="Times New Roman"/>
          <w:b/>
          <w:color w:val="000000"/>
          <w:sz w:val="24"/>
          <w:szCs w:val="24"/>
          <w:lang w:val="es-ES"/>
        </w:rPr>
        <w:t>4. Estudio de fondo</w:t>
      </w:r>
    </w:p>
    <w:p w14:paraId="1220A7A0" w14:textId="77777777" w:rsidR="00136C0C" w:rsidRPr="00332C16" w:rsidRDefault="00136C0C" w:rsidP="00136C0C">
      <w:pPr>
        <w:tabs>
          <w:tab w:val="left" w:pos="1670"/>
        </w:tabs>
        <w:contextualSpacing/>
        <w:jc w:val="both"/>
        <w:rPr>
          <w:rFonts w:eastAsia="Times New Roman"/>
          <w:color w:val="000000"/>
          <w:sz w:val="24"/>
          <w:szCs w:val="24"/>
          <w:lang w:val="es-ES"/>
        </w:rPr>
      </w:pPr>
    </w:p>
    <w:p w14:paraId="09CB63B2" w14:textId="77777777" w:rsidR="00136C0C" w:rsidRPr="005327CF" w:rsidRDefault="00136C0C" w:rsidP="00136C0C">
      <w:pPr>
        <w:spacing w:line="276" w:lineRule="auto"/>
        <w:contextualSpacing/>
        <w:jc w:val="both"/>
        <w:rPr>
          <w:rFonts w:eastAsia="Times New Roman"/>
          <w:color w:val="000000"/>
          <w:sz w:val="24"/>
          <w:szCs w:val="24"/>
          <w:lang w:val="es-ES"/>
        </w:rPr>
      </w:pPr>
      <w:bookmarkStart w:id="0" w:name="_Hlk25589276"/>
      <w:r w:rsidRPr="005327CF">
        <w:rPr>
          <w:rFonts w:eastAsia="Times New Roman"/>
          <w:color w:val="000000"/>
          <w:sz w:val="24"/>
          <w:szCs w:val="24"/>
          <w:lang w:val="es-ES"/>
        </w:rPr>
        <w:t xml:space="preserve">Para la Sala una vez estudiadas las pruebas obrantes en el proceso, las intervenciones de instancia, la providencia judicial cuestionada, el fallo de tutela de </w:t>
      </w:r>
      <w:r w:rsidRPr="005327CF">
        <w:rPr>
          <w:rFonts w:eastAsia="Times New Roman"/>
          <w:color w:val="000000"/>
          <w:sz w:val="24"/>
          <w:szCs w:val="24"/>
          <w:lang w:val="es-ES"/>
        </w:rPr>
        <w:lastRenderedPageBreak/>
        <w:t>primera instancia y la impugnación a esta, se confirmará aquella, al no configurarse los defectos alegados, como pasa a explicarse.</w:t>
      </w:r>
    </w:p>
    <w:p w14:paraId="5ABC4A7A" w14:textId="77777777" w:rsidR="00136C0C" w:rsidRPr="005327CF" w:rsidRDefault="00136C0C" w:rsidP="00136C0C">
      <w:pPr>
        <w:spacing w:line="276" w:lineRule="auto"/>
        <w:contextualSpacing/>
        <w:jc w:val="both"/>
        <w:rPr>
          <w:rFonts w:eastAsia="Times New Roman"/>
          <w:color w:val="000000"/>
          <w:sz w:val="24"/>
          <w:szCs w:val="24"/>
          <w:lang w:val="es-ES"/>
        </w:rPr>
      </w:pPr>
    </w:p>
    <w:p w14:paraId="0482079C" w14:textId="77777777" w:rsidR="00136C0C" w:rsidRPr="005327CF" w:rsidRDefault="00136C0C" w:rsidP="00136C0C">
      <w:pPr>
        <w:spacing w:line="276" w:lineRule="auto"/>
        <w:jc w:val="both"/>
        <w:rPr>
          <w:rFonts w:eastAsia="Times New Roman"/>
          <w:color w:val="000000"/>
          <w:sz w:val="24"/>
          <w:szCs w:val="24"/>
          <w:lang w:val="es-MX"/>
        </w:rPr>
      </w:pPr>
      <w:r w:rsidRPr="005327CF">
        <w:rPr>
          <w:rFonts w:eastAsia="Times New Roman"/>
          <w:color w:val="000000"/>
          <w:sz w:val="24"/>
          <w:szCs w:val="24"/>
          <w:lang w:val="es-MX"/>
        </w:rPr>
        <w:t xml:space="preserve">En el presente caso, no se pueden configurar </w:t>
      </w:r>
      <w:r w:rsidRPr="005327CF">
        <w:rPr>
          <w:rFonts w:eastAsia="Times New Roman"/>
          <w:color w:val="000000"/>
          <w:sz w:val="24"/>
          <w:szCs w:val="24"/>
          <w:lang w:val="es-MX" w:eastAsia="es-ES"/>
        </w:rPr>
        <w:t xml:space="preserve">los </w:t>
      </w:r>
      <w:r w:rsidRPr="005327CF">
        <w:rPr>
          <w:rFonts w:eastAsia="Times New Roman"/>
          <w:color w:val="000000"/>
          <w:sz w:val="24"/>
          <w:szCs w:val="24"/>
          <w:lang w:val="es-MX"/>
        </w:rPr>
        <w:t>defectos alegados por la sociedad accionante, toda vez que se evidencia que al interior de la Sección Tercera del Consejo de Estado</w:t>
      </w:r>
      <w:r w:rsidRPr="005327CF">
        <w:rPr>
          <w:rFonts w:eastAsia="Times New Roman"/>
          <w:color w:val="000000"/>
          <w:sz w:val="24"/>
          <w:szCs w:val="24"/>
          <w:lang w:val="es-MX" w:eastAsia="es-ES"/>
        </w:rPr>
        <w:t>, habían varias posiciones,</w:t>
      </w:r>
      <w:r w:rsidRPr="005327CF">
        <w:rPr>
          <w:rFonts w:eastAsia="Times New Roman"/>
          <w:color w:val="000000"/>
          <w:sz w:val="24"/>
          <w:szCs w:val="24"/>
          <w:lang w:val="es-MX"/>
        </w:rPr>
        <w:t xml:space="preserve"> luego de la modificación normativa introducida por la Ley 446 de 1998</w:t>
      </w:r>
      <w:r w:rsidRPr="005327CF">
        <w:rPr>
          <w:rFonts w:eastAsia="Times New Roman"/>
          <w:color w:val="000000"/>
          <w:sz w:val="24"/>
          <w:szCs w:val="24"/>
          <w:lang w:val="es-MX" w:eastAsia="es-ES"/>
        </w:rPr>
        <w:t xml:space="preserve"> al</w:t>
      </w:r>
      <w:r w:rsidRPr="005327CF">
        <w:rPr>
          <w:rFonts w:eastAsia="Times New Roman"/>
          <w:color w:val="000000"/>
          <w:sz w:val="24"/>
          <w:szCs w:val="24"/>
          <w:lang w:val="es-MX"/>
        </w:rPr>
        <w:t xml:space="preserve"> artículo 87 del CCA y aplicable para la fecha de presentación de la demanda de controversias contractuales promovida por </w:t>
      </w:r>
      <w:r w:rsidRPr="005327CF">
        <w:rPr>
          <w:rFonts w:eastAsia="Times New Roman"/>
          <w:color w:val="000000"/>
          <w:sz w:val="24"/>
          <w:szCs w:val="24"/>
          <w:lang w:val="es-MX" w:eastAsia="es-ES"/>
        </w:rPr>
        <w:t xml:space="preserve">la </w:t>
      </w:r>
      <w:r w:rsidRPr="005327CF">
        <w:rPr>
          <w:rFonts w:eastAsia="Times New Roman"/>
          <w:color w:val="000000"/>
          <w:sz w:val="24"/>
          <w:szCs w:val="24"/>
          <w:lang w:val="es-ES_tradnl"/>
        </w:rPr>
        <w:t xml:space="preserve">sociedad </w:t>
      </w:r>
      <w:r w:rsidRPr="005327CF">
        <w:rPr>
          <w:rFonts w:eastAsia="Times New Roman"/>
          <w:b/>
          <w:color w:val="000000"/>
          <w:sz w:val="24"/>
          <w:szCs w:val="24"/>
          <w:lang w:val="es-ES_tradnl"/>
        </w:rPr>
        <w:t xml:space="preserve">ANALYTICA </w:t>
      </w:r>
      <w:r w:rsidRPr="005327CF">
        <w:rPr>
          <w:rFonts w:eastAsia="Times New Roman"/>
          <w:color w:val="000000"/>
          <w:sz w:val="24"/>
          <w:szCs w:val="24"/>
          <w:lang w:val="es-ES_tradnl"/>
        </w:rPr>
        <w:t xml:space="preserve">contra la </w:t>
      </w:r>
      <w:r w:rsidRPr="005327CF">
        <w:rPr>
          <w:rFonts w:eastAsia="Times New Roman"/>
          <w:color w:val="000000"/>
          <w:sz w:val="24"/>
          <w:szCs w:val="24"/>
          <w:lang w:val="es-ES_tradnl" w:eastAsia="es-ES"/>
        </w:rPr>
        <w:t>Secretaría</w:t>
      </w:r>
      <w:r w:rsidRPr="005327CF">
        <w:rPr>
          <w:rFonts w:eastAsia="Times New Roman"/>
          <w:color w:val="000000"/>
          <w:sz w:val="24"/>
          <w:szCs w:val="24"/>
          <w:lang w:val="es-ES_tradnl"/>
        </w:rPr>
        <w:t xml:space="preserve"> de Educación Distrital de Bogotá, esto es, el 25 de febrero de 2004</w:t>
      </w:r>
      <w:bookmarkEnd w:id="0"/>
      <w:r w:rsidRPr="005327CF">
        <w:rPr>
          <w:rFonts w:eastAsia="Times New Roman"/>
          <w:color w:val="000000"/>
          <w:sz w:val="24"/>
          <w:szCs w:val="24"/>
          <w:lang w:val="es-ES_tradnl" w:eastAsia="es-ES"/>
        </w:rPr>
        <w:t>.</w:t>
      </w:r>
      <w:r w:rsidRPr="005327CF">
        <w:rPr>
          <w:rFonts w:eastAsia="Times New Roman"/>
          <w:color w:val="000000"/>
          <w:sz w:val="24"/>
          <w:szCs w:val="24"/>
          <w:vertAlign w:val="superscript"/>
          <w:lang w:val="es-ES_tradnl" w:eastAsia="es-ES"/>
        </w:rPr>
        <w:footnoteReference w:id="33"/>
      </w:r>
      <w:r w:rsidRPr="005327CF">
        <w:rPr>
          <w:rFonts w:eastAsia="Times New Roman"/>
          <w:color w:val="000000"/>
          <w:sz w:val="24"/>
          <w:szCs w:val="24"/>
          <w:lang w:val="es-ES_tradnl" w:eastAsia="es-ES"/>
        </w:rPr>
        <w:t xml:space="preserve"> </w:t>
      </w:r>
    </w:p>
    <w:p w14:paraId="0B6AA49F" w14:textId="77777777" w:rsidR="00136C0C" w:rsidRPr="005327CF" w:rsidRDefault="00136C0C" w:rsidP="00136C0C">
      <w:pPr>
        <w:spacing w:line="276" w:lineRule="auto"/>
        <w:jc w:val="both"/>
        <w:rPr>
          <w:rFonts w:eastAsia="Times New Roman"/>
          <w:color w:val="000000"/>
          <w:sz w:val="24"/>
          <w:szCs w:val="24"/>
          <w:lang w:val="es-MX"/>
        </w:rPr>
      </w:pPr>
    </w:p>
    <w:p w14:paraId="153A1D0A" w14:textId="77777777" w:rsidR="00136C0C" w:rsidRPr="00332C16" w:rsidRDefault="00136C0C" w:rsidP="00136C0C">
      <w:pPr>
        <w:widowControl w:val="0"/>
        <w:autoSpaceDE w:val="0"/>
        <w:autoSpaceDN w:val="0"/>
        <w:adjustRightInd w:val="0"/>
        <w:spacing w:line="276" w:lineRule="auto"/>
        <w:jc w:val="both"/>
        <w:rPr>
          <w:rFonts w:eastAsia="Times New Roman"/>
          <w:iCs/>
          <w:color w:val="000000"/>
          <w:sz w:val="24"/>
          <w:szCs w:val="24"/>
          <w:lang w:val="es-ES" w:eastAsia="es-ES"/>
        </w:rPr>
      </w:pPr>
      <w:r w:rsidRPr="005327CF">
        <w:rPr>
          <w:rFonts w:eastAsia="Times New Roman"/>
          <w:iCs/>
          <w:color w:val="000000"/>
          <w:sz w:val="24"/>
          <w:szCs w:val="24"/>
          <w:lang w:val="es-ES" w:eastAsia="es-ES"/>
        </w:rPr>
        <w:t>Así, la Subsección B, Sección Tercera</w:t>
      </w:r>
      <w:r w:rsidRPr="00332C16">
        <w:rPr>
          <w:rFonts w:eastAsia="Times New Roman"/>
          <w:iCs/>
          <w:color w:val="000000"/>
          <w:sz w:val="24"/>
          <w:szCs w:val="24"/>
          <w:lang w:val="es-ES" w:eastAsia="es-ES"/>
        </w:rPr>
        <w:t xml:space="preserve"> del Consejo de Estado, en la providencia cuestionada, explicó la modificación introducida, en los siguientes términos:</w:t>
      </w:r>
    </w:p>
    <w:p w14:paraId="7178C1BA" w14:textId="77777777" w:rsidR="00136C0C" w:rsidRPr="00332C16" w:rsidRDefault="00136C0C" w:rsidP="00136C0C">
      <w:pPr>
        <w:widowControl w:val="0"/>
        <w:autoSpaceDE w:val="0"/>
        <w:autoSpaceDN w:val="0"/>
        <w:adjustRightInd w:val="0"/>
        <w:spacing w:line="276" w:lineRule="auto"/>
        <w:jc w:val="both"/>
        <w:rPr>
          <w:rFonts w:eastAsia="Times New Roman"/>
          <w:iCs/>
          <w:color w:val="000000"/>
          <w:sz w:val="24"/>
          <w:szCs w:val="24"/>
          <w:lang w:val="es-ES" w:eastAsia="es-ES"/>
        </w:rPr>
      </w:pPr>
    </w:p>
    <w:p w14:paraId="40ACE625" w14:textId="77777777" w:rsidR="00136C0C" w:rsidRPr="00332C16" w:rsidRDefault="00136C0C" w:rsidP="00136C0C">
      <w:pPr>
        <w:widowControl w:val="0"/>
        <w:autoSpaceDE w:val="0"/>
        <w:autoSpaceDN w:val="0"/>
        <w:adjustRightInd w:val="0"/>
        <w:ind w:left="567"/>
        <w:jc w:val="both"/>
        <w:rPr>
          <w:rFonts w:eastAsia="Times New Roman"/>
          <w:iCs/>
          <w:color w:val="000000"/>
          <w:sz w:val="24"/>
          <w:szCs w:val="24"/>
          <w:lang w:val="es-ES" w:eastAsia="es-ES"/>
        </w:rPr>
      </w:pPr>
      <w:r w:rsidRPr="00332C16">
        <w:rPr>
          <w:rFonts w:eastAsia="Times New Roman"/>
          <w:iCs/>
          <w:color w:val="000000"/>
          <w:sz w:val="24"/>
          <w:szCs w:val="24"/>
          <w:lang w:val="es-ES" w:eastAsia="es-ES"/>
        </w:rPr>
        <w:t>«El artículo 32 de la Ley 446 de 1998 dispuso que los actos previos a la celebración del contrato podrán ser controvertidos indistintamente en ejercicio de las acciones de nulidad y nulidad y restablecimiento del derecho, dentro de los treinta días siguientes a su comunicación, notificación o publicación</w:t>
      </w:r>
      <w:r w:rsidRPr="00332C16">
        <w:rPr>
          <w:rFonts w:eastAsia="Times New Roman"/>
          <w:iCs/>
          <w:color w:val="000000"/>
          <w:sz w:val="24"/>
          <w:szCs w:val="24"/>
          <w:vertAlign w:val="superscript"/>
          <w:lang w:val="es-ES" w:eastAsia="es-ES"/>
        </w:rPr>
        <w:footnoteReference w:id="34"/>
      </w:r>
      <w:r w:rsidRPr="00332C16">
        <w:rPr>
          <w:rFonts w:eastAsia="Times New Roman"/>
          <w:iCs/>
          <w:color w:val="000000"/>
          <w:sz w:val="24"/>
          <w:szCs w:val="24"/>
          <w:lang w:val="es-ES" w:eastAsia="es-ES"/>
        </w:rPr>
        <w:t>. Aunque la Sala entendió inicialmente que la norma involucraba todos los actos previos</w:t>
      </w:r>
      <w:r w:rsidRPr="00332C16">
        <w:rPr>
          <w:rFonts w:eastAsia="Times New Roman"/>
          <w:i/>
          <w:iCs/>
          <w:color w:val="000000"/>
          <w:sz w:val="24"/>
          <w:szCs w:val="24"/>
          <w:vertAlign w:val="superscript"/>
          <w:lang w:val="es-ES" w:eastAsia="es-ES"/>
        </w:rPr>
        <w:footnoteReference w:id="35"/>
      </w:r>
      <w:r w:rsidRPr="00332C16">
        <w:rPr>
          <w:rFonts w:eastAsia="Times New Roman"/>
          <w:iCs/>
          <w:color w:val="000000"/>
          <w:sz w:val="24"/>
          <w:szCs w:val="24"/>
          <w:lang w:val="es-ES" w:eastAsia="es-ES"/>
        </w:rPr>
        <w:t>, por lo que los administrados con un interés directo –para el efecto los proponentes vencidos- o quienes en interés general pretendían preservar el ordenamiento, podían demandar la ilegalidad del acto de apertura del proceso licitatorio, el pliego de condiciones o el acto de adjudicación, sin inmiscuirse en la acción contractual. En suma, porque al tenor del artículo 87 del Código Contencioso Administrativo, modificado por el artículo 32 de la Ley 446 de 1998, los actos proferidos antes de la celebración del contrato, con ocasión de la gestión contractual se demandaban en ejercicio de las acciones “de nulidad y de nulidad y restablecimiento del derecho según el caso”.</w:t>
      </w:r>
    </w:p>
    <w:p w14:paraId="4405F0BC" w14:textId="77777777" w:rsidR="00136C0C" w:rsidRPr="00332C16" w:rsidRDefault="00136C0C" w:rsidP="00136C0C">
      <w:pPr>
        <w:widowControl w:val="0"/>
        <w:autoSpaceDE w:val="0"/>
        <w:autoSpaceDN w:val="0"/>
        <w:adjustRightInd w:val="0"/>
        <w:ind w:left="567"/>
        <w:jc w:val="both"/>
        <w:rPr>
          <w:rFonts w:eastAsia="Times New Roman"/>
          <w:iCs/>
          <w:color w:val="000000"/>
          <w:sz w:val="24"/>
          <w:szCs w:val="24"/>
          <w:lang w:val="es-ES" w:eastAsia="es-ES"/>
        </w:rPr>
      </w:pPr>
    </w:p>
    <w:p w14:paraId="32F1273A" w14:textId="77777777" w:rsidR="00136C0C" w:rsidRPr="005327CF" w:rsidRDefault="00136C0C" w:rsidP="00136C0C">
      <w:pPr>
        <w:widowControl w:val="0"/>
        <w:autoSpaceDE w:val="0"/>
        <w:autoSpaceDN w:val="0"/>
        <w:adjustRightInd w:val="0"/>
        <w:ind w:left="567"/>
        <w:jc w:val="both"/>
        <w:rPr>
          <w:rFonts w:eastAsia="Times New Roman"/>
          <w:i/>
          <w:iCs/>
          <w:sz w:val="24"/>
          <w:szCs w:val="24"/>
          <w:lang w:val="es-ES" w:eastAsia="es-ES"/>
        </w:rPr>
      </w:pPr>
      <w:r w:rsidRPr="00332C16">
        <w:rPr>
          <w:rFonts w:eastAsia="Times New Roman"/>
          <w:iCs/>
          <w:color w:val="000000"/>
          <w:sz w:val="24"/>
          <w:szCs w:val="24"/>
          <w:lang w:val="es-ES" w:eastAsia="es-ES"/>
        </w:rPr>
        <w:t xml:space="preserve">Sin embargo, la misma Sala, con el propósito de precisar su alcance, </w:t>
      </w:r>
      <w:r w:rsidRPr="005327CF">
        <w:rPr>
          <w:rFonts w:eastAsia="Times New Roman"/>
          <w:iCs/>
          <w:sz w:val="24"/>
          <w:szCs w:val="24"/>
          <w:lang w:val="es-ES" w:eastAsia="es-ES"/>
        </w:rPr>
        <w:t>encontró que solo podían impugnarse los actos precontractuales definitivos, dentro de los treinta días siguientes a la notificación</w:t>
      </w:r>
      <w:r w:rsidRPr="005327CF">
        <w:rPr>
          <w:rFonts w:eastAsia="Times New Roman"/>
          <w:iCs/>
          <w:sz w:val="24"/>
          <w:szCs w:val="24"/>
          <w:vertAlign w:val="superscript"/>
          <w:lang w:val="es-ES" w:eastAsia="es-ES"/>
        </w:rPr>
        <w:footnoteReference w:id="36"/>
      </w:r>
      <w:r w:rsidRPr="005327CF">
        <w:rPr>
          <w:rFonts w:eastAsia="Times New Roman"/>
          <w:iCs/>
          <w:sz w:val="24"/>
          <w:szCs w:val="24"/>
          <w:lang w:val="es-ES" w:eastAsia="es-ES"/>
        </w:rPr>
        <w:t>».</w:t>
      </w:r>
    </w:p>
    <w:p w14:paraId="687AA81F" w14:textId="77777777" w:rsidR="00136C0C" w:rsidRPr="005327CF" w:rsidRDefault="00136C0C" w:rsidP="00136C0C">
      <w:pPr>
        <w:spacing w:line="276" w:lineRule="auto"/>
        <w:jc w:val="both"/>
        <w:rPr>
          <w:rFonts w:eastAsia="Times New Roman"/>
          <w:sz w:val="24"/>
          <w:szCs w:val="24"/>
          <w:lang w:val="es-MX"/>
        </w:rPr>
      </w:pPr>
    </w:p>
    <w:p w14:paraId="4490951D" w14:textId="77777777" w:rsidR="00136C0C" w:rsidRPr="005327CF" w:rsidRDefault="00136C0C" w:rsidP="00136C0C">
      <w:pPr>
        <w:spacing w:line="276" w:lineRule="auto"/>
        <w:jc w:val="both"/>
        <w:rPr>
          <w:rFonts w:eastAsia="Times New Roman"/>
          <w:color w:val="000000"/>
          <w:sz w:val="24"/>
          <w:szCs w:val="24"/>
          <w:lang w:val="es-ES" w:eastAsia="es-ES"/>
        </w:rPr>
      </w:pPr>
      <w:r w:rsidRPr="005327CF">
        <w:rPr>
          <w:rFonts w:eastAsia="Times New Roman"/>
          <w:sz w:val="24"/>
          <w:szCs w:val="24"/>
          <w:lang w:val="es-MX"/>
        </w:rPr>
        <w:t xml:space="preserve">Luego, la autoridad judicial </w:t>
      </w:r>
      <w:r w:rsidRPr="005327CF">
        <w:rPr>
          <w:rFonts w:eastAsia="Times New Roman"/>
          <w:sz w:val="24"/>
          <w:szCs w:val="24"/>
          <w:lang w:val="es-MX" w:eastAsia="es-ES"/>
        </w:rPr>
        <w:t>cuestionada que</w:t>
      </w:r>
      <w:r w:rsidRPr="005327CF">
        <w:rPr>
          <w:rFonts w:eastAsia="Times New Roman"/>
          <w:sz w:val="24"/>
          <w:szCs w:val="24"/>
          <w:lang w:val="es-MX"/>
        </w:rPr>
        <w:t xml:space="preserve"> expuso tanto en el fallo como al intervenir en el trámite de esta acción constitucional, que a partir del cambio normativo</w:t>
      </w:r>
      <w:r w:rsidRPr="005327CF">
        <w:rPr>
          <w:rFonts w:eastAsia="Times New Roman"/>
          <w:sz w:val="24"/>
          <w:szCs w:val="24"/>
          <w:lang w:val="es-MX" w:eastAsia="es-ES"/>
        </w:rPr>
        <w:t>,</w:t>
      </w:r>
      <w:r w:rsidRPr="005327CF">
        <w:rPr>
          <w:rFonts w:eastAsia="Times New Roman"/>
          <w:sz w:val="24"/>
          <w:szCs w:val="24"/>
          <w:lang w:val="es-MX"/>
        </w:rPr>
        <w:t xml:space="preserve"> se generaron varias tesis, una, la sostenida por la tutelante, consistente</w:t>
      </w:r>
      <w:r w:rsidRPr="005327CF">
        <w:rPr>
          <w:rFonts w:eastAsia="Times New Roman"/>
          <w:sz w:val="24"/>
          <w:szCs w:val="24"/>
          <w:lang w:val="es-MX" w:eastAsia="es-ES"/>
        </w:rPr>
        <w:t xml:space="preserve"> en</w:t>
      </w:r>
      <w:r w:rsidRPr="005327CF">
        <w:rPr>
          <w:rFonts w:eastAsia="Times New Roman"/>
          <w:sz w:val="24"/>
          <w:szCs w:val="24"/>
          <w:lang w:val="es-MX"/>
        </w:rPr>
        <w:t xml:space="preserve"> que los daños y perjuicios derivados de adjudicación ilegal de un contrato se pueden demandar dentro de los dos años </w:t>
      </w:r>
      <w:r w:rsidRPr="005327CF">
        <w:rPr>
          <w:rFonts w:eastAsia="Times New Roman"/>
          <w:sz w:val="24"/>
          <w:szCs w:val="24"/>
          <w:lang w:val="es-MX" w:eastAsia="es-ES"/>
        </w:rPr>
        <w:t>al</w:t>
      </w:r>
      <w:r w:rsidRPr="005327CF">
        <w:rPr>
          <w:rFonts w:eastAsia="Times New Roman"/>
          <w:sz w:val="24"/>
          <w:szCs w:val="24"/>
          <w:lang w:val="es-MX"/>
        </w:rPr>
        <w:t xml:space="preserve"> suscribir este, cuando solicite la nulidad absoluta del mismo y, otra, la aplicada por la Subsección B, que fija un término de 30 días para para demandar los actos preferidos antes de la celebración del contrato, </w:t>
      </w:r>
      <w:r w:rsidRPr="005327CF">
        <w:rPr>
          <w:rFonts w:eastAsia="Times New Roman"/>
          <w:sz w:val="24"/>
          <w:szCs w:val="24"/>
          <w:lang w:val="es-MX" w:eastAsia="es-ES"/>
        </w:rPr>
        <w:t xml:space="preserve">con el consecuente restablecimiento del derecho, </w:t>
      </w:r>
      <w:r w:rsidRPr="005327CF">
        <w:rPr>
          <w:rFonts w:eastAsia="Times New Roman"/>
          <w:sz w:val="24"/>
          <w:szCs w:val="24"/>
          <w:lang w:val="es-MX"/>
        </w:rPr>
        <w:t xml:space="preserve">término que se cuenta </w:t>
      </w:r>
      <w:r w:rsidRPr="005327CF">
        <w:rPr>
          <w:rFonts w:eastAsia="Times New Roman"/>
          <w:sz w:val="24"/>
          <w:szCs w:val="24"/>
          <w:lang w:val="es-ES" w:eastAsia="es-ES"/>
        </w:rPr>
        <w:t>desde la publicidad del</w:t>
      </w:r>
      <w:r w:rsidRPr="005327CF">
        <w:rPr>
          <w:rFonts w:eastAsia="Times New Roman"/>
          <w:color w:val="000000"/>
          <w:sz w:val="24"/>
          <w:szCs w:val="24"/>
          <w:lang w:val="es-ES" w:eastAsia="es-ES"/>
        </w:rPr>
        <w:t xml:space="preserve"> acto administrativo precontractual</w:t>
      </w:r>
      <w:r w:rsidR="00B76B72" w:rsidRPr="005327CF">
        <w:rPr>
          <w:rFonts w:eastAsia="Times New Roman"/>
          <w:color w:val="000000"/>
          <w:sz w:val="24"/>
          <w:szCs w:val="24"/>
          <w:lang w:val="es-ES" w:eastAsia="es-ES"/>
        </w:rPr>
        <w:t xml:space="preserve"> </w:t>
      </w:r>
      <w:r w:rsidRPr="005327CF">
        <w:rPr>
          <w:rFonts w:eastAsia="Times New Roman"/>
          <w:color w:val="000000"/>
          <w:sz w:val="24"/>
          <w:szCs w:val="24"/>
          <w:lang w:val="es-ES" w:eastAsia="es-ES"/>
        </w:rPr>
        <w:t>.</w:t>
      </w:r>
    </w:p>
    <w:p w14:paraId="79B549EE" w14:textId="77777777" w:rsidR="00136C0C" w:rsidRPr="005327CF" w:rsidRDefault="00136C0C" w:rsidP="00136C0C">
      <w:pPr>
        <w:spacing w:line="276" w:lineRule="auto"/>
        <w:jc w:val="both"/>
        <w:rPr>
          <w:rFonts w:eastAsia="Times New Roman"/>
          <w:color w:val="000000"/>
          <w:sz w:val="24"/>
          <w:szCs w:val="24"/>
          <w:lang w:val="es-ES" w:eastAsia="es-ES"/>
        </w:rPr>
      </w:pPr>
    </w:p>
    <w:p w14:paraId="3AE22BD8" w14:textId="77777777" w:rsidR="00136C0C" w:rsidRPr="00332C16" w:rsidRDefault="00136C0C" w:rsidP="00136C0C">
      <w:pPr>
        <w:spacing w:line="276" w:lineRule="auto"/>
        <w:jc w:val="both"/>
        <w:rPr>
          <w:rFonts w:eastAsia="Times New Roman"/>
          <w:color w:val="000000"/>
          <w:sz w:val="24"/>
          <w:szCs w:val="24"/>
          <w:lang w:val="es-ES" w:eastAsia="es-ES"/>
        </w:rPr>
      </w:pPr>
      <w:r w:rsidRPr="005327CF">
        <w:rPr>
          <w:rFonts w:eastAsia="Times New Roman"/>
          <w:color w:val="000000"/>
          <w:sz w:val="24"/>
          <w:szCs w:val="24"/>
          <w:lang w:val="es-ES" w:eastAsia="es-ES"/>
        </w:rPr>
        <w:t>Explicó que si bien</w:t>
      </w:r>
      <w:r w:rsidRPr="00332C16">
        <w:rPr>
          <w:rFonts w:eastAsia="Times New Roman"/>
          <w:color w:val="000000"/>
          <w:sz w:val="24"/>
          <w:szCs w:val="24"/>
          <w:lang w:val="es-ES" w:eastAsia="es-ES"/>
        </w:rPr>
        <w:t>, el ordenamiento prevé la posibilidad de demandar la nulidad del contrato, con base en la nulidad de los actos previos, no cabe el restablecimiento del derecho consecuencial, por haber caducado el término previsto por la ley para invocarlo, al margen de que la acción contractual se interponga con vocación de restablecimiento. A partir de lo anterior, en el caso concreto, explicó sobre la caducidad, lo siguiente:</w:t>
      </w:r>
    </w:p>
    <w:p w14:paraId="11B8C507" w14:textId="77777777" w:rsidR="00136C0C" w:rsidRPr="00332C16" w:rsidRDefault="00136C0C" w:rsidP="00136C0C">
      <w:pPr>
        <w:widowControl w:val="0"/>
        <w:autoSpaceDE w:val="0"/>
        <w:autoSpaceDN w:val="0"/>
        <w:adjustRightInd w:val="0"/>
        <w:spacing w:line="276" w:lineRule="auto"/>
        <w:jc w:val="both"/>
        <w:rPr>
          <w:rFonts w:eastAsia="Times New Roman"/>
          <w:color w:val="000000"/>
          <w:sz w:val="24"/>
          <w:szCs w:val="24"/>
          <w:lang w:val="es-ES" w:eastAsia="es-ES"/>
        </w:rPr>
      </w:pPr>
    </w:p>
    <w:p w14:paraId="786B62EC" w14:textId="77777777" w:rsidR="00136C0C" w:rsidRPr="005327CF" w:rsidRDefault="00136C0C" w:rsidP="00136C0C">
      <w:pPr>
        <w:widowControl w:val="0"/>
        <w:autoSpaceDE w:val="0"/>
        <w:autoSpaceDN w:val="0"/>
        <w:adjustRightInd w:val="0"/>
        <w:ind w:left="567"/>
        <w:jc w:val="both"/>
        <w:rPr>
          <w:rFonts w:eastAsia="Times New Roman"/>
          <w:sz w:val="24"/>
          <w:szCs w:val="24"/>
          <w:lang w:val="es-ES" w:eastAsia="es-ES"/>
        </w:rPr>
      </w:pPr>
      <w:r w:rsidRPr="00332C16">
        <w:rPr>
          <w:rFonts w:eastAsia="Times New Roman"/>
          <w:color w:val="000000"/>
          <w:sz w:val="24"/>
          <w:szCs w:val="24"/>
          <w:lang w:val="es-ES" w:eastAsia="es-ES"/>
        </w:rPr>
        <w:t>«</w:t>
      </w:r>
      <w:r w:rsidRPr="00332C16">
        <w:rPr>
          <w:rFonts w:eastAsia="Times New Roman"/>
          <w:color w:val="000000"/>
          <w:sz w:val="24"/>
          <w:szCs w:val="24"/>
          <w:lang w:val="es-ES_tradnl" w:eastAsia="es-ES"/>
        </w:rPr>
        <w:t xml:space="preserve">En el caso concreto, aunque la sociedad ANALYTICA tiene la condición de apelante único, por lo que en principio no podría hacerse más gravosa su situación, no puede pasarse por alto lo relativo a los presupuestos procesales, cuyo cumplimiento corresponde verificar en tanto requisitos objetivos de procedibilidad, por lo que, en el caso concreto, aunque se desconoce la fecha exacta del contrato de suministro n.° </w:t>
      </w:r>
      <w:r w:rsidRPr="00332C16">
        <w:rPr>
          <w:rFonts w:eastAsia="Times New Roman"/>
          <w:color w:val="000000"/>
          <w:sz w:val="24"/>
          <w:szCs w:val="24"/>
          <w:lang w:val="es-ES" w:eastAsia="es-ES"/>
        </w:rPr>
        <w:t xml:space="preserve">VL-193-00-03, suscrito </w:t>
      </w:r>
      <w:r w:rsidRPr="005327CF">
        <w:rPr>
          <w:rFonts w:eastAsia="Times New Roman"/>
          <w:color w:val="000000"/>
          <w:sz w:val="24"/>
          <w:szCs w:val="24"/>
          <w:lang w:val="es-ES" w:eastAsia="es-ES"/>
        </w:rPr>
        <w:t xml:space="preserve">entre la Secretaría de Educación y la firma ABC LABORATORIOS S.A., lo cierto es que el 29 de diciembre de 2003 en el marco de la audiencia convocada con tal fin se resolvió adjudicar el contrato a la firma ABC LABORATORIOS y se expidió la </w:t>
      </w:r>
      <w:r w:rsidRPr="005327CF">
        <w:rPr>
          <w:rFonts w:eastAsia="Times New Roman"/>
          <w:bCs/>
          <w:color w:val="000000"/>
          <w:sz w:val="24"/>
          <w:szCs w:val="24"/>
          <w:lang w:val="es-ES_tradnl" w:eastAsia="es-ES"/>
        </w:rPr>
        <w:t xml:space="preserve">resolución n.° 4205, para hacer constar la decisión. En ese orden, acorde con la jurisprudencia unificada, corresponde a la Sala, oficiosamente, pronunciarse sobre la caducidad de la acción en lo que tiene que ver con la pretensión de restablecimiento. Esto porque –como quedó explicado- a partir del día siguiente a la notificación, publicación o ejecución de la resolución en cita, la sociedad actora contaba con treinta días hábiles para impugnar el acto, con </w:t>
      </w:r>
      <w:r w:rsidRPr="005327CF">
        <w:rPr>
          <w:rFonts w:eastAsia="Times New Roman"/>
          <w:bCs/>
          <w:sz w:val="24"/>
          <w:szCs w:val="24"/>
          <w:lang w:val="es-ES_tradnl" w:eastAsia="es-ES"/>
        </w:rPr>
        <w:t xml:space="preserve">miras a lograr la reparación del daño, sin perjuicio de la acumulación con la acción de nulidad del contrato en razón del acto de adjudicación. A juicio de la Sala, el restablecimiento del proponente vencido deberá plantearse ante el juez, dentro de los treinta días siguientes a la expedición del acto y no dentro de los dos años contados a partir del perfeccionamiento del contrato, término reservado a la acción contractual, inclusive para ejercer el control de legalidad del acto para efectos de su confrontación con el ordenamiento. Sin embargo, la acción que se resuelve, se ejerció el </w:t>
      </w:r>
      <w:r w:rsidRPr="005327CF">
        <w:rPr>
          <w:rFonts w:eastAsia="Times New Roman"/>
          <w:sz w:val="24"/>
          <w:szCs w:val="24"/>
          <w:lang w:val="es-ES" w:eastAsia="es-ES"/>
        </w:rPr>
        <w:t>25 de febrero de 2004, cuando ya había vencido el término para solicitar el restablecimiento en orden a la reparación de sus aspiraciones económicas, por lo que no hay duda de su ejercicio extemporáneo».</w:t>
      </w:r>
      <w:r w:rsidRPr="005327CF">
        <w:rPr>
          <w:rFonts w:eastAsia="Times New Roman"/>
          <w:sz w:val="24"/>
          <w:szCs w:val="24"/>
          <w:vertAlign w:val="superscript"/>
          <w:lang w:val="es-ES" w:eastAsia="es-ES"/>
        </w:rPr>
        <w:footnoteReference w:id="37"/>
      </w:r>
    </w:p>
    <w:p w14:paraId="4ABEFF94" w14:textId="77777777" w:rsidR="00136C0C" w:rsidRPr="005327CF" w:rsidRDefault="00136C0C" w:rsidP="00136C0C">
      <w:pPr>
        <w:spacing w:line="276" w:lineRule="auto"/>
        <w:jc w:val="both"/>
        <w:rPr>
          <w:rFonts w:eastAsia="Times New Roman"/>
          <w:sz w:val="24"/>
          <w:szCs w:val="24"/>
          <w:lang w:val="es-MX"/>
        </w:rPr>
      </w:pPr>
    </w:p>
    <w:p w14:paraId="1C5FB6BF" w14:textId="77777777" w:rsidR="00136C0C" w:rsidRPr="00332C16" w:rsidRDefault="00136C0C" w:rsidP="00136C0C">
      <w:pPr>
        <w:spacing w:line="276" w:lineRule="auto"/>
        <w:jc w:val="both"/>
        <w:rPr>
          <w:rFonts w:eastAsia="Times New Roman"/>
          <w:color w:val="000000"/>
          <w:sz w:val="24"/>
          <w:szCs w:val="24"/>
          <w:lang w:val="es-MX"/>
        </w:rPr>
      </w:pPr>
      <w:r w:rsidRPr="005327CF">
        <w:rPr>
          <w:rFonts w:eastAsia="Times New Roman"/>
          <w:sz w:val="24"/>
          <w:szCs w:val="24"/>
          <w:lang w:val="es-MX"/>
        </w:rPr>
        <w:t>Por otro lado, al contestar la tutela, la autoridad judicial cuestionada</w:t>
      </w:r>
      <w:r w:rsidRPr="005327CF">
        <w:rPr>
          <w:rFonts w:eastAsia="Times New Roman"/>
          <w:color w:val="000000"/>
          <w:sz w:val="24"/>
          <w:szCs w:val="24"/>
          <w:lang w:val="es-MX"/>
        </w:rPr>
        <w:t xml:space="preserve"> explicó que frente a la tesis aplicada, la jurisprudencia desarrolló una línea sobre las acciones contenciosas que </w:t>
      </w:r>
      <w:r w:rsidRPr="005327CF">
        <w:rPr>
          <w:rFonts w:eastAsia="Times New Roman"/>
          <w:color w:val="000000"/>
          <w:sz w:val="24"/>
          <w:szCs w:val="24"/>
          <w:lang w:val="es-MX" w:eastAsia="es-ES"/>
        </w:rPr>
        <w:t>proceden</w:t>
      </w:r>
      <w:r w:rsidRPr="005327CF">
        <w:rPr>
          <w:rFonts w:eastAsia="Times New Roman"/>
          <w:color w:val="000000"/>
          <w:sz w:val="24"/>
          <w:szCs w:val="24"/>
          <w:lang w:val="es-MX"/>
        </w:rPr>
        <w:t xml:space="preserve"> contra los actos previos, con fundamento en tres </w:t>
      </w:r>
      <w:r w:rsidRPr="005327CF">
        <w:rPr>
          <w:rFonts w:eastAsia="Times New Roman"/>
          <w:color w:val="000000"/>
          <w:sz w:val="24"/>
          <w:szCs w:val="24"/>
          <w:lang w:val="es-MX"/>
        </w:rPr>
        <w:lastRenderedPageBreak/>
        <w:t>hipótesis de espacio temporal, la cual ha sido reiterada en varias oportunidades,</w:t>
      </w:r>
      <w:r w:rsidRPr="005327CF">
        <w:rPr>
          <w:rFonts w:eastAsia="Times New Roman"/>
          <w:color w:val="000000"/>
          <w:sz w:val="24"/>
          <w:szCs w:val="24"/>
          <w:vertAlign w:val="superscript"/>
          <w:lang w:val="es-MX"/>
        </w:rPr>
        <w:footnoteReference w:id="38"/>
      </w:r>
      <w:r w:rsidRPr="005327CF">
        <w:rPr>
          <w:rFonts w:eastAsia="Times New Roman"/>
          <w:color w:val="000000"/>
          <w:sz w:val="24"/>
          <w:szCs w:val="24"/>
          <w:lang w:val="es-MX"/>
        </w:rPr>
        <w:t xml:space="preserve"> así:</w:t>
      </w:r>
    </w:p>
    <w:p w14:paraId="1EF27908" w14:textId="77777777" w:rsidR="00136C0C" w:rsidRPr="00332C16" w:rsidRDefault="00136C0C" w:rsidP="00136C0C">
      <w:pPr>
        <w:spacing w:line="276" w:lineRule="auto"/>
        <w:jc w:val="both"/>
        <w:rPr>
          <w:rFonts w:eastAsia="Times New Roman"/>
          <w:color w:val="000000"/>
          <w:sz w:val="24"/>
          <w:szCs w:val="24"/>
          <w:lang w:val="es-MX"/>
        </w:rPr>
      </w:pPr>
    </w:p>
    <w:p w14:paraId="5719F1DC" w14:textId="77777777" w:rsidR="00136C0C" w:rsidRPr="00332C16" w:rsidRDefault="00136C0C" w:rsidP="00136C0C">
      <w:pPr>
        <w:numPr>
          <w:ilvl w:val="0"/>
          <w:numId w:val="2"/>
        </w:numPr>
        <w:spacing w:line="276" w:lineRule="auto"/>
        <w:jc w:val="both"/>
        <w:rPr>
          <w:rFonts w:eastAsia="Times New Roman"/>
          <w:color w:val="000000"/>
          <w:sz w:val="24"/>
          <w:szCs w:val="24"/>
          <w:lang w:val="es-MX"/>
        </w:rPr>
      </w:pPr>
      <w:r w:rsidRPr="00332C16">
        <w:rPr>
          <w:rFonts w:eastAsia="Times New Roman"/>
          <w:color w:val="000000"/>
          <w:sz w:val="24"/>
          <w:szCs w:val="24"/>
          <w:lang w:val="es-MX"/>
        </w:rPr>
        <w:t xml:space="preserve">Aquellos casos en los cuales el contrato estatal no se ha celebrado </w:t>
      </w:r>
      <w:r w:rsidRPr="00332C16">
        <w:rPr>
          <w:rFonts w:eastAsia="Times New Roman"/>
          <w:color w:val="000000"/>
          <w:sz w:val="24"/>
          <w:szCs w:val="24"/>
          <w:lang w:val="es-MX" w:eastAsia="es-ES"/>
        </w:rPr>
        <w:t>aún</w:t>
      </w:r>
      <w:r w:rsidRPr="00332C16">
        <w:rPr>
          <w:rFonts w:eastAsia="Times New Roman"/>
          <w:color w:val="000000"/>
          <w:sz w:val="24"/>
          <w:szCs w:val="24"/>
          <w:lang w:val="es-MX"/>
        </w:rPr>
        <w:t xml:space="preserve"> para la fecha en que, dentro de los 30 días siguientes a la comunicación, notificación o publicación del correspondiente acto administrativo de adjudicación, se demanda ese acto administrativo previo en ejercicio de la acción de nulidad y restablecimiento del derecho, caso en el cual y sin mayor discusión se tiene que el interesado podrá pretender e incluso obtener tanto la declaratoria judicial de nulidad del aludido acto administrativo, como el restablecimiento de sus derechos, cuestión ésta que de ordinario se concreta en el reconocimiento de los perjuicios ocasionados por el acto nulo y la consiguiente condena para repararlos.</w:t>
      </w:r>
    </w:p>
    <w:p w14:paraId="1960697A" w14:textId="77777777" w:rsidR="00136C0C" w:rsidRPr="00332C16" w:rsidRDefault="00136C0C" w:rsidP="00136C0C">
      <w:pPr>
        <w:ind w:left="720"/>
        <w:jc w:val="both"/>
        <w:rPr>
          <w:rFonts w:eastAsia="Times New Roman"/>
          <w:color w:val="000000"/>
          <w:sz w:val="24"/>
          <w:szCs w:val="24"/>
          <w:lang w:val="es-MX"/>
        </w:rPr>
      </w:pPr>
    </w:p>
    <w:p w14:paraId="22BB3E05" w14:textId="77777777" w:rsidR="00136C0C" w:rsidRPr="00332C16" w:rsidRDefault="00136C0C" w:rsidP="00136C0C">
      <w:pPr>
        <w:numPr>
          <w:ilvl w:val="0"/>
          <w:numId w:val="2"/>
        </w:numPr>
        <w:spacing w:line="276" w:lineRule="auto"/>
        <w:jc w:val="both"/>
        <w:rPr>
          <w:rFonts w:eastAsia="Times New Roman"/>
          <w:color w:val="000000"/>
          <w:sz w:val="24"/>
          <w:szCs w:val="24"/>
          <w:lang w:val="es-MX"/>
        </w:rPr>
      </w:pPr>
      <w:r w:rsidRPr="00332C16">
        <w:rPr>
          <w:rFonts w:eastAsia="Times New Roman"/>
          <w:color w:val="000000"/>
          <w:sz w:val="24"/>
          <w:szCs w:val="24"/>
          <w:lang w:val="es-MX"/>
        </w:rPr>
        <w:t xml:space="preserve">Corresponde </w:t>
      </w:r>
      <w:r w:rsidRPr="00332C16">
        <w:rPr>
          <w:rFonts w:eastAsia="Times New Roman"/>
          <w:color w:val="000000"/>
          <w:sz w:val="24"/>
          <w:szCs w:val="24"/>
          <w:lang w:val="es-MX" w:eastAsia="es-ES"/>
        </w:rPr>
        <w:t>a aquellos casos en los cuales hubiere transcurrido el término de 30 días sin que se hubiere celebrado el respectivo contrato estatal pero igual sin que se hubiere formulado demanda contra el acto administrativo previo dentro de ese mismo término, cuestión que, da lugar a la con figuración de la caducidad de la acción de nulidad restablecimiento del derecho, lo cual priva definitivamente al interesado de la posibilidad de revivir ese plazo o de acudir en una nueva oportunidad ante la Jurisdicción en procura de obtener el reconocimiento de los derechos que le habrían sido desconocidos con la expedición del correspondiente acto administrativo, o de ambas.</w:t>
      </w:r>
    </w:p>
    <w:p w14:paraId="04471159" w14:textId="77777777" w:rsidR="00136C0C" w:rsidRPr="00332C16" w:rsidRDefault="00136C0C" w:rsidP="00136C0C">
      <w:pPr>
        <w:ind w:left="708"/>
        <w:rPr>
          <w:rFonts w:eastAsia="Times New Roman"/>
          <w:color w:val="000000"/>
          <w:sz w:val="24"/>
          <w:szCs w:val="24"/>
          <w:lang w:val="es-MX"/>
        </w:rPr>
      </w:pPr>
    </w:p>
    <w:p w14:paraId="35713A68" w14:textId="77777777" w:rsidR="00136C0C" w:rsidRPr="00332C16" w:rsidRDefault="00136C0C" w:rsidP="00136C0C">
      <w:pPr>
        <w:numPr>
          <w:ilvl w:val="0"/>
          <w:numId w:val="2"/>
        </w:numPr>
        <w:spacing w:line="276" w:lineRule="auto"/>
        <w:jc w:val="both"/>
        <w:rPr>
          <w:rFonts w:eastAsia="Times New Roman"/>
          <w:color w:val="000000"/>
          <w:sz w:val="24"/>
          <w:szCs w:val="24"/>
          <w:lang w:val="es-MX"/>
        </w:rPr>
      </w:pPr>
      <w:r w:rsidRPr="00332C16">
        <w:rPr>
          <w:rFonts w:eastAsia="Times New Roman"/>
          <w:color w:val="000000"/>
          <w:sz w:val="24"/>
          <w:szCs w:val="24"/>
          <w:lang w:val="es-MX"/>
        </w:rPr>
        <w:t>Finalmente, la última hipótesis, se concreta a l</w:t>
      </w:r>
      <w:r w:rsidRPr="00332C16">
        <w:rPr>
          <w:rFonts w:eastAsia="Times New Roman"/>
          <w:color w:val="000000"/>
          <w:sz w:val="24"/>
          <w:szCs w:val="24"/>
          <w:lang w:val="es-MX" w:eastAsia="es-ES"/>
        </w:rPr>
        <w:t>os eventos en los cuales la entidad estatal y el adjudicatario proceden a celebrar el contrato estatal antes de que expire el término de los 30 días siguientes a la notificación, comunicación o publicación del acto de adjudicación, según fuere el caso, sin que para esa fecha el proponente vencido hubiere ejercido la correspondiente acción de nulidad y restablecimiento del derecho en contra del acto previo, situación que si bien determina que el interesado ya no podrá</w:t>
      </w:r>
      <w:r w:rsidRPr="00332C16">
        <w:rPr>
          <w:rFonts w:eastAsia="Times New Roman"/>
          <w:color w:val="000000"/>
          <w:sz w:val="24"/>
          <w:szCs w:val="24"/>
          <w:lang w:eastAsia="es-ES"/>
        </w:rPr>
        <w:t xml:space="preserve"> </w:t>
      </w:r>
      <w:r w:rsidRPr="00332C16">
        <w:rPr>
          <w:rFonts w:eastAsia="Times New Roman"/>
          <w:color w:val="000000"/>
          <w:sz w:val="24"/>
          <w:szCs w:val="24"/>
          <w:lang w:val="es-MX" w:eastAsia="es-ES"/>
        </w:rPr>
        <w:t>ejercer la mencionada acción en forma independiente, la ley expresamente le dejó abierta la opción para ejercer válidamente la acción contractual, dentro de la cual deberá pretender la nulidad del contrato estatal y la declaratoria de ilegalidad de los actos previos, pero como fundamento de la nulidad absoluta del contrato, sin pretender el restablecimiento.</w:t>
      </w:r>
    </w:p>
    <w:p w14:paraId="53DA6EAA" w14:textId="77777777" w:rsidR="00136C0C" w:rsidRPr="00332C16" w:rsidRDefault="00136C0C" w:rsidP="00136C0C">
      <w:pPr>
        <w:jc w:val="both"/>
        <w:rPr>
          <w:rFonts w:eastAsia="Times New Roman"/>
          <w:color w:val="000000"/>
          <w:sz w:val="24"/>
          <w:szCs w:val="24"/>
          <w:lang w:val="es-MX"/>
        </w:rPr>
      </w:pPr>
    </w:p>
    <w:p w14:paraId="7DD44326" w14:textId="77777777" w:rsidR="00136C0C" w:rsidRPr="00332C16" w:rsidRDefault="00136C0C" w:rsidP="00136C0C">
      <w:pPr>
        <w:spacing w:line="276" w:lineRule="auto"/>
        <w:jc w:val="both"/>
        <w:rPr>
          <w:rFonts w:eastAsia="Times New Roman"/>
          <w:color w:val="000000"/>
          <w:sz w:val="24"/>
          <w:szCs w:val="24"/>
        </w:rPr>
      </w:pPr>
      <w:r w:rsidRPr="00332C16">
        <w:rPr>
          <w:rFonts w:eastAsia="Times New Roman"/>
          <w:color w:val="000000"/>
          <w:sz w:val="24"/>
          <w:szCs w:val="24"/>
          <w:lang w:val="es-MX"/>
        </w:rPr>
        <w:t xml:space="preserve">Como se observa de lo anterior, la tesis aplicada por la autoridad judicial cuestionada en esta oportunidad viene soportada en </w:t>
      </w:r>
      <w:r w:rsidRPr="00332C16">
        <w:rPr>
          <w:rFonts w:eastAsia="Times New Roman"/>
          <w:color w:val="000000"/>
          <w:sz w:val="24"/>
          <w:szCs w:val="24"/>
          <w:lang w:val="es-MX" w:eastAsia="es-ES"/>
        </w:rPr>
        <w:t xml:space="preserve">la </w:t>
      </w:r>
      <w:r w:rsidRPr="00332C16">
        <w:rPr>
          <w:rFonts w:eastAsia="Times New Roman"/>
          <w:color w:val="000000"/>
          <w:sz w:val="24"/>
          <w:szCs w:val="24"/>
          <w:lang w:val="es-MX"/>
        </w:rPr>
        <w:t xml:space="preserve">línea jurisprudencial de la </w:t>
      </w:r>
      <w:r w:rsidRPr="00332C16">
        <w:rPr>
          <w:rFonts w:eastAsia="Times New Roman"/>
          <w:color w:val="000000"/>
          <w:sz w:val="24"/>
          <w:szCs w:val="24"/>
          <w:lang w:val="es-MX"/>
        </w:rPr>
        <w:lastRenderedPageBreak/>
        <w:t>Sección Tercera del Consejo de Estado</w:t>
      </w:r>
      <w:r w:rsidRPr="00332C16">
        <w:rPr>
          <w:rFonts w:eastAsia="Times New Roman"/>
          <w:color w:val="000000"/>
          <w:sz w:val="24"/>
          <w:szCs w:val="24"/>
          <w:lang w:val="es-MX" w:eastAsia="es-ES"/>
        </w:rPr>
        <w:t>, adoptada</w:t>
      </w:r>
      <w:r w:rsidRPr="00332C16">
        <w:rPr>
          <w:rFonts w:eastAsia="Times New Roman"/>
          <w:color w:val="000000"/>
          <w:sz w:val="24"/>
          <w:szCs w:val="24"/>
          <w:lang w:val="es-MX"/>
        </w:rPr>
        <w:t xml:space="preserve"> desde los años 1999 y 2000</w:t>
      </w:r>
      <w:r w:rsidRPr="00332C16">
        <w:rPr>
          <w:rFonts w:eastAsia="Times New Roman"/>
          <w:color w:val="000000"/>
          <w:sz w:val="24"/>
          <w:szCs w:val="24"/>
          <w:lang w:val="es-MX" w:eastAsia="es-ES"/>
        </w:rPr>
        <w:t>.</w:t>
      </w:r>
      <w:r w:rsidRPr="00332C16">
        <w:rPr>
          <w:rFonts w:eastAsia="Times New Roman"/>
          <w:color w:val="000000"/>
          <w:sz w:val="24"/>
          <w:szCs w:val="24"/>
          <w:vertAlign w:val="superscript"/>
          <w:lang w:val="es-MX"/>
        </w:rPr>
        <w:footnoteReference w:id="39"/>
      </w:r>
      <w:r w:rsidRPr="00332C16">
        <w:rPr>
          <w:rFonts w:eastAsia="Times New Roman"/>
          <w:color w:val="000000"/>
          <w:sz w:val="24"/>
          <w:szCs w:val="24"/>
          <w:lang w:val="es-MX"/>
        </w:rPr>
        <w:t xml:space="preserve"> </w:t>
      </w:r>
      <w:r w:rsidRPr="00332C16">
        <w:rPr>
          <w:rFonts w:eastAsia="Times New Roman"/>
          <w:color w:val="000000"/>
          <w:sz w:val="24"/>
          <w:szCs w:val="24"/>
          <w:lang w:val="es-MX" w:eastAsia="es-ES"/>
        </w:rPr>
        <w:t>A</w:t>
      </w:r>
      <w:r w:rsidRPr="00332C16">
        <w:rPr>
          <w:rFonts w:eastAsia="Times New Roman"/>
          <w:iCs/>
          <w:color w:val="000000"/>
          <w:sz w:val="24"/>
          <w:szCs w:val="24"/>
          <w:lang w:eastAsia="es-ES"/>
        </w:rPr>
        <w:t>sí</w:t>
      </w:r>
      <w:r w:rsidRPr="00332C16">
        <w:rPr>
          <w:rFonts w:eastAsia="Times New Roman"/>
          <w:color w:val="000000"/>
          <w:sz w:val="24"/>
          <w:szCs w:val="24"/>
        </w:rPr>
        <w:t xml:space="preserve"> las cosas, resulta evidente para la Sala</w:t>
      </w:r>
      <w:r w:rsidRPr="00332C16">
        <w:rPr>
          <w:rFonts w:eastAsia="Times New Roman"/>
          <w:color w:val="000000"/>
          <w:sz w:val="24"/>
          <w:szCs w:val="24"/>
          <w:lang w:eastAsia="es-ES"/>
        </w:rPr>
        <w:t>,</w:t>
      </w:r>
      <w:r w:rsidRPr="00332C16">
        <w:rPr>
          <w:rFonts w:eastAsia="Times New Roman"/>
          <w:color w:val="000000"/>
          <w:sz w:val="24"/>
          <w:szCs w:val="24"/>
        </w:rPr>
        <w:t xml:space="preserve"> que al aplicarla para resolver la acción de controversias contractuales puesta en su conocimiento, hace parte de la autonomía e independencia de la que gozan los jueces de la república y</w:t>
      </w:r>
      <w:r w:rsidRPr="00332C16">
        <w:rPr>
          <w:rFonts w:eastAsia="Times New Roman"/>
          <w:color w:val="000000"/>
          <w:sz w:val="24"/>
          <w:szCs w:val="24"/>
          <w:lang w:eastAsia="es-ES"/>
        </w:rPr>
        <w:t>,</w:t>
      </w:r>
      <w:r w:rsidRPr="00332C16">
        <w:rPr>
          <w:rFonts w:eastAsia="Times New Roman"/>
          <w:color w:val="000000"/>
          <w:sz w:val="24"/>
          <w:szCs w:val="24"/>
        </w:rPr>
        <w:t xml:space="preserve"> por lo mismo, las partes </w:t>
      </w:r>
      <w:r w:rsidRPr="00332C16">
        <w:rPr>
          <w:rFonts w:eastAsia="Times New Roman"/>
          <w:color w:val="000000"/>
          <w:sz w:val="24"/>
          <w:szCs w:val="24"/>
          <w:lang w:eastAsia="es-ES"/>
        </w:rPr>
        <w:t>ni</w:t>
      </w:r>
      <w:r w:rsidRPr="00332C16">
        <w:rPr>
          <w:rFonts w:eastAsia="Times New Roman"/>
          <w:color w:val="000000"/>
          <w:sz w:val="24"/>
          <w:szCs w:val="24"/>
        </w:rPr>
        <w:t xml:space="preserve"> mucho menos el juez constitucional, puede imponer a toda costa su criterio</w:t>
      </w:r>
      <w:r w:rsidRPr="00332C16">
        <w:rPr>
          <w:rFonts w:eastAsia="Times New Roman"/>
          <w:b/>
          <w:color w:val="000000"/>
          <w:sz w:val="24"/>
          <w:szCs w:val="24"/>
        </w:rPr>
        <w:t xml:space="preserve">, interpretación y lógica sobre la del natural, </w:t>
      </w:r>
      <w:r w:rsidRPr="00332C16">
        <w:rPr>
          <w:rFonts w:eastAsia="Times New Roman"/>
          <w:b/>
          <w:color w:val="000000"/>
          <w:sz w:val="24"/>
          <w:szCs w:val="24"/>
          <w:lang w:eastAsia="es-ES"/>
        </w:rPr>
        <w:t>la cual en el presente caso, es razonable frente al cambio normativo que introdujo el artículo 32 de la Ley 446 de 1998 a la acción de controversias contractuales</w:t>
      </w:r>
      <w:r w:rsidRPr="00332C16">
        <w:rPr>
          <w:rFonts w:eastAsia="Times New Roman"/>
          <w:color w:val="000000"/>
          <w:sz w:val="24"/>
          <w:szCs w:val="24"/>
          <w:lang w:eastAsia="es-ES"/>
        </w:rPr>
        <w:t xml:space="preserve">, </w:t>
      </w:r>
      <w:r w:rsidRPr="00332C16">
        <w:rPr>
          <w:rFonts w:eastAsia="Times New Roman"/>
          <w:color w:val="000000"/>
          <w:sz w:val="24"/>
          <w:szCs w:val="24"/>
        </w:rPr>
        <w:t>como si se tratara de un juez superior e infalible; por las anteriores razones, al no configurarse los defectos alegados, se confirmará el fallo de tutela de primera instancia proferido por la Sección Cuarta del Consejo de Estado.</w:t>
      </w:r>
    </w:p>
    <w:p w14:paraId="53210F60" w14:textId="77777777" w:rsidR="00136C0C" w:rsidRPr="00332C16" w:rsidRDefault="00136C0C" w:rsidP="00136C0C">
      <w:pPr>
        <w:spacing w:line="276" w:lineRule="auto"/>
        <w:jc w:val="both"/>
        <w:rPr>
          <w:rFonts w:eastAsia="Times New Roman"/>
          <w:color w:val="000000"/>
          <w:sz w:val="24"/>
          <w:szCs w:val="24"/>
          <w:lang w:eastAsia="es-ES"/>
        </w:rPr>
      </w:pPr>
    </w:p>
    <w:p w14:paraId="3657B868" w14:textId="77777777" w:rsidR="00136C0C" w:rsidRPr="00332C16" w:rsidRDefault="00136C0C" w:rsidP="00136C0C">
      <w:pPr>
        <w:spacing w:line="276" w:lineRule="auto"/>
        <w:jc w:val="both"/>
        <w:rPr>
          <w:rFonts w:eastAsia="Times New Roman"/>
          <w:color w:val="000000"/>
          <w:sz w:val="24"/>
          <w:szCs w:val="24"/>
          <w:lang w:val="es-MX" w:eastAsia="es-ES"/>
        </w:rPr>
      </w:pPr>
      <w:r w:rsidRPr="00332C16">
        <w:rPr>
          <w:rFonts w:eastAsia="Times New Roman"/>
          <w:color w:val="000000"/>
          <w:sz w:val="24"/>
          <w:szCs w:val="24"/>
          <w:lang w:val="es-MX" w:eastAsia="es-ES"/>
        </w:rPr>
        <w:t>Finalmente, debe poner presente la Sala que de las sentencias en que fundamentó la tutela la sociedad accionante, en la impugnación solo reiteró el fallo del 7 de octubre de 1997, proferido por la Sección Tercera del Consejo de Estado, en el expediente No. 10610 y M. P. Ricardo Hoyos Duque.</w:t>
      </w:r>
    </w:p>
    <w:p w14:paraId="5E4A4226" w14:textId="77777777" w:rsidR="00136C0C" w:rsidRPr="00332C16" w:rsidRDefault="00136C0C" w:rsidP="00136C0C">
      <w:pPr>
        <w:spacing w:line="276" w:lineRule="auto"/>
        <w:jc w:val="both"/>
        <w:rPr>
          <w:rFonts w:eastAsia="Times New Roman"/>
          <w:color w:val="000000"/>
          <w:sz w:val="24"/>
          <w:szCs w:val="24"/>
          <w:lang w:val="es-MX" w:eastAsia="es-ES"/>
        </w:rPr>
      </w:pPr>
    </w:p>
    <w:p w14:paraId="61D899DF" w14:textId="77777777" w:rsidR="00136C0C" w:rsidRPr="00332C16" w:rsidRDefault="00136C0C" w:rsidP="00136C0C">
      <w:pPr>
        <w:spacing w:line="276" w:lineRule="auto"/>
        <w:jc w:val="both"/>
        <w:rPr>
          <w:rFonts w:eastAsia="Times New Roman"/>
          <w:color w:val="000000"/>
          <w:sz w:val="24"/>
          <w:szCs w:val="24"/>
          <w:lang w:val="es-ES_tradnl" w:eastAsia="es-ES"/>
        </w:rPr>
      </w:pPr>
      <w:r w:rsidRPr="00332C16">
        <w:rPr>
          <w:rFonts w:eastAsia="Times New Roman"/>
          <w:color w:val="000000"/>
          <w:sz w:val="24"/>
          <w:szCs w:val="24"/>
          <w:lang w:val="es-MX" w:eastAsia="es-ES"/>
        </w:rPr>
        <w:t xml:space="preserve">Este juez constitucional evidencia al revisar dicho proceso, que este correspondió a la demanda que promovió </w:t>
      </w:r>
      <w:r w:rsidRPr="00332C16">
        <w:rPr>
          <w:rFonts w:eastAsia="Times New Roman"/>
          <w:color w:val="000000"/>
          <w:sz w:val="24"/>
          <w:szCs w:val="24"/>
          <w:lang w:val="es-ES_tradnl" w:eastAsia="es-ES"/>
        </w:rPr>
        <w:t>Sociedad Grancolombiana de Seguridad contra la Empresa de Energía de Bogotá, el</w:t>
      </w:r>
      <w:r w:rsidRPr="00332C16">
        <w:rPr>
          <w:rFonts w:eastAsia="Times New Roman"/>
          <w:b/>
          <w:color w:val="000000"/>
          <w:sz w:val="24"/>
          <w:szCs w:val="24"/>
          <w:lang w:val="es-ES_tradnl" w:eastAsia="es-ES"/>
        </w:rPr>
        <w:t xml:space="preserve"> 19 de agosto 1992</w:t>
      </w:r>
      <w:r w:rsidRPr="00332C16">
        <w:rPr>
          <w:rFonts w:eastAsia="Times New Roman"/>
          <w:color w:val="000000"/>
          <w:sz w:val="24"/>
          <w:szCs w:val="24"/>
          <w:lang w:val="es-ES_tradnl" w:eastAsia="es-ES"/>
        </w:rPr>
        <w:t>, es decir, cuando no había sucedido el cambio normativo introducido por el artículo 32 de la Ley 446 de 1998 a la acción contractual del CCA y, frente a este, explicó como varió la legitimación en la causa por activa para promoverla,</w:t>
      </w:r>
      <w:r w:rsidRPr="00332C16">
        <w:rPr>
          <w:rFonts w:eastAsia="Times New Roman"/>
          <w:color w:val="000000"/>
          <w:sz w:val="24"/>
          <w:szCs w:val="24"/>
          <w:vertAlign w:val="superscript"/>
          <w:lang w:val="es-ES_tradnl" w:eastAsia="es-ES"/>
        </w:rPr>
        <w:footnoteReference w:id="40"/>
      </w:r>
      <w:r w:rsidRPr="00332C16">
        <w:rPr>
          <w:rFonts w:eastAsia="Times New Roman"/>
          <w:color w:val="000000"/>
          <w:sz w:val="24"/>
          <w:szCs w:val="24"/>
          <w:lang w:val="es-ES_tradnl" w:eastAsia="es-ES"/>
        </w:rPr>
        <w:t xml:space="preserve"> pero no hizo análisis alguno respecto a la manera que se pueden reclamar perjuicios con ocasión de los actos previos a la celebración del contrato.</w:t>
      </w:r>
    </w:p>
    <w:p w14:paraId="4D93F9B2" w14:textId="77777777" w:rsidR="00136C0C" w:rsidRPr="00332C16" w:rsidRDefault="00136C0C" w:rsidP="00136C0C">
      <w:pPr>
        <w:spacing w:line="276" w:lineRule="auto"/>
        <w:jc w:val="both"/>
        <w:rPr>
          <w:rFonts w:eastAsia="Times New Roman"/>
          <w:color w:val="000000"/>
          <w:sz w:val="24"/>
          <w:szCs w:val="24"/>
          <w:lang w:val="es-MX"/>
        </w:rPr>
      </w:pPr>
    </w:p>
    <w:p w14:paraId="40DEFAE7" w14:textId="77777777" w:rsidR="00136C0C" w:rsidRPr="00332C16" w:rsidRDefault="00136C0C" w:rsidP="00136C0C">
      <w:pPr>
        <w:spacing w:line="276" w:lineRule="auto"/>
        <w:jc w:val="both"/>
        <w:rPr>
          <w:rFonts w:eastAsia="Times New Roman"/>
          <w:color w:val="000000"/>
          <w:sz w:val="24"/>
          <w:szCs w:val="24"/>
          <w:lang w:val="es-MX"/>
        </w:rPr>
      </w:pPr>
      <w:r w:rsidRPr="00332C16">
        <w:rPr>
          <w:rFonts w:eastAsia="Times New Roman"/>
          <w:color w:val="000000"/>
          <w:sz w:val="24"/>
          <w:szCs w:val="24"/>
          <w:lang w:val="es-MX"/>
        </w:rPr>
        <w:t>En mérito de lo expuesto, el Consejo de Estado, Sala de lo Contencioso Administrativo, Sección Quinta, administrando justicia en nombre de la República y por autoridad de la Ley,</w:t>
      </w:r>
    </w:p>
    <w:p w14:paraId="454C5692" w14:textId="77777777" w:rsidR="00136C0C" w:rsidRPr="00332C16" w:rsidRDefault="00136C0C" w:rsidP="00136C0C">
      <w:pPr>
        <w:spacing w:line="276" w:lineRule="auto"/>
        <w:jc w:val="center"/>
        <w:rPr>
          <w:rFonts w:eastAsia="Times New Roman"/>
          <w:b/>
          <w:color w:val="000000"/>
          <w:sz w:val="24"/>
          <w:szCs w:val="24"/>
          <w:lang w:val="es-ES"/>
        </w:rPr>
      </w:pPr>
    </w:p>
    <w:p w14:paraId="1CA1F309" w14:textId="77777777" w:rsidR="00136C0C" w:rsidRPr="00332C16" w:rsidRDefault="00136C0C" w:rsidP="00136C0C">
      <w:pPr>
        <w:spacing w:line="276" w:lineRule="auto"/>
        <w:jc w:val="center"/>
        <w:rPr>
          <w:rFonts w:eastAsia="Times New Roman"/>
          <w:b/>
          <w:color w:val="000000"/>
          <w:sz w:val="24"/>
          <w:szCs w:val="24"/>
          <w:lang w:val="es-ES"/>
        </w:rPr>
      </w:pPr>
      <w:r w:rsidRPr="00332C16">
        <w:rPr>
          <w:rFonts w:eastAsia="Times New Roman"/>
          <w:b/>
          <w:color w:val="000000"/>
          <w:sz w:val="24"/>
          <w:szCs w:val="24"/>
          <w:lang w:val="es-ES"/>
        </w:rPr>
        <w:t>FALLA:</w:t>
      </w:r>
    </w:p>
    <w:p w14:paraId="0BF56B80" w14:textId="77777777" w:rsidR="00136C0C" w:rsidRPr="00332C16" w:rsidRDefault="00136C0C" w:rsidP="00136C0C">
      <w:pPr>
        <w:spacing w:line="276" w:lineRule="auto"/>
        <w:jc w:val="center"/>
        <w:rPr>
          <w:rFonts w:eastAsia="Times New Roman"/>
          <w:b/>
          <w:color w:val="000000"/>
          <w:sz w:val="24"/>
          <w:szCs w:val="24"/>
          <w:lang w:val="es-ES"/>
        </w:rPr>
      </w:pPr>
    </w:p>
    <w:p w14:paraId="6129CF10" w14:textId="77777777" w:rsidR="00136C0C" w:rsidRPr="00332C16" w:rsidRDefault="00136C0C" w:rsidP="00136C0C">
      <w:pPr>
        <w:spacing w:line="276" w:lineRule="auto"/>
        <w:jc w:val="both"/>
        <w:rPr>
          <w:rFonts w:eastAsia="Times New Roman"/>
          <w:color w:val="000000"/>
          <w:sz w:val="24"/>
          <w:szCs w:val="24"/>
          <w:lang w:val="es-ES"/>
        </w:rPr>
      </w:pPr>
      <w:r w:rsidRPr="00332C16">
        <w:rPr>
          <w:rFonts w:eastAsia="Times New Roman"/>
          <w:b/>
          <w:color w:val="000000"/>
          <w:sz w:val="24"/>
          <w:szCs w:val="24"/>
          <w:lang w:val="es-ES"/>
        </w:rPr>
        <w:t xml:space="preserve">PRIMERO: </w:t>
      </w:r>
      <w:r w:rsidRPr="00332C16">
        <w:rPr>
          <w:rFonts w:eastAsia="Times New Roman"/>
          <w:b/>
          <w:color w:val="000000"/>
          <w:sz w:val="24"/>
          <w:szCs w:val="24"/>
          <w:lang w:val="es-ES_tradnl"/>
        </w:rPr>
        <w:t xml:space="preserve">Confirmar </w:t>
      </w:r>
      <w:r w:rsidRPr="00332C16">
        <w:rPr>
          <w:rFonts w:eastAsia="Times New Roman"/>
          <w:color w:val="000000"/>
          <w:sz w:val="24"/>
          <w:szCs w:val="24"/>
          <w:lang w:val="es-ES_tradnl"/>
        </w:rPr>
        <w:t xml:space="preserve">la sentencia proferida el 2 de agosto de 2017 por la Sección Cuarta del Consejo del Estado, por medio del cual </w:t>
      </w:r>
      <w:r w:rsidRPr="00332C16">
        <w:rPr>
          <w:rFonts w:eastAsia="Times New Roman"/>
          <w:b/>
          <w:color w:val="000000"/>
          <w:sz w:val="24"/>
          <w:szCs w:val="24"/>
          <w:lang w:val="es-ES_tradnl"/>
        </w:rPr>
        <w:t>negó el amparo</w:t>
      </w:r>
      <w:r w:rsidRPr="00332C16">
        <w:rPr>
          <w:rFonts w:eastAsia="Times New Roman"/>
          <w:color w:val="000000"/>
          <w:sz w:val="24"/>
          <w:szCs w:val="24"/>
          <w:lang w:val="es-ES_tradnl"/>
        </w:rPr>
        <w:t xml:space="preserve"> solicitado por la sociedad</w:t>
      </w:r>
      <w:r w:rsidRPr="00332C16">
        <w:rPr>
          <w:rFonts w:eastAsia="Times New Roman"/>
          <w:b/>
          <w:color w:val="000000"/>
          <w:sz w:val="24"/>
          <w:szCs w:val="24"/>
          <w:lang w:val="es-ES_tradnl"/>
        </w:rPr>
        <w:t xml:space="preserve"> ANALYTICA S.A.S</w:t>
      </w:r>
      <w:r w:rsidRPr="00332C16">
        <w:rPr>
          <w:rFonts w:eastAsia="Times New Roman"/>
          <w:color w:val="000000"/>
          <w:sz w:val="24"/>
          <w:szCs w:val="24"/>
          <w:lang w:val="es-ES_tradnl"/>
        </w:rPr>
        <w:t>, de conformidad con la parte motiva de la presente decisión.</w:t>
      </w:r>
    </w:p>
    <w:p w14:paraId="1BF9702E" w14:textId="77777777" w:rsidR="00136C0C" w:rsidRPr="00332C16" w:rsidRDefault="00136C0C" w:rsidP="00136C0C">
      <w:pPr>
        <w:spacing w:line="276" w:lineRule="auto"/>
        <w:jc w:val="both"/>
        <w:rPr>
          <w:rFonts w:eastAsia="Times New Roman"/>
          <w:color w:val="000000"/>
          <w:sz w:val="24"/>
          <w:szCs w:val="24"/>
          <w:lang w:val="es-ES"/>
        </w:rPr>
      </w:pPr>
    </w:p>
    <w:p w14:paraId="4B51669B" w14:textId="77777777" w:rsidR="00136C0C" w:rsidRPr="00332C16" w:rsidRDefault="00136C0C" w:rsidP="00136C0C">
      <w:pPr>
        <w:spacing w:line="276" w:lineRule="auto"/>
        <w:jc w:val="both"/>
        <w:rPr>
          <w:rFonts w:eastAsia="Times New Roman"/>
          <w:color w:val="000000"/>
          <w:sz w:val="24"/>
          <w:szCs w:val="24"/>
          <w:lang w:val="es-ES"/>
        </w:rPr>
      </w:pPr>
      <w:r w:rsidRPr="00332C16">
        <w:rPr>
          <w:rFonts w:eastAsia="Times New Roman"/>
          <w:b/>
          <w:color w:val="000000"/>
          <w:sz w:val="24"/>
          <w:szCs w:val="24"/>
          <w:lang w:val="es-ES"/>
        </w:rPr>
        <w:t>SEGUNDO:</w:t>
      </w:r>
      <w:r w:rsidRPr="00332C16">
        <w:rPr>
          <w:rFonts w:eastAsia="Times New Roman"/>
          <w:color w:val="000000"/>
          <w:sz w:val="24"/>
          <w:szCs w:val="24"/>
          <w:lang w:val="es-ES"/>
        </w:rPr>
        <w:t xml:space="preserve"> </w:t>
      </w:r>
      <w:r w:rsidRPr="00332C16">
        <w:rPr>
          <w:rFonts w:eastAsia="Times New Roman"/>
          <w:b/>
          <w:color w:val="000000"/>
          <w:sz w:val="24"/>
          <w:szCs w:val="24"/>
          <w:lang w:val="es-ES"/>
        </w:rPr>
        <w:t>Devolver</w:t>
      </w:r>
      <w:r w:rsidRPr="00332C16">
        <w:rPr>
          <w:rFonts w:eastAsia="Times New Roman"/>
          <w:color w:val="000000"/>
          <w:sz w:val="24"/>
          <w:szCs w:val="24"/>
          <w:lang w:val="es-ES"/>
        </w:rPr>
        <w:t xml:space="preserve"> el expediente ordinario allegado en calidad de préstamo, de conformidad con el oficio visible a folio 127.</w:t>
      </w:r>
    </w:p>
    <w:p w14:paraId="0CDA369B" w14:textId="77777777" w:rsidR="00136C0C" w:rsidRPr="00332C16" w:rsidRDefault="00136C0C" w:rsidP="00136C0C">
      <w:pPr>
        <w:spacing w:line="276" w:lineRule="auto"/>
        <w:jc w:val="both"/>
        <w:rPr>
          <w:rFonts w:eastAsia="Times New Roman"/>
          <w:color w:val="000000"/>
          <w:sz w:val="24"/>
          <w:szCs w:val="24"/>
          <w:lang w:val="es-ES"/>
        </w:rPr>
      </w:pPr>
    </w:p>
    <w:p w14:paraId="2A6D9A2C" w14:textId="77777777" w:rsidR="00136C0C" w:rsidRPr="00332C16" w:rsidRDefault="00136C0C" w:rsidP="00136C0C">
      <w:pPr>
        <w:spacing w:line="276" w:lineRule="auto"/>
        <w:jc w:val="both"/>
        <w:rPr>
          <w:rFonts w:eastAsia="Times New Roman"/>
          <w:color w:val="000000"/>
          <w:sz w:val="24"/>
          <w:szCs w:val="24"/>
          <w:lang w:val="es-ES_tradnl"/>
        </w:rPr>
      </w:pPr>
      <w:r w:rsidRPr="00332C16">
        <w:rPr>
          <w:rFonts w:eastAsia="Times New Roman"/>
          <w:b/>
          <w:color w:val="000000"/>
          <w:sz w:val="24"/>
          <w:szCs w:val="24"/>
          <w:lang w:val="es-ES"/>
        </w:rPr>
        <w:t xml:space="preserve">TERCERO: </w:t>
      </w:r>
      <w:r w:rsidRPr="00332C16">
        <w:rPr>
          <w:rFonts w:eastAsia="Times New Roman"/>
          <w:b/>
          <w:color w:val="000000"/>
          <w:sz w:val="24"/>
          <w:szCs w:val="24"/>
          <w:lang w:val="es-ES_tradnl"/>
        </w:rPr>
        <w:t>Enviar</w:t>
      </w:r>
      <w:r w:rsidRPr="00332C16">
        <w:rPr>
          <w:rFonts w:eastAsia="Times New Roman"/>
          <w:color w:val="000000"/>
          <w:sz w:val="24"/>
          <w:szCs w:val="24"/>
          <w:lang w:val="es-ES_tradnl"/>
        </w:rPr>
        <w:t xml:space="preserve"> el expediente a la Corte Constitucional para su eventual revisión, de conformidad con lo establecido por el artículo 32 del Decreto No. 2591 de 1991.</w:t>
      </w:r>
    </w:p>
    <w:p w14:paraId="49C056DC" w14:textId="77777777" w:rsidR="00136C0C" w:rsidRPr="00332C16" w:rsidRDefault="00136C0C" w:rsidP="00136C0C">
      <w:pPr>
        <w:jc w:val="both"/>
        <w:rPr>
          <w:rFonts w:eastAsia="Times New Roman"/>
          <w:b/>
          <w:color w:val="000000"/>
          <w:sz w:val="24"/>
          <w:szCs w:val="24"/>
          <w:lang w:val="es-ES"/>
        </w:rPr>
      </w:pPr>
    </w:p>
    <w:p w14:paraId="72D11DB2" w14:textId="77777777" w:rsidR="00136C0C" w:rsidRPr="00332C16" w:rsidRDefault="00136C0C" w:rsidP="00136C0C">
      <w:pPr>
        <w:jc w:val="both"/>
        <w:rPr>
          <w:rFonts w:eastAsia="Times New Roman"/>
          <w:b/>
          <w:color w:val="000000"/>
          <w:sz w:val="24"/>
          <w:szCs w:val="24"/>
          <w:lang w:val="es-ES"/>
        </w:rPr>
      </w:pPr>
      <w:r w:rsidRPr="00332C16">
        <w:rPr>
          <w:rFonts w:eastAsia="Times New Roman"/>
          <w:b/>
          <w:color w:val="000000"/>
          <w:sz w:val="24"/>
          <w:szCs w:val="24"/>
          <w:lang w:val="es-ES"/>
        </w:rPr>
        <w:t>NOTIFÍQUESE Y CÚMPLASE.</w:t>
      </w:r>
    </w:p>
    <w:p w14:paraId="5B6D2575" w14:textId="77777777" w:rsidR="00136C0C" w:rsidRPr="00332C16" w:rsidRDefault="00136C0C" w:rsidP="00136C0C">
      <w:pPr>
        <w:jc w:val="both"/>
        <w:rPr>
          <w:rFonts w:eastAsia="Times New Roman"/>
          <w:b/>
          <w:color w:val="000000"/>
          <w:sz w:val="24"/>
          <w:szCs w:val="24"/>
        </w:rPr>
      </w:pPr>
    </w:p>
    <w:p w14:paraId="0542D3A6" w14:textId="77777777" w:rsidR="00136C0C" w:rsidRPr="00332C16" w:rsidRDefault="00136C0C" w:rsidP="006F3592">
      <w:pPr>
        <w:jc w:val="center"/>
        <w:rPr>
          <w:rFonts w:eastAsia="Times New Roman"/>
          <w:b/>
          <w:color w:val="000000"/>
          <w:sz w:val="24"/>
          <w:szCs w:val="24"/>
        </w:rPr>
      </w:pPr>
    </w:p>
    <w:p w14:paraId="6FBE281F" w14:textId="77777777" w:rsidR="00136C0C" w:rsidRPr="00332C16" w:rsidRDefault="00136C0C" w:rsidP="006F3592">
      <w:pPr>
        <w:spacing w:line="276" w:lineRule="auto"/>
        <w:jc w:val="center"/>
        <w:rPr>
          <w:rFonts w:eastAsia="Times New Roman"/>
          <w:b/>
          <w:color w:val="000000"/>
          <w:sz w:val="24"/>
          <w:szCs w:val="24"/>
        </w:rPr>
      </w:pPr>
      <w:r w:rsidRPr="00332C16">
        <w:rPr>
          <w:rFonts w:eastAsia="Times New Roman"/>
          <w:b/>
          <w:color w:val="000000"/>
          <w:sz w:val="24"/>
          <w:szCs w:val="24"/>
        </w:rPr>
        <w:t>CARLOS ENRIQUE MORENO RUBIO</w:t>
      </w:r>
    </w:p>
    <w:p w14:paraId="6D161C87" w14:textId="77777777" w:rsidR="00136C0C" w:rsidRPr="00332C16" w:rsidRDefault="00136C0C" w:rsidP="006F3592">
      <w:pPr>
        <w:spacing w:line="276" w:lineRule="auto"/>
        <w:jc w:val="center"/>
        <w:rPr>
          <w:rFonts w:eastAsia="Times New Roman"/>
          <w:b/>
          <w:color w:val="000000"/>
          <w:sz w:val="24"/>
          <w:szCs w:val="24"/>
        </w:rPr>
      </w:pPr>
      <w:r w:rsidRPr="00332C16">
        <w:rPr>
          <w:rFonts w:eastAsia="Times New Roman"/>
          <w:b/>
          <w:color w:val="000000"/>
          <w:sz w:val="24"/>
          <w:szCs w:val="24"/>
        </w:rPr>
        <w:t>Presidente</w:t>
      </w:r>
    </w:p>
    <w:p w14:paraId="04515D35" w14:textId="77777777" w:rsidR="00136C0C" w:rsidRPr="00332C16" w:rsidRDefault="00136C0C" w:rsidP="006F3592">
      <w:pPr>
        <w:jc w:val="center"/>
        <w:rPr>
          <w:rFonts w:eastAsia="Times New Roman"/>
          <w:b/>
          <w:color w:val="000000"/>
          <w:sz w:val="24"/>
          <w:szCs w:val="24"/>
        </w:rPr>
      </w:pPr>
    </w:p>
    <w:p w14:paraId="40717EF7" w14:textId="77777777" w:rsidR="00136C0C" w:rsidRDefault="00136C0C" w:rsidP="006F3592">
      <w:pPr>
        <w:jc w:val="center"/>
        <w:rPr>
          <w:rFonts w:eastAsia="Times New Roman"/>
          <w:b/>
          <w:color w:val="000000"/>
          <w:sz w:val="24"/>
          <w:szCs w:val="24"/>
        </w:rPr>
      </w:pPr>
    </w:p>
    <w:p w14:paraId="5D2092DC" w14:textId="77777777" w:rsidR="006F3592" w:rsidRPr="00332C16" w:rsidRDefault="006F3592" w:rsidP="006F3592">
      <w:pPr>
        <w:jc w:val="center"/>
        <w:rPr>
          <w:rFonts w:eastAsia="Times New Roman"/>
          <w:b/>
          <w:color w:val="000000"/>
          <w:sz w:val="24"/>
          <w:szCs w:val="24"/>
        </w:rPr>
      </w:pPr>
    </w:p>
    <w:p w14:paraId="45AEE68D" w14:textId="77777777" w:rsidR="00136C0C" w:rsidRPr="00332C16" w:rsidRDefault="00136C0C" w:rsidP="006F3592">
      <w:pPr>
        <w:jc w:val="center"/>
        <w:rPr>
          <w:rFonts w:eastAsia="Times New Roman"/>
          <w:b/>
          <w:color w:val="000000"/>
          <w:sz w:val="24"/>
          <w:szCs w:val="24"/>
        </w:rPr>
      </w:pPr>
      <w:r w:rsidRPr="00332C16">
        <w:rPr>
          <w:rFonts w:eastAsia="Times New Roman"/>
          <w:b/>
          <w:color w:val="000000"/>
          <w:sz w:val="24"/>
          <w:szCs w:val="24"/>
        </w:rPr>
        <w:t>ROCÍO ARAÚJO OÑATE</w:t>
      </w:r>
    </w:p>
    <w:p w14:paraId="61CF86E3" w14:textId="77777777" w:rsidR="00136C0C" w:rsidRPr="00332C16" w:rsidRDefault="00136C0C" w:rsidP="006F3592">
      <w:pPr>
        <w:jc w:val="center"/>
        <w:rPr>
          <w:rFonts w:eastAsia="Times New Roman"/>
          <w:b/>
          <w:color w:val="000000"/>
          <w:sz w:val="24"/>
          <w:szCs w:val="24"/>
        </w:rPr>
      </w:pPr>
      <w:r w:rsidRPr="00332C16">
        <w:rPr>
          <w:rFonts w:eastAsia="Times New Roman"/>
          <w:b/>
          <w:color w:val="000000"/>
          <w:sz w:val="24"/>
          <w:szCs w:val="24"/>
        </w:rPr>
        <w:t>Consejera</w:t>
      </w:r>
    </w:p>
    <w:p w14:paraId="7176A03B" w14:textId="77777777" w:rsidR="006F3592" w:rsidRDefault="006F3592" w:rsidP="006F3592">
      <w:pPr>
        <w:jc w:val="center"/>
        <w:rPr>
          <w:rFonts w:eastAsia="Times New Roman"/>
          <w:b/>
          <w:color w:val="000000"/>
          <w:sz w:val="24"/>
          <w:szCs w:val="24"/>
        </w:rPr>
      </w:pPr>
    </w:p>
    <w:p w14:paraId="6EEDFB9B" w14:textId="77777777" w:rsidR="006F3592" w:rsidRDefault="006F3592" w:rsidP="006F3592">
      <w:pPr>
        <w:jc w:val="center"/>
        <w:rPr>
          <w:rFonts w:eastAsia="Times New Roman"/>
          <w:b/>
          <w:color w:val="000000"/>
          <w:sz w:val="24"/>
          <w:szCs w:val="24"/>
        </w:rPr>
      </w:pPr>
    </w:p>
    <w:p w14:paraId="3ADA5308" w14:textId="77777777" w:rsidR="006F3592" w:rsidRDefault="006F3592" w:rsidP="006F3592">
      <w:pPr>
        <w:jc w:val="center"/>
        <w:rPr>
          <w:rFonts w:eastAsia="Times New Roman"/>
          <w:b/>
          <w:color w:val="000000"/>
          <w:sz w:val="24"/>
          <w:szCs w:val="24"/>
        </w:rPr>
      </w:pPr>
    </w:p>
    <w:p w14:paraId="64B03F22" w14:textId="77777777" w:rsidR="00136C0C" w:rsidRPr="00332C16" w:rsidRDefault="00136C0C" w:rsidP="006F3592">
      <w:pPr>
        <w:jc w:val="center"/>
        <w:rPr>
          <w:rFonts w:eastAsia="Times New Roman"/>
          <w:b/>
          <w:color w:val="000000"/>
          <w:sz w:val="24"/>
          <w:szCs w:val="24"/>
        </w:rPr>
      </w:pPr>
      <w:r w:rsidRPr="00332C16">
        <w:rPr>
          <w:rFonts w:eastAsia="Times New Roman"/>
          <w:b/>
          <w:color w:val="000000"/>
          <w:sz w:val="24"/>
          <w:szCs w:val="24"/>
        </w:rPr>
        <w:t xml:space="preserve">LUCY JEANNETTE BERMÚDEZ </w:t>
      </w:r>
      <w:proofErr w:type="spellStart"/>
      <w:r w:rsidRPr="00332C16">
        <w:rPr>
          <w:rFonts w:eastAsia="Times New Roman"/>
          <w:b/>
          <w:color w:val="000000"/>
          <w:sz w:val="24"/>
          <w:szCs w:val="24"/>
        </w:rPr>
        <w:t>BERMÚDEZ</w:t>
      </w:r>
      <w:proofErr w:type="spellEnd"/>
    </w:p>
    <w:p w14:paraId="5872E466" w14:textId="77777777" w:rsidR="00136C0C" w:rsidRPr="00332C16" w:rsidRDefault="00136C0C" w:rsidP="006F3592">
      <w:pPr>
        <w:jc w:val="center"/>
        <w:rPr>
          <w:rFonts w:eastAsia="Times New Roman"/>
          <w:b/>
          <w:color w:val="000000"/>
          <w:sz w:val="24"/>
          <w:szCs w:val="24"/>
        </w:rPr>
      </w:pPr>
      <w:r w:rsidRPr="00332C16">
        <w:rPr>
          <w:rFonts w:eastAsia="Times New Roman"/>
          <w:b/>
          <w:color w:val="000000"/>
          <w:sz w:val="24"/>
          <w:szCs w:val="24"/>
        </w:rPr>
        <w:t>Consejera</w:t>
      </w:r>
    </w:p>
    <w:p w14:paraId="4AB11038" w14:textId="77777777" w:rsidR="00136C0C" w:rsidRPr="00332C16" w:rsidRDefault="00136C0C" w:rsidP="006F3592">
      <w:pPr>
        <w:jc w:val="center"/>
        <w:rPr>
          <w:rFonts w:eastAsia="Times New Roman"/>
          <w:b/>
          <w:color w:val="000000"/>
          <w:sz w:val="24"/>
          <w:szCs w:val="24"/>
        </w:rPr>
      </w:pPr>
    </w:p>
    <w:p w14:paraId="05C81528" w14:textId="77777777" w:rsidR="00136C0C" w:rsidRDefault="00136C0C" w:rsidP="006F3592">
      <w:pPr>
        <w:jc w:val="center"/>
        <w:rPr>
          <w:rFonts w:eastAsia="Times New Roman"/>
          <w:b/>
          <w:color w:val="000000"/>
          <w:sz w:val="24"/>
          <w:szCs w:val="24"/>
        </w:rPr>
      </w:pPr>
    </w:p>
    <w:p w14:paraId="67E046B7" w14:textId="77777777" w:rsidR="006F3592" w:rsidRPr="00332C16" w:rsidRDefault="006F3592" w:rsidP="006F3592">
      <w:pPr>
        <w:jc w:val="center"/>
        <w:rPr>
          <w:rFonts w:eastAsia="Times New Roman"/>
          <w:b/>
          <w:color w:val="000000"/>
          <w:sz w:val="24"/>
          <w:szCs w:val="24"/>
        </w:rPr>
      </w:pPr>
    </w:p>
    <w:p w14:paraId="2205DA9C" w14:textId="77777777" w:rsidR="00136C0C" w:rsidRPr="00332C16" w:rsidRDefault="00136C0C" w:rsidP="006F3592">
      <w:pPr>
        <w:spacing w:line="276" w:lineRule="auto"/>
        <w:jc w:val="center"/>
        <w:rPr>
          <w:rFonts w:eastAsia="Times New Roman"/>
          <w:b/>
          <w:color w:val="000000"/>
          <w:sz w:val="24"/>
          <w:szCs w:val="24"/>
        </w:rPr>
      </w:pPr>
      <w:r w:rsidRPr="00332C16">
        <w:rPr>
          <w:rFonts w:eastAsia="Times New Roman"/>
          <w:b/>
          <w:color w:val="000000"/>
          <w:sz w:val="24"/>
          <w:szCs w:val="24"/>
        </w:rPr>
        <w:t>ALBERTO YEPES BARREIRO</w:t>
      </w:r>
    </w:p>
    <w:p w14:paraId="55A05D60" w14:textId="77777777" w:rsidR="00136C0C" w:rsidRPr="00332C16" w:rsidRDefault="00136C0C" w:rsidP="006F3592">
      <w:pPr>
        <w:spacing w:line="276" w:lineRule="auto"/>
        <w:jc w:val="center"/>
        <w:rPr>
          <w:rFonts w:eastAsia="Times New Roman"/>
          <w:b/>
          <w:color w:val="000000"/>
          <w:sz w:val="24"/>
          <w:szCs w:val="24"/>
          <w:lang w:val="es-ES"/>
        </w:rPr>
      </w:pPr>
      <w:r w:rsidRPr="00332C16">
        <w:rPr>
          <w:rFonts w:eastAsia="Times New Roman"/>
          <w:b/>
          <w:color w:val="000000"/>
          <w:sz w:val="24"/>
          <w:szCs w:val="24"/>
        </w:rPr>
        <w:t>Consejero</w:t>
      </w:r>
    </w:p>
    <w:sectPr w:rsidR="00136C0C" w:rsidRPr="00332C16" w:rsidSect="00332C16">
      <w:pgSz w:w="12240" w:h="18720" w:code="14"/>
      <w:pgMar w:top="1701" w:right="1701" w:bottom="1701" w:left="1701" w:header="0" w:footer="0"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4ECB82" w14:textId="77777777" w:rsidR="007A5D6C" w:rsidRDefault="007A5D6C" w:rsidP="00136C0C">
      <w:r>
        <w:separator/>
      </w:r>
    </w:p>
  </w:endnote>
  <w:endnote w:type="continuationSeparator" w:id="0">
    <w:p w14:paraId="3E3A9A9D" w14:textId="77777777" w:rsidR="007A5D6C" w:rsidRDefault="007A5D6C" w:rsidP="00136C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08D0F5" w14:textId="77777777" w:rsidR="007A5D6C" w:rsidRDefault="007A5D6C" w:rsidP="00136C0C">
      <w:r>
        <w:separator/>
      </w:r>
    </w:p>
  </w:footnote>
  <w:footnote w:type="continuationSeparator" w:id="0">
    <w:p w14:paraId="4D243182" w14:textId="77777777" w:rsidR="007A5D6C" w:rsidRDefault="007A5D6C" w:rsidP="00136C0C">
      <w:r>
        <w:continuationSeparator/>
      </w:r>
    </w:p>
  </w:footnote>
  <w:footnote w:id="1">
    <w:p w14:paraId="0E16DD13" w14:textId="77777777" w:rsidR="00F45404" w:rsidRPr="006F3592" w:rsidRDefault="00F45404" w:rsidP="00F45404">
      <w:pPr>
        <w:pStyle w:val="Textonotapie"/>
        <w:jc w:val="both"/>
      </w:pPr>
      <w:r w:rsidRPr="006F3592">
        <w:rPr>
          <w:rStyle w:val="Refdenotaalpie"/>
        </w:rPr>
        <w:footnoteRef/>
      </w:r>
      <w:r w:rsidRPr="006F3592">
        <w:t xml:space="preserve"> Se puede consultar la sentencia del 29 de junio de 2000, acción de controversias contractuales No. </w:t>
      </w:r>
      <w:r w:rsidRPr="006F3592">
        <w:rPr>
          <w:lang w:val="es-ES_tradnl"/>
        </w:rPr>
        <w:t xml:space="preserve">16602, actor: Sociedad </w:t>
      </w:r>
      <w:proofErr w:type="spellStart"/>
      <w:r w:rsidRPr="006F3592">
        <w:rPr>
          <w:lang w:val="es-ES_tradnl"/>
        </w:rPr>
        <w:t>Baupres</w:t>
      </w:r>
      <w:proofErr w:type="spellEnd"/>
      <w:r w:rsidRPr="006F3592">
        <w:rPr>
          <w:lang w:val="es-ES_tradnl"/>
        </w:rPr>
        <w:t xml:space="preserve"> Limitada Pilotos Prácticos BPP, demandado: ECOPETROL S.A., M. P. María Elena Giraldo Gómez.</w:t>
      </w:r>
    </w:p>
  </w:footnote>
  <w:footnote w:id="2">
    <w:p w14:paraId="017A1386" w14:textId="77777777" w:rsidR="00136C0C" w:rsidRPr="006F3592" w:rsidRDefault="00136C0C" w:rsidP="00C45D3E">
      <w:pPr>
        <w:pStyle w:val="Textonotapie"/>
        <w:jc w:val="both"/>
      </w:pPr>
      <w:r w:rsidRPr="006F3592">
        <w:rPr>
          <w:color w:val="000000"/>
          <w:vertAlign w:val="superscript"/>
        </w:rPr>
        <w:footnoteRef/>
      </w:r>
      <w:r w:rsidRPr="006F3592">
        <w:rPr>
          <w:color w:val="000000"/>
        </w:rPr>
        <w:t xml:space="preserve"> </w:t>
      </w:r>
      <w:proofErr w:type="spellStart"/>
      <w:r w:rsidRPr="006F3592">
        <w:rPr>
          <w:color w:val="000000"/>
        </w:rPr>
        <w:t>Fls</w:t>
      </w:r>
      <w:proofErr w:type="spellEnd"/>
      <w:r w:rsidRPr="006F3592">
        <w:rPr>
          <w:color w:val="000000"/>
        </w:rPr>
        <w:t>. 158 - 167.</w:t>
      </w:r>
    </w:p>
  </w:footnote>
  <w:footnote w:id="3">
    <w:p w14:paraId="434BBBE5" w14:textId="77777777" w:rsidR="00136C0C" w:rsidRPr="006F3592" w:rsidRDefault="00136C0C" w:rsidP="00C45D3E">
      <w:pPr>
        <w:pStyle w:val="Textonotapie"/>
        <w:tabs>
          <w:tab w:val="left" w:pos="2010"/>
        </w:tabs>
        <w:jc w:val="both"/>
      </w:pPr>
      <w:r w:rsidRPr="006F3592">
        <w:rPr>
          <w:color w:val="000000"/>
          <w:vertAlign w:val="superscript"/>
        </w:rPr>
        <w:footnoteRef/>
      </w:r>
      <w:r w:rsidRPr="006F3592">
        <w:rPr>
          <w:color w:val="000000"/>
        </w:rPr>
        <w:t xml:space="preserve"> </w:t>
      </w:r>
      <w:proofErr w:type="spellStart"/>
      <w:r w:rsidRPr="006F3592">
        <w:rPr>
          <w:color w:val="000000"/>
        </w:rPr>
        <w:t>Fls</w:t>
      </w:r>
      <w:proofErr w:type="spellEnd"/>
      <w:r w:rsidRPr="006F3592">
        <w:rPr>
          <w:color w:val="000000"/>
        </w:rPr>
        <w:t xml:space="preserve">. 1 – 26. Poder </w:t>
      </w:r>
      <w:proofErr w:type="spellStart"/>
      <w:r w:rsidRPr="006F3592">
        <w:rPr>
          <w:color w:val="000000"/>
        </w:rPr>
        <w:t>fl</w:t>
      </w:r>
      <w:proofErr w:type="spellEnd"/>
      <w:r w:rsidRPr="006F3592">
        <w:rPr>
          <w:color w:val="000000"/>
        </w:rPr>
        <w:t xml:space="preserve">. 28. Certificado de existencia y representación legal </w:t>
      </w:r>
      <w:proofErr w:type="spellStart"/>
      <w:r w:rsidRPr="006F3592">
        <w:rPr>
          <w:color w:val="000000"/>
        </w:rPr>
        <w:t>fls</w:t>
      </w:r>
      <w:proofErr w:type="spellEnd"/>
      <w:r w:rsidRPr="006F3592">
        <w:rPr>
          <w:color w:val="000000"/>
        </w:rPr>
        <w:t>. 29 -33.</w:t>
      </w:r>
    </w:p>
  </w:footnote>
  <w:footnote w:id="4">
    <w:p w14:paraId="4B740D38" w14:textId="77777777" w:rsidR="00136C0C" w:rsidRPr="006F3592" w:rsidRDefault="00136C0C" w:rsidP="00C45D3E">
      <w:pPr>
        <w:pStyle w:val="Textonotapie"/>
        <w:jc w:val="both"/>
      </w:pPr>
      <w:r w:rsidRPr="006F3592">
        <w:rPr>
          <w:rStyle w:val="Refdenotaalpie"/>
          <w:color w:val="000000"/>
        </w:rPr>
        <w:footnoteRef/>
      </w:r>
      <w:r w:rsidRPr="006F3592">
        <w:rPr>
          <w:color w:val="000000"/>
        </w:rPr>
        <w:t xml:space="preserve"> </w:t>
      </w:r>
      <w:proofErr w:type="spellStart"/>
      <w:r w:rsidRPr="006F3592">
        <w:rPr>
          <w:color w:val="000000"/>
        </w:rPr>
        <w:t>Fls</w:t>
      </w:r>
      <w:proofErr w:type="spellEnd"/>
      <w:r w:rsidRPr="006F3592">
        <w:rPr>
          <w:color w:val="000000"/>
        </w:rPr>
        <w:t>. 2 a 12. Cuaderno principal expediente ordinario allegado en calidad de préstamos (en adelante Exp. Ord.). Presentada el 25 de febrero de 2004.</w:t>
      </w:r>
    </w:p>
  </w:footnote>
  <w:footnote w:id="5">
    <w:p w14:paraId="3E2BF828" w14:textId="77777777" w:rsidR="00136C0C" w:rsidRPr="006F3592" w:rsidRDefault="00136C0C" w:rsidP="00C45D3E">
      <w:pPr>
        <w:pStyle w:val="Textonotapie"/>
        <w:jc w:val="both"/>
      </w:pPr>
      <w:r w:rsidRPr="006F3592">
        <w:rPr>
          <w:rStyle w:val="Refdenotaalpie"/>
          <w:color w:val="000000"/>
        </w:rPr>
        <w:footnoteRef/>
      </w:r>
      <w:r w:rsidRPr="006F3592">
        <w:rPr>
          <w:color w:val="000000"/>
        </w:rPr>
        <w:t xml:space="preserve"> </w:t>
      </w:r>
      <w:proofErr w:type="spellStart"/>
      <w:r w:rsidRPr="006F3592">
        <w:rPr>
          <w:color w:val="000000"/>
        </w:rPr>
        <w:t>Fls</w:t>
      </w:r>
      <w:proofErr w:type="spellEnd"/>
      <w:r w:rsidRPr="006F3592">
        <w:rPr>
          <w:color w:val="000000"/>
        </w:rPr>
        <w:t xml:space="preserve">. 119 – 129- </w:t>
      </w:r>
      <w:proofErr w:type="spellStart"/>
      <w:r w:rsidRPr="006F3592">
        <w:rPr>
          <w:color w:val="000000"/>
        </w:rPr>
        <w:t>Idem</w:t>
      </w:r>
      <w:proofErr w:type="spellEnd"/>
      <w:r w:rsidRPr="006F3592">
        <w:rPr>
          <w:color w:val="000000"/>
        </w:rPr>
        <w:t>.</w:t>
      </w:r>
    </w:p>
  </w:footnote>
  <w:footnote w:id="6">
    <w:p w14:paraId="37DBF611" w14:textId="77777777" w:rsidR="00136C0C" w:rsidRPr="006F3592" w:rsidRDefault="00136C0C" w:rsidP="00C45D3E">
      <w:pPr>
        <w:pStyle w:val="Textonotapie"/>
        <w:jc w:val="both"/>
      </w:pPr>
      <w:r w:rsidRPr="006F3592">
        <w:rPr>
          <w:color w:val="000000"/>
          <w:vertAlign w:val="superscript"/>
        </w:rPr>
        <w:footnoteRef/>
      </w:r>
      <w:r w:rsidRPr="006F3592">
        <w:rPr>
          <w:color w:val="000000"/>
        </w:rPr>
        <w:t xml:space="preserve"> </w:t>
      </w:r>
      <w:proofErr w:type="spellStart"/>
      <w:r w:rsidRPr="006F3592">
        <w:rPr>
          <w:color w:val="000000"/>
        </w:rPr>
        <w:t>Fls</w:t>
      </w:r>
      <w:proofErr w:type="spellEnd"/>
      <w:r w:rsidRPr="006F3592">
        <w:rPr>
          <w:color w:val="000000"/>
        </w:rPr>
        <w:t>. 201 - 224. Exp. Ord.</w:t>
      </w:r>
    </w:p>
  </w:footnote>
  <w:footnote w:id="7">
    <w:p w14:paraId="0C7BB45C" w14:textId="77777777" w:rsidR="00136C0C" w:rsidRDefault="00136C0C" w:rsidP="00C45D3E">
      <w:pPr>
        <w:pStyle w:val="Textonotapie"/>
        <w:jc w:val="both"/>
        <w:rPr>
          <w:color w:val="000000"/>
          <w:lang w:val="es-ES_tradnl"/>
        </w:rPr>
      </w:pPr>
      <w:r w:rsidRPr="006F3592">
        <w:rPr>
          <w:rStyle w:val="Refdenotaalpie"/>
          <w:color w:val="000000"/>
        </w:rPr>
        <w:footnoteRef/>
      </w:r>
      <w:r w:rsidRPr="006F3592">
        <w:rPr>
          <w:color w:val="000000"/>
        </w:rPr>
        <w:t xml:space="preserve"> </w:t>
      </w:r>
      <w:r w:rsidRPr="006F3592">
        <w:rPr>
          <w:color w:val="000000"/>
          <w:lang w:val="es-ES_tradnl"/>
        </w:rPr>
        <w:t>Consejo de Estado, Sala de lo Contencioso Administrativo, Sala Plena de la Sección Tercera, expediente No. 21060. C.P. Mauricio Fajardo Gómez.</w:t>
      </w:r>
    </w:p>
    <w:p w14:paraId="00C2DA29" w14:textId="77777777" w:rsidR="00C45D3E" w:rsidRPr="006F3592" w:rsidRDefault="00C45D3E" w:rsidP="00C45D3E">
      <w:pPr>
        <w:pStyle w:val="Textonotapie"/>
        <w:jc w:val="both"/>
      </w:pPr>
    </w:p>
  </w:footnote>
  <w:footnote w:id="8">
    <w:p w14:paraId="4E37F4DE" w14:textId="77777777" w:rsidR="00136C0C" w:rsidRPr="006F3592" w:rsidRDefault="00136C0C" w:rsidP="00C45D3E">
      <w:pPr>
        <w:jc w:val="both"/>
        <w:rPr>
          <w:color w:val="000000"/>
          <w:sz w:val="20"/>
        </w:rPr>
      </w:pPr>
      <w:r w:rsidRPr="006F3592">
        <w:rPr>
          <w:rStyle w:val="Refdenotaalpie"/>
          <w:color w:val="000000"/>
          <w:sz w:val="20"/>
        </w:rPr>
        <w:footnoteRef/>
      </w:r>
      <w:r w:rsidRPr="006F3592">
        <w:rPr>
          <w:color w:val="000000"/>
          <w:sz w:val="20"/>
        </w:rPr>
        <w:t xml:space="preserve"> «El artículo 32 de la Ley 446 de 1998, fijó en 30 días el término de caducidad para demandar los actos separables del contrato. Dispone la norma en su inciso 2º: “los actos proferidos antes de la celebración del contrato con ocasión de la actividad contractual, serán demandables mediante las acciones de nulidad y nulidad y restablecimiento del derecho, según el caso, dentro de los (30) días siguientes a su comunicación, notificación o publicación. La interposición de estas acciones no interrumpirá el proceso licitatorio, ni la celebración y ejecución del contrato. Una vez celebrado éste, la ilegalidad de los actos previos solamente podrá invocarse como fundamento de nulidad absoluta del contrato.</w:t>
      </w:r>
    </w:p>
    <w:p w14:paraId="53B9B54D" w14:textId="77777777" w:rsidR="00136C0C" w:rsidRDefault="00136C0C" w:rsidP="00C45D3E">
      <w:pPr>
        <w:jc w:val="both"/>
        <w:rPr>
          <w:color w:val="000000"/>
          <w:sz w:val="20"/>
        </w:rPr>
      </w:pPr>
      <w:r w:rsidRPr="006F3592">
        <w:rPr>
          <w:color w:val="000000"/>
          <w:sz w:val="20"/>
        </w:rPr>
        <w:t>El Ministerio Público o cualquier tercero que acredite un interés directo podrá pedir que se declare su nulidad absoluta. El juez administrativo queda facultado para declararla de oficio cuando está plenamente demostrada en el proceso. En todo caso dicha declaración solo podrá hacerse siempre que en él intervengan las partes contratantes o sus causahabientes».</w:t>
      </w:r>
    </w:p>
    <w:p w14:paraId="166D294F" w14:textId="77777777" w:rsidR="00C45D3E" w:rsidRPr="006F3592" w:rsidRDefault="00C45D3E" w:rsidP="00C45D3E">
      <w:pPr>
        <w:jc w:val="both"/>
        <w:rPr>
          <w:sz w:val="20"/>
        </w:rPr>
      </w:pPr>
    </w:p>
  </w:footnote>
  <w:footnote w:id="9">
    <w:p w14:paraId="74D68979" w14:textId="77777777" w:rsidR="00136C0C" w:rsidRPr="006F3592" w:rsidRDefault="00136C0C" w:rsidP="00C45D3E">
      <w:pPr>
        <w:pStyle w:val="Textonotapie"/>
        <w:jc w:val="both"/>
      </w:pPr>
      <w:r w:rsidRPr="006F3592">
        <w:rPr>
          <w:rStyle w:val="Refdenotaalpie"/>
          <w:color w:val="000000"/>
        </w:rPr>
        <w:footnoteRef/>
      </w:r>
      <w:r w:rsidRPr="006F3592">
        <w:rPr>
          <w:color w:val="000000"/>
        </w:rPr>
        <w:t xml:space="preserve"> «Consejo de Estado, Sala de lo Contencioso Administrativo, Sección Tercera. Sentencia de siete de octubre de 1999. Consejero ponente, Ricardo Hoyos Duque. Radicación 10610. Actor: Sociedad Grancolombiana de Seguridad. Demandado: empresa de energía de Bogotá».</w:t>
      </w:r>
    </w:p>
  </w:footnote>
  <w:footnote w:id="10">
    <w:p w14:paraId="6564D5A0" w14:textId="77777777" w:rsidR="00136C0C" w:rsidRPr="006F3592" w:rsidRDefault="00136C0C" w:rsidP="00C45D3E">
      <w:pPr>
        <w:jc w:val="both"/>
        <w:rPr>
          <w:sz w:val="20"/>
        </w:rPr>
      </w:pPr>
      <w:r w:rsidRPr="006F3592">
        <w:rPr>
          <w:rStyle w:val="Refdenotaalpie"/>
          <w:color w:val="000000"/>
          <w:sz w:val="20"/>
        </w:rPr>
        <w:footnoteRef/>
      </w:r>
      <w:r w:rsidRPr="006F3592">
        <w:rPr>
          <w:color w:val="000000"/>
          <w:sz w:val="20"/>
        </w:rPr>
        <w:t xml:space="preserve"> «“A partir de ello encontró que: (i) cualquier persona puede cuestionar la legalidad de un acto precontractual siempre que esta sea definitivo o impida continuar con el proceso de selección; (ii) a través del ejercicio de la acción de nulidad simple; (iii) siempre que se trate de actos administrativos; (iv) que infrinjan normas superiores, o que sean expedidos de manera irregular, o por organismos o funcionarios incompetentes, o con violación al debido proceso, con falsa motivación, o con desviación de poder; y (v) se interponga dentro de los 30 días siguientes a su comunicación, notificación o publicación». </w:t>
      </w:r>
    </w:p>
  </w:footnote>
  <w:footnote w:id="11">
    <w:p w14:paraId="68643FE7" w14:textId="77777777" w:rsidR="00136C0C" w:rsidRPr="006F3592" w:rsidRDefault="00136C0C" w:rsidP="00C45D3E">
      <w:pPr>
        <w:pStyle w:val="Textonotapie"/>
        <w:jc w:val="both"/>
      </w:pPr>
      <w:r w:rsidRPr="006F3592">
        <w:rPr>
          <w:rStyle w:val="Refdenotaalpie"/>
          <w:color w:val="000000"/>
        </w:rPr>
        <w:footnoteRef/>
      </w:r>
      <w:r w:rsidRPr="006F3592">
        <w:rPr>
          <w:color w:val="000000"/>
        </w:rPr>
        <w:t xml:space="preserve"> En este punto reiteró lo indicado en </w:t>
      </w:r>
      <w:r w:rsidRPr="006F3592">
        <w:rPr>
          <w:color w:val="000000"/>
          <w:lang w:val="es-ES"/>
        </w:rPr>
        <w:t>sentencia de 4 de febrero de 2010, Proceso No. 16.540. C. P. Mauricio Fajardo Gómez.</w:t>
      </w:r>
    </w:p>
  </w:footnote>
  <w:footnote w:id="12">
    <w:p w14:paraId="68F46685" w14:textId="77777777" w:rsidR="00136C0C" w:rsidRPr="006F3592" w:rsidRDefault="00136C0C" w:rsidP="00C45D3E">
      <w:pPr>
        <w:pStyle w:val="Textonotapie"/>
        <w:jc w:val="both"/>
      </w:pPr>
      <w:r w:rsidRPr="006F3592">
        <w:rPr>
          <w:rStyle w:val="Refdenotaalpie"/>
        </w:rPr>
        <w:footnoteRef/>
      </w:r>
      <w:r w:rsidRPr="006F3592">
        <w:t xml:space="preserve"> Énfasis propio.</w:t>
      </w:r>
    </w:p>
  </w:footnote>
  <w:footnote w:id="13">
    <w:p w14:paraId="030DE1D9" w14:textId="77777777" w:rsidR="00136C0C" w:rsidRPr="006F3592" w:rsidRDefault="00136C0C" w:rsidP="00C45D3E">
      <w:pPr>
        <w:pStyle w:val="Textonotapie"/>
        <w:jc w:val="both"/>
      </w:pPr>
      <w:r w:rsidRPr="006F3592">
        <w:rPr>
          <w:rStyle w:val="Refdenotaalpie"/>
          <w:color w:val="000000"/>
        </w:rPr>
        <w:footnoteRef/>
      </w:r>
      <w:r w:rsidRPr="006F3592">
        <w:rPr>
          <w:color w:val="000000"/>
        </w:rPr>
        <w:t xml:space="preserve"> </w:t>
      </w:r>
      <w:proofErr w:type="spellStart"/>
      <w:r w:rsidRPr="006F3592">
        <w:rPr>
          <w:color w:val="000000"/>
        </w:rPr>
        <w:t>Fls</w:t>
      </w:r>
      <w:proofErr w:type="spellEnd"/>
      <w:r w:rsidRPr="006F3592">
        <w:rPr>
          <w:color w:val="000000"/>
        </w:rPr>
        <w:t xml:space="preserve">. 226 – 228. </w:t>
      </w:r>
      <w:proofErr w:type="spellStart"/>
      <w:r w:rsidRPr="006F3592">
        <w:rPr>
          <w:color w:val="000000"/>
        </w:rPr>
        <w:t>Idem</w:t>
      </w:r>
      <w:proofErr w:type="spellEnd"/>
      <w:r w:rsidRPr="006F3592">
        <w:rPr>
          <w:color w:val="000000"/>
        </w:rPr>
        <w:t>.</w:t>
      </w:r>
    </w:p>
  </w:footnote>
  <w:footnote w:id="14">
    <w:p w14:paraId="469DFA07" w14:textId="77777777" w:rsidR="00136C0C" w:rsidRPr="006F3592" w:rsidRDefault="00136C0C" w:rsidP="00C45D3E">
      <w:pPr>
        <w:pStyle w:val="Textonotapie"/>
        <w:jc w:val="both"/>
      </w:pPr>
      <w:r w:rsidRPr="006F3592">
        <w:rPr>
          <w:rStyle w:val="Refdenotaalpie"/>
          <w:color w:val="000000"/>
        </w:rPr>
        <w:footnoteRef/>
      </w:r>
      <w:r w:rsidRPr="006F3592">
        <w:rPr>
          <w:color w:val="000000"/>
        </w:rPr>
        <w:t xml:space="preserve"> </w:t>
      </w:r>
      <w:proofErr w:type="spellStart"/>
      <w:r w:rsidRPr="006F3592">
        <w:rPr>
          <w:color w:val="000000"/>
        </w:rPr>
        <w:t>Fls</w:t>
      </w:r>
      <w:proofErr w:type="spellEnd"/>
      <w:r w:rsidRPr="006F3592">
        <w:rPr>
          <w:color w:val="000000"/>
        </w:rPr>
        <w:t>. 231 – 233. Exp. Ord.</w:t>
      </w:r>
    </w:p>
  </w:footnote>
  <w:footnote w:id="15">
    <w:p w14:paraId="358DC13A" w14:textId="77777777" w:rsidR="00136C0C" w:rsidRPr="006F3592" w:rsidRDefault="00136C0C" w:rsidP="00C45D3E">
      <w:pPr>
        <w:pStyle w:val="Textonotapie"/>
        <w:jc w:val="both"/>
      </w:pPr>
      <w:r w:rsidRPr="006F3592">
        <w:rPr>
          <w:color w:val="000000"/>
          <w:vertAlign w:val="superscript"/>
        </w:rPr>
        <w:footnoteRef/>
      </w:r>
      <w:r w:rsidRPr="006F3592">
        <w:rPr>
          <w:color w:val="000000"/>
          <w:lang w:val="es-ES_tradnl"/>
        </w:rPr>
        <w:t xml:space="preserve"> </w:t>
      </w:r>
      <w:proofErr w:type="spellStart"/>
      <w:r w:rsidRPr="006F3592">
        <w:rPr>
          <w:color w:val="000000"/>
          <w:lang w:val="es-ES_tradnl"/>
        </w:rPr>
        <w:t>Fls</w:t>
      </w:r>
      <w:proofErr w:type="spellEnd"/>
      <w:r w:rsidRPr="006F3592">
        <w:rPr>
          <w:color w:val="000000"/>
          <w:lang w:val="es-ES_tradnl"/>
        </w:rPr>
        <w:t>. 29 - 30.</w:t>
      </w:r>
    </w:p>
  </w:footnote>
  <w:footnote w:id="16">
    <w:p w14:paraId="1A3AA105" w14:textId="77777777" w:rsidR="00136C0C" w:rsidRPr="006F3592" w:rsidRDefault="00136C0C" w:rsidP="00C45D3E">
      <w:pPr>
        <w:pStyle w:val="Textonotapie"/>
        <w:jc w:val="both"/>
      </w:pPr>
      <w:r w:rsidRPr="006F3592">
        <w:rPr>
          <w:rStyle w:val="Refdenotaalpie"/>
        </w:rPr>
        <w:footnoteRef/>
      </w:r>
      <w:r w:rsidRPr="006F3592">
        <w:t xml:space="preserve"> Decisión del 4 de septiembre de 1997, Expediente No. 10.065, actor: Sociedad José Vicente Torres Osorio; C. P. Ricardo Hoyos Duque. Fallo del 26 de julio de 2011, Radicado No. 20.316, demandante: Sociedad A.M. Arquitectura y Mantenimiento </w:t>
      </w:r>
      <w:proofErr w:type="spellStart"/>
      <w:r w:rsidRPr="006F3592">
        <w:t>Ltda</w:t>
      </w:r>
      <w:proofErr w:type="spellEnd"/>
      <w:r w:rsidRPr="006F3592">
        <w:t>; C. P. Enrique Gil Botero. De la cuales transcribió extensos apartados.</w:t>
      </w:r>
    </w:p>
  </w:footnote>
  <w:footnote w:id="17">
    <w:p w14:paraId="563FF337" w14:textId="77777777" w:rsidR="00136C0C" w:rsidRPr="006F3592" w:rsidRDefault="00136C0C" w:rsidP="00C45D3E">
      <w:pPr>
        <w:pStyle w:val="Textonotapie"/>
        <w:jc w:val="both"/>
      </w:pPr>
      <w:r w:rsidRPr="006F3592">
        <w:rPr>
          <w:rStyle w:val="Refdenotaalpie"/>
        </w:rPr>
        <w:footnoteRef/>
      </w:r>
      <w:r w:rsidRPr="006F3592">
        <w:t xml:space="preserve"> Providencia del 7 de octubre de 1999, expediente No. 10.610; C. P. Ricardo Hoyos Duque. Sentencia C-1048 del 4 de octubre de 2001; M. P. Marco Gerardo Monroy Cabra.</w:t>
      </w:r>
    </w:p>
  </w:footnote>
  <w:footnote w:id="18">
    <w:p w14:paraId="6E6259DF" w14:textId="77777777" w:rsidR="00136C0C" w:rsidRPr="006F3592" w:rsidRDefault="00136C0C" w:rsidP="00C45D3E">
      <w:pPr>
        <w:pStyle w:val="Textonotapie"/>
        <w:jc w:val="both"/>
        <w:rPr>
          <w:lang w:val="en-US"/>
        </w:rPr>
      </w:pPr>
      <w:r w:rsidRPr="006F3592">
        <w:rPr>
          <w:color w:val="000000"/>
          <w:vertAlign w:val="superscript"/>
        </w:rPr>
        <w:footnoteRef/>
      </w:r>
      <w:r w:rsidRPr="006F3592">
        <w:rPr>
          <w:color w:val="000000"/>
          <w:lang w:val="en-US"/>
        </w:rPr>
        <w:t xml:space="preserve"> Fl. 115.</w:t>
      </w:r>
    </w:p>
  </w:footnote>
  <w:footnote w:id="19">
    <w:p w14:paraId="4E1EB87F" w14:textId="77777777" w:rsidR="00136C0C" w:rsidRPr="006F3592" w:rsidRDefault="00136C0C" w:rsidP="00C45D3E">
      <w:pPr>
        <w:pStyle w:val="Textonotapie"/>
        <w:jc w:val="both"/>
        <w:rPr>
          <w:lang w:val="en-US"/>
        </w:rPr>
      </w:pPr>
      <w:r w:rsidRPr="006F3592">
        <w:rPr>
          <w:color w:val="000000"/>
          <w:vertAlign w:val="superscript"/>
        </w:rPr>
        <w:footnoteRef/>
      </w:r>
      <w:r w:rsidRPr="006F3592">
        <w:rPr>
          <w:color w:val="000000"/>
          <w:lang w:val="en-US"/>
        </w:rPr>
        <w:t xml:space="preserve"> </w:t>
      </w:r>
      <w:proofErr w:type="spellStart"/>
      <w:r w:rsidRPr="006F3592">
        <w:rPr>
          <w:color w:val="000000"/>
          <w:lang w:val="en-US"/>
        </w:rPr>
        <w:t>Fls</w:t>
      </w:r>
      <w:proofErr w:type="spellEnd"/>
      <w:r w:rsidRPr="006F3592">
        <w:rPr>
          <w:color w:val="000000"/>
          <w:lang w:val="en-US"/>
        </w:rPr>
        <w:t>. 116 - 123.</w:t>
      </w:r>
    </w:p>
  </w:footnote>
  <w:footnote w:id="20">
    <w:p w14:paraId="0B98BCFA" w14:textId="77777777" w:rsidR="00136C0C" w:rsidRPr="006F3592" w:rsidRDefault="00136C0C" w:rsidP="00C45D3E">
      <w:pPr>
        <w:pStyle w:val="Textonotapie"/>
        <w:jc w:val="both"/>
        <w:rPr>
          <w:lang w:val="en-US"/>
        </w:rPr>
      </w:pPr>
      <w:r w:rsidRPr="006F3592">
        <w:rPr>
          <w:color w:val="000000"/>
          <w:vertAlign w:val="superscript"/>
        </w:rPr>
        <w:footnoteRef/>
      </w:r>
      <w:r w:rsidRPr="006F3592">
        <w:rPr>
          <w:color w:val="000000"/>
          <w:lang w:val="en-US"/>
        </w:rPr>
        <w:t xml:space="preserve"> </w:t>
      </w:r>
      <w:proofErr w:type="spellStart"/>
      <w:r w:rsidRPr="006F3592">
        <w:rPr>
          <w:color w:val="000000"/>
          <w:lang w:val="en-US"/>
        </w:rPr>
        <w:t>Fls</w:t>
      </w:r>
      <w:proofErr w:type="spellEnd"/>
      <w:r w:rsidRPr="006F3592">
        <w:rPr>
          <w:color w:val="000000"/>
          <w:lang w:val="en-US"/>
        </w:rPr>
        <w:t>. 128 - 130.</w:t>
      </w:r>
    </w:p>
  </w:footnote>
  <w:footnote w:id="21">
    <w:p w14:paraId="7D967851" w14:textId="77777777" w:rsidR="00136C0C" w:rsidRPr="006F3592" w:rsidRDefault="00136C0C" w:rsidP="00C45D3E">
      <w:pPr>
        <w:pStyle w:val="Textonotapie"/>
        <w:jc w:val="both"/>
        <w:rPr>
          <w:lang w:val="en-US"/>
        </w:rPr>
      </w:pPr>
      <w:r w:rsidRPr="006F3592">
        <w:rPr>
          <w:color w:val="000000"/>
          <w:vertAlign w:val="superscript"/>
        </w:rPr>
        <w:footnoteRef/>
      </w:r>
      <w:r w:rsidRPr="006F3592">
        <w:rPr>
          <w:color w:val="000000"/>
          <w:lang w:val="en-US"/>
        </w:rPr>
        <w:t xml:space="preserve"> </w:t>
      </w:r>
      <w:proofErr w:type="spellStart"/>
      <w:r w:rsidRPr="006F3592">
        <w:rPr>
          <w:color w:val="000000"/>
          <w:lang w:val="en-US"/>
        </w:rPr>
        <w:t>Fls</w:t>
      </w:r>
      <w:proofErr w:type="spellEnd"/>
      <w:r w:rsidRPr="006F3592">
        <w:rPr>
          <w:color w:val="000000"/>
          <w:lang w:val="en-US"/>
        </w:rPr>
        <w:t>. 134 – 142.</w:t>
      </w:r>
    </w:p>
  </w:footnote>
  <w:footnote w:id="22">
    <w:p w14:paraId="1092AFCB" w14:textId="77777777" w:rsidR="00136C0C" w:rsidRPr="006F3592" w:rsidRDefault="00136C0C" w:rsidP="00C45D3E">
      <w:pPr>
        <w:pStyle w:val="Textonotapie"/>
        <w:jc w:val="both"/>
        <w:rPr>
          <w:lang w:val="en-US"/>
        </w:rPr>
      </w:pPr>
      <w:r w:rsidRPr="006F3592">
        <w:rPr>
          <w:color w:val="000000"/>
          <w:vertAlign w:val="superscript"/>
        </w:rPr>
        <w:footnoteRef/>
      </w:r>
      <w:r w:rsidRPr="006F3592">
        <w:rPr>
          <w:color w:val="000000"/>
          <w:lang w:val="en-US"/>
        </w:rPr>
        <w:t xml:space="preserve"> </w:t>
      </w:r>
      <w:proofErr w:type="spellStart"/>
      <w:r w:rsidRPr="006F3592">
        <w:rPr>
          <w:color w:val="000000"/>
          <w:lang w:val="en-US"/>
        </w:rPr>
        <w:t>Fls</w:t>
      </w:r>
      <w:proofErr w:type="spellEnd"/>
      <w:r w:rsidRPr="006F3592">
        <w:rPr>
          <w:color w:val="000000"/>
          <w:lang w:val="en-US"/>
        </w:rPr>
        <w:t>. 144 - 151.</w:t>
      </w:r>
    </w:p>
  </w:footnote>
  <w:footnote w:id="23">
    <w:p w14:paraId="666EB5AB" w14:textId="77777777" w:rsidR="00136C0C" w:rsidRPr="006F3592" w:rsidRDefault="00136C0C" w:rsidP="00C45D3E">
      <w:pPr>
        <w:pStyle w:val="Textonotapie"/>
        <w:jc w:val="both"/>
      </w:pPr>
      <w:r w:rsidRPr="006F3592">
        <w:rPr>
          <w:color w:val="000000"/>
          <w:vertAlign w:val="superscript"/>
        </w:rPr>
        <w:footnoteRef/>
      </w:r>
      <w:r w:rsidRPr="006F3592">
        <w:rPr>
          <w:color w:val="000000"/>
        </w:rPr>
        <w:t xml:space="preserve"> </w:t>
      </w:r>
      <w:proofErr w:type="spellStart"/>
      <w:r w:rsidRPr="006F3592">
        <w:rPr>
          <w:color w:val="000000"/>
        </w:rPr>
        <w:t>Fls</w:t>
      </w:r>
      <w:proofErr w:type="spellEnd"/>
      <w:r w:rsidRPr="006F3592">
        <w:rPr>
          <w:color w:val="000000"/>
        </w:rPr>
        <w:t>. 158 - 167.</w:t>
      </w:r>
    </w:p>
  </w:footnote>
  <w:footnote w:id="24">
    <w:p w14:paraId="403C406E" w14:textId="77777777" w:rsidR="00136C0C" w:rsidRPr="006F3592" w:rsidRDefault="00136C0C" w:rsidP="00C45D3E">
      <w:pPr>
        <w:pStyle w:val="Textonotapie"/>
        <w:jc w:val="both"/>
      </w:pPr>
      <w:r w:rsidRPr="006F3592">
        <w:rPr>
          <w:color w:val="000000"/>
          <w:vertAlign w:val="superscript"/>
        </w:rPr>
        <w:footnoteRef/>
      </w:r>
      <w:r w:rsidRPr="006F3592">
        <w:rPr>
          <w:color w:val="000000"/>
        </w:rPr>
        <w:t xml:space="preserve"> </w:t>
      </w:r>
      <w:proofErr w:type="spellStart"/>
      <w:r w:rsidRPr="006F3592">
        <w:rPr>
          <w:color w:val="000000"/>
        </w:rPr>
        <w:t>Fl</w:t>
      </w:r>
      <w:proofErr w:type="spellEnd"/>
      <w:r w:rsidRPr="006F3592">
        <w:rPr>
          <w:color w:val="000000"/>
        </w:rPr>
        <w:t>. 178.</w:t>
      </w:r>
    </w:p>
  </w:footnote>
  <w:footnote w:id="25">
    <w:p w14:paraId="62809799" w14:textId="77777777" w:rsidR="00136C0C" w:rsidRPr="006F3592" w:rsidRDefault="00136C0C" w:rsidP="00C45D3E">
      <w:pPr>
        <w:pStyle w:val="Textonotapie"/>
        <w:jc w:val="both"/>
      </w:pPr>
      <w:r w:rsidRPr="006F3592">
        <w:rPr>
          <w:rStyle w:val="Refdenotaalpie"/>
          <w:color w:val="000000"/>
        </w:rPr>
        <w:footnoteRef/>
      </w:r>
      <w:r w:rsidRPr="006F3592">
        <w:rPr>
          <w:color w:val="000000"/>
        </w:rPr>
        <w:t xml:space="preserve"> </w:t>
      </w:r>
      <w:proofErr w:type="spellStart"/>
      <w:r w:rsidRPr="006F3592">
        <w:rPr>
          <w:color w:val="000000"/>
        </w:rPr>
        <w:t>Fls</w:t>
      </w:r>
      <w:proofErr w:type="spellEnd"/>
      <w:r w:rsidRPr="006F3592">
        <w:rPr>
          <w:color w:val="000000"/>
        </w:rPr>
        <w:t xml:space="preserve">. </w:t>
      </w:r>
      <w:r w:rsidRPr="006F3592">
        <w:rPr>
          <w:color w:val="000000"/>
          <w:lang w:val="es-ES_tradnl"/>
        </w:rPr>
        <w:t>192 – 195.</w:t>
      </w:r>
    </w:p>
  </w:footnote>
  <w:footnote w:id="26">
    <w:p w14:paraId="7A44A80A" w14:textId="77777777" w:rsidR="00136C0C" w:rsidRPr="006F3592" w:rsidRDefault="00136C0C" w:rsidP="00C45D3E">
      <w:pPr>
        <w:pStyle w:val="Textonotapie"/>
        <w:jc w:val="both"/>
      </w:pPr>
      <w:r w:rsidRPr="006F3592">
        <w:rPr>
          <w:color w:val="000000"/>
          <w:vertAlign w:val="superscript"/>
        </w:rPr>
        <w:footnoteRef/>
      </w:r>
      <w:r w:rsidRPr="006F3592">
        <w:rPr>
          <w:color w:val="000000"/>
        </w:rPr>
        <w:t xml:space="preserve"> «Por el cual se reglamenta la acción de tutela consagrada en el artículo 86 de la Constitución Política».</w:t>
      </w:r>
    </w:p>
  </w:footnote>
  <w:footnote w:id="27">
    <w:p w14:paraId="36EF7135" w14:textId="77777777" w:rsidR="00136C0C" w:rsidRPr="006F3592" w:rsidRDefault="00136C0C" w:rsidP="00C45D3E">
      <w:pPr>
        <w:pStyle w:val="Textonotapie"/>
        <w:jc w:val="both"/>
      </w:pPr>
      <w:r w:rsidRPr="006F3592">
        <w:rPr>
          <w:color w:val="000000"/>
          <w:vertAlign w:val="superscript"/>
        </w:rPr>
        <w:footnoteRef/>
      </w:r>
      <w:r w:rsidRPr="006F3592">
        <w:rPr>
          <w:color w:val="000000"/>
        </w:rPr>
        <w:t xml:space="preserve"> «Por medio del cual se expide el Decreto Único Reglamentario del Sector Justicia y del Derecho».</w:t>
      </w:r>
    </w:p>
  </w:footnote>
  <w:footnote w:id="28">
    <w:p w14:paraId="1AD6D58C" w14:textId="77777777" w:rsidR="00136C0C" w:rsidRPr="006F3592" w:rsidRDefault="00136C0C" w:rsidP="00C45D3E">
      <w:pPr>
        <w:pStyle w:val="Textonotapie"/>
        <w:jc w:val="both"/>
      </w:pPr>
      <w:r w:rsidRPr="006F3592">
        <w:rPr>
          <w:color w:val="000000"/>
          <w:vertAlign w:val="superscript"/>
        </w:rPr>
        <w:footnoteRef/>
      </w:r>
      <w:r w:rsidRPr="006F3592">
        <w:rPr>
          <w:color w:val="000000"/>
        </w:rPr>
        <w:t xml:space="preserve"> «Por medio del cual se modifica el reglamento del Consejo de Estado»</w:t>
      </w:r>
      <w:r w:rsidRPr="006F3592">
        <w:rPr>
          <w:b/>
          <w:color w:val="000000"/>
        </w:rPr>
        <w:t>.</w:t>
      </w:r>
    </w:p>
  </w:footnote>
  <w:footnote w:id="29">
    <w:p w14:paraId="3ECB26CA" w14:textId="77777777" w:rsidR="00136C0C" w:rsidRPr="006F3592" w:rsidRDefault="00136C0C" w:rsidP="00C45D3E">
      <w:pPr>
        <w:jc w:val="both"/>
        <w:rPr>
          <w:sz w:val="20"/>
        </w:rPr>
      </w:pPr>
      <w:r w:rsidRPr="006F3592">
        <w:rPr>
          <w:color w:val="000000"/>
          <w:sz w:val="20"/>
          <w:vertAlign w:val="superscript"/>
        </w:rPr>
        <w:footnoteRef/>
      </w:r>
      <w:r w:rsidRPr="006F3592">
        <w:rPr>
          <w:color w:val="000000"/>
          <w:sz w:val="20"/>
        </w:rPr>
        <w:t xml:space="preserve"> Sala Plena. Consejo de Estado. Expediente 11001-03-15-000-2009-01328-01. Acción de tutela (importancia jurídica). Actora: NERY GERMANIA ÁLVAREZ BELLO. Consejera ponente: MARÍA ELIZABETH GARCÍA GONZÁLEZ.</w:t>
      </w:r>
    </w:p>
  </w:footnote>
  <w:footnote w:id="30">
    <w:p w14:paraId="129BDF70" w14:textId="77777777" w:rsidR="00136C0C" w:rsidRPr="006F3592" w:rsidRDefault="00136C0C" w:rsidP="00C45D3E">
      <w:pPr>
        <w:pStyle w:val="Textonotapie"/>
        <w:jc w:val="both"/>
      </w:pPr>
      <w:r w:rsidRPr="006F3592">
        <w:rPr>
          <w:color w:val="000000"/>
          <w:vertAlign w:val="superscript"/>
        </w:rPr>
        <w:footnoteRef/>
      </w:r>
      <w:r w:rsidRPr="006F3592">
        <w:rPr>
          <w:color w:val="000000"/>
        </w:rPr>
        <w:t xml:space="preserve"> El recuento de esos criterios se encuentra en las páginas 13 a 50 del fallo de la Sala Plena antes reseñado.</w:t>
      </w:r>
    </w:p>
  </w:footnote>
  <w:footnote w:id="31">
    <w:p w14:paraId="00D78D2E" w14:textId="77777777" w:rsidR="00136C0C" w:rsidRPr="006F3592" w:rsidRDefault="00136C0C" w:rsidP="00C45D3E">
      <w:pPr>
        <w:pStyle w:val="Textonotapie"/>
        <w:jc w:val="both"/>
      </w:pPr>
      <w:r w:rsidRPr="006F3592">
        <w:rPr>
          <w:color w:val="000000"/>
          <w:vertAlign w:val="superscript"/>
        </w:rPr>
        <w:footnoteRef/>
      </w:r>
      <w:r w:rsidRPr="006F3592">
        <w:rPr>
          <w:color w:val="000000"/>
        </w:rPr>
        <w:t xml:space="preserve"> </w:t>
      </w:r>
      <w:r w:rsidRPr="006F3592">
        <w:rPr>
          <w:color w:val="000000"/>
          <w:lang w:val="es-ES"/>
        </w:rPr>
        <w:t>Negrilla con subrayado fuera de texto.</w:t>
      </w:r>
    </w:p>
  </w:footnote>
  <w:footnote w:id="32">
    <w:p w14:paraId="684FC7BE" w14:textId="77777777" w:rsidR="00136C0C" w:rsidRDefault="00136C0C" w:rsidP="00C45D3E">
      <w:pPr>
        <w:pStyle w:val="Textonotapie"/>
        <w:jc w:val="both"/>
        <w:rPr>
          <w:color w:val="000000"/>
        </w:rPr>
      </w:pPr>
      <w:r w:rsidRPr="006F3592">
        <w:rPr>
          <w:color w:val="000000"/>
          <w:vertAlign w:val="superscript"/>
        </w:rPr>
        <w:footnoteRef/>
      </w:r>
      <w:r w:rsidRPr="006F3592">
        <w:rPr>
          <w:color w:val="000000"/>
        </w:rPr>
        <w:t xml:space="preserve"> Entre otras en las sentencias T-949 del 16 de octubre de 2003; T-774 del 13 de agosto de 2004 y C-590 de 2005.</w:t>
      </w:r>
    </w:p>
    <w:p w14:paraId="57AEC068" w14:textId="77777777" w:rsidR="005327CF" w:rsidRPr="006F3592" w:rsidRDefault="005327CF" w:rsidP="00C45D3E">
      <w:pPr>
        <w:pStyle w:val="Textonotapie"/>
        <w:jc w:val="both"/>
      </w:pPr>
    </w:p>
  </w:footnote>
  <w:footnote w:id="33">
    <w:p w14:paraId="661828CD" w14:textId="77777777" w:rsidR="00136C0C" w:rsidRPr="006F3592" w:rsidRDefault="00136C0C" w:rsidP="00C45D3E">
      <w:pPr>
        <w:pStyle w:val="Textonotapie"/>
        <w:jc w:val="both"/>
      </w:pPr>
      <w:r w:rsidRPr="006F3592">
        <w:rPr>
          <w:rStyle w:val="Refdenotaalpie"/>
        </w:rPr>
        <w:footnoteRef/>
      </w:r>
      <w:r w:rsidRPr="006F3592">
        <w:t xml:space="preserve"> </w:t>
      </w:r>
      <w:proofErr w:type="spellStart"/>
      <w:r w:rsidRPr="006F3592">
        <w:t>Fl</w:t>
      </w:r>
      <w:proofErr w:type="spellEnd"/>
      <w:r w:rsidRPr="006F3592">
        <w:t>. 12 vuelto. Exp. Ord.</w:t>
      </w:r>
    </w:p>
  </w:footnote>
  <w:footnote w:id="34">
    <w:p w14:paraId="47E22434" w14:textId="77777777" w:rsidR="00136C0C" w:rsidRPr="006F3592" w:rsidRDefault="00136C0C" w:rsidP="00C45D3E">
      <w:pPr>
        <w:jc w:val="both"/>
        <w:rPr>
          <w:color w:val="000000"/>
          <w:sz w:val="20"/>
        </w:rPr>
      </w:pPr>
      <w:r w:rsidRPr="006F3592">
        <w:rPr>
          <w:rStyle w:val="Refdenotaalpie"/>
          <w:color w:val="000000"/>
          <w:sz w:val="20"/>
        </w:rPr>
        <w:footnoteRef/>
      </w:r>
      <w:r w:rsidRPr="006F3592">
        <w:rPr>
          <w:color w:val="000000"/>
          <w:sz w:val="20"/>
        </w:rPr>
        <w:t xml:space="preserve"> «El artículo 32 de la Ley 446 de 1998, fijó en 30 días el término de caducidad para demandar los actos separables del contrato. Dispone la norma en su inciso 2º: “los actos proferidos antes de la celebración del contrato con ocasión de la actividad contractual, serán demandables mediante las acciones de nulidad y nulidad y restablecimiento del derecho, según el caso, dentro de los (30) días siguientes a su comunicación, notificación o publicación. La interposición de estas acciones no interrumpirá el proceso licitatorio, ni la celebración y ejecución del contrato. Una vez celebrado éste, la ilegalidad de los actos previos solamente podrá invocarse como fundamento de nulidad absoluta del contrato.</w:t>
      </w:r>
    </w:p>
    <w:p w14:paraId="4993AFAA" w14:textId="77777777" w:rsidR="00136C0C" w:rsidRPr="006F3592" w:rsidRDefault="00136C0C" w:rsidP="00C45D3E">
      <w:pPr>
        <w:jc w:val="both"/>
        <w:rPr>
          <w:sz w:val="20"/>
        </w:rPr>
      </w:pPr>
      <w:r w:rsidRPr="006F3592">
        <w:rPr>
          <w:color w:val="000000"/>
          <w:sz w:val="20"/>
        </w:rPr>
        <w:t>El Ministerio Público o cualquier tercero que acredite un interés directo podrá pedir que se declare su nulidad absoluta. El juez administrativo queda facultado para declararla de oficio cuando está plenamente demostrada en el proceso. En todo caso dicha declaración solo podrá hacerse siempre que en él intervengan las partes contratantes o sus causahabientes».</w:t>
      </w:r>
    </w:p>
  </w:footnote>
  <w:footnote w:id="35">
    <w:p w14:paraId="41C6DF41" w14:textId="77777777" w:rsidR="00136C0C" w:rsidRPr="006F3592" w:rsidRDefault="00136C0C" w:rsidP="00C45D3E">
      <w:pPr>
        <w:pStyle w:val="Textonotapie"/>
        <w:jc w:val="both"/>
      </w:pPr>
      <w:r w:rsidRPr="006F3592">
        <w:rPr>
          <w:rStyle w:val="Refdenotaalpie"/>
          <w:color w:val="000000"/>
        </w:rPr>
        <w:footnoteRef/>
      </w:r>
      <w:r w:rsidRPr="006F3592">
        <w:rPr>
          <w:color w:val="000000"/>
        </w:rPr>
        <w:t xml:space="preserve"> «Consejo de Estado, Sala de lo Contencioso Administrativo, Sección Tercera. Sentencia de siete de octubre de 1999. Consejero ponente, Ricardo Hoyos Duque. Radicación 10610. Actor: Sociedad Grancolombiana de Seguridad. Demandado: empresa de energía de Bogotá».</w:t>
      </w:r>
    </w:p>
  </w:footnote>
  <w:footnote w:id="36">
    <w:p w14:paraId="056F99EF" w14:textId="77777777" w:rsidR="00136C0C" w:rsidRPr="006F3592" w:rsidRDefault="00136C0C" w:rsidP="00C45D3E">
      <w:pPr>
        <w:jc w:val="both"/>
        <w:rPr>
          <w:sz w:val="20"/>
        </w:rPr>
      </w:pPr>
      <w:r w:rsidRPr="006F3592">
        <w:rPr>
          <w:rStyle w:val="Refdenotaalpie"/>
          <w:color w:val="000000"/>
          <w:sz w:val="20"/>
        </w:rPr>
        <w:footnoteRef/>
      </w:r>
      <w:r w:rsidRPr="006F3592">
        <w:rPr>
          <w:color w:val="000000"/>
          <w:sz w:val="20"/>
        </w:rPr>
        <w:t xml:space="preserve"> «“A partir de ello encontró que: (i) cualquier persona puede cuestionar la legalidad de un acto precontractual siempre que esta sea definitivo o impida continuar con el proceso de selección; (ii) a través del ejercicio de la acción de nulidad simple; (iii) siempre que se trate de actos administrativos; (iv) que infrinjan normas superiores, o que sean expedidos de manera irregular, o por organismos o funcionarios incompetentes, o con violación al debido proceso, con falsa motivación, o con desviación de poder; y (v) se interponga dentro de los 30 días siguientes a su comunicación, notificación o publicación». </w:t>
      </w:r>
    </w:p>
  </w:footnote>
  <w:footnote w:id="37">
    <w:p w14:paraId="257106B8" w14:textId="77777777" w:rsidR="00136C0C" w:rsidRDefault="00136C0C" w:rsidP="00C45D3E">
      <w:pPr>
        <w:pStyle w:val="Textonotapie"/>
        <w:jc w:val="both"/>
      </w:pPr>
      <w:r w:rsidRPr="006F3592">
        <w:rPr>
          <w:rStyle w:val="Refdenotaalpie"/>
        </w:rPr>
        <w:footnoteRef/>
      </w:r>
      <w:r w:rsidRPr="006F3592">
        <w:t xml:space="preserve"> Énfasis propio.</w:t>
      </w:r>
    </w:p>
    <w:p w14:paraId="7C1B90B7" w14:textId="77777777" w:rsidR="005327CF" w:rsidRPr="006F3592" w:rsidRDefault="005327CF" w:rsidP="00C45D3E">
      <w:pPr>
        <w:pStyle w:val="Textonotapie"/>
        <w:jc w:val="both"/>
      </w:pPr>
    </w:p>
  </w:footnote>
  <w:footnote w:id="38">
    <w:p w14:paraId="488BAE72" w14:textId="77777777" w:rsidR="00136C0C" w:rsidRPr="006F3592" w:rsidRDefault="00136C0C" w:rsidP="00C45D3E">
      <w:pPr>
        <w:pStyle w:val="Textonotapie"/>
        <w:jc w:val="both"/>
      </w:pPr>
      <w:r w:rsidRPr="006F3592">
        <w:rPr>
          <w:rStyle w:val="Refdenotaalpie"/>
        </w:rPr>
        <w:footnoteRef/>
      </w:r>
      <w:r w:rsidRPr="006F3592">
        <w:t xml:space="preserve"> En este punto relacionó las siguientes sentencias expedidas en relación con los actos precontractuales, bajo el mismo análisis del artículo 87 C CA: «…sentencias de 13 de agosto de 2014, expediente 35965; de 12 de febrero de 2014, expediente 32721; de 12 de febrero de 2014, expediente 31753; de enero 29 de 2014, expediente 30250; de noviembre 13 de 2013, expediente 28479; de noviembre </w:t>
      </w:r>
      <w:r w:rsidRPr="005327CF">
        <w:t xml:space="preserve">13 de 2013, expediente 25646; de 4 de febrero de 2010, exp. n.° 16540. M. P. Mauricio Fajardo Gómez; de 16 de marzo y 29 de abril de 2015, exp. 27379 y 29225, M. P. Olga Mélida Valle de </w:t>
      </w:r>
      <w:proofErr w:type="spellStart"/>
      <w:r w:rsidRPr="005327CF">
        <w:t>De</w:t>
      </w:r>
      <w:proofErr w:type="spellEnd"/>
      <w:r w:rsidRPr="005327CF">
        <w:t xml:space="preserve"> La Hoz; de 7 de octubre de 1999, exp. 10610, M. P. Ricardo Hoyos Duque; de 26 {sic} de junio de 2000, exp. 16602, M. P. Maria Helena Giraldo; de 13 de junio de 2011 exp. 19336, M. P. Ruth Stella Correa Palacio</w:t>
      </w:r>
      <w:r w:rsidRPr="006F3592">
        <w:t>; 15 de febrero de 2012, Exp. 19880, MP. Jaime Orlando Santofimio Gamboa». Énfasis propio.</w:t>
      </w:r>
    </w:p>
  </w:footnote>
  <w:footnote w:id="39">
    <w:p w14:paraId="31B02FE5" w14:textId="77777777" w:rsidR="00136C0C" w:rsidRPr="006F3592" w:rsidRDefault="00136C0C" w:rsidP="00C45D3E">
      <w:pPr>
        <w:pStyle w:val="Textonotapie"/>
        <w:jc w:val="both"/>
      </w:pPr>
      <w:r w:rsidRPr="006F3592">
        <w:rPr>
          <w:rStyle w:val="Refdenotaalpie"/>
        </w:rPr>
        <w:footnoteRef/>
      </w:r>
      <w:r w:rsidRPr="006F3592">
        <w:t xml:space="preserve"> Se puede consultar la sentencia del 29 de junio de 2000, acción de controversias contractuales No. </w:t>
      </w:r>
      <w:r w:rsidRPr="006F3592">
        <w:rPr>
          <w:lang w:val="es-ES_tradnl"/>
        </w:rPr>
        <w:t xml:space="preserve">16602, actor: Sociedad </w:t>
      </w:r>
      <w:proofErr w:type="spellStart"/>
      <w:r w:rsidRPr="006F3592">
        <w:rPr>
          <w:lang w:val="es-ES_tradnl"/>
        </w:rPr>
        <w:t>Baupres</w:t>
      </w:r>
      <w:proofErr w:type="spellEnd"/>
      <w:r w:rsidRPr="006F3592">
        <w:rPr>
          <w:lang w:val="es-ES_tradnl"/>
        </w:rPr>
        <w:t xml:space="preserve"> Limitada Pilotos Prácticos BPP, demandado: ECOPETROL S.A., M. P. María Elena Giraldo Gómez.</w:t>
      </w:r>
    </w:p>
  </w:footnote>
  <w:footnote w:id="40">
    <w:p w14:paraId="4F2A2DEC" w14:textId="77777777" w:rsidR="00136C0C" w:rsidRPr="006F3592" w:rsidRDefault="00136C0C" w:rsidP="00C45D3E">
      <w:pPr>
        <w:pStyle w:val="Textonotapie"/>
        <w:jc w:val="both"/>
      </w:pPr>
      <w:r w:rsidRPr="006F3592">
        <w:rPr>
          <w:rStyle w:val="Refdenotaalpie"/>
        </w:rPr>
        <w:footnoteRef/>
      </w:r>
      <w:r w:rsidRPr="006F3592">
        <w:t xml:space="preserve"> «</w:t>
      </w:r>
      <w:r w:rsidRPr="006F3592">
        <w:rPr>
          <w:lang w:val="es-ES_tradnl"/>
        </w:rPr>
        <w:t>El texto original del art. 87 que traía el Decreto Ley 01 de 1984, ya hacía referencia a que podía intentar la nulidad del contrato “quien demuestre interés directo en el contrato”, presupuesto que se mantiene después de su modificación por el art. 32 de la ley 446 de 1998. Se hace sí la salvedad, que si bien es cierto la Ley 80 de 1993 - Estatuto de la Contratación Estatal- estableció en el art. 45 que la nulidad absoluta del contrato estatal podía alegarse “por cualquier persona”, convirtiéndola en una acción pública de legalidad, dicha situación fue temporal, ya que con la ley 446 de 1998 se volvió al sistema original del código, al asignar la titularidad de la acción a “cualquier tercero que acredite un interés directo” para pedir que la nulidad se declare</w:t>
      </w:r>
      <w:r w:rsidRPr="006F3592">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332F72"/>
    <w:multiLevelType w:val="multilevel"/>
    <w:tmpl w:val="A2AE71D8"/>
    <w:lvl w:ilvl="0">
      <w:start w:val="1"/>
      <w:numFmt w:val="upperRoman"/>
      <w:lvlText w:val="%1."/>
      <w:lvlJc w:val="left"/>
      <w:pPr>
        <w:ind w:left="1080" w:hanging="720"/>
      </w:pPr>
      <w:rPr>
        <w:rFonts w:cs="Times New Roman" w:hint="default"/>
      </w:rPr>
    </w:lvl>
    <w:lvl w:ilvl="1">
      <w:start w:val="1"/>
      <w:numFmt w:val="decimal"/>
      <w:isLgl/>
      <w:lvlText w:val="%1.%2."/>
      <w:lvlJc w:val="left"/>
      <w:pPr>
        <w:ind w:left="1430" w:hanging="720"/>
      </w:pPr>
      <w:rPr>
        <w:rFonts w:cs="Times New Roman" w:hint="default"/>
        <w:b/>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 w15:restartNumberingAfterBreak="0">
    <w:nsid w:val="72487BEB"/>
    <w:multiLevelType w:val="hybridMultilevel"/>
    <w:tmpl w:val="20C69CB0"/>
    <w:lvl w:ilvl="0" w:tplc="240A0011">
      <w:start w:val="1"/>
      <w:numFmt w:val="decimal"/>
      <w:lvlText w:val="%1)"/>
      <w:lvlJc w:val="left"/>
      <w:pPr>
        <w:ind w:left="720" w:hanging="360"/>
      </w:pPr>
      <w:rPr>
        <w:rFonts w:cs="Times New Roman" w:hint="default"/>
      </w:rPr>
    </w:lvl>
    <w:lvl w:ilvl="1" w:tplc="240A0019" w:tentative="1">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3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0BCE"/>
    <w:rsid w:val="0002225D"/>
    <w:rsid w:val="00036B1D"/>
    <w:rsid w:val="00136C0C"/>
    <w:rsid w:val="0016070E"/>
    <w:rsid w:val="00193F9E"/>
    <w:rsid w:val="001A2297"/>
    <w:rsid w:val="002741CE"/>
    <w:rsid w:val="002829C6"/>
    <w:rsid w:val="0029544B"/>
    <w:rsid w:val="002F05A7"/>
    <w:rsid w:val="00316D4D"/>
    <w:rsid w:val="00332C16"/>
    <w:rsid w:val="003724E1"/>
    <w:rsid w:val="003B0C4D"/>
    <w:rsid w:val="003B5DBA"/>
    <w:rsid w:val="004463F8"/>
    <w:rsid w:val="004A75D5"/>
    <w:rsid w:val="005327CF"/>
    <w:rsid w:val="005B5D59"/>
    <w:rsid w:val="006342C5"/>
    <w:rsid w:val="006F3592"/>
    <w:rsid w:val="007A5D6C"/>
    <w:rsid w:val="007C00CC"/>
    <w:rsid w:val="007D41E5"/>
    <w:rsid w:val="007F1252"/>
    <w:rsid w:val="0081087D"/>
    <w:rsid w:val="00907606"/>
    <w:rsid w:val="00911ACA"/>
    <w:rsid w:val="00AA0B9C"/>
    <w:rsid w:val="00AA1777"/>
    <w:rsid w:val="00B7507B"/>
    <w:rsid w:val="00B76B72"/>
    <w:rsid w:val="00B90BCE"/>
    <w:rsid w:val="00BF3F08"/>
    <w:rsid w:val="00C45D3E"/>
    <w:rsid w:val="00C63E2A"/>
    <w:rsid w:val="00CE77BF"/>
    <w:rsid w:val="00DE6BF2"/>
    <w:rsid w:val="00E06F67"/>
    <w:rsid w:val="00E226F1"/>
    <w:rsid w:val="00EA51CF"/>
    <w:rsid w:val="00F4540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7562A"/>
  <w15:chartTrackingRefBased/>
  <w15:docId w15:val="{D09F10E9-572F-4CC7-B525-D1FBD50C1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Calibri" w:hAnsi="Arial" w:cs="Arial"/>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8"/>
      <w:szCs w:val="28"/>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136C0C"/>
    <w:rPr>
      <w:sz w:val="20"/>
      <w:szCs w:val="20"/>
    </w:rPr>
  </w:style>
  <w:style w:type="character" w:customStyle="1" w:styleId="TextonotapieCar">
    <w:name w:val="Texto nota pie Car"/>
    <w:link w:val="Textonotapie"/>
    <w:uiPriority w:val="99"/>
    <w:semiHidden/>
    <w:rsid w:val="00136C0C"/>
    <w:rPr>
      <w:lang w:eastAsia="en-US"/>
    </w:rPr>
  </w:style>
  <w:style w:type="character" w:styleId="Refdenotaalpie">
    <w:name w:val="footnote reference"/>
    <w:uiPriority w:val="99"/>
    <w:semiHidden/>
    <w:unhideWhenUsed/>
    <w:qFormat/>
    <w:rsid w:val="00136C0C"/>
    <w:rPr>
      <w:rFonts w:cs="Times New Roman"/>
      <w:vertAlign w:val="superscript"/>
    </w:rPr>
  </w:style>
  <w:style w:type="paragraph" w:styleId="Encabezado">
    <w:name w:val="header"/>
    <w:basedOn w:val="Normal"/>
    <w:link w:val="EncabezadoCar"/>
    <w:uiPriority w:val="99"/>
    <w:unhideWhenUsed/>
    <w:rsid w:val="003B0C4D"/>
    <w:pPr>
      <w:tabs>
        <w:tab w:val="center" w:pos="4252"/>
        <w:tab w:val="right" w:pos="8504"/>
      </w:tabs>
    </w:pPr>
  </w:style>
  <w:style w:type="character" w:customStyle="1" w:styleId="EncabezadoCar">
    <w:name w:val="Encabezado Car"/>
    <w:link w:val="Encabezado"/>
    <w:uiPriority w:val="99"/>
    <w:rsid w:val="003B0C4D"/>
    <w:rPr>
      <w:sz w:val="28"/>
      <w:szCs w:val="28"/>
      <w:lang w:val="es-CO" w:eastAsia="en-US"/>
    </w:rPr>
  </w:style>
  <w:style w:type="paragraph" w:styleId="Piedepgina">
    <w:name w:val="footer"/>
    <w:basedOn w:val="Normal"/>
    <w:link w:val="PiedepginaCar"/>
    <w:uiPriority w:val="99"/>
    <w:unhideWhenUsed/>
    <w:rsid w:val="003B0C4D"/>
    <w:pPr>
      <w:tabs>
        <w:tab w:val="center" w:pos="4252"/>
        <w:tab w:val="right" w:pos="8504"/>
      </w:tabs>
    </w:pPr>
  </w:style>
  <w:style w:type="character" w:customStyle="1" w:styleId="PiedepginaCar">
    <w:name w:val="Pie de página Car"/>
    <w:link w:val="Piedepgina"/>
    <w:uiPriority w:val="99"/>
    <w:rsid w:val="003B0C4D"/>
    <w:rPr>
      <w:sz w:val="28"/>
      <w:szCs w:val="28"/>
      <w:lang w:val="es-CO"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9726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74CC19-602A-47A7-899D-3C9F61F2F2E8}">
  <ds:schemaRefs>
    <ds:schemaRef ds:uri="http://schemas.microsoft.com/sharepoint/v3/contenttype/forms"/>
  </ds:schemaRefs>
</ds:datastoreItem>
</file>

<file path=customXml/itemProps2.xml><?xml version="1.0" encoding="utf-8"?>
<ds:datastoreItem xmlns:ds="http://schemas.openxmlformats.org/officeDocument/2006/customXml" ds:itemID="{89D8A4AB-2395-4C2A-A433-334B338F3E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44ABE0B-0C5A-4909-BCE8-4B3228D6D93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5860</Words>
  <Characters>32233</Characters>
  <Application>Microsoft Office Word</Application>
  <DocSecurity>0</DocSecurity>
  <Lines>268</Lines>
  <Paragraphs>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ANDRES VASQUEZ ISAZA</dc:creator>
  <cp:keywords/>
  <dc:description/>
  <cp:lastModifiedBy>FLOR ANGELA Aldana</cp:lastModifiedBy>
  <cp:revision>2</cp:revision>
  <dcterms:created xsi:type="dcterms:W3CDTF">2020-06-25T14:52:00Z</dcterms:created>
  <dcterms:modified xsi:type="dcterms:W3CDTF">2020-06-25T14:52:00Z</dcterms:modified>
</cp:coreProperties>
</file>