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965" w:rsidRPr="007C0E2A" w:rsidRDefault="002F7965" w:rsidP="00112D73">
      <w:pPr>
        <w:jc w:val="both"/>
        <w:rPr>
          <w:rStyle w:val="formato"/>
          <w:rFonts w:cs="Arial"/>
          <w:b w:val="0"/>
          <w:sz w:val="22"/>
        </w:rPr>
      </w:pPr>
    </w:p>
    <w:p w:rsidR="00DF6745" w:rsidRPr="007C0E2A" w:rsidRDefault="000856BD" w:rsidP="00112D73">
      <w:pPr>
        <w:jc w:val="both"/>
        <w:rPr>
          <w:rStyle w:val="formato"/>
          <w:rFonts w:cs="Arial"/>
          <w:sz w:val="22"/>
        </w:rPr>
      </w:pPr>
      <w:r>
        <w:rPr>
          <w:rStyle w:val="formato"/>
          <w:rFonts w:cs="Arial"/>
          <w:sz w:val="22"/>
        </w:rPr>
        <w:t>ACCIÓN DE TUTELA – Tutela contra providencia</w:t>
      </w:r>
      <w:r w:rsidR="00EA0DC5" w:rsidRPr="007C0E2A">
        <w:rPr>
          <w:rStyle w:val="formato"/>
          <w:rFonts w:cs="Arial"/>
          <w:sz w:val="22"/>
        </w:rPr>
        <w:t xml:space="preserve"> </w:t>
      </w:r>
      <w:r>
        <w:rPr>
          <w:rStyle w:val="formato"/>
          <w:rFonts w:cs="Arial"/>
          <w:sz w:val="22"/>
        </w:rPr>
        <w:t>–</w:t>
      </w:r>
      <w:r w:rsidR="00903038" w:rsidRPr="007C0E2A">
        <w:rPr>
          <w:rStyle w:val="formato"/>
          <w:rFonts w:cs="Arial"/>
          <w:sz w:val="22"/>
        </w:rPr>
        <w:t xml:space="preserve"> Criterios de procedencia </w:t>
      </w:r>
    </w:p>
    <w:p w:rsidR="00903038" w:rsidRPr="007C0E2A" w:rsidRDefault="00903038" w:rsidP="00112D73">
      <w:pPr>
        <w:jc w:val="both"/>
        <w:rPr>
          <w:rStyle w:val="formato"/>
          <w:rFonts w:cs="Arial"/>
          <w:sz w:val="22"/>
        </w:rPr>
      </w:pPr>
    </w:p>
    <w:p w:rsidR="00903038" w:rsidRPr="007C0E2A" w:rsidRDefault="00AA3A37" w:rsidP="00112D73">
      <w:pPr>
        <w:jc w:val="both"/>
        <w:rPr>
          <w:rStyle w:val="formato"/>
          <w:rFonts w:cs="Arial"/>
          <w:b w:val="0"/>
          <w:sz w:val="22"/>
          <w:lang w:val="es-ES"/>
        </w:rPr>
      </w:pPr>
      <w:r w:rsidRPr="007C0E2A">
        <w:rPr>
          <w:rStyle w:val="formato"/>
          <w:rFonts w:cs="Arial"/>
          <w:b w:val="0"/>
          <w:sz w:val="22"/>
          <w:lang w:val="es-ES"/>
        </w:rPr>
        <w:t>Es claro que la Corporación ha modificado su criterio sobre la procedencia de la acción de tutela y, en consecuencia, conforme a él, es necesario estudiar las acciones de tutela que se presenten contra providencia judicial y analizar si ellas vulneran algún derecho fundamental, observando al efecto los parámetros fijados hasta el momento por la jurisprudencia, como expresamente lo indica la decisión de unificación. Así, para la Sala ahora es importante precisar bajo qué parámetros se hará ese estudio, pues la sentencia de unificación se refirió a los «… fijados hasta el momento jurisprudencialmente…». En efecto, sabido es que la tutela es un mecanismo residual y excepcional para la protección de derechos fundamentales como lo señala el artículo 86 constitucional y, por ende, la procedencia de esta acción constitucional contra providencia judicial no puede ser ajena a esas características.</w:t>
      </w:r>
    </w:p>
    <w:p w:rsidR="00DF6745" w:rsidRPr="007C0E2A" w:rsidRDefault="00DF6745" w:rsidP="00112D73">
      <w:pPr>
        <w:jc w:val="both"/>
        <w:rPr>
          <w:rStyle w:val="formato"/>
          <w:rFonts w:cs="Arial"/>
          <w:sz w:val="22"/>
        </w:rPr>
      </w:pPr>
    </w:p>
    <w:p w:rsidR="006722C6" w:rsidRPr="007C0E2A" w:rsidRDefault="000856BD" w:rsidP="00112D73">
      <w:pPr>
        <w:jc w:val="both"/>
        <w:rPr>
          <w:rStyle w:val="formato"/>
          <w:rFonts w:cs="Arial"/>
          <w:sz w:val="22"/>
        </w:rPr>
      </w:pPr>
      <w:r>
        <w:rPr>
          <w:rStyle w:val="formato"/>
          <w:rFonts w:cs="Arial"/>
          <w:sz w:val="22"/>
        </w:rPr>
        <w:t>ACCIÓN DE TUTELA – Tutela contra providencia</w:t>
      </w:r>
      <w:r w:rsidRPr="007C0E2A">
        <w:rPr>
          <w:rStyle w:val="formato"/>
          <w:rFonts w:cs="Arial"/>
          <w:sz w:val="22"/>
        </w:rPr>
        <w:t xml:space="preserve"> </w:t>
      </w:r>
      <w:r w:rsidR="00BA48C5" w:rsidRPr="007C0E2A">
        <w:rPr>
          <w:rStyle w:val="formato"/>
          <w:rFonts w:cs="Arial"/>
          <w:sz w:val="22"/>
        </w:rPr>
        <w:t xml:space="preserve">- </w:t>
      </w:r>
      <w:r w:rsidR="006722C6" w:rsidRPr="007C0E2A">
        <w:rPr>
          <w:rStyle w:val="formato"/>
          <w:rFonts w:cs="Arial"/>
          <w:sz w:val="22"/>
        </w:rPr>
        <w:t>Requisitos</w:t>
      </w:r>
      <w:r w:rsidR="00BA48C5" w:rsidRPr="007C0E2A">
        <w:rPr>
          <w:rStyle w:val="formato"/>
          <w:rFonts w:cs="Arial"/>
          <w:sz w:val="22"/>
        </w:rPr>
        <w:t xml:space="preserve"> generales </w:t>
      </w:r>
      <w:r w:rsidR="006722C6" w:rsidRPr="007C0E2A">
        <w:rPr>
          <w:rStyle w:val="formato"/>
          <w:rFonts w:cs="Arial"/>
          <w:sz w:val="22"/>
        </w:rPr>
        <w:t xml:space="preserve"> </w:t>
      </w:r>
    </w:p>
    <w:p w:rsidR="006722C6" w:rsidRPr="007C0E2A" w:rsidRDefault="006722C6" w:rsidP="00112D73">
      <w:pPr>
        <w:jc w:val="both"/>
        <w:rPr>
          <w:rStyle w:val="formato"/>
          <w:rFonts w:cs="Arial"/>
          <w:sz w:val="22"/>
        </w:rPr>
      </w:pPr>
    </w:p>
    <w:p w:rsidR="00BA48C5" w:rsidRPr="007C0E2A" w:rsidRDefault="00BA48C5" w:rsidP="00112D73">
      <w:pPr>
        <w:jc w:val="both"/>
        <w:rPr>
          <w:rStyle w:val="formato"/>
          <w:rFonts w:cs="Arial"/>
          <w:b w:val="0"/>
          <w:sz w:val="22"/>
          <w:lang w:val="es-ES"/>
        </w:rPr>
      </w:pPr>
      <w:r w:rsidRPr="007C0E2A">
        <w:rPr>
          <w:rStyle w:val="formato"/>
          <w:rFonts w:cs="Arial"/>
          <w:b w:val="0"/>
          <w:sz w:val="22"/>
          <w:lang w:val="es-ES"/>
        </w:rPr>
        <w:t>Estos requisitos son: i) que no se trate de tutela contra tutela; ii) subsidiariedad, es decir, agotamiento de los requisitos ordinarios y extraordinarios, siempre y cuando ellos sean idóneos y eficaces para la protección del derecho que se dice vulnerado; y iii) inmediatez.</w:t>
      </w:r>
      <w:r w:rsidR="00A84CFF" w:rsidRPr="007C0E2A">
        <w:rPr>
          <w:rStyle w:val="formato"/>
          <w:rFonts w:cs="Arial"/>
          <w:b w:val="0"/>
          <w:sz w:val="22"/>
          <w:lang w:val="es-ES"/>
        </w:rPr>
        <w:t xml:space="preserve"> Cuando no se cumpla con uno de esos presupuestos, la Sección declarará improcedente el amparo solicitado y no entrará a analizar el fondo del asunto.</w:t>
      </w:r>
    </w:p>
    <w:p w:rsidR="006722C6" w:rsidRPr="007C0E2A" w:rsidRDefault="006722C6" w:rsidP="00112D73">
      <w:pPr>
        <w:jc w:val="both"/>
        <w:rPr>
          <w:rStyle w:val="formato"/>
          <w:rFonts w:cs="Arial"/>
          <w:sz w:val="22"/>
        </w:rPr>
      </w:pPr>
    </w:p>
    <w:p w:rsidR="000F61D8" w:rsidRPr="007C0E2A" w:rsidRDefault="000F61D8" w:rsidP="00112D73">
      <w:pPr>
        <w:jc w:val="both"/>
        <w:rPr>
          <w:rStyle w:val="formato"/>
          <w:rFonts w:cs="Arial"/>
          <w:b w:val="0"/>
          <w:sz w:val="22"/>
        </w:rPr>
      </w:pPr>
      <w:r w:rsidRPr="007C0E2A">
        <w:rPr>
          <w:rStyle w:val="formato"/>
          <w:rFonts w:cs="Arial"/>
          <w:sz w:val="22"/>
        </w:rPr>
        <w:t xml:space="preserve">CONVENIO DE ASOCIACIÓN </w:t>
      </w:r>
      <w:r w:rsidR="000856BD">
        <w:rPr>
          <w:rStyle w:val="formato"/>
          <w:rFonts w:cs="Arial"/>
          <w:sz w:val="22"/>
        </w:rPr>
        <w:t xml:space="preserve">– </w:t>
      </w:r>
      <w:r w:rsidR="00635720" w:rsidRPr="007C0E2A">
        <w:rPr>
          <w:rStyle w:val="formato"/>
          <w:rFonts w:cs="Arial"/>
          <w:sz w:val="22"/>
        </w:rPr>
        <w:t xml:space="preserve">Objeto </w:t>
      </w:r>
      <w:r w:rsidR="001E6D20">
        <w:rPr>
          <w:rStyle w:val="formato"/>
          <w:rFonts w:cs="Arial"/>
          <w:sz w:val="22"/>
        </w:rPr>
        <w:t>del contrato</w:t>
      </w:r>
      <w:bookmarkStart w:id="0" w:name="_GoBack"/>
      <w:bookmarkEnd w:id="0"/>
    </w:p>
    <w:p w:rsidR="006722C6" w:rsidRPr="007C0E2A" w:rsidRDefault="006722C6" w:rsidP="00112D73">
      <w:pPr>
        <w:jc w:val="both"/>
        <w:rPr>
          <w:rStyle w:val="formato"/>
          <w:rFonts w:cs="Arial"/>
          <w:sz w:val="22"/>
        </w:rPr>
      </w:pPr>
    </w:p>
    <w:p w:rsidR="00635720" w:rsidRPr="007C0E2A" w:rsidRDefault="00635720" w:rsidP="00112D73">
      <w:pPr>
        <w:jc w:val="both"/>
        <w:rPr>
          <w:rStyle w:val="formato"/>
          <w:rFonts w:cs="Arial"/>
          <w:b w:val="0"/>
          <w:sz w:val="22"/>
        </w:rPr>
      </w:pPr>
      <w:r w:rsidRPr="007C0E2A">
        <w:rPr>
          <w:rStyle w:val="formato"/>
          <w:rFonts w:cs="Arial"/>
          <w:b w:val="0"/>
          <w:sz w:val="22"/>
        </w:rPr>
        <w:t>Para la Sección Quinta, es claro, que a diferencia de lo afirmado por el tutelante, es la literalidad del acuerdo de voluntades la que gobierna y regenta el actuar y desenvolvimiento de las partes en las etapas contractuales y pos contractuales que los vinculan. Lo cierto es que conforme con ese contenido obligacional, la GESTORA URBANA DE IBAGUÉ, según su acto de creación contenido en el Decreto municipal 0175 de 23 de abril de 2002, fue concebida como una forma de solucionar la carencia de un organismo en el Municipio que ejerciera las funciones de banco inmobiliario y operador urbano, a fin de que “…articule los esfuerzos de los diferentes entes administrativos y el sector privado (…)” (véanse considerandos del acto), bajo la naturaleza jurídica de empresa industrial y comercial del orden municipal, dotada de personería jurídica, autonomía administrativa, financiera y capital independiente y, dentro de sus actividades, la adquisición de bienes, mediante la enajenación, dación en pago, extinción de dominio, expropiación judicial o administrativa y de los inmuebles necesarios para el cumplimiento de su objeto social (art. 4.1. lit. j.) y en sus facultades, se observan las de llevar a cabo programas de construcción (compra y venta) y adelantar convenios o contratos con otras entidades del sector público o privado que persigan fines compatibles con su objeto (art. 5 nums. 3 y 7). Sus recursos están conformados por los bienes de INFIBAGUÉ y “los aportes y bienes muebles e inmuebles… que para fines de su objeto, entregare en propiedad la entidad territorial Municipio de Ibagué, INFIBAGUÉ o terceros, en los términos constitucionales y legales” y todos los bienes, derechos y recursos que reciba a cualquier título provenientes de entidades públicas o privadas, nacionales o internacionales (art. 7 nums. 2 y 6).</w:t>
      </w:r>
    </w:p>
    <w:p w:rsidR="00635720" w:rsidRPr="007C0E2A" w:rsidRDefault="00635720" w:rsidP="00112D73">
      <w:pPr>
        <w:jc w:val="both"/>
        <w:rPr>
          <w:rStyle w:val="formato"/>
          <w:rFonts w:cs="Arial"/>
          <w:sz w:val="22"/>
        </w:rPr>
      </w:pPr>
    </w:p>
    <w:p w:rsidR="00635720" w:rsidRPr="007C0E2A" w:rsidRDefault="00635720" w:rsidP="00112D73">
      <w:pPr>
        <w:jc w:val="both"/>
        <w:rPr>
          <w:rStyle w:val="formato"/>
          <w:rFonts w:cs="Arial"/>
          <w:sz w:val="22"/>
        </w:rPr>
      </w:pPr>
    </w:p>
    <w:p w:rsidR="00745F44" w:rsidRPr="007C0E2A" w:rsidRDefault="00745F44" w:rsidP="00112D73">
      <w:pPr>
        <w:jc w:val="both"/>
        <w:rPr>
          <w:rStyle w:val="formato"/>
          <w:rFonts w:cs="Arial"/>
          <w:b w:val="0"/>
          <w:sz w:val="22"/>
        </w:rPr>
      </w:pPr>
      <w:r w:rsidRPr="007C0E2A">
        <w:rPr>
          <w:rStyle w:val="formato"/>
          <w:rFonts w:cs="Arial"/>
          <w:sz w:val="22"/>
        </w:rPr>
        <w:t xml:space="preserve">DEFECTO FÁCTICO </w:t>
      </w:r>
      <w:r w:rsidR="000856BD">
        <w:rPr>
          <w:rStyle w:val="formato"/>
          <w:rFonts w:cs="Arial"/>
          <w:sz w:val="22"/>
        </w:rPr>
        <w:t>–</w:t>
      </w:r>
      <w:r w:rsidR="000E015B" w:rsidRPr="007C0E2A">
        <w:rPr>
          <w:rStyle w:val="formato"/>
          <w:rFonts w:cs="Arial"/>
          <w:sz w:val="22"/>
        </w:rPr>
        <w:t xml:space="preserve"> Criterios de </w:t>
      </w:r>
      <w:r w:rsidR="006C3766" w:rsidRPr="007C0E2A">
        <w:rPr>
          <w:rStyle w:val="formato"/>
          <w:rFonts w:cs="Arial"/>
          <w:sz w:val="22"/>
        </w:rPr>
        <w:t>procedencia</w:t>
      </w:r>
    </w:p>
    <w:p w:rsidR="00745F44" w:rsidRPr="007C0E2A" w:rsidRDefault="00745F44" w:rsidP="00112D73">
      <w:pPr>
        <w:jc w:val="both"/>
        <w:rPr>
          <w:rStyle w:val="formato"/>
          <w:rFonts w:cs="Arial"/>
          <w:sz w:val="22"/>
        </w:rPr>
      </w:pPr>
    </w:p>
    <w:p w:rsidR="000E015B" w:rsidRPr="007C0E2A" w:rsidRDefault="000E015B" w:rsidP="00112D73">
      <w:pPr>
        <w:jc w:val="both"/>
        <w:rPr>
          <w:rStyle w:val="formato"/>
          <w:rFonts w:cs="Arial"/>
          <w:b w:val="0"/>
          <w:sz w:val="22"/>
        </w:rPr>
      </w:pPr>
      <w:r w:rsidRPr="007C0E2A">
        <w:rPr>
          <w:rStyle w:val="formato"/>
          <w:rFonts w:cs="Arial"/>
          <w:b w:val="0"/>
          <w:sz w:val="22"/>
        </w:rPr>
        <w:t>Los eventos de configuración del defecto fáctico son: i) omisión de decretar o practicar pruebas indispensables para fallar el asunto; ii) desconocimiento del acervo probatorio determinante para identificar la veracidad de los hechos alegados por las partes; iii) valoración irracional o arbitraria de las pruebas aportadas; y iv) dictar sentencia con fundamento en pruebas obtenidas con violación del debido proceso.</w:t>
      </w:r>
      <w:r w:rsidR="00B42771" w:rsidRPr="007C0E2A">
        <w:rPr>
          <w:rStyle w:val="formato"/>
          <w:rFonts w:cs="Arial"/>
          <w:b w:val="0"/>
          <w:sz w:val="22"/>
        </w:rPr>
        <w:t xml:space="preserve"> (…) Como se ve en los elementos señalados, la parte accionante debe precisar mínimamente en su escrito el cargo que plantea, para demostrar no solo la configuración del defecto, sino también, su incidencia en la decisión judicial. </w:t>
      </w:r>
      <w:r w:rsidRPr="007C0E2A">
        <w:rPr>
          <w:rStyle w:val="formato"/>
          <w:rFonts w:cs="Arial"/>
          <w:b w:val="0"/>
          <w:sz w:val="22"/>
        </w:rPr>
        <w:t xml:space="preserve"> </w:t>
      </w:r>
    </w:p>
    <w:p w:rsidR="001B72EB" w:rsidRPr="007C0E2A" w:rsidRDefault="001B72EB" w:rsidP="00112D73">
      <w:pPr>
        <w:jc w:val="both"/>
        <w:rPr>
          <w:rStyle w:val="formato"/>
          <w:rFonts w:cs="Arial"/>
          <w:sz w:val="22"/>
        </w:rPr>
      </w:pPr>
    </w:p>
    <w:p w:rsidR="00D9176E" w:rsidRPr="007C0E2A" w:rsidRDefault="00D9176E" w:rsidP="00112D73">
      <w:pPr>
        <w:jc w:val="both"/>
        <w:rPr>
          <w:rStyle w:val="formato"/>
          <w:rFonts w:cs="Arial"/>
          <w:sz w:val="22"/>
        </w:rPr>
      </w:pPr>
      <w:r w:rsidRPr="007C0E2A">
        <w:rPr>
          <w:rStyle w:val="formato"/>
          <w:rFonts w:cs="Arial"/>
          <w:sz w:val="22"/>
        </w:rPr>
        <w:t xml:space="preserve">EQUILIBRIO ECONÓMICO DEL CONTRATO </w:t>
      </w:r>
      <w:r w:rsidR="000856BD">
        <w:rPr>
          <w:rStyle w:val="formato"/>
          <w:rFonts w:cs="Arial"/>
          <w:sz w:val="22"/>
        </w:rPr>
        <w:t xml:space="preserve">– </w:t>
      </w:r>
      <w:r w:rsidR="00433DDF" w:rsidRPr="007C0E2A">
        <w:rPr>
          <w:rStyle w:val="formato"/>
          <w:rFonts w:cs="Arial"/>
          <w:sz w:val="22"/>
        </w:rPr>
        <w:t xml:space="preserve">Oportunidad </w:t>
      </w:r>
      <w:r w:rsidR="000856BD">
        <w:rPr>
          <w:rStyle w:val="formato"/>
          <w:rFonts w:cs="Arial"/>
          <w:sz w:val="22"/>
        </w:rPr>
        <w:t>– Variación al contrato</w:t>
      </w:r>
    </w:p>
    <w:p w:rsidR="001B72EB" w:rsidRPr="007C0E2A" w:rsidRDefault="001B72EB" w:rsidP="00112D73">
      <w:pPr>
        <w:jc w:val="both"/>
        <w:rPr>
          <w:rStyle w:val="formato"/>
          <w:rFonts w:cs="Arial"/>
          <w:b w:val="0"/>
          <w:sz w:val="22"/>
        </w:rPr>
      </w:pPr>
    </w:p>
    <w:p w:rsidR="001B72EB" w:rsidRPr="007C0E2A" w:rsidRDefault="003F11B1" w:rsidP="00112D73">
      <w:pPr>
        <w:jc w:val="both"/>
        <w:rPr>
          <w:rStyle w:val="formato"/>
          <w:rFonts w:cs="Arial"/>
          <w:b w:val="0"/>
          <w:sz w:val="22"/>
        </w:rPr>
      </w:pPr>
      <w:r w:rsidRPr="007C0E2A">
        <w:rPr>
          <w:rStyle w:val="formato"/>
          <w:rFonts w:cs="Arial"/>
          <w:b w:val="0"/>
          <w:sz w:val="22"/>
        </w:rPr>
        <w:t>El elemento de oportunidad es presupuesto para dar viabilidad a las reclamaciones en materia contractual, como lo evidencia la Sección Tercera de los artículos 16  y 27  de la Ley 80 de 1993, que determinan que cuando existan circunstancias que impliquen variaciones al contrato, el mecanismo debe ser el acuerdo de voluntades y solo si no se logra, la administración puede hacerlo unilateralmente, dejando en libertad al contratista de renunciar a la ejecución del contrato si la modificación altera el valor del contrato en 20% o más. Al punto, que considera que si las solicitudes, reclamaciones o salvedades fundadas en la alteración del equilibrio económico no se hacen al momento de suscribir las suspensiones, adiciones o prórrogas del plazo contractual, contratos adicionales, otros si, siendo extemporánea, cualquiera pretensión indemnizatoria no será de recibo porque vulneraría el principio de buena fe contractual.</w:t>
      </w:r>
    </w:p>
    <w:p w:rsidR="00D9176E" w:rsidRPr="007C0E2A" w:rsidRDefault="00D9176E" w:rsidP="00112D73">
      <w:pPr>
        <w:jc w:val="both"/>
        <w:rPr>
          <w:rStyle w:val="formato"/>
          <w:rFonts w:cs="Arial"/>
          <w:sz w:val="22"/>
        </w:rPr>
      </w:pPr>
    </w:p>
    <w:p w:rsidR="00FE4B67" w:rsidRPr="007C0E2A" w:rsidRDefault="000856BD" w:rsidP="00112D73">
      <w:pPr>
        <w:jc w:val="both"/>
        <w:rPr>
          <w:rStyle w:val="formato"/>
          <w:rFonts w:cs="Arial"/>
          <w:sz w:val="22"/>
        </w:rPr>
      </w:pPr>
      <w:r>
        <w:rPr>
          <w:rStyle w:val="formato"/>
          <w:rFonts w:cs="Arial"/>
          <w:sz w:val="22"/>
        </w:rPr>
        <w:t>AUSENCIA DE DEFECTO FÁCTICO –</w:t>
      </w:r>
      <w:r w:rsidR="009B436C" w:rsidRPr="007C0E2A">
        <w:rPr>
          <w:rStyle w:val="formato"/>
          <w:rFonts w:cs="Arial"/>
          <w:sz w:val="22"/>
        </w:rPr>
        <w:t xml:space="preserve"> </w:t>
      </w:r>
      <w:r w:rsidR="00DE55A2" w:rsidRPr="007C0E2A">
        <w:rPr>
          <w:rStyle w:val="formato"/>
          <w:rFonts w:cs="Arial"/>
          <w:sz w:val="22"/>
        </w:rPr>
        <w:t>Adecuada valoración probatoria</w:t>
      </w:r>
    </w:p>
    <w:p w:rsidR="00745F44" w:rsidRPr="007C0E2A" w:rsidRDefault="00745F44" w:rsidP="00112D73">
      <w:pPr>
        <w:jc w:val="both"/>
        <w:rPr>
          <w:rStyle w:val="formato"/>
          <w:rFonts w:cs="Arial"/>
          <w:sz w:val="22"/>
        </w:rPr>
      </w:pPr>
    </w:p>
    <w:p w:rsidR="001F6BC6" w:rsidRDefault="00976ADE" w:rsidP="00112D73">
      <w:pPr>
        <w:jc w:val="both"/>
        <w:rPr>
          <w:rFonts w:ascii="Arial" w:eastAsia="Times New Roman" w:hAnsi="Arial" w:cs="Arial"/>
          <w:lang w:eastAsia="es-ES"/>
        </w:rPr>
      </w:pPr>
      <w:r w:rsidRPr="007C0E2A">
        <w:rPr>
          <w:rFonts w:ascii="Arial" w:eastAsia="Times New Roman" w:hAnsi="Arial" w:cs="Arial"/>
          <w:lang w:eastAsia="es-ES"/>
        </w:rPr>
        <w:t>La Sección Cuarta del Consejo de Estado, al fallar la primera instancia en tutela, luego de resumir las consideraciones medulares del fallo de la controversia contractual, concluyó que los diversos otros sí, acuerdos, actas de iniciación de obras adicionales y demás compromisos suscritos entre las partes contratantes, constituyeron claros eventos del restablecimiento del equilibrio económico del contrato en el que manifestaron su conformidad y dentro de la oportunidad debida, sin que el contratista hiciera salvedad alguna de obligaciones o circunstancias adicionales y, por ende, el juez del contrato no encontró acreditado el desequilibrio demandado en relación con la mayor permanencia en la obra generadora de sobrecostos, como tampoco de incumplimiento en el número de lotes entregados. Por lo anterior, concluyó que no se podía endilgar defecto alguno, porque la Sección Tercera actuó conforme a las normas que eran aplicables al caso y explicó y sustentó en debida forma su decisión. No encontró que los contenidos constitucionalmente protegidos ameriten la intervención del juez constitucional, pues no se trató de un proveído caprichoso, arbitrario o carente de justificación o motivación jurídica o que condujera a la inexistencia de defensa y contradicción dentro del proceso.</w:t>
      </w:r>
    </w:p>
    <w:p w:rsidR="000856BD" w:rsidRPr="007C0E2A" w:rsidRDefault="000856BD" w:rsidP="00112D73">
      <w:pPr>
        <w:jc w:val="both"/>
        <w:rPr>
          <w:rStyle w:val="formato"/>
          <w:rFonts w:cs="Arial"/>
          <w:sz w:val="22"/>
          <w:lang w:val="es-ES"/>
        </w:rPr>
      </w:pPr>
    </w:p>
    <w:p w:rsidR="00FE4B67" w:rsidRPr="007C0E2A" w:rsidRDefault="00773D3A" w:rsidP="00112D73">
      <w:pPr>
        <w:jc w:val="both"/>
        <w:rPr>
          <w:rStyle w:val="formato"/>
          <w:rFonts w:cs="Arial"/>
          <w:sz w:val="22"/>
        </w:rPr>
      </w:pPr>
      <w:r w:rsidRPr="007C0E2A">
        <w:rPr>
          <w:rStyle w:val="formato"/>
          <w:rFonts w:cs="Arial"/>
          <w:sz w:val="22"/>
        </w:rPr>
        <w:t xml:space="preserve">ECUACIÓN FINANCIERA </w:t>
      </w:r>
      <w:r w:rsidR="000856BD">
        <w:rPr>
          <w:rStyle w:val="formato"/>
          <w:rFonts w:cs="Arial"/>
          <w:sz w:val="22"/>
        </w:rPr>
        <w:t xml:space="preserve">– Desequilibrio – </w:t>
      </w:r>
      <w:r w:rsidR="000F0D34" w:rsidRPr="007C0E2A">
        <w:rPr>
          <w:rStyle w:val="formato"/>
          <w:rFonts w:cs="Arial"/>
          <w:sz w:val="22"/>
        </w:rPr>
        <w:t>Inexiste</w:t>
      </w:r>
      <w:r w:rsidR="00726AA3" w:rsidRPr="007C0E2A">
        <w:rPr>
          <w:rStyle w:val="formato"/>
          <w:rFonts w:cs="Arial"/>
          <w:sz w:val="22"/>
        </w:rPr>
        <w:t>ncia</w:t>
      </w:r>
    </w:p>
    <w:p w:rsidR="00726AA3" w:rsidRPr="007C0E2A" w:rsidRDefault="00726AA3" w:rsidP="00112D73">
      <w:pPr>
        <w:jc w:val="both"/>
        <w:rPr>
          <w:rStyle w:val="formato"/>
          <w:rFonts w:cs="Arial"/>
          <w:b w:val="0"/>
          <w:sz w:val="22"/>
        </w:rPr>
      </w:pPr>
    </w:p>
    <w:p w:rsidR="00E767E5" w:rsidRPr="007C0E2A" w:rsidRDefault="00726AA3" w:rsidP="00112D73">
      <w:pPr>
        <w:jc w:val="both"/>
        <w:rPr>
          <w:rFonts w:ascii="Arial" w:eastAsia="Times New Roman" w:hAnsi="Arial" w:cs="Arial"/>
          <w:lang w:eastAsia="es-ES"/>
        </w:rPr>
      </w:pPr>
      <w:r w:rsidRPr="007C0E2A">
        <w:rPr>
          <w:rStyle w:val="formato"/>
          <w:rFonts w:cs="Arial"/>
          <w:b w:val="0"/>
          <w:sz w:val="22"/>
        </w:rPr>
        <w:t xml:space="preserve">En la impugnación el actor considera que la valoración arbitraria de las pruebas recayó sobre aquellas que evidenciaron el rompimiento del equilibrio financiero del contrato, por el no reconocimiento de la utilidad frente a 280 casas de las 2.026 que se habían acordado construir, que fue imposible llevarlas a cabo por la falta de entrega de los lotes, imputable a la entidad contratante GESTORA URBANA DE IBAGUÉ y, el reajuste del precio del contrato que incluya el incremento del valor del subsidio familiar, en tanto el pago se hace con estos recursos (…) </w:t>
      </w:r>
      <w:r w:rsidRPr="007C0E2A">
        <w:rPr>
          <w:rFonts w:ascii="Arial" w:eastAsia="Times New Roman" w:hAnsi="Arial" w:cs="Arial"/>
          <w:lang w:eastAsia="es-ES"/>
        </w:rPr>
        <w:t>La Sección Quinta encuentra que dentro de las pruebas de la acción contractual, las referencias al desequilibrio del contrato -sin que como juez de tutela pueda cuestionar la ratio del juez del contrato sobre el necesario enteramiento inter partes de lo que desequilibra el contrato en el momento oportuno, por cuanto ha de recordarse que el vicio glosado es fáctico-, sí advierte claramente que en los otros sí y en los adicionales no se dejó salvedad alguna.</w:t>
      </w:r>
      <w:r w:rsidR="00E767E5" w:rsidRPr="007C0E2A">
        <w:rPr>
          <w:rFonts w:ascii="Arial" w:eastAsia="Times New Roman" w:hAnsi="Arial" w:cs="Arial"/>
          <w:lang w:eastAsia="es-ES"/>
        </w:rPr>
        <w:t xml:space="preserve"> (…) Nótese que la denegatoria de la pretensión atinente al rompimiento de la ecuación financiera del contrato recae únicamente en la extemporaneidad de las glosas o disconformidades que el contratista dejó pasar en el momento exacto donde debían quedar plasmadas. De tal suerte que la finalidad del juez ad quem de esta tutela es hacerle notar al tutelante que ni la Sección Cuarta como juez de primera instancia del amparo ni la Sección Tercera como juez de la controversia contractual fueron arbitrarios o no tuvieron en cuenta las probanzas que el tutelante hubiera querido fueran la prueba fundamental de la decisión, pero los jueces fallan con toda la comunidad probatoria, a fin de que la verdad jurídica emerja y, en esta oportunidad, no fueron observados los presupuestos que hacen viable el logro de poder lograr el restablecimiento financiero o económico del contrato.  </w:t>
      </w:r>
    </w:p>
    <w:p w:rsidR="00FE4B67" w:rsidRPr="007C0E2A" w:rsidRDefault="00FE4B67" w:rsidP="00112D73">
      <w:pPr>
        <w:jc w:val="both"/>
        <w:rPr>
          <w:rFonts w:ascii="Arial" w:eastAsia="Times New Roman" w:hAnsi="Arial" w:cs="Arial"/>
          <w:lang w:eastAsia="es-ES"/>
        </w:rPr>
      </w:pPr>
    </w:p>
    <w:p w:rsidR="00E767E5" w:rsidRDefault="00E767E5" w:rsidP="00236F4D">
      <w:pPr>
        <w:jc w:val="both"/>
        <w:rPr>
          <w:rFonts w:ascii="Arial" w:eastAsia="Times New Roman" w:hAnsi="Arial" w:cs="Arial"/>
          <w:lang w:eastAsia="es-ES"/>
        </w:rPr>
      </w:pPr>
    </w:p>
    <w:p w:rsidR="00133748" w:rsidRPr="005E4A12" w:rsidRDefault="00133748" w:rsidP="0051281C">
      <w:pPr>
        <w:jc w:val="center"/>
        <w:rPr>
          <w:rStyle w:val="formato"/>
          <w:rFonts w:cs="Arial"/>
          <w:szCs w:val="24"/>
        </w:rPr>
      </w:pPr>
      <w:r w:rsidRPr="005E4A12">
        <w:rPr>
          <w:rStyle w:val="formato"/>
          <w:rFonts w:cs="Arial"/>
          <w:szCs w:val="24"/>
        </w:rPr>
        <w:t>CONSEJO DE ESTADO</w:t>
      </w:r>
    </w:p>
    <w:p w:rsidR="003844CA" w:rsidRPr="005E4A12" w:rsidRDefault="003844CA" w:rsidP="00026F8A">
      <w:pPr>
        <w:jc w:val="center"/>
        <w:rPr>
          <w:rStyle w:val="formato"/>
          <w:rFonts w:cs="Arial"/>
          <w:szCs w:val="24"/>
        </w:rPr>
      </w:pPr>
    </w:p>
    <w:p w:rsidR="00133748" w:rsidRPr="005E4A12" w:rsidRDefault="00133748" w:rsidP="00026F8A">
      <w:pPr>
        <w:jc w:val="center"/>
        <w:rPr>
          <w:rStyle w:val="formato"/>
          <w:rFonts w:cs="Arial"/>
          <w:szCs w:val="24"/>
        </w:rPr>
      </w:pPr>
      <w:r w:rsidRPr="005E4A12">
        <w:rPr>
          <w:rStyle w:val="formato"/>
          <w:rFonts w:cs="Arial"/>
          <w:szCs w:val="24"/>
        </w:rPr>
        <w:t>SALA DE LO CONTENCIOSO ADMINISTRATIVO</w:t>
      </w:r>
    </w:p>
    <w:p w:rsidR="003844CA" w:rsidRPr="005E4A12" w:rsidRDefault="003844CA" w:rsidP="00026F8A">
      <w:pPr>
        <w:jc w:val="center"/>
        <w:rPr>
          <w:rStyle w:val="formato"/>
          <w:rFonts w:cs="Arial"/>
          <w:szCs w:val="24"/>
        </w:rPr>
      </w:pPr>
    </w:p>
    <w:p w:rsidR="00133748" w:rsidRPr="005E4A12" w:rsidRDefault="00133748" w:rsidP="00026F8A">
      <w:pPr>
        <w:jc w:val="center"/>
        <w:rPr>
          <w:rFonts w:ascii="Arial" w:hAnsi="Arial" w:cs="Arial"/>
          <w:b/>
          <w:sz w:val="24"/>
          <w:szCs w:val="24"/>
          <w:lang w:eastAsia="es-ES"/>
        </w:rPr>
      </w:pPr>
      <w:r w:rsidRPr="005E4A12">
        <w:rPr>
          <w:rStyle w:val="formato"/>
          <w:rFonts w:cs="Arial"/>
          <w:szCs w:val="24"/>
        </w:rPr>
        <w:t>SECCIÓN QUINTA</w:t>
      </w:r>
    </w:p>
    <w:p w:rsidR="00133748" w:rsidRPr="005E4A12" w:rsidRDefault="00133748" w:rsidP="00026F8A">
      <w:pPr>
        <w:jc w:val="center"/>
        <w:rPr>
          <w:rFonts w:ascii="Arial" w:hAnsi="Arial" w:cs="Arial"/>
          <w:b/>
          <w:sz w:val="24"/>
          <w:szCs w:val="24"/>
        </w:rPr>
      </w:pPr>
    </w:p>
    <w:p w:rsidR="00133748" w:rsidRPr="005E4A12" w:rsidRDefault="00133748" w:rsidP="00026F8A">
      <w:pPr>
        <w:jc w:val="center"/>
        <w:rPr>
          <w:rFonts w:ascii="Arial" w:hAnsi="Arial" w:cs="Arial"/>
          <w:b/>
          <w:sz w:val="24"/>
          <w:szCs w:val="24"/>
          <w:lang w:val="es-ES_tradnl"/>
        </w:rPr>
      </w:pPr>
      <w:r w:rsidRPr="005E4A12">
        <w:rPr>
          <w:rFonts w:ascii="Arial" w:hAnsi="Arial" w:cs="Arial"/>
          <w:b/>
          <w:sz w:val="24"/>
          <w:szCs w:val="24"/>
          <w:lang w:eastAsia="es-ES"/>
        </w:rPr>
        <w:t xml:space="preserve">Consejera ponente: </w:t>
      </w:r>
      <w:r w:rsidRPr="005E4A12">
        <w:rPr>
          <w:rFonts w:ascii="Arial" w:hAnsi="Arial" w:cs="Arial"/>
          <w:b/>
          <w:sz w:val="24"/>
          <w:szCs w:val="24"/>
          <w:lang w:val="es-ES_tradnl"/>
        </w:rPr>
        <w:t>LUCY JEANNETTE BERMÚDEZ BERMÚDEZ</w:t>
      </w:r>
    </w:p>
    <w:p w:rsidR="00026F8A" w:rsidRPr="005E4A12" w:rsidRDefault="00026F8A" w:rsidP="00026F8A">
      <w:pPr>
        <w:jc w:val="center"/>
        <w:rPr>
          <w:rFonts w:ascii="Arial" w:hAnsi="Arial" w:cs="Arial"/>
          <w:b/>
          <w:sz w:val="24"/>
          <w:szCs w:val="24"/>
        </w:rPr>
      </w:pPr>
    </w:p>
    <w:p w:rsidR="00133748" w:rsidRPr="005E4A12" w:rsidRDefault="00133748" w:rsidP="00026F8A">
      <w:pPr>
        <w:rPr>
          <w:rFonts w:ascii="Arial" w:hAnsi="Arial" w:cs="Arial"/>
          <w:sz w:val="24"/>
          <w:szCs w:val="24"/>
          <w:lang w:val="es-ES_tradnl"/>
        </w:rPr>
      </w:pPr>
      <w:r w:rsidRPr="005E4A12">
        <w:rPr>
          <w:rFonts w:ascii="Arial" w:hAnsi="Arial" w:cs="Arial"/>
          <w:sz w:val="24"/>
          <w:szCs w:val="24"/>
        </w:rPr>
        <w:t>Bogotá</w:t>
      </w:r>
      <w:r w:rsidR="003844CA" w:rsidRPr="005E4A12">
        <w:rPr>
          <w:rFonts w:ascii="Arial" w:hAnsi="Arial" w:cs="Arial"/>
          <w:sz w:val="24"/>
          <w:szCs w:val="24"/>
        </w:rPr>
        <w:t>,</w:t>
      </w:r>
      <w:r w:rsidRPr="005E4A12">
        <w:rPr>
          <w:rFonts w:ascii="Arial" w:hAnsi="Arial" w:cs="Arial"/>
          <w:sz w:val="24"/>
          <w:szCs w:val="24"/>
        </w:rPr>
        <w:t xml:space="preserve"> D.C., veintitrés</w:t>
      </w:r>
      <w:r w:rsidRPr="005E4A12">
        <w:rPr>
          <w:rFonts w:ascii="Arial" w:hAnsi="Arial" w:cs="Arial"/>
          <w:sz w:val="24"/>
          <w:szCs w:val="24"/>
          <w:lang w:val="es-ES_tradnl"/>
        </w:rPr>
        <w:t xml:space="preserve"> (23) de febrero de dos mil diecisiete (2017)</w:t>
      </w:r>
    </w:p>
    <w:p w:rsidR="00133748" w:rsidRPr="005E4A12" w:rsidRDefault="00133748" w:rsidP="00026F8A">
      <w:pPr>
        <w:jc w:val="center"/>
        <w:rPr>
          <w:rFonts w:ascii="Arial" w:hAnsi="Arial" w:cs="Arial"/>
          <w:sz w:val="24"/>
          <w:szCs w:val="24"/>
        </w:rPr>
      </w:pPr>
    </w:p>
    <w:p w:rsidR="00133748" w:rsidRPr="005E4A12" w:rsidRDefault="00133748" w:rsidP="003844CA">
      <w:pPr>
        <w:jc w:val="both"/>
        <w:rPr>
          <w:rFonts w:ascii="Arial" w:hAnsi="Arial" w:cs="Arial"/>
          <w:b/>
          <w:sz w:val="24"/>
          <w:szCs w:val="24"/>
          <w:lang w:val="es-ES_tradnl" w:eastAsia="es-ES"/>
        </w:rPr>
      </w:pPr>
      <w:r w:rsidRPr="005E4A12">
        <w:rPr>
          <w:rFonts w:ascii="Arial" w:hAnsi="Arial" w:cs="Arial"/>
          <w:b/>
          <w:sz w:val="24"/>
          <w:szCs w:val="24"/>
          <w:lang w:val="es-ES" w:eastAsia="es-ES"/>
        </w:rPr>
        <w:t>Radicación</w:t>
      </w:r>
      <w:r w:rsidR="003844CA" w:rsidRPr="005E4A12">
        <w:rPr>
          <w:rFonts w:ascii="Arial" w:hAnsi="Arial" w:cs="Arial"/>
          <w:b/>
          <w:sz w:val="24"/>
          <w:szCs w:val="24"/>
          <w:lang w:val="es-ES" w:eastAsia="es-ES"/>
        </w:rPr>
        <w:t xml:space="preserve"> número</w:t>
      </w:r>
      <w:r w:rsidR="003672C4" w:rsidRPr="005E4A12">
        <w:rPr>
          <w:rFonts w:ascii="Arial" w:hAnsi="Arial" w:cs="Arial"/>
          <w:b/>
          <w:sz w:val="24"/>
          <w:szCs w:val="24"/>
          <w:lang w:val="es-ES" w:eastAsia="es-ES"/>
        </w:rPr>
        <w:t>:</w:t>
      </w:r>
      <w:r w:rsidR="003672C4" w:rsidRPr="005E4A12">
        <w:rPr>
          <w:rFonts w:ascii="Arial" w:hAnsi="Arial" w:cs="Arial"/>
          <w:b/>
          <w:sz w:val="24"/>
          <w:szCs w:val="24"/>
          <w:lang w:val="es-ES_tradnl" w:eastAsia="es-ES"/>
        </w:rPr>
        <w:t xml:space="preserve"> 11001</w:t>
      </w:r>
      <w:r w:rsidRPr="005E4A12">
        <w:rPr>
          <w:rFonts w:ascii="Arial" w:hAnsi="Arial" w:cs="Arial"/>
          <w:b/>
          <w:sz w:val="24"/>
          <w:szCs w:val="24"/>
          <w:lang w:val="es-ES_tradnl" w:eastAsia="es-ES"/>
        </w:rPr>
        <w:t>-03-15-000-2016-00534-01</w:t>
      </w:r>
      <w:r w:rsidR="00026F8A" w:rsidRPr="005E4A12">
        <w:rPr>
          <w:rFonts w:ascii="Arial" w:hAnsi="Arial" w:cs="Arial"/>
          <w:b/>
          <w:sz w:val="24"/>
          <w:szCs w:val="24"/>
          <w:lang w:val="es-ES_tradnl" w:eastAsia="es-ES"/>
        </w:rPr>
        <w:t>(AC)</w:t>
      </w:r>
    </w:p>
    <w:p w:rsidR="00026F8A" w:rsidRPr="005E4A12" w:rsidRDefault="00026F8A" w:rsidP="003844CA">
      <w:pPr>
        <w:jc w:val="both"/>
        <w:rPr>
          <w:rFonts w:ascii="Arial" w:hAnsi="Arial" w:cs="Arial"/>
          <w:b/>
          <w:sz w:val="24"/>
          <w:szCs w:val="24"/>
          <w:lang w:val="es-ES_tradnl" w:eastAsia="es-ES"/>
        </w:rPr>
      </w:pPr>
    </w:p>
    <w:p w:rsidR="00133748" w:rsidRPr="005E4A12" w:rsidRDefault="00133748" w:rsidP="003844CA">
      <w:pPr>
        <w:jc w:val="both"/>
        <w:rPr>
          <w:rFonts w:ascii="Arial" w:hAnsi="Arial" w:cs="Arial"/>
          <w:b/>
          <w:sz w:val="24"/>
          <w:szCs w:val="24"/>
          <w:lang w:val="es-ES" w:eastAsia="es-ES"/>
        </w:rPr>
      </w:pPr>
      <w:r w:rsidRPr="005E4A12">
        <w:rPr>
          <w:rFonts w:ascii="Arial" w:hAnsi="Arial" w:cs="Arial"/>
          <w:b/>
          <w:sz w:val="24"/>
          <w:szCs w:val="24"/>
          <w:lang w:val="es-ES" w:eastAsia="es-ES"/>
        </w:rPr>
        <w:t>Actor: MILTON ENRIQUE OVIEDO ÁLVAREZ</w:t>
      </w:r>
    </w:p>
    <w:p w:rsidR="00026F8A" w:rsidRPr="005E4A12" w:rsidRDefault="00026F8A" w:rsidP="003844CA">
      <w:pPr>
        <w:jc w:val="both"/>
        <w:rPr>
          <w:rFonts w:ascii="Arial" w:hAnsi="Arial" w:cs="Arial"/>
          <w:b/>
          <w:sz w:val="24"/>
          <w:szCs w:val="24"/>
          <w:lang w:val="es-ES_tradnl" w:eastAsia="es-ES"/>
        </w:rPr>
      </w:pPr>
    </w:p>
    <w:p w:rsidR="00133748" w:rsidRPr="005E4A12" w:rsidRDefault="00133748" w:rsidP="003844CA">
      <w:pPr>
        <w:jc w:val="both"/>
        <w:rPr>
          <w:rFonts w:ascii="Arial" w:hAnsi="Arial" w:cs="Arial"/>
          <w:b/>
          <w:sz w:val="24"/>
          <w:szCs w:val="24"/>
          <w:lang w:val="es-ES" w:eastAsia="es-ES"/>
        </w:rPr>
      </w:pPr>
      <w:r w:rsidRPr="005E4A12">
        <w:rPr>
          <w:rFonts w:ascii="Arial" w:hAnsi="Arial" w:cs="Arial"/>
          <w:b/>
          <w:sz w:val="24"/>
          <w:szCs w:val="24"/>
          <w:lang w:val="es-ES" w:eastAsia="es-ES"/>
        </w:rPr>
        <w:t>Demandado: SECCIÓN TERCERA, SUBSECCIÓN C, CONSEJO DE ESTADO</w:t>
      </w:r>
    </w:p>
    <w:p w:rsidR="00133748" w:rsidRPr="005E4A12" w:rsidRDefault="00133748" w:rsidP="00F828E8">
      <w:pPr>
        <w:jc w:val="both"/>
        <w:rPr>
          <w:rFonts w:ascii="Arial" w:eastAsia="Times New Roman" w:hAnsi="Arial" w:cs="Arial"/>
          <w:b/>
          <w:sz w:val="24"/>
          <w:szCs w:val="24"/>
          <w:lang w:val="es-ES" w:eastAsia="es-ES"/>
        </w:rPr>
      </w:pPr>
    </w:p>
    <w:p w:rsidR="00133748" w:rsidRPr="005E4A12" w:rsidRDefault="00133748" w:rsidP="00F828E8">
      <w:pPr>
        <w:rPr>
          <w:rFonts w:ascii="Arial" w:eastAsia="Times New Roman" w:hAnsi="Arial" w:cs="Arial"/>
          <w:b/>
          <w:sz w:val="24"/>
          <w:szCs w:val="24"/>
          <w:lang w:val="es-ES" w:eastAsia="es-ES"/>
        </w:rPr>
      </w:pPr>
    </w:p>
    <w:p w:rsidR="00026F8A" w:rsidRPr="005E4A12" w:rsidRDefault="00026F8A" w:rsidP="00F828E8">
      <w:pPr>
        <w:rPr>
          <w:rFonts w:ascii="Arial" w:eastAsia="Times New Roman" w:hAnsi="Arial" w:cs="Arial"/>
          <w:b/>
          <w:sz w:val="24"/>
          <w:szCs w:val="24"/>
          <w:lang w:val="es-ES" w:eastAsia="es-ES"/>
        </w:rPr>
      </w:pPr>
    </w:p>
    <w:p w:rsidR="00133748" w:rsidRPr="005E4A12" w:rsidRDefault="00133748" w:rsidP="00133748">
      <w:pPr>
        <w:spacing w:line="276" w:lineRule="auto"/>
        <w:contextualSpacing/>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Decide la Sala la impugnación</w:t>
      </w:r>
      <w:r w:rsidRPr="005E4A12">
        <w:rPr>
          <w:rFonts w:ascii="Arial" w:eastAsia="Times New Roman" w:hAnsi="Arial" w:cs="Arial"/>
          <w:sz w:val="24"/>
          <w:szCs w:val="24"/>
          <w:vertAlign w:val="superscript"/>
          <w:lang w:val="es-ES_tradnl" w:eastAsia="es-ES"/>
        </w:rPr>
        <w:footnoteReference w:id="1"/>
      </w:r>
      <w:r w:rsidRPr="005E4A12">
        <w:rPr>
          <w:rFonts w:ascii="Arial" w:eastAsia="Times New Roman" w:hAnsi="Arial" w:cs="Arial"/>
          <w:sz w:val="24"/>
          <w:szCs w:val="24"/>
          <w:lang w:val="es-ES_tradnl" w:eastAsia="es-ES"/>
        </w:rPr>
        <w:t xml:space="preserve"> presentada por la parte actora </w:t>
      </w:r>
      <w:r w:rsidRPr="005E4A12">
        <w:rPr>
          <w:rFonts w:ascii="Arial" w:eastAsia="Times New Roman" w:hAnsi="Arial" w:cs="Arial"/>
          <w:b/>
          <w:sz w:val="24"/>
          <w:szCs w:val="24"/>
          <w:lang w:val="es-ES_tradnl" w:eastAsia="es-ES"/>
        </w:rPr>
        <w:t>MILTON ENRIQUE OVIEDO ÁLVAREZ</w:t>
      </w:r>
      <w:r w:rsidRPr="005E4A12">
        <w:rPr>
          <w:rFonts w:ascii="Arial" w:eastAsia="Times New Roman" w:hAnsi="Arial" w:cs="Arial"/>
          <w:sz w:val="24"/>
          <w:szCs w:val="24"/>
          <w:lang w:val="es-ES_tradnl" w:eastAsia="es-ES"/>
        </w:rPr>
        <w:t xml:space="preserve"> contra el fallo de 3 de octubre de 2016, proferido por la Sección Cuarta del Consejo de Estado, por medio del cual </w:t>
      </w:r>
      <w:r w:rsidRPr="005E4A12">
        <w:rPr>
          <w:rFonts w:ascii="Arial" w:eastAsia="Times New Roman" w:hAnsi="Arial" w:cs="Arial"/>
          <w:b/>
          <w:sz w:val="24"/>
          <w:szCs w:val="24"/>
          <w:lang w:val="es-ES_tradnl" w:eastAsia="es-ES"/>
        </w:rPr>
        <w:t xml:space="preserve">negó </w:t>
      </w:r>
      <w:r w:rsidRPr="005E4A12">
        <w:rPr>
          <w:rFonts w:ascii="Arial" w:eastAsia="Times New Roman" w:hAnsi="Arial" w:cs="Arial"/>
          <w:sz w:val="24"/>
          <w:szCs w:val="24"/>
          <w:lang w:val="es-ES_tradnl" w:eastAsia="es-ES"/>
        </w:rPr>
        <w:t>el amparo deprecado con la presente acción constitucional.</w:t>
      </w:r>
    </w:p>
    <w:p w:rsidR="00133748" w:rsidRPr="005E4A12" w:rsidRDefault="00133748" w:rsidP="00133748">
      <w:pPr>
        <w:spacing w:line="276" w:lineRule="auto"/>
        <w:contextualSpacing/>
        <w:jc w:val="both"/>
        <w:rPr>
          <w:rFonts w:ascii="Arial" w:eastAsia="Times New Roman" w:hAnsi="Arial" w:cs="Arial"/>
          <w:sz w:val="24"/>
          <w:szCs w:val="24"/>
          <w:lang w:val="es-ES_tradnl" w:eastAsia="es-ES"/>
        </w:rPr>
      </w:pPr>
    </w:p>
    <w:p w:rsidR="00133748" w:rsidRPr="005E4A12" w:rsidRDefault="00133748" w:rsidP="00133748">
      <w:pPr>
        <w:numPr>
          <w:ilvl w:val="0"/>
          <w:numId w:val="6"/>
        </w:numPr>
        <w:spacing w:line="276" w:lineRule="auto"/>
        <w:jc w:val="center"/>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ANTECEDENTES</w:t>
      </w:r>
    </w:p>
    <w:p w:rsidR="00133748" w:rsidRPr="005E4A12" w:rsidRDefault="0051281C" w:rsidP="00133748">
      <w:pPr>
        <w:spacing w:line="276" w:lineRule="auto"/>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b/>
          <w:sz w:val="24"/>
          <w:szCs w:val="24"/>
          <w:lang w:val="es-ES" w:eastAsia="es-ES"/>
        </w:rPr>
        <w:t>1. La tutela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señor </w:t>
      </w:r>
      <w:r w:rsidRPr="005E4A12">
        <w:rPr>
          <w:rFonts w:ascii="Arial" w:eastAsia="Times New Roman" w:hAnsi="Arial" w:cs="Arial"/>
          <w:b/>
          <w:sz w:val="24"/>
          <w:szCs w:val="24"/>
          <w:lang w:val="es-ES_tradnl" w:eastAsia="es-ES"/>
        </w:rPr>
        <w:t xml:space="preserve">MILTON ENRIQUE OVIEDO ÁLVAREZ, </w:t>
      </w:r>
      <w:r w:rsidRPr="005E4A12">
        <w:rPr>
          <w:rFonts w:ascii="Arial" w:eastAsia="Times New Roman" w:hAnsi="Arial" w:cs="Arial"/>
          <w:sz w:val="24"/>
          <w:szCs w:val="24"/>
          <w:lang w:val="es-ES_tradnl" w:eastAsia="es-ES"/>
        </w:rPr>
        <w:t>en nombre propio, presentó demanda el 24 de febrero de 2016</w:t>
      </w:r>
      <w:r w:rsidRPr="005E4A12">
        <w:rPr>
          <w:rFonts w:ascii="Arial" w:eastAsia="Times New Roman" w:hAnsi="Arial" w:cs="Arial"/>
          <w:sz w:val="24"/>
          <w:szCs w:val="24"/>
          <w:vertAlign w:val="superscript"/>
          <w:lang w:val="es-ES_tradnl" w:eastAsia="es-ES"/>
        </w:rPr>
        <w:footnoteReference w:id="2"/>
      </w:r>
      <w:r w:rsidRPr="005E4A12">
        <w:rPr>
          <w:rFonts w:ascii="Arial" w:eastAsia="Times New Roman" w:hAnsi="Arial" w:cs="Arial"/>
          <w:sz w:val="24"/>
          <w:szCs w:val="24"/>
          <w:lang w:val="es-ES_tradnl" w:eastAsia="es-ES"/>
        </w:rPr>
        <w:t>, que luego subsanó mediante escrito de 8 de marzo siguiente</w:t>
      </w:r>
      <w:r w:rsidRPr="005E4A12">
        <w:rPr>
          <w:rStyle w:val="Refdenotaalpie"/>
          <w:rFonts w:ascii="Arial" w:eastAsia="Times New Roman" w:hAnsi="Arial" w:cs="Arial"/>
          <w:sz w:val="24"/>
          <w:szCs w:val="24"/>
          <w:lang w:val="es-ES_tradnl" w:eastAsia="es-ES"/>
        </w:rPr>
        <w:footnoteReference w:id="3"/>
      </w:r>
      <w:r w:rsidRPr="005E4A12">
        <w:rPr>
          <w:rFonts w:ascii="Arial" w:eastAsia="Times New Roman" w:hAnsi="Arial" w:cs="Arial"/>
          <w:sz w:val="24"/>
          <w:szCs w:val="24"/>
          <w:lang w:val="es-ES_tradnl" w:eastAsia="es-ES"/>
        </w:rPr>
        <w:t xml:space="preserve">, en la que solicitó el amparo de los derechos fundamentales al debido proceso, al acceso de la administración de justicia, a la seguridad jurídica, a la igualdad, y a la confianza legítima, que consideró vulnerados con la sentencia de 10 de diciembre de 2015, proferida por la Subsección C, Sección Tercera del Consejo de Estado, dentro del medio de control de controversias contractuales con radicación 73001-23-31-000-2012-00012-01 (51.489), que el hoy tutelante incoara contra el </w:t>
      </w:r>
      <w:r w:rsidRPr="005E4A12">
        <w:rPr>
          <w:rFonts w:ascii="Arial" w:eastAsia="Times New Roman" w:hAnsi="Arial" w:cs="Arial"/>
          <w:b/>
          <w:sz w:val="24"/>
          <w:szCs w:val="24"/>
          <w:lang w:val="es-ES_tradnl" w:eastAsia="es-ES"/>
        </w:rPr>
        <w:t>MUNICIPIO DE IBAGUÉ - GESTORA URBANA</w:t>
      </w:r>
      <w:r w:rsidRPr="005E4A12">
        <w:rPr>
          <w:rFonts w:ascii="Arial" w:eastAsia="Times New Roman" w:hAnsi="Arial" w:cs="Arial"/>
          <w:bCs/>
          <w:sz w:val="24"/>
          <w:szCs w:val="24"/>
          <w:lang w:val="es-ES_tradnl" w:eastAsia="es-ES"/>
        </w:rPr>
        <w:t>, que decidió el recurso de apelación contra el fallo de 21 de enero de 2014 proferido por el Tribunal Administrativo del Tolima, que declaró de oficio la nulidad absoluta del contrato por objeto ilícito.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1.2. Pretensiones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El actor solicitó:</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r w:rsidRPr="005E4A12">
        <w:rPr>
          <w:rFonts w:ascii="Arial" w:eastAsia="Times New Roman" w:hAnsi="Arial" w:cs="Arial"/>
          <w:i/>
          <w:sz w:val="24"/>
          <w:szCs w:val="24"/>
          <w:lang w:val="es-ES_tradnl" w:eastAsia="es-ES"/>
        </w:rPr>
        <w:t xml:space="preserve">“PRIMERA. Que se declare que la Subsección C de la Sección Tercera del Consejo de Estado incurrió en vías de hecho en el fallo de segunda instancia que profirió el 10 de diciembre de 2015, proferida por el Consejo de Estado, Sección Tercera, Subsección C, dentro del radicado Nº 73001233100020120001201 (51.489). Actor: Milton Enrique Oviedo Álvarez. Demandado: Municipio de Ibagué - Gestora Urbana, lo que implicó una </w:t>
      </w:r>
      <w:r w:rsidRPr="005E4A12">
        <w:rPr>
          <w:rFonts w:ascii="Arial" w:eastAsia="Times New Roman" w:hAnsi="Arial" w:cs="Arial"/>
          <w:i/>
          <w:sz w:val="24"/>
          <w:szCs w:val="24"/>
          <w:lang w:val="es-ES_tradnl" w:eastAsia="es-ES"/>
        </w:rPr>
        <w:lastRenderedPageBreak/>
        <w:t>violación directa al derecho fundamental al debido proceso, al acceso a la justicia (…), confianza legítima y seguridad jurídica.</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r w:rsidRPr="005E4A12">
        <w:rPr>
          <w:rFonts w:ascii="Arial" w:eastAsia="Times New Roman" w:hAnsi="Arial" w:cs="Arial"/>
          <w:i/>
          <w:sz w:val="24"/>
          <w:szCs w:val="24"/>
          <w:lang w:val="es-ES_tradnl" w:eastAsia="es-ES"/>
        </w:rPr>
        <w:t xml:space="preserve">SEGUNDA. Que como consecuencia de la anterior declaración, se deje sin efecto el fallo de segunda instancia proferido el 10 de diciembre de 2015 por la Subsección C de la Sección Tercera del Consejo de Estado dentro del radicado [ya referido], por haber incurrido esta Subsección en vías de hecho por (i) </w:t>
      </w:r>
      <w:r w:rsidRPr="005E4A12">
        <w:rPr>
          <w:rFonts w:ascii="Arial" w:eastAsia="Times New Roman" w:hAnsi="Arial" w:cs="Arial"/>
          <w:b/>
          <w:i/>
          <w:sz w:val="24"/>
          <w:szCs w:val="24"/>
          <w:u w:val="single"/>
          <w:lang w:val="es-ES_tradnl" w:eastAsia="es-ES"/>
        </w:rPr>
        <w:t>defecto fáctico</w:t>
      </w:r>
      <w:r w:rsidRPr="005E4A12">
        <w:rPr>
          <w:rFonts w:ascii="Arial" w:eastAsia="Times New Roman" w:hAnsi="Arial" w:cs="Arial"/>
          <w:i/>
          <w:sz w:val="24"/>
          <w:szCs w:val="24"/>
          <w:lang w:val="es-ES_tradnl" w:eastAsia="es-ES"/>
        </w:rPr>
        <w:t xml:space="preserve"> al haber efectuado una valoración probatoria arbitraria al dejar de valorar las pruebas aportadas o practicadas en debida forma en el proceso, las cuales eran determinantes para la resolución del caso, (ii) por </w:t>
      </w:r>
      <w:r w:rsidRPr="005E4A12">
        <w:rPr>
          <w:rFonts w:ascii="Arial" w:eastAsia="Times New Roman" w:hAnsi="Arial" w:cs="Arial"/>
          <w:b/>
          <w:i/>
          <w:sz w:val="24"/>
          <w:szCs w:val="24"/>
          <w:u w:val="single"/>
          <w:lang w:val="es-ES_tradnl" w:eastAsia="es-ES"/>
        </w:rPr>
        <w:t>falta de motivación</w:t>
      </w:r>
      <w:r w:rsidRPr="005E4A12">
        <w:rPr>
          <w:rFonts w:ascii="Arial" w:eastAsia="Times New Roman" w:hAnsi="Arial" w:cs="Arial"/>
          <w:i/>
          <w:sz w:val="24"/>
          <w:szCs w:val="24"/>
          <w:lang w:val="es-ES_tradnl" w:eastAsia="es-ES"/>
        </w:rPr>
        <w:t xml:space="preserve">, por cuanto… el fallo demandado desconoce las razones fácticas que sustentan el incumplimiento y el rompimiento económico – financiero del Convenio 002 de 1º de febrero de 2007 ‘Como consecuencia de las actuaciones administrativas, abstenciones, hechos y omisiones antijurídicas imputables a la Gestora Urbana del municipio de Ibagué y/o el municipio de Ibagué, lo que condujo a un desequilibrio económico - financiero de índole contractual en la ejecución del referido convenio y en contra del suscrito, Convenio que tenía por objeto la ejecución de los proyectos de vivienda de interés social, tipo 1 de la CIMA, LA CEIBITA, EL LIMÓN, NUEVA CASTILLA, determinados en la construcción de 2.026 viviendas de interés social’, iii) por </w:t>
      </w:r>
      <w:r w:rsidRPr="005E4A12">
        <w:rPr>
          <w:rFonts w:ascii="Arial" w:eastAsia="Times New Roman" w:hAnsi="Arial" w:cs="Arial"/>
          <w:b/>
          <w:i/>
          <w:sz w:val="24"/>
          <w:szCs w:val="24"/>
          <w:u w:val="single"/>
          <w:lang w:val="es-ES_tradnl" w:eastAsia="es-ES"/>
        </w:rPr>
        <w:t>defecto sustantivo o material</w:t>
      </w:r>
      <w:r w:rsidRPr="005E4A12">
        <w:rPr>
          <w:rFonts w:ascii="Arial" w:eastAsia="Times New Roman" w:hAnsi="Arial" w:cs="Arial"/>
          <w:i/>
          <w:sz w:val="24"/>
          <w:szCs w:val="24"/>
          <w:lang w:val="es-ES_tradnl" w:eastAsia="es-ES"/>
        </w:rPr>
        <w:t>, al haber decidido con base en jurisprudencias y normas claramente inaplicables al caso concreto por no estar vigente aquellas al momento que se celebró y ejecutó el referido convenio y con lo cual se desconoce de manera abierta y arbitraria el pago a que tengo derecho por el valor de los sobrecostos administrativos y financieros por la mayor permanencia de la obra ejecutada, tal como quedó probado dentro del proceso; al igual que no reconoció la liquidación de la utilidad esperada, en razón a que en el Convenio se pactó la construcción de 2.026 viviendas en un plazo de dos (2) años, pero debido al incumplimiento de la Gestora Urbana de Ibagué y por ende a cargo del municipio de Ibagué, solo se entregaron 1.746 unidades, en razón a como está probado dentro del proceso, la entidad demandada no legalizaron (sic) los lotes para las construcciones contratadas, lo que condujo a que se dejara por construir 280 unidades de vivienda, lo que conducía necesariamente al reajuste del subsidio al año 2010 de $11.345.400 y el A.I.U. 7% equivalente a $794.178 cada una, para un gran total de 280 unidades por valor de $794.178 cada una, para un total de $222.369.840 y (iv) por violación directa de la Constitución Política, al desatender los mandatos contenidos en los artículos 83 y 90.</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r w:rsidRPr="005E4A12">
        <w:rPr>
          <w:rFonts w:ascii="Arial" w:eastAsia="Times New Roman" w:hAnsi="Arial" w:cs="Arial"/>
          <w:b/>
          <w:i/>
          <w:sz w:val="24"/>
          <w:szCs w:val="24"/>
          <w:lang w:val="es-ES_tradnl" w:eastAsia="es-ES"/>
        </w:rPr>
        <w:t>TERCERA.</w:t>
      </w:r>
      <w:r w:rsidRPr="005E4A12">
        <w:rPr>
          <w:rFonts w:ascii="Arial" w:eastAsia="Times New Roman" w:hAnsi="Arial" w:cs="Arial"/>
          <w:i/>
          <w:sz w:val="24"/>
          <w:szCs w:val="24"/>
          <w:lang w:val="es-ES_tradnl" w:eastAsia="es-ES"/>
        </w:rPr>
        <w:t xml:space="preserve"> Que como consecuencia de las anteriores declaraciones, y ante las evidentes vías de hecho en que incurrió la Subsección C de la Sección Tercera del Consejo de Estado, para alcanzar la protección efectiva de los derechos fundamentales que se solicita tutelar, solicito que el juez constitucional ordene que el fallo de segunda instancia emitido por la Subsección C del Consejo de Estado </w:t>
      </w:r>
      <w:r w:rsidRPr="005E4A12">
        <w:rPr>
          <w:rFonts w:ascii="Arial" w:eastAsia="Times New Roman" w:hAnsi="Arial" w:cs="Arial"/>
          <w:i/>
          <w:sz w:val="24"/>
          <w:szCs w:val="24"/>
          <w:u w:val="single"/>
          <w:lang w:val="es-ES_tradnl" w:eastAsia="es-ES"/>
        </w:rPr>
        <w:t>sea confirmado en los numerales primero y segundo de la parte resolutiva, pero que sea revocado el numeral 3 de la citada providencia</w:t>
      </w:r>
      <w:r w:rsidRPr="005E4A12">
        <w:rPr>
          <w:rFonts w:ascii="Arial" w:eastAsia="Times New Roman" w:hAnsi="Arial" w:cs="Arial"/>
          <w:i/>
          <w:sz w:val="24"/>
          <w:szCs w:val="24"/>
          <w:lang w:val="es-ES_tradnl" w:eastAsia="es-ES"/>
        </w:rPr>
        <w:t xml:space="preserve"> y en su lugar se condene a la Gestora Urbana de Ibagué, a pagar en mi favor las sumas que se reclaman en las pretensiones de la </w:t>
      </w:r>
      <w:r w:rsidRPr="005E4A12">
        <w:rPr>
          <w:rFonts w:ascii="Arial" w:eastAsia="Times New Roman" w:hAnsi="Arial" w:cs="Arial"/>
          <w:i/>
          <w:sz w:val="24"/>
          <w:szCs w:val="24"/>
          <w:lang w:val="es-ES_tradnl" w:eastAsia="es-ES"/>
        </w:rPr>
        <w:lastRenderedPageBreak/>
        <w:t xml:space="preserve">demanda, pues de lo contrario se estaría en presencia de una condena irrisoria e injusta, que no reconoce un pago integral de los perjuicios reclamados y que estaría patrocinando un enriquecimiento injusto a favor de la entidad demandada y un empobrecimiento correlativo del demandante, aspectos estos que la justicia jamás debe prohijar” </w:t>
      </w:r>
      <w:r w:rsidRPr="005E4A12">
        <w:rPr>
          <w:rFonts w:ascii="Arial" w:eastAsia="Times New Roman" w:hAnsi="Arial" w:cs="Arial"/>
          <w:sz w:val="24"/>
          <w:szCs w:val="24"/>
          <w:lang w:val="es-ES_tradnl" w:eastAsia="es-ES"/>
        </w:rPr>
        <w:t>(fls. 83 a 84 cdno. anexo memorial. Subrayas y negrillas fuera de texto).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 xml:space="preserve">1.3. Hechos de la acción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En síntesis, los fundamentos fácticos expuestos por el tutelante fueron: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La controversia contractual</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1.3.1. Demanda y pretensiones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19 de diciembre de 2011, el señor MILTON ENRIQUE OVIEDO ÁLVAREZ, mediante apoderado judicial, presentó demanda de controversias contractuales contra el </w:t>
      </w:r>
      <w:r w:rsidRPr="005E4A12">
        <w:rPr>
          <w:rFonts w:ascii="Arial" w:eastAsia="Times New Roman" w:hAnsi="Arial" w:cs="Arial"/>
          <w:b/>
          <w:sz w:val="24"/>
          <w:szCs w:val="24"/>
          <w:lang w:val="es-ES_tradnl" w:eastAsia="es-ES"/>
        </w:rPr>
        <w:t>MUNICIPIO DE IBAGUÉ</w:t>
      </w:r>
      <w:r w:rsidRPr="005E4A12">
        <w:rPr>
          <w:rFonts w:ascii="Arial" w:eastAsia="Times New Roman" w:hAnsi="Arial" w:cs="Arial"/>
          <w:sz w:val="24"/>
          <w:szCs w:val="24"/>
          <w:lang w:val="es-ES_tradnl" w:eastAsia="es-ES"/>
        </w:rPr>
        <w:t xml:space="preserve"> y la </w:t>
      </w:r>
      <w:r w:rsidRPr="005E4A12">
        <w:rPr>
          <w:rFonts w:ascii="Arial" w:eastAsia="Times New Roman" w:hAnsi="Arial" w:cs="Arial"/>
          <w:b/>
          <w:sz w:val="24"/>
          <w:szCs w:val="24"/>
          <w:lang w:val="es-ES_tradnl" w:eastAsia="es-ES"/>
        </w:rPr>
        <w:t>GESTORA URBANA DE LA MUNICIPALIDAD</w:t>
      </w:r>
      <w:r w:rsidRPr="005E4A12">
        <w:rPr>
          <w:rFonts w:ascii="Arial" w:eastAsia="Times New Roman" w:hAnsi="Arial" w:cs="Arial"/>
          <w:sz w:val="24"/>
          <w:szCs w:val="24"/>
          <w:lang w:val="es-ES_tradnl" w:eastAsia="es-ES"/>
        </w:rPr>
        <w:t>, para que se declarara el incumplimiento contractual del Convenio Nº 002 de 1 de febrero de 2007</w:t>
      </w:r>
      <w:r w:rsidRPr="005E4A12">
        <w:rPr>
          <w:rFonts w:ascii="Arial" w:eastAsia="Times New Roman" w:hAnsi="Arial" w:cs="Arial"/>
          <w:i/>
          <w:sz w:val="24"/>
          <w:szCs w:val="24"/>
          <w:lang w:val="es-ES_tradnl" w:eastAsia="es-ES"/>
        </w:rPr>
        <w:t xml:space="preserve"> “como consecuencia de las actuaciones administrativas, abstenciones, hechos y omisiones antijurídicas imputables a la Gestora Urbana del Municipio de Ibagué y al Municipio de Ibagué”, el cual conllevó “un desequilibrio contractual de índole económico y financiero en la ejecución del Convenio Interadministrativo Nº 022 de febrero 1 de 2007, suscrito por la Gestora Urbana del Municipio de Ibagué, con el objeto de ejecutar los proyectos de vivienda de interés social, tipo 1 de la CIMA, LA CEIBITA, EL LIMÓN, NUEVA CASTILLA, determinados en la construcción de 2026 viviendas de interés social”</w:t>
      </w:r>
      <w:r w:rsidRPr="005E4A12">
        <w:rPr>
          <w:rFonts w:ascii="Arial" w:eastAsia="Times New Roman" w:hAnsi="Arial" w:cs="Arial"/>
          <w:sz w:val="24"/>
          <w:szCs w:val="24"/>
          <w:lang w:val="es-ES_tradnl" w:eastAsia="es-ES"/>
        </w:rPr>
        <w:t xml:space="preserve"> (fl. 2 cdno. anexo memorial).</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Como pretensión consecuencial, solicitó que se condene al Municipio de Ibagué y a la Gestora Urbana, al pago del reajuste del valor del contrato; del saldo final del cobro del 20% de cada subsidio que no ha sido desembolsado; del valor de sobrecostos administrativos y financieros por la mayor permanencia y, de la utilidad de lo establecido en el Convenio.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1.3.2. Hechos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Los hechos base de la controversia contractual fueron los siguientes: i) el Municipio de Ibagué presentó, ante FINDETER, el programa de vivienda de interés social, que se financiaría con recursos trasladados del Gobierno Nacional con los subsidios de FONVIVIENDA y con el ahorro programado de los beneficiarios; por otra parte, el municipio debía aportar -en especie- los lotes y realizar las obras de urbanismo; ii) el municipio, por intermedio de la GESTORA URBANA, como operadora del proyecto, abrió licitación pública 001 de 2006, para contratar la construcción de 2.026 viviendas de interés social tipo I, que fue adjudicada mediante Resolución 012 de 12 de enero de 2007 a MILTON ENRIQUE OVIEDO; iii) el adjudicatario y la Gestora Urbana suscribieron convenio asociativo 002 de 1º de febrero de 2007 para adelantar la construcción de 2.026 viviendas de interés social.</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Alegó que durante la ejecución del referido convenio, se presentaron hechos generadores de mayor permanencia en la obra y de ruptura del equilibrio de la ecuación económica del contrato, a saber: i) falta de planeación en la ejecución técnica por parte de la Gestora Urbana y el Municipio de Ibagué, que retrasó el inicio a la construcción; ii) entrega tardía, defectuosa e incompleta de los lotes donde se realizaría la obra, tan solo 23 días antes de la entrega de las viviendas construidas; iii) solo se entregaron 1.746 lotes de los 2.026 convenidos; iv) a la fecha de presentación de la demanda contractual no se ha pagado al contratista el saldo final del 20% del subsidio familiar de vivienda, por cuanto la Gestora Urbana no logró la escrituración de dichos inmuebles, requisito para el pago que se reclama.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1.3.3. Las decisiones de instancia y el recurso de apelación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1.3.3.1. La </w:t>
      </w:r>
      <w:r w:rsidRPr="005E4A12">
        <w:rPr>
          <w:rFonts w:ascii="Arial" w:eastAsia="Times New Roman" w:hAnsi="Arial" w:cs="Arial"/>
          <w:b/>
          <w:sz w:val="24"/>
          <w:szCs w:val="24"/>
          <w:u w:val="single"/>
          <w:lang w:val="es-ES_tradnl" w:eastAsia="es-ES"/>
        </w:rPr>
        <w:t>sentencia de primera instancia</w:t>
      </w:r>
      <w:r w:rsidRPr="005E4A12">
        <w:rPr>
          <w:rFonts w:ascii="Arial" w:eastAsia="Times New Roman" w:hAnsi="Arial" w:cs="Arial"/>
          <w:sz w:val="24"/>
          <w:szCs w:val="24"/>
          <w:lang w:val="es-ES_tradnl" w:eastAsia="es-ES"/>
        </w:rPr>
        <w:t xml:space="preserve">, fue proferida el 21 de marzo de 2014 por el Tribunal Administrativo del Tolima, declarando la falta de legitimación en la causa del municipio de Ibagué y accediendo parcialmente a las pretensiones de la demanda, al declarar la nulidad absoluta del convenio asociativo 002 de 1º de febrero de 2007 por haberse celebrado contra expresa prohibición legal y constitucional, al desconocer el principio de planeación e infringir los principios de la función administrativa (art. 209 C.P.), el uso eficiente de los recursos y el desempeño adecuado de las competencias constitucionales y legales (art. 339 C.P.), los principios de economía, responsabilidad y estructura del principio de selección (arts. 25, 26 y 30 de la Ley 80 de 1993).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Como consecuencia de la nulidad del convenio, la decisión sobre las restituciones mutuas, consistió en la condena en abstracto al pago de las unidades de vivienda que fueron construidas a los beneficiarios y que no fueron canceladas al contratista.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1.3.3.2. Contra la decisión, el demandante (contratista MILTON ENRIQUE OVIEDO), </w:t>
      </w:r>
      <w:r w:rsidRPr="005E4A12">
        <w:rPr>
          <w:rFonts w:ascii="Arial" w:eastAsia="Times New Roman" w:hAnsi="Arial" w:cs="Arial"/>
          <w:b/>
          <w:sz w:val="24"/>
          <w:szCs w:val="24"/>
          <w:u w:val="single"/>
          <w:lang w:val="es-ES_tradnl" w:eastAsia="es-ES"/>
        </w:rPr>
        <w:t>apeló el fallo</w:t>
      </w:r>
      <w:r w:rsidRPr="005E4A12">
        <w:rPr>
          <w:rFonts w:ascii="Arial" w:eastAsia="Times New Roman" w:hAnsi="Arial" w:cs="Arial"/>
          <w:sz w:val="24"/>
          <w:szCs w:val="24"/>
          <w:lang w:val="es-ES_tradnl" w:eastAsia="es-ES"/>
        </w:rPr>
        <w:t>, para que se revocaran las decisiones resolutivas 2ª y 3ª; es decir, la declaratoria de falta de legitimación en la causa del municipio de Ibagué, porque sí fue parte del contrato y la declaratoria de nulidad absoluta del convenio, por cuanto no se estructuró en las causales taxativas señaladas en el artículo 44 de la Ley 80 de 1993, ya que la falta de planeación -soporte de la decisión apelada- no nulifica el contrato, tan solo es causa generadora de responsabilidad de los servidores públicos, conforme al artículo 26 ib.; tampoco existió objeto ilícito devenido de celebrar el convenio sin contar con los terrenos para la realización de la obra o de la no ejecución de las obras de urbanismo.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 juicio del apelante, son situaciones de incumplimiento contractual, pero no de nulidad del contrato.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Descalificó la responsabilidad por falta de planeación que se le imputó al contratista, pues todas las actuaciones desplegadas por la contratante, evidenciaban con certeza que las obras de urbanismo se iban a realizar dentro del término establecido.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lastRenderedPageBreak/>
        <w:t xml:space="preserve">1.3.3.3. La </w:t>
      </w:r>
      <w:r w:rsidRPr="005E4A12">
        <w:rPr>
          <w:rFonts w:ascii="Arial" w:eastAsia="Times New Roman" w:hAnsi="Arial" w:cs="Arial"/>
          <w:b/>
          <w:sz w:val="24"/>
          <w:szCs w:val="24"/>
          <w:u w:val="single"/>
          <w:lang w:val="es-ES_tradnl" w:eastAsia="es-ES"/>
        </w:rPr>
        <w:t>sentencia de segunda instancia</w:t>
      </w:r>
      <w:r w:rsidRPr="005E4A12">
        <w:rPr>
          <w:rFonts w:ascii="Arial" w:eastAsia="Times New Roman" w:hAnsi="Arial" w:cs="Arial"/>
          <w:sz w:val="24"/>
          <w:szCs w:val="24"/>
          <w:lang w:val="es-ES_tradnl" w:eastAsia="es-ES"/>
        </w:rPr>
        <w:t xml:space="preserve"> fue proferida el 10 de diciembre de 2015, por el Consejo de Estado, Sección Tercera, Subsección C, en la cual se revocó la declaratoria de nulidad absoluta y las consecuenciales restituciones mutuas; declaró que la Gestora Urbana de Ibagué incumplió parcialmente el convenio 002 de 2007 y la condenó a pagar a favor de MILTON ENRIQUE OVIEDO ÁLVAREZ, la suma que resultare del incidente de liquidación que debía adelantar el Tribunal </w:t>
      </w:r>
      <w:r w:rsidRPr="005E4A12">
        <w:rPr>
          <w:rFonts w:ascii="Arial" w:eastAsia="Times New Roman" w:hAnsi="Arial" w:cs="Arial"/>
          <w:i/>
          <w:sz w:val="24"/>
          <w:szCs w:val="24"/>
          <w:lang w:val="es-ES_tradnl" w:eastAsia="es-ES"/>
        </w:rPr>
        <w:t>a quo</w:t>
      </w:r>
      <w:r w:rsidRPr="005E4A12">
        <w:rPr>
          <w:rFonts w:ascii="Arial" w:eastAsia="Times New Roman" w:hAnsi="Arial" w:cs="Arial"/>
          <w:sz w:val="24"/>
          <w:szCs w:val="24"/>
          <w:lang w:val="es-ES_tradnl" w:eastAsia="es-ES"/>
        </w:rPr>
        <w:t>, respecto del cual suministró los parámetros para tal efecto</w:t>
      </w:r>
      <w:r w:rsidRPr="005E4A12">
        <w:rPr>
          <w:rStyle w:val="Refdenotaalpie"/>
          <w:rFonts w:ascii="Arial" w:eastAsia="Times New Roman" w:hAnsi="Arial" w:cs="Arial"/>
          <w:sz w:val="24"/>
          <w:szCs w:val="24"/>
          <w:lang w:val="es-ES_tradnl" w:eastAsia="es-ES"/>
        </w:rPr>
        <w:footnoteReference w:id="4"/>
      </w:r>
      <w:r w:rsidRPr="005E4A12">
        <w:rPr>
          <w:rFonts w:ascii="Arial" w:eastAsia="Times New Roman" w:hAnsi="Arial" w:cs="Arial"/>
          <w:sz w:val="24"/>
          <w:szCs w:val="24"/>
          <w:lang w:val="es-ES_tradnl" w:eastAsia="es-ES"/>
        </w:rPr>
        <w:t>; negó las demás pretensiones de la demanda e indexar los dineros reconocidos y los intereses moratorios (arts. 176 y 177 C.C.A.).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1.4. Argumentos de la tutela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Como generalidad, el tutelante indicó que si bien la sentencia acusada acoge parcialmente las súplicas de la demanda, al aceptar que sí existió incumplimiento contractual por parte de la Gestora Urbana de Ibagué, la decisión judicial la premia, por cuanto la condena solo a la suma resultante del incidente de liquidación, pero se denegaron las pretensiones por concepto de restablecimiento económico del contrato de los numerales 2.1 (reajuste del contrato por el incremento anual del subsidio familiar); 2.3 (sobrecostos administrativos y financieros por la mayor permanencia en la obra) y 2.4. (A.I.U. sobre las 280 casas que no fue posible construir). Tampoco tuvo en cuenta que el contratista entregó 1.746 casas construidas.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De suerte que el fallo incurrió en: i) defecto fáctico, ii) falta de motivación de la sentencia y iii) defecto sustantivo, con base en los siguientes planteamientos:</w:t>
      </w:r>
    </w:p>
    <w:p w:rsidR="002D1690" w:rsidRPr="005E4A12" w:rsidRDefault="002D1690"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-Frente a la declaratoria de </w:t>
      </w:r>
      <w:r w:rsidRPr="005E4A12">
        <w:rPr>
          <w:rFonts w:ascii="Arial" w:eastAsia="Times New Roman" w:hAnsi="Arial" w:cs="Arial"/>
          <w:b/>
          <w:sz w:val="24"/>
          <w:szCs w:val="24"/>
          <w:u w:val="single"/>
          <w:lang w:val="es-ES_tradnl" w:eastAsia="es-ES"/>
        </w:rPr>
        <w:t>falta de legitimación en la causa por pasiva del municipio de Ibagué</w:t>
      </w:r>
      <w:r w:rsidRPr="005E4A12">
        <w:rPr>
          <w:rFonts w:ascii="Arial" w:eastAsia="Times New Roman" w:hAnsi="Arial" w:cs="Arial"/>
          <w:sz w:val="24"/>
          <w:szCs w:val="24"/>
          <w:lang w:val="es-ES_tradnl" w:eastAsia="es-ES"/>
        </w:rPr>
        <w:t>, los vicios de la providencia fueron: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b/>
          <w:sz w:val="24"/>
          <w:szCs w:val="24"/>
          <w:u w:val="single"/>
          <w:lang w:val="es-ES_tradnl" w:eastAsia="es-ES"/>
        </w:rPr>
        <w:t>defecto fáctico</w:t>
      </w:r>
      <w:r w:rsidRPr="005E4A12">
        <w:rPr>
          <w:rFonts w:ascii="Arial" w:eastAsia="Times New Roman" w:hAnsi="Arial" w:cs="Arial"/>
          <w:sz w:val="24"/>
          <w:szCs w:val="24"/>
          <w:lang w:val="es-ES_tradnl" w:eastAsia="es-ES"/>
        </w:rPr>
        <w:t xml:space="preserve"> porque la decisión carece de apoyo probatorio que le permitiera al juez la aplicación del supuesto legal en que se sustenta la decisión. Indicó que fue indebida la valoración probatoria de los Convenios 002 de febrero de 2007 y 0033 de 2 de marzo de 2007, este último suscrito entre el municipio de Ibagué y la Gestora Urbana que condujo a concluir equivocadamente la falta de legitimación en </w:t>
      </w:r>
      <w:r w:rsidRPr="005E4A12">
        <w:rPr>
          <w:rFonts w:ascii="Arial" w:eastAsia="Times New Roman" w:hAnsi="Arial" w:cs="Arial"/>
          <w:sz w:val="24"/>
          <w:szCs w:val="24"/>
          <w:lang w:val="es-ES_tradnl" w:eastAsia="es-ES"/>
        </w:rPr>
        <w:lastRenderedPageBreak/>
        <w:t>la causa por pasiva del Municipio de Ibagué.</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b/>
          <w:sz w:val="24"/>
          <w:szCs w:val="24"/>
          <w:u w:val="single"/>
          <w:lang w:val="es-ES_tradnl" w:eastAsia="es-ES"/>
        </w:rPr>
        <w:t>defecto sustantivo</w:t>
      </w:r>
      <w:r w:rsidRPr="005E4A12">
        <w:rPr>
          <w:rFonts w:ascii="Arial" w:eastAsia="Times New Roman" w:hAnsi="Arial" w:cs="Arial"/>
          <w:sz w:val="24"/>
          <w:szCs w:val="24"/>
          <w:lang w:val="es-ES_tradnl" w:eastAsia="es-ES"/>
        </w:rPr>
        <w:t xml:space="preserve"> por desconocer la normas jurídicas que demuestran que entre el </w:t>
      </w:r>
      <w:r w:rsidRPr="005E4A12">
        <w:rPr>
          <w:rFonts w:ascii="Arial" w:eastAsia="Times New Roman" w:hAnsi="Arial" w:cs="Arial"/>
          <w:b/>
          <w:sz w:val="24"/>
          <w:szCs w:val="24"/>
          <w:lang w:val="es-ES_tradnl" w:eastAsia="es-ES"/>
        </w:rPr>
        <w:t>MUNICIPIO DE IBAGUÉ</w:t>
      </w:r>
      <w:r w:rsidRPr="005E4A12">
        <w:rPr>
          <w:rFonts w:ascii="Arial" w:eastAsia="Times New Roman" w:hAnsi="Arial" w:cs="Arial"/>
          <w:sz w:val="24"/>
          <w:szCs w:val="24"/>
          <w:lang w:val="es-ES_tradnl" w:eastAsia="es-ES"/>
        </w:rPr>
        <w:t xml:space="preserve"> y el Banco Inmobiliario -</w:t>
      </w:r>
      <w:r w:rsidRPr="005E4A12">
        <w:rPr>
          <w:rFonts w:ascii="Arial" w:eastAsia="Times New Roman" w:hAnsi="Arial" w:cs="Arial"/>
          <w:b/>
          <w:sz w:val="24"/>
          <w:szCs w:val="24"/>
          <w:lang w:val="es-ES_tradnl" w:eastAsia="es-ES"/>
        </w:rPr>
        <w:t>GESTORA URBANA</w:t>
      </w:r>
      <w:r w:rsidRPr="005E4A12">
        <w:rPr>
          <w:rFonts w:ascii="Arial" w:eastAsia="Times New Roman" w:hAnsi="Arial" w:cs="Arial"/>
          <w:sz w:val="24"/>
          <w:szCs w:val="24"/>
          <w:lang w:val="es-ES_tradnl" w:eastAsia="es-ES"/>
        </w:rPr>
        <w:t>- Empresa Industrial y Comercial del orden municipal-, existe una responsabilidad solidaria para con el contratista (hoy tutelante).</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Citó como apoyo normativo los artículos 209 de la Constitución Política, 23 de la Ley 80 de 1993, 6 y 38 de la Ley 489 de 1998 (principio de coordinación); 3.2.6.1 del Decreto 734 de 2012.</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Es claro que el contrato de construcción de viviendas suscrito entre el tutelante y la Gestora Urbana, deviene en forma directa del Convenio Interadministrativo entre el municipio de Ibagué y la Gestora Urbana (empresa industrial y comercial municipal) como operadora del proyecto y mandataria, que abrió la licitación pública 001 de 2006. Incluso en las fuentes de financiación y recursos para el proyecto incluido el lote y en las obras de urbanismo participaba activamente el municipio de Ibagué.</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Así las cosas, el convenio interadministrativo subyacente a la relación contractual compromete solidariamente al </w:t>
      </w:r>
      <w:r w:rsidRPr="005E4A12">
        <w:rPr>
          <w:rFonts w:ascii="Arial" w:eastAsia="Times New Roman" w:hAnsi="Arial" w:cs="Arial"/>
          <w:b/>
          <w:sz w:val="24"/>
          <w:szCs w:val="24"/>
          <w:lang w:val="es-ES_tradnl" w:eastAsia="es-ES"/>
        </w:rPr>
        <w:t>MUNICIPIO DE IBAGUÉ</w:t>
      </w:r>
      <w:r w:rsidRPr="005E4A12">
        <w:rPr>
          <w:rFonts w:ascii="Arial" w:eastAsia="Times New Roman" w:hAnsi="Arial" w:cs="Arial"/>
          <w:sz w:val="24"/>
          <w:szCs w:val="24"/>
          <w:lang w:val="es-ES_tradnl" w:eastAsia="es-ES"/>
        </w:rPr>
        <w:t xml:space="preserve"> y a la </w:t>
      </w:r>
      <w:r w:rsidRPr="005E4A12">
        <w:rPr>
          <w:rFonts w:ascii="Arial" w:eastAsia="Times New Roman" w:hAnsi="Arial" w:cs="Arial"/>
          <w:b/>
          <w:sz w:val="24"/>
          <w:szCs w:val="24"/>
          <w:lang w:val="es-ES_tradnl" w:eastAsia="es-ES"/>
        </w:rPr>
        <w:t>GESTORA URBANA DE ESA MUNICIPALIDAD</w:t>
      </w:r>
      <w:r w:rsidRPr="005E4A12">
        <w:rPr>
          <w:rFonts w:ascii="Arial" w:eastAsia="Times New Roman" w:hAnsi="Arial" w:cs="Arial"/>
          <w:sz w:val="24"/>
          <w:szCs w:val="24"/>
          <w:lang w:val="es-ES_tradnl" w:eastAsia="es-ES"/>
        </w:rPr>
        <w:t>.</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Desconocer la legitimación por pasiva del municipio de Ibagué es escindir la unidad entre el convenio interadministrativo y el convenio asociativo para la construcción, e impedir el cumplimiento de aquel, ya que tiene como finalidad la coordinación de las actuaciones de cada uno para el adecuado desarrollo del mismo y, por ende, desconoció el principio de colaboración.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Por contera, la decisión de declarar la falta de legitimación referida adolece de </w:t>
      </w:r>
      <w:r w:rsidRPr="005E4A12">
        <w:rPr>
          <w:rFonts w:ascii="Arial" w:eastAsia="Times New Roman" w:hAnsi="Arial" w:cs="Arial"/>
          <w:sz w:val="24"/>
          <w:szCs w:val="24"/>
          <w:u w:val="single"/>
          <w:lang w:val="es-ES_tradnl" w:eastAsia="es-ES"/>
        </w:rPr>
        <w:t>falta de motivación</w:t>
      </w:r>
      <w:r w:rsidRPr="005E4A12">
        <w:rPr>
          <w:rFonts w:ascii="Arial" w:eastAsia="Times New Roman" w:hAnsi="Arial" w:cs="Arial"/>
          <w:sz w:val="24"/>
          <w:szCs w:val="24"/>
          <w:lang w:val="es-ES_tradnl" w:eastAsia="es-ES"/>
        </w:rPr>
        <w:t xml:space="preserve"> y refleja desconocimiento de las cláusulas contractuales 3ª, 4ª, 6ª, 11 y 12 del Convenio 0033 de 2007; de </w:t>
      </w:r>
      <w:r w:rsidRPr="005E4A12">
        <w:rPr>
          <w:rFonts w:ascii="Arial" w:eastAsia="Times New Roman" w:hAnsi="Arial" w:cs="Arial"/>
          <w:sz w:val="24"/>
          <w:szCs w:val="24"/>
          <w:u w:val="single"/>
          <w:lang w:val="es-ES_tradnl" w:eastAsia="es-ES"/>
        </w:rPr>
        <w:t>error de hecho</w:t>
      </w:r>
      <w:r w:rsidRPr="005E4A12">
        <w:rPr>
          <w:rFonts w:ascii="Arial" w:eastAsia="Times New Roman" w:hAnsi="Arial" w:cs="Arial"/>
          <w:sz w:val="24"/>
          <w:szCs w:val="24"/>
          <w:lang w:val="es-ES_tradnl" w:eastAsia="es-ES"/>
        </w:rPr>
        <w:t xml:space="preserve"> por indebida valoración del material probatorio, por cuanto de este se evidencia como verdad probada que fue el municipio de Ibagué quien presentó el proyecto de elegibilidad ante FINDETER, con fuentes de financiación compartidas tanto del Gobierno Nacional, como del municipio de Ibagué, de la Gestora Urbana y de los subsidios de familia para vivienda y fue el municipio quien se obligó a aportar en especie los lotes y las obras de urbanismo. Aunado a que la elegibilidad de los proyectos contratados fue tramitada ante FINDETER por dicho Municipio, en asocio con la </w:t>
      </w:r>
      <w:r w:rsidRPr="005E4A12">
        <w:rPr>
          <w:rFonts w:ascii="Arial" w:eastAsia="Times New Roman" w:hAnsi="Arial" w:cs="Arial"/>
          <w:b/>
          <w:sz w:val="24"/>
          <w:szCs w:val="24"/>
          <w:lang w:val="es-ES_tradnl" w:eastAsia="es-ES"/>
        </w:rPr>
        <w:t>GESTORA URBANA</w:t>
      </w:r>
      <w:r w:rsidRPr="005E4A12">
        <w:rPr>
          <w:rFonts w:ascii="Arial" w:eastAsia="Times New Roman" w:hAnsi="Arial" w:cs="Arial"/>
          <w:sz w:val="24"/>
          <w:szCs w:val="24"/>
          <w:lang w:val="es-ES_tradnl" w:eastAsia="es-ES"/>
        </w:rPr>
        <w:t>. De hecho, el lote fue adquirido por esta última con los recursos que le giró la entidad territorial. Todo lo cual implica que están obligados solidariamente a responder al contratista.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 </w:t>
      </w:r>
      <w:r w:rsidRPr="005E4A12">
        <w:rPr>
          <w:rFonts w:ascii="Arial" w:eastAsia="Times New Roman" w:hAnsi="Arial" w:cs="Arial"/>
          <w:b/>
          <w:sz w:val="24"/>
          <w:szCs w:val="24"/>
          <w:u w:val="single"/>
          <w:lang w:val="es-ES_tradnl" w:eastAsia="es-ES"/>
        </w:rPr>
        <w:t>Frente a la decisión de fondo de la controversia contractual</w:t>
      </w:r>
      <w:r w:rsidRPr="005E4A12">
        <w:rPr>
          <w:rFonts w:ascii="Arial" w:eastAsia="Times New Roman" w:hAnsi="Arial" w:cs="Arial"/>
          <w:sz w:val="24"/>
          <w:szCs w:val="24"/>
          <w:lang w:val="es-ES_tradnl" w:eastAsia="es-ES"/>
        </w:rPr>
        <w:t>:</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La providencia acusada incurrió en </w:t>
      </w:r>
      <w:r w:rsidRPr="005E4A12">
        <w:rPr>
          <w:rFonts w:ascii="Arial" w:eastAsia="Times New Roman" w:hAnsi="Arial" w:cs="Arial"/>
          <w:sz w:val="24"/>
          <w:szCs w:val="24"/>
          <w:u w:val="single"/>
          <w:lang w:val="es-ES_tradnl" w:eastAsia="es-ES"/>
        </w:rPr>
        <w:t>defecto fáctico</w:t>
      </w:r>
      <w:r w:rsidRPr="005E4A12">
        <w:rPr>
          <w:rFonts w:ascii="Arial" w:eastAsia="Times New Roman" w:hAnsi="Arial" w:cs="Arial"/>
          <w:sz w:val="24"/>
          <w:szCs w:val="24"/>
          <w:lang w:val="es-ES_tradnl" w:eastAsia="es-ES"/>
        </w:rPr>
        <w:t xml:space="preserve"> al omitir la valoración del material probatorio, que generó una decisión incongruente, al negar las pretensiones por concepto de desequilibrio económico del contrato y optó, en forma errada, por fijar una suma en abstracto que no se compadece con el real perjuicio que sufrió el </w:t>
      </w:r>
      <w:r w:rsidRPr="005E4A12">
        <w:rPr>
          <w:rFonts w:ascii="Arial" w:eastAsia="Times New Roman" w:hAnsi="Arial" w:cs="Arial"/>
          <w:sz w:val="24"/>
          <w:szCs w:val="24"/>
          <w:lang w:val="es-ES_tradnl" w:eastAsia="es-ES"/>
        </w:rPr>
        <w:lastRenderedPageBreak/>
        <w:t>demandante.</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LA PRUEBA DOCUMENTAL</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La Sección Tercera contaba con hechos probados, entre otros, los certificados de elegibilidad de FINDETER en los que claramente se determinaron los valores monetarios de las soluciones de vivienda con cargo a cada proyecto; la descripción del proyecto y presupuesto oficial estimado, con el valor de cada vivienda, cuántas a construir y la forma de pago. Así también, el Convenio Asociativo 002 de 1º de febrero de 2007, es lo suficientemente claro en cuanto a lo pactado frente a los recursos de los proyectos (cláusula 6ª), al valor y forma de pago de las soluciones de vivienda discriminado por proyecto (cláusula 7ª), a las obligaciones de las partes (cláusula 8ª) y al plazo y vigencia del contrato (cláusula 9ª). Además, mediante otro sí de 27 de diciembre de 2007, se determinó la realización de la primera etapa, a razón de 133 viviendas en “Nueva Castilla”, en el que se fijó el precio unitario fijo de las obras y el valor y la forma de pago.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Así mismo se probó el Convenio interadministrativo 0033 de 2 de marzo de 2007.</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También se probó que el acta de inicio de las obras adicionales se suscribió el 10 de enero de 2008 y que debían ejecutarse dentro del término de 30 días y el certificado de 6 de febrero de 2008 en el que el interventor hace constar la terminación de aquellas. El acta adicional y compromiso al contrato 02 de 2007, suscrita por las partes contratantes el 8 de mayo de 2008, por cuanto debido a las dificultades de orden constructivo, técnico y estructural se ha impedido el avance significativo en las obras, las partes acordaron: el contratista OVIEDO ÁLVAREZ a efectuar las correcciones, reparaciones de carácter técnico determinadas por el interventor sobre las 133 viviendas de Nueva Castilla, en un plazo máximo de 60 días calendario a partir de la suscripción de esta acta, sin que se modifique el plazo del contrato; en caso de mora o incumplimiento parcial, la Gestora Urbana impondrá multa. Por su parte la Gestora Urbana se obligó a entregar dentro del mismo plazo todos los documentos necesarios para la continuación del proceso de escrituración y registro. Las demás cláusulas, se indica expresamente, mantienen su contenido.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El 24 de septiembre de 2008, la Gestora Urbana, mediante oficio 3018, informó al contratista que las obras de urbanismo estaban listas técnicamente para que diera inicio a la ejecución de las 264 unidades de vivienda en el proyecto LA CIMA, en el lote C y 289 en el lote B de NUEVA CASTILLA y 99 en LA CEIBITA. El 7 de noviembre de 2008 se firmó acta de suspensión de la obra de la construcción de las viviendas en Nueva Castilla a la espera de que mejoraran las condiciones climáticas.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tutelante relaciona por grupos en qué etapa se encuentran las soluciones de vivienda y detalla los inconvenientes frente a algunas.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Por fechas y número de oficios, relacionó las comunicaciones cruzadas con su contratante y, finalmente, indicó que presentó proyecto de liquidación ante la Gestora Urbana, conforme a la siguiente literalidad: </w:t>
      </w:r>
      <w:r w:rsidRPr="005E4A12">
        <w:rPr>
          <w:rFonts w:ascii="Arial" w:eastAsia="Times New Roman" w:hAnsi="Arial" w:cs="Arial"/>
          <w:i/>
          <w:sz w:val="24"/>
          <w:szCs w:val="24"/>
          <w:lang w:val="es-ES_tradnl" w:eastAsia="es-ES"/>
        </w:rPr>
        <w:t xml:space="preserve">“(…) que por concepto: (i) de </w:t>
      </w:r>
      <w:r w:rsidRPr="005E4A12">
        <w:rPr>
          <w:rFonts w:ascii="Arial" w:eastAsia="Times New Roman" w:hAnsi="Arial" w:cs="Arial"/>
          <w:i/>
          <w:sz w:val="24"/>
          <w:szCs w:val="24"/>
          <w:lang w:val="es-ES_tradnl" w:eastAsia="es-ES"/>
        </w:rPr>
        <w:lastRenderedPageBreak/>
        <w:t>obras de urbanismo ejecutadas en el proyecto Nueva Castilla, etapas 2 y 3 se le adeuda la suma de $167.988.759; (ii) del cobro del 20% de 89 subsidios, se le debe el valor de $147.935.088,oo; (iii) de reajuste del precio, le corresponde la suma de $3.949.075.200; (iv) de sobrecostos administrativos, se le adeuda la suma de $143.238.311; y (v) de expectativa de utilidad se le debe el monto de $222.369.840,oo</w:t>
      </w:r>
      <w:r w:rsidRPr="005E4A12">
        <w:rPr>
          <w:rFonts w:ascii="Arial" w:eastAsia="Times New Roman" w:hAnsi="Arial" w:cs="Arial"/>
          <w:sz w:val="24"/>
          <w:szCs w:val="24"/>
          <w:lang w:val="es-ES_tradnl" w:eastAsia="es-ES"/>
        </w:rPr>
        <w:t>” (fl. 43 memorial anexo).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En la solicitud de conciliación prejudicial presentada ante la Procuraduría General de la Nación (Procuraduría Judicial 26 en lo Administrativo con sede en Ibagué), por el tutelante, a fin de conciliar con el municipio de Ibagué y la Gestora Urbana del municipio, se observan las siguientes pretensiones: </w:t>
      </w:r>
      <w:r w:rsidRPr="005E4A12">
        <w:rPr>
          <w:rFonts w:ascii="Arial" w:eastAsia="Times New Roman" w:hAnsi="Arial" w:cs="Arial"/>
          <w:i/>
          <w:sz w:val="24"/>
          <w:szCs w:val="24"/>
          <w:lang w:val="es-ES_tradnl" w:eastAsia="es-ES"/>
        </w:rPr>
        <w:t>“(i) liquidación del contrato Nº 002 de 1 de febrero de 2007; (ii) el pago de $167.988.759,oo referente al porcentaje final adeudado por concepto de las obras urbanísticas ejecutadas y recibidas a satisfacción por la Gestora Urbana del proyecto Nueva Castilla; y (iii) el pago de la suma de $5.212.214.336,oo por concepto de desequilibrio financiero administrativo contractual generado por incumplimiento de los mismos en desarrollo de dicho contrato”</w:t>
      </w:r>
      <w:r w:rsidRPr="005E4A12">
        <w:rPr>
          <w:rFonts w:ascii="Arial" w:eastAsia="Times New Roman" w:hAnsi="Arial" w:cs="Arial"/>
          <w:sz w:val="24"/>
          <w:szCs w:val="24"/>
          <w:lang w:val="es-ES_tradnl" w:eastAsia="es-ES"/>
        </w:rPr>
        <w:t xml:space="preserve"> (fl. 43 a 44 ib).</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La entidad contratante reconoce y declara que pagará el 20% del saldo correspondiente a 89 subsidios, que el contratista debe clasificar por proyecto y $167.988.759,oo por concepto de obras adicionales de urbanismo, pero consideró no conciliar lo atinente a la </w:t>
      </w:r>
      <w:r w:rsidRPr="005E4A12">
        <w:rPr>
          <w:rFonts w:ascii="Arial" w:eastAsia="Times New Roman" w:hAnsi="Arial" w:cs="Arial"/>
          <w:b/>
          <w:sz w:val="24"/>
          <w:szCs w:val="24"/>
          <w:lang w:val="es-ES_tradnl" w:eastAsia="es-ES"/>
        </w:rPr>
        <w:t>mayor permanencia en la obra</w:t>
      </w:r>
      <w:r w:rsidRPr="005E4A12">
        <w:rPr>
          <w:rFonts w:ascii="Arial" w:eastAsia="Times New Roman" w:hAnsi="Arial" w:cs="Arial"/>
          <w:sz w:val="24"/>
          <w:szCs w:val="24"/>
          <w:lang w:val="es-ES_tradnl" w:eastAsia="es-ES"/>
        </w:rPr>
        <w:t xml:space="preserve"> debido a que el contrato cumplió su vigencia hasta el año 2011 “</w:t>
      </w:r>
      <w:r w:rsidRPr="005E4A12">
        <w:rPr>
          <w:rFonts w:ascii="Arial" w:eastAsia="Times New Roman" w:hAnsi="Arial" w:cs="Arial"/>
          <w:i/>
          <w:sz w:val="24"/>
          <w:szCs w:val="24"/>
          <w:lang w:val="es-ES_tradnl" w:eastAsia="es-ES"/>
        </w:rPr>
        <w:t>donde se realizaron prórrogas en tiempo como presupuestales o económicas en donde se tenía presupuestado todos los gastos de administración que intenta el convocante cobrar en la presente acción y cuyos soportes no garantizan que pertenezcan a dicha obra</w:t>
      </w:r>
      <w:r w:rsidRPr="005E4A12">
        <w:rPr>
          <w:rFonts w:ascii="Arial" w:eastAsia="Times New Roman" w:hAnsi="Arial" w:cs="Arial"/>
          <w:sz w:val="24"/>
          <w:szCs w:val="24"/>
          <w:lang w:val="es-ES_tradnl" w:eastAsia="es-ES"/>
        </w:rPr>
        <w:t>” (fl. 44 ib).</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24 de octubre de 2011, dentro el acuerdo conciliatorio prejudicial, el contratista presentó el “Certificado suscrito por el Gerente de la </w:t>
      </w:r>
      <w:r w:rsidRPr="005E4A12">
        <w:rPr>
          <w:rFonts w:ascii="Arial" w:eastAsia="Times New Roman" w:hAnsi="Arial" w:cs="Arial"/>
          <w:b/>
          <w:sz w:val="24"/>
          <w:szCs w:val="24"/>
          <w:lang w:val="es-ES_tradnl" w:eastAsia="es-ES"/>
        </w:rPr>
        <w:t>GESTORA URBANA</w:t>
      </w:r>
      <w:r w:rsidRPr="005E4A12">
        <w:rPr>
          <w:rFonts w:ascii="Arial" w:eastAsia="Times New Roman" w:hAnsi="Arial" w:cs="Arial"/>
          <w:sz w:val="24"/>
          <w:szCs w:val="24"/>
          <w:lang w:val="es-ES_tradnl" w:eastAsia="es-ES"/>
        </w:rPr>
        <w:t xml:space="preserve"> de Ibagué en el que consta que a la fecha, </w:t>
      </w:r>
      <w:r w:rsidRPr="005E4A12">
        <w:rPr>
          <w:rFonts w:ascii="Arial" w:eastAsia="Times New Roman" w:hAnsi="Arial" w:cs="Arial"/>
          <w:b/>
          <w:sz w:val="24"/>
          <w:szCs w:val="24"/>
          <w:lang w:val="es-ES_tradnl" w:eastAsia="es-ES"/>
        </w:rPr>
        <w:t>MILTON ENRIQUE OVIEDO ÁLVAREZ</w:t>
      </w:r>
      <w:r w:rsidRPr="005E4A12">
        <w:rPr>
          <w:rFonts w:ascii="Arial" w:eastAsia="Times New Roman" w:hAnsi="Arial" w:cs="Arial"/>
          <w:sz w:val="24"/>
          <w:szCs w:val="24"/>
          <w:lang w:val="es-ES_tradnl" w:eastAsia="es-ES"/>
        </w:rPr>
        <w:t xml:space="preserve"> ha ejecutado el 81% del Contrato Nº 002 de 2007, distribuido de la siguiente manera en cada proyecto: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9"/>
        <w:gridCol w:w="1739"/>
        <w:gridCol w:w="1739"/>
        <w:gridCol w:w="1739"/>
        <w:gridCol w:w="1740"/>
      </w:tblGrid>
      <w:tr w:rsidR="00133748" w:rsidRPr="005E4A12" w:rsidTr="00E524A8">
        <w:trPr>
          <w:tblHeader/>
        </w:trPr>
        <w:tc>
          <w:tcPr>
            <w:tcW w:w="1739" w:type="dxa"/>
            <w:shd w:val="clear" w:color="auto" w:fill="DEEAF6"/>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PROYECTO</w:t>
            </w:r>
          </w:p>
        </w:tc>
        <w:tc>
          <w:tcPr>
            <w:tcW w:w="1739" w:type="dxa"/>
            <w:shd w:val="clear" w:color="auto" w:fill="DEEAF6"/>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Nº de unidades de vivienda contratadas</w:t>
            </w:r>
          </w:p>
        </w:tc>
        <w:tc>
          <w:tcPr>
            <w:tcW w:w="1739" w:type="dxa"/>
            <w:shd w:val="clear" w:color="auto" w:fill="DEEAF6"/>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Vr de las viviendas de interés social</w:t>
            </w:r>
          </w:p>
        </w:tc>
        <w:tc>
          <w:tcPr>
            <w:tcW w:w="1739" w:type="dxa"/>
            <w:shd w:val="clear" w:color="auto" w:fill="DEEAF6"/>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Fecha de inicio</w:t>
            </w:r>
          </w:p>
        </w:tc>
        <w:tc>
          <w:tcPr>
            <w:tcW w:w="1740" w:type="dxa"/>
            <w:shd w:val="clear" w:color="auto" w:fill="DEEAF6"/>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Porcentaje de ejecución</w:t>
            </w:r>
          </w:p>
        </w:tc>
      </w:tr>
      <w:tr w:rsidR="00133748" w:rsidRPr="005E4A12" w:rsidTr="00E524A8">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LA CEIBITA</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208</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$8.758.245</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05-01-2009</w:t>
            </w:r>
          </w:p>
        </w:tc>
        <w:tc>
          <w:tcPr>
            <w:tcW w:w="1740"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100%</w:t>
            </w:r>
          </w:p>
        </w:tc>
      </w:tr>
      <w:tr w:rsidR="00133748" w:rsidRPr="005E4A12" w:rsidTr="00E524A8">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NUEVA CASTILLA</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965</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$8.460.906</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15-10-2007</w:t>
            </w:r>
          </w:p>
        </w:tc>
        <w:tc>
          <w:tcPr>
            <w:tcW w:w="1740"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72%</w:t>
            </w:r>
          </w:p>
        </w:tc>
      </w:tr>
      <w:tr w:rsidR="00133748" w:rsidRPr="005E4A12" w:rsidTr="00E524A8">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LA CIMA</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467</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$10.091.585</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15-11-2008</w:t>
            </w:r>
          </w:p>
        </w:tc>
        <w:tc>
          <w:tcPr>
            <w:tcW w:w="1740"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80%</w:t>
            </w:r>
          </w:p>
        </w:tc>
      </w:tr>
      <w:tr w:rsidR="00133748" w:rsidRPr="005E4A12" w:rsidTr="00E524A8">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EL LIMÓN</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386</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$8.460.906</w:t>
            </w:r>
          </w:p>
        </w:tc>
        <w:tc>
          <w:tcPr>
            <w:tcW w:w="1739"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1-04-2008</w:t>
            </w:r>
          </w:p>
        </w:tc>
        <w:tc>
          <w:tcPr>
            <w:tcW w:w="1740" w:type="dxa"/>
            <w:shd w:val="clear" w:color="auto" w:fill="auto"/>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100%</w:t>
            </w:r>
          </w:p>
        </w:tc>
      </w:tr>
    </w:tbl>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El tutelante relaciona con base en las actas de inicio de obra y de terminación, lo ejecutado, lo recibido, el valor total y discriminado por subsidio, clasificado por proyecto y a relatar por fechas el intercambio de comunicaciones entre las partes contratantes.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lastRenderedPageBreak/>
        <w:t>LA PRUEBA PERICIAL</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Indicó que mediante dictamen pericial rendido el 6 de febrero de 2013, dentro del proceso contractual ante el Tribunal Administrativo del Tolima, el perito tuvo en cuenta las pruebas documentales obrantes en el proceso, la inspección a los libros contables del contratista y sus soportes, recibos de caja, comprobantes de egresos, facturas, notas contables, contratos de arrendamiento, relación de la identificación de los beneficiarios de los subsidios pendientes de legalización para el cobro del 20% y revisión de conceptos y legalización sobre subsidios de vivienda de interés social y arrojó las siguientes conclusiones en cuanto a la evaluación del desequilibrio contractual y financiero que afectó a la ejecución del Convenio Asociativo Nº 002-2007, en desmedro del contratista OVIEDO ÁLVAREZ:</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1.1. Se debe </w:t>
      </w:r>
      <w:r w:rsidRPr="005E4A12">
        <w:rPr>
          <w:rFonts w:ascii="Arial" w:eastAsia="Times New Roman" w:hAnsi="Arial" w:cs="Arial"/>
          <w:b/>
          <w:sz w:val="24"/>
          <w:szCs w:val="24"/>
          <w:lang w:val="es-ES_tradnl" w:eastAsia="es-ES"/>
        </w:rPr>
        <w:t>reajustar el valor del Convenio</w:t>
      </w:r>
      <w:r w:rsidRPr="005E4A12">
        <w:rPr>
          <w:rFonts w:ascii="Arial" w:eastAsia="Times New Roman" w:hAnsi="Arial" w:cs="Arial"/>
          <w:sz w:val="24"/>
          <w:szCs w:val="24"/>
          <w:lang w:val="es-ES_tradnl" w:eastAsia="es-ES"/>
        </w:rPr>
        <w:t xml:space="preserve">, de conformidad con lo allí estipulado, pues se pactó que el pago se realizaría conforme al subsidio familiar de los auxilios de vivienda, presentándose un incremento anual en el s.m.m.l.v., y que de acuerdo con lo estipulado ascendía a $3.949.075.200, suma a la que aplicada el IPC de los años 2011 y 2012, arroja un valor de $5.353.910.200. </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1.2. El saldo final del cobro del 20% de cada uno de los 89 subsidios reconocido por la Gestora Urbana de Ibagué en el acta de comité y que no ha sido desembolsado al contratista, arroja una suma de $200.561.179, aplicando IPC para los años 2011 y 2012.</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Por contera, al contratista no se le ha entregado la suma de $5.554.471.379.</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2. La </w:t>
      </w:r>
      <w:r w:rsidRPr="005E4A12">
        <w:rPr>
          <w:rFonts w:ascii="Arial" w:eastAsia="Times New Roman" w:hAnsi="Arial" w:cs="Arial"/>
          <w:b/>
          <w:sz w:val="24"/>
          <w:szCs w:val="24"/>
          <w:lang w:val="es-ES_tradnl" w:eastAsia="es-ES"/>
        </w:rPr>
        <w:t>expectativa de utilidad esperada por el contratista</w:t>
      </w:r>
      <w:r w:rsidRPr="005E4A12">
        <w:rPr>
          <w:rFonts w:ascii="Arial" w:eastAsia="Times New Roman" w:hAnsi="Arial" w:cs="Arial"/>
          <w:sz w:val="24"/>
          <w:szCs w:val="24"/>
          <w:lang w:val="es-ES_tradnl" w:eastAsia="es-ES"/>
        </w:rPr>
        <w:t>: teniendo en cuenta que el contrato de construcción recaía en 2.026 unidades de vivienda de interés social, la Gestora Urbana sólo entregó 1.746 lotes, de tal suerte que debe reconocerse al contratista, la suma de $303.682.778 por concepto del 7% de A.I.U.</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3. En relación con los </w:t>
      </w:r>
      <w:r w:rsidRPr="005E4A12">
        <w:rPr>
          <w:rFonts w:ascii="Arial" w:eastAsia="Times New Roman" w:hAnsi="Arial" w:cs="Arial"/>
          <w:b/>
          <w:sz w:val="24"/>
          <w:szCs w:val="24"/>
          <w:lang w:val="es-ES_tradnl" w:eastAsia="es-ES"/>
        </w:rPr>
        <w:t>costos de administración</w:t>
      </w:r>
      <w:r w:rsidRPr="005E4A12">
        <w:rPr>
          <w:rFonts w:ascii="Arial" w:eastAsia="Times New Roman" w:hAnsi="Arial" w:cs="Arial"/>
          <w:sz w:val="24"/>
          <w:szCs w:val="24"/>
          <w:lang w:val="es-ES_tradnl" w:eastAsia="es-ES"/>
        </w:rPr>
        <w:t>, conforme a los libros de contabilidad, el contratista incurrió en gastos financieros y administrativos, por los costos de nómina, taller de ornamentación, arrendamiento de vehículos, servicios públicos, arriendo de oficina entre los años 2009 y 2010, suma que actualizada con IPC asciende a $982.700.315.</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LA PRUEBA TESTIMONIAL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Se recepcionó dentro del proceso de controversias contractuales, los días 5 y 6 de marzo de 2013:</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sz w:val="24"/>
          <w:szCs w:val="24"/>
          <w:u w:val="single"/>
          <w:lang w:val="es-ES_tradnl" w:eastAsia="es-ES"/>
        </w:rPr>
        <w:t>interventor de la viviendas en la urbanización Nueva Castilla</w:t>
      </w:r>
      <w:r w:rsidRPr="005E4A12">
        <w:rPr>
          <w:rFonts w:ascii="Arial" w:eastAsia="Times New Roman" w:hAnsi="Arial" w:cs="Arial"/>
          <w:sz w:val="24"/>
          <w:szCs w:val="24"/>
          <w:lang w:val="es-ES_tradnl" w:eastAsia="es-ES"/>
        </w:rPr>
        <w:t xml:space="preserve">, señor José Domingo Torres Cáceres, declaró que únicamente se presentaron algunos inconvenientes técnicos en la parte inicial del proyecto, en la primera etapa que comprendía la construcción de las primeras 130 viviendas, aspectos técnicos normales que fueron </w:t>
      </w:r>
      <w:r w:rsidRPr="005E4A12">
        <w:rPr>
          <w:rFonts w:ascii="Arial" w:eastAsia="Times New Roman" w:hAnsi="Arial" w:cs="Arial"/>
          <w:sz w:val="24"/>
          <w:szCs w:val="24"/>
          <w:lang w:val="es-ES_tradnl" w:eastAsia="es-ES"/>
        </w:rPr>
        <w:lastRenderedPageBreak/>
        <w:t xml:space="preserve">corregidos en su totalidad. En esta urbanización se ejecutaron </w:t>
      </w:r>
      <w:r w:rsidRPr="005E4A12">
        <w:rPr>
          <w:rFonts w:ascii="Arial" w:eastAsia="Times New Roman" w:hAnsi="Arial" w:cs="Arial"/>
          <w:b/>
          <w:sz w:val="24"/>
          <w:szCs w:val="24"/>
          <w:u w:val="single"/>
          <w:lang w:val="es-ES_tradnl" w:eastAsia="es-ES"/>
        </w:rPr>
        <w:t>650 viviendas</w:t>
      </w:r>
      <w:r w:rsidRPr="005E4A12">
        <w:rPr>
          <w:rFonts w:ascii="Arial" w:eastAsia="Times New Roman" w:hAnsi="Arial" w:cs="Arial"/>
          <w:sz w:val="24"/>
          <w:szCs w:val="24"/>
          <w:lang w:val="es-ES_tradnl" w:eastAsia="es-ES"/>
        </w:rPr>
        <w:t xml:space="preserve"> aproximadamente de un total de 960, que fueron recibidas a satisfacción en su calidad de interventor y con el visto bueno de la Gestora Urbana y que contaron con el certificado de existencia y habitabilidad expedido por FONADE.</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sz w:val="24"/>
          <w:szCs w:val="24"/>
          <w:u w:val="single"/>
          <w:lang w:val="es-ES_tradnl" w:eastAsia="es-ES"/>
        </w:rPr>
        <w:t>asesor externo para la oficina de vivienda en la Gestora Urbana de Ibagué</w:t>
      </w:r>
      <w:r w:rsidRPr="005E4A12">
        <w:rPr>
          <w:rFonts w:ascii="Arial" w:eastAsia="Times New Roman" w:hAnsi="Arial" w:cs="Arial"/>
          <w:sz w:val="24"/>
          <w:szCs w:val="24"/>
          <w:lang w:val="es-ES_tradnl" w:eastAsia="es-ES"/>
        </w:rPr>
        <w:t xml:space="preserve"> Ferney Eduardo Arias Vidal, quien realizaba la supervisión técnica de los proyectos de vivienda a cargo de la entidad, quien afirmó que ésta no le entregó al contratista los lotes completos para la construcción de las viviendas con cargo al Convenio 002 de 2007.</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sz w:val="24"/>
          <w:szCs w:val="24"/>
          <w:u w:val="single"/>
          <w:lang w:val="es-ES_tradnl" w:eastAsia="es-ES"/>
        </w:rPr>
        <w:t>interventor del proyecto La Cima</w:t>
      </w:r>
      <w:r w:rsidRPr="005E4A12">
        <w:rPr>
          <w:rFonts w:ascii="Arial" w:eastAsia="Times New Roman" w:hAnsi="Arial" w:cs="Arial"/>
          <w:sz w:val="24"/>
          <w:szCs w:val="24"/>
          <w:lang w:val="es-ES_tradnl" w:eastAsia="es-ES"/>
        </w:rPr>
        <w:t>, José Raúl Bonilla Zea, afirmó que durante la ejecución de la obra, solo se presentó el inconveniente de acreditación de algunas condiciones de idoneidad del personal de la obra.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La </w:t>
      </w:r>
      <w:r w:rsidRPr="005E4A12">
        <w:rPr>
          <w:rFonts w:ascii="Arial" w:eastAsia="Times New Roman" w:hAnsi="Arial" w:cs="Arial"/>
          <w:sz w:val="24"/>
          <w:szCs w:val="24"/>
          <w:u w:val="single"/>
          <w:lang w:val="es-ES_tradnl" w:eastAsia="es-ES"/>
        </w:rPr>
        <w:t>Secretaria del contratista</w:t>
      </w:r>
      <w:r w:rsidRPr="005E4A12">
        <w:rPr>
          <w:rFonts w:ascii="Arial" w:eastAsia="Times New Roman" w:hAnsi="Arial" w:cs="Arial"/>
          <w:sz w:val="24"/>
          <w:szCs w:val="24"/>
          <w:lang w:val="es-ES_tradnl" w:eastAsia="es-ES"/>
        </w:rPr>
        <w:t>, Alba Nury López Rendón, manifestó que la Gestora Urbana de Ibagué no les recibía las viviendas terminadas ante la falta de las obras de urbanismo que era una obligación a cargo de la contratante.</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b/>
          <w:sz w:val="24"/>
          <w:szCs w:val="24"/>
          <w:lang w:val="es-ES" w:eastAsia="es-ES"/>
        </w:rPr>
        <w:t>2. Trámite de instancia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La Sección Cuarta del Consejo de Estado, mediante auto de 26 de febrero de 2016</w:t>
      </w:r>
      <w:r w:rsidRPr="005E4A12">
        <w:rPr>
          <w:rStyle w:val="Refdenotaalpie"/>
          <w:rFonts w:ascii="Arial" w:eastAsia="Times New Roman" w:hAnsi="Arial" w:cs="Arial"/>
          <w:sz w:val="24"/>
          <w:szCs w:val="24"/>
          <w:lang w:val="es-ES" w:eastAsia="es-ES"/>
        </w:rPr>
        <w:footnoteReference w:id="5"/>
      </w:r>
      <w:r w:rsidRPr="005E4A12">
        <w:rPr>
          <w:rFonts w:ascii="Arial" w:eastAsia="Times New Roman" w:hAnsi="Arial" w:cs="Arial"/>
          <w:sz w:val="24"/>
          <w:szCs w:val="24"/>
          <w:lang w:val="es-ES" w:eastAsia="es-ES"/>
        </w:rPr>
        <w:t>, requirió al actor para que aclarara los hechos materia de tutela y anexara las providencias atacadas. En cumplimiento de ello, el tutelante presentó escrito de subsanación el 8 de marzo de 2016</w:t>
      </w:r>
      <w:r w:rsidRPr="005E4A12">
        <w:rPr>
          <w:rStyle w:val="Refdenotaalpie"/>
          <w:rFonts w:ascii="Arial" w:eastAsia="Times New Roman" w:hAnsi="Arial" w:cs="Arial"/>
          <w:sz w:val="24"/>
          <w:szCs w:val="24"/>
          <w:lang w:val="es-ES" w:eastAsia="es-ES"/>
        </w:rPr>
        <w:footnoteReference w:id="6"/>
      </w:r>
      <w:r w:rsidRPr="005E4A12">
        <w:rPr>
          <w:rFonts w:ascii="Arial" w:eastAsia="Times New Roman" w:hAnsi="Arial" w:cs="Arial"/>
          <w:sz w:val="24"/>
          <w:szCs w:val="24"/>
          <w:lang w:val="es-ES" w:eastAsia="es-ES"/>
        </w:rPr>
        <w:t xml:space="preserve"> y, la demanda fue admitida mediante auto de 15 de marzo de 2016</w:t>
      </w:r>
      <w:r w:rsidRPr="005E4A12">
        <w:rPr>
          <w:rStyle w:val="Refdenotaalpie"/>
          <w:rFonts w:ascii="Arial" w:eastAsia="Times New Roman" w:hAnsi="Arial" w:cs="Arial"/>
          <w:sz w:val="24"/>
          <w:szCs w:val="24"/>
          <w:lang w:val="es-ES" w:eastAsia="es-ES"/>
        </w:rPr>
        <w:footnoteReference w:id="7"/>
      </w:r>
      <w:r w:rsidRPr="005E4A12">
        <w:rPr>
          <w:rFonts w:ascii="Arial" w:eastAsia="Times New Roman" w:hAnsi="Arial" w:cs="Arial"/>
          <w:sz w:val="24"/>
          <w:szCs w:val="24"/>
          <w:lang w:val="es-ES" w:eastAsia="es-ES"/>
        </w:rPr>
        <w:t>, en el que se ordenó notificar, a las partes demandante y a la autoridad judicial accionada, a la Gestora Urbana de Ibagué en calidad de tercero interesado en el resultado del proceso y a la Agencia Nacional de Defensa Jurídica del Estado.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3. Contestaciones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b/>
          <w:sz w:val="24"/>
          <w:szCs w:val="24"/>
          <w:lang w:val="es-ES" w:eastAsia="es-ES"/>
        </w:rPr>
        <w:t>3.1. El Consejero Ponente del fallo acusado</w:t>
      </w:r>
      <w:r w:rsidRPr="005E4A12">
        <w:rPr>
          <w:rFonts w:ascii="Arial" w:eastAsia="Times New Roman" w:hAnsi="Arial" w:cs="Arial"/>
          <w:sz w:val="24"/>
          <w:szCs w:val="24"/>
          <w:lang w:val="es-ES" w:eastAsia="es-ES"/>
        </w:rPr>
        <w:t>.</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El doctor </w:t>
      </w:r>
      <w:r w:rsidRPr="005E4A12">
        <w:rPr>
          <w:rFonts w:ascii="Arial" w:eastAsia="Times New Roman" w:hAnsi="Arial" w:cs="Arial"/>
          <w:b/>
          <w:sz w:val="24"/>
          <w:szCs w:val="24"/>
          <w:lang w:val="es-ES" w:eastAsia="es-ES"/>
        </w:rPr>
        <w:t>JAIME ORLANDO SANTOFIMIO GAMBOA</w:t>
      </w:r>
      <w:r w:rsidRPr="005E4A12">
        <w:rPr>
          <w:rFonts w:ascii="Arial" w:eastAsia="Times New Roman" w:hAnsi="Arial" w:cs="Arial"/>
          <w:sz w:val="24"/>
          <w:szCs w:val="24"/>
          <w:lang w:val="es-ES" w:eastAsia="es-ES"/>
        </w:rPr>
        <w:t>, mediante escrito obrante en folios 135 a 144 del cuaderno principal, abogó por la improcedencia del amparo con fundamento en que el juez de la tutela contra providencia judicial tiene como límite la verificación del cumplimiento y garantía de los derechos fundamentales, sin que conlleve imponer una interpretación de la ley o una particular forma de apreciación probatoria que considere más acertada que la utilizada por el juez natural (T-008-98, T-357-05 y T-952-06).</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Indicó que el asunto que se discute por vía de amparo carece de relevancia constitucional; la decisión impugnada no vulnera aspectos fundamentales y la irregularidad procesal glosada por el tutelante no tiene efecto decisivo o </w:t>
      </w:r>
      <w:r w:rsidRPr="005E4A12">
        <w:rPr>
          <w:rFonts w:ascii="Arial" w:eastAsia="Times New Roman" w:hAnsi="Arial" w:cs="Arial"/>
          <w:sz w:val="24"/>
          <w:szCs w:val="24"/>
          <w:lang w:val="es-ES" w:eastAsia="es-ES"/>
        </w:rPr>
        <w:lastRenderedPageBreak/>
        <w:t>determinante en la sentencia que se impugna y el actor no identifica los hechos que generaron la vulneración de los derechos vulnerados, pues se limitó a desarrollar argumentos de instancia y, por ello, acusó que el actor lejos de plantear una verdadera cuestión de importancia o relevancia constitucional, busca obtener el reconocimiento de prestaciones que le fueron negadas por el juez natural que decidió sobre el fondo del asunto y, que en últimas, no tienen que ver con la legalidad de la providencia.</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Sobre el fondo de la controversia atinente a la </w:t>
      </w:r>
      <w:r w:rsidRPr="005E4A12">
        <w:rPr>
          <w:rFonts w:ascii="Arial" w:eastAsia="Times New Roman" w:hAnsi="Arial" w:cs="Arial"/>
          <w:b/>
          <w:sz w:val="24"/>
          <w:szCs w:val="24"/>
          <w:u w:val="single"/>
          <w:lang w:val="es-ES" w:eastAsia="es-ES"/>
        </w:rPr>
        <w:t>denegatoria de acceder a la pretensión de restablecer el equilibrio financiero del contrato</w:t>
      </w:r>
      <w:r w:rsidRPr="005E4A12">
        <w:rPr>
          <w:rFonts w:ascii="Arial" w:eastAsia="Times New Roman" w:hAnsi="Arial" w:cs="Arial"/>
          <w:sz w:val="24"/>
          <w:szCs w:val="24"/>
          <w:lang w:val="es-ES" w:eastAsia="es-ES"/>
        </w:rPr>
        <w:t>, indicó que el fallo cuestionado se basó en que no probó los requisitos concurrentes que le daban viabilidad a esta clase de reclamación, a saber: i) que la ruptura de la ecuación financiera sea grave; ii) que por medio probatorio idóneo se encuentre acreditada la relación entre la situación fáctica alegada como desequilibrante y la ruptura grave del equilibrio económico; iii) que la situación fáctica alegada como desequilibrante no corresponda a un riesgo propio de la actividad que deba ser asumido por una de las partes contractuales; iv) que se realicen de manera oportuna solicitudes, reclamaciones o salvedades sobre los hechos generadores de la ruptura del equilibrio financiero del contrato, que se exigen una vez ocurrido el desequilibrio y que deben quedar plasmadas al suscribir las “</w:t>
      </w:r>
      <w:r w:rsidRPr="005E4A12">
        <w:rPr>
          <w:rFonts w:ascii="Arial" w:eastAsia="Times New Roman" w:hAnsi="Arial" w:cs="Arial"/>
          <w:i/>
          <w:sz w:val="24"/>
          <w:szCs w:val="24"/>
          <w:lang w:val="es-ES" w:eastAsia="es-ES"/>
        </w:rPr>
        <w:t>suspensiones, adiciones o prórrogas del plazo contractual, contratos adicionales y otros sí (…)</w:t>
      </w:r>
      <w:r w:rsidRPr="005E4A12">
        <w:rPr>
          <w:rFonts w:ascii="Arial" w:eastAsia="Times New Roman" w:hAnsi="Arial" w:cs="Arial"/>
          <w:sz w:val="24"/>
          <w:szCs w:val="24"/>
          <w:lang w:val="es-ES" w:eastAsia="es-ES"/>
        </w:rPr>
        <w:t>”; v) que esas solicitudes referidas se realicen en forma específica y concreta mediante la precisión de concepto, tiempo y valor, no siendo de recibo aquellas formuladas de manera general y abstracta.</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En el caso concreto, el juez de instancia inició la verificación de presupuestos de procedencia en la oportunidad de las reclamaciones de los hechos que para el interesado alteraron el equilibrio financiero del contrato y, se encontró q</w:t>
      </w:r>
      <w:r w:rsidR="00695840" w:rsidRPr="005E4A12">
        <w:rPr>
          <w:rFonts w:ascii="Arial" w:eastAsia="Times New Roman" w:hAnsi="Arial" w:cs="Arial"/>
          <w:sz w:val="24"/>
          <w:szCs w:val="24"/>
          <w:lang w:val="es-ES" w:eastAsia="es-ES"/>
        </w:rPr>
        <w:t>ue aquellos no fueron probados.</w:t>
      </w:r>
    </w:p>
    <w:p w:rsidR="00695840" w:rsidRPr="005E4A12" w:rsidRDefault="00695840"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Frente a la censura tutelar sobre la declaratoria de </w:t>
      </w:r>
      <w:r w:rsidRPr="005E4A12">
        <w:rPr>
          <w:rFonts w:ascii="Arial" w:eastAsia="Times New Roman" w:hAnsi="Arial" w:cs="Arial"/>
          <w:b/>
          <w:sz w:val="24"/>
          <w:szCs w:val="24"/>
          <w:u w:val="single"/>
          <w:lang w:val="es-ES" w:eastAsia="es-ES"/>
        </w:rPr>
        <w:t>falta de legitimación en la causa por pasiva del municipio de Ibagué</w:t>
      </w:r>
      <w:r w:rsidRPr="005E4A12">
        <w:rPr>
          <w:rFonts w:ascii="Arial" w:eastAsia="Times New Roman" w:hAnsi="Arial" w:cs="Arial"/>
          <w:sz w:val="24"/>
          <w:szCs w:val="24"/>
          <w:lang w:val="es-ES" w:eastAsia="es-ES"/>
        </w:rPr>
        <w:t>, esta aun cuando prosperara no tiene la entidad para cambiar la decisión adoptada en segunda instancia.</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La tutela no reúne los requisitos específicos de procedibilidad cuando se acciona contra providencia judicial</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b/>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El demandante invocó los defectos fáctico y sustantivo, los cuales no se dieron. En efecto:</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El </w:t>
      </w:r>
      <w:r w:rsidRPr="005E4A12">
        <w:rPr>
          <w:rFonts w:ascii="Arial" w:eastAsia="Times New Roman" w:hAnsi="Arial" w:cs="Arial"/>
          <w:b/>
          <w:sz w:val="24"/>
          <w:szCs w:val="24"/>
          <w:lang w:val="es-ES" w:eastAsia="es-ES"/>
        </w:rPr>
        <w:t>vicio fáctico por la supuesta indebida valoración de las pruebas</w:t>
      </w:r>
      <w:r w:rsidRPr="005E4A12">
        <w:rPr>
          <w:rFonts w:ascii="Arial" w:eastAsia="Times New Roman" w:hAnsi="Arial" w:cs="Arial"/>
          <w:sz w:val="24"/>
          <w:szCs w:val="24"/>
          <w:lang w:val="es-ES" w:eastAsia="es-ES"/>
        </w:rPr>
        <w:t>:</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En la falta de legitimación en la causa por pasiva:</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Por falta de valoración del convenio interadministrativo 0033 de 2 de marzo de 2007 suscrito entre el municipio de Ibagué y la Gestora Urbana y, que dio lugar, según el actor, a la errónea declaración de falta de legitimación en la causa por pasiva del ente territorial.</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Descalificó el argumento del actor porque, precisamente, del acervo probatorio emergió que el convenio asociativo del 1º de febrero de 2007, cuyo desequilibrio demandó el actor, fue celebrado por él con la Gestora Urbana; mientras que el convenio interadministrativo que pretende se incluya, fue celebrado con posterioridad al contrato objeto del medio de controversias contractuales, entre la Gestora y el municipio de Ibagué, sin la concurrencia del contratista.</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Por otra parte, la imputabilidad presupuestal de una eventual condena recae indefectiblemente en la Gestora Urbana. Reiteró que esta decisión no varía ni modifica el fallo en la resolución del fondo de la controversia contractual, cuyo fundamento en la denegatoria parcial de pretensiones fue que no se reunieron los presupuestos para la declaración judicial del desequilibrio económico del contrato.</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b/>
          <w:sz w:val="24"/>
          <w:szCs w:val="24"/>
          <w:u w:val="single"/>
          <w:lang w:val="es-ES" w:eastAsia="es-ES"/>
        </w:rPr>
        <w:t>Sobre el fondo del asunto en controversia</w:t>
      </w:r>
      <w:r w:rsidRPr="005E4A12">
        <w:rPr>
          <w:rFonts w:ascii="Arial" w:eastAsia="Times New Roman" w:hAnsi="Arial" w:cs="Arial"/>
          <w:sz w:val="24"/>
          <w:szCs w:val="24"/>
          <w:lang w:val="es-ES" w:eastAsia="es-ES"/>
        </w:rPr>
        <w:t>:</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Por la indebida valoración del material probatorio que conllevó un fallo incongruente.</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El actor insiste en el restablecimiento del equilibrio económico del contrato, pero omite tener en cuenta uno de los presupuestos más importantes de su procedencia, el de la oportunidad, de conformidad con los artículos 16 y 27 de la Ley 80 de 1993 y, la jurisprudencia de vieja data que ha decantado el asunto, ha indicado que las manifestaciones atinentes a los hechos que hayan alterado la ecuación financiera del contrato deben reclamarse o quedar explícitos al suscribir las suspensiones, adiciones o prórrogas del plazo, los contratos adicionales, los otros sí, etc., porque deben tomarse las medidas para subsanarlos, mediante adición, prórroga, suspensión u otro mecanismo contractual.</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Por eso se afirma que las situaciones referidas se subsanan con el acuerdo adicional o pacto similar que suscriban las partes sin que puedan ser revividos con posterioridad a ellos.</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De tal suerte, que la Sala accionada no fue que dejara de valorar los documentos o situaciones informadas a la entidad contratante sino que encontró que dichas reclamaciones fueron extemporáneas, razón por la cual se desvirtúa el defecto fáctico que indica, el actor en tutela, padece el fallo cuestionado.</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La autoridad accionada consideró que el argumento del actor es carente de prosperidad porque es postura adoptada por el juez de controversias contractuales desde años atrás. Citó como primer antecedente el fallo de 23 de junio de 1992 (rad. 6032), de 22 de noviembre de 2001 (rad. 13356), de 31 de agosto de 2011 (rad. 18080), de 30 de octubre de 2003 (rad. 17213), de 9 de mayo de 2012 (rad. 22087) y de 10 de septiembre de 2014 (rad. 27648).</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Con base en lo anterior, se desvirtúa el referido defecto, aunado a que con la sentencia demandada en tutela lo que se hizo fue respetar la obligatoriedad del precedente, en su </w:t>
      </w:r>
      <w:r w:rsidRPr="005E4A12">
        <w:rPr>
          <w:rFonts w:ascii="Arial" w:eastAsia="Times New Roman" w:hAnsi="Arial" w:cs="Arial"/>
          <w:i/>
          <w:sz w:val="24"/>
          <w:szCs w:val="24"/>
          <w:lang w:val="es-ES" w:eastAsia="es-ES"/>
        </w:rPr>
        <w:t>ratio decidendi</w:t>
      </w:r>
      <w:r w:rsidRPr="005E4A12">
        <w:rPr>
          <w:rFonts w:ascii="Arial" w:eastAsia="Times New Roman" w:hAnsi="Arial" w:cs="Arial"/>
          <w:sz w:val="24"/>
          <w:szCs w:val="24"/>
          <w:lang w:val="es-ES" w:eastAsia="es-ES"/>
        </w:rPr>
        <w:t xml:space="preserve">, en su propuesta de solución en derecho de una </w:t>
      </w:r>
      <w:r w:rsidRPr="005E4A12">
        <w:rPr>
          <w:rFonts w:ascii="Arial" w:eastAsia="Times New Roman" w:hAnsi="Arial" w:cs="Arial"/>
          <w:sz w:val="24"/>
          <w:szCs w:val="24"/>
          <w:lang w:val="es-ES" w:eastAsia="es-ES"/>
        </w:rPr>
        <w:lastRenderedPageBreak/>
        <w:t>situación fáctica y problema jurídico concretos.</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3.2. La tercera con interés directo en las resultas del proceso.</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La </w:t>
      </w:r>
      <w:r w:rsidRPr="005E4A12">
        <w:rPr>
          <w:rFonts w:ascii="Arial" w:eastAsia="Times New Roman" w:hAnsi="Arial" w:cs="Arial"/>
          <w:b/>
          <w:sz w:val="24"/>
          <w:szCs w:val="24"/>
          <w:lang w:val="es-ES" w:eastAsia="es-ES"/>
        </w:rPr>
        <w:t>GESTORA URBANA DEL MUNICIPIO DE IBAGUÉ</w:t>
      </w:r>
      <w:r w:rsidRPr="005E4A12">
        <w:rPr>
          <w:rFonts w:ascii="Arial" w:eastAsia="Times New Roman" w:hAnsi="Arial" w:cs="Arial"/>
          <w:sz w:val="24"/>
          <w:szCs w:val="24"/>
          <w:lang w:val="es-ES" w:eastAsia="es-ES"/>
        </w:rPr>
        <w:t xml:space="preserve"> (parte contratante), intervino a través de la Jefe de su Oficina Jurídica, mediante escrito que reposa en folios 158 y 159 del cuaderno principal, para que se denieguen las pretensiones de amparo. Afirmó que los hechos y pretensiones que se ventilan en la tutela, ya se debatieron en el proceso contractual, frente al cual se agotaron las dos instancias, no siendo viable revivirlos mediante el mecanismo de la tutela, por la insistencia del tutelante de lograr la favorabilidad de sus pretensiones contractuales.</w:t>
      </w: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tabs>
          <w:tab w:val="left" w:pos="1498"/>
        </w:tabs>
        <w:autoSpaceDE w:val="0"/>
        <w:autoSpaceDN w:val="0"/>
        <w:adjustRightInd w:val="0"/>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Indicó además que no se advierte la violación a derechos fundamentales, ni la relevancia constitucional del asunto, tampoco que haya agotado los recursos extraordinarios, lo que evidencia que el actor tiene como propósito convertir la tutela impetrada en una tercera instancia y que se hagan a su favor declaraciones que no logró probar ante el juez natural de la causa.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4. Fallo de primera instancia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b/>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La Sección Cuarta del Consejo de Estado </w:t>
      </w:r>
      <w:r w:rsidRPr="005E4A12">
        <w:rPr>
          <w:rFonts w:ascii="Arial" w:eastAsia="Times New Roman" w:hAnsi="Arial" w:cs="Arial"/>
          <w:b/>
          <w:sz w:val="24"/>
          <w:szCs w:val="24"/>
          <w:lang w:val="es-ES_tradnl" w:eastAsia="es-ES"/>
        </w:rPr>
        <w:t xml:space="preserve">negó </w:t>
      </w:r>
      <w:r w:rsidRPr="005E4A12">
        <w:rPr>
          <w:rFonts w:ascii="Arial" w:eastAsia="Times New Roman" w:hAnsi="Arial" w:cs="Arial"/>
          <w:sz w:val="24"/>
          <w:szCs w:val="24"/>
          <w:lang w:val="es-ES_tradnl" w:eastAsia="es-ES"/>
        </w:rPr>
        <w:t xml:space="preserve">el amparo solicitado por el señor </w:t>
      </w:r>
      <w:r w:rsidRPr="005E4A12">
        <w:rPr>
          <w:rFonts w:ascii="Arial" w:eastAsia="Times New Roman" w:hAnsi="Arial" w:cs="Arial"/>
          <w:b/>
          <w:sz w:val="24"/>
          <w:szCs w:val="24"/>
          <w:lang w:val="es-ES_tradnl" w:eastAsia="es-ES"/>
        </w:rPr>
        <w:t>MILTON ENRIQUE OVIEDO ÁLVAREZ</w:t>
      </w:r>
      <w:r w:rsidRPr="005E4A12">
        <w:rPr>
          <w:rFonts w:ascii="Arial" w:eastAsia="Times New Roman" w:hAnsi="Arial" w:cs="Arial"/>
          <w:sz w:val="24"/>
          <w:szCs w:val="24"/>
          <w:lang w:val="es-ES_tradnl" w:eastAsia="es-ES"/>
        </w:rPr>
        <w:t>, mediante sentencia de 3 de octubre de 2016</w:t>
      </w:r>
      <w:r w:rsidRPr="005E4A12">
        <w:rPr>
          <w:rStyle w:val="Refdenotaalpie"/>
          <w:rFonts w:ascii="Arial" w:eastAsia="Times New Roman" w:hAnsi="Arial" w:cs="Arial"/>
          <w:sz w:val="24"/>
          <w:szCs w:val="24"/>
          <w:lang w:val="es-ES_tradnl" w:eastAsia="es-ES"/>
        </w:rPr>
        <w:footnoteReference w:id="8"/>
      </w:r>
      <w:r w:rsidRPr="005E4A12">
        <w:rPr>
          <w:rFonts w:ascii="Arial" w:eastAsia="Times New Roman" w:hAnsi="Arial" w:cs="Arial"/>
          <w:sz w:val="24"/>
          <w:szCs w:val="24"/>
          <w:lang w:val="es-ES_tradnl" w:eastAsia="es-ES"/>
        </w:rPr>
        <w:t xml:space="preserve">, pues al revisar la providencia atacada, observó que la autoridad accionada precisó en la parte considerativa los argumentos que le llevaron a revocar la declaratoria de incumplimiento por objeto ilícito proferida por el Tribunal </w:t>
      </w:r>
      <w:r w:rsidRPr="005E4A12">
        <w:rPr>
          <w:rFonts w:ascii="Arial" w:eastAsia="Times New Roman" w:hAnsi="Arial" w:cs="Arial"/>
          <w:i/>
          <w:sz w:val="24"/>
          <w:szCs w:val="24"/>
          <w:lang w:val="es-ES_tradnl" w:eastAsia="es-ES"/>
        </w:rPr>
        <w:t>a quo</w:t>
      </w:r>
      <w:r w:rsidRPr="005E4A12">
        <w:rPr>
          <w:rFonts w:ascii="Arial" w:eastAsia="Times New Roman" w:hAnsi="Arial" w:cs="Arial"/>
          <w:sz w:val="24"/>
          <w:szCs w:val="24"/>
          <w:lang w:val="es-ES_tradnl" w:eastAsia="es-ES"/>
        </w:rPr>
        <w:t>; además, asumió el conocimiento del supuesto desequilibrio contractual, el cual finalmente no encontró configurado, por una parte, porque el contrato fue restablecido en su equilibrio económico al momento de suscribir el compromiso adicional, frente al cual reposa acta de iniciación de las obras adicionales, sin que el contratista hiciera salvedad alguna de obligaciones o circunstancias adicionales y, por otra, porque no se probaron las situaciones desequilibrantes de mayor permanencia en la obra, los sobrecostos ni el incumplimiento en el número de lotes entregados. Y agregó:</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ind w:left="567"/>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w:t>
      </w:r>
      <w:r w:rsidRPr="005E4A12">
        <w:rPr>
          <w:rFonts w:ascii="Arial" w:eastAsia="Times New Roman" w:hAnsi="Arial" w:cs="Arial"/>
          <w:i/>
          <w:sz w:val="24"/>
          <w:szCs w:val="24"/>
          <w:lang w:val="es-ES_tradnl" w:eastAsia="es-ES"/>
        </w:rPr>
        <w:t xml:space="preserve">En consecuencia, se advierte que la acción de tutela no está llamada a prosperar, habida cuenta que la decisión judicial cuestionada se encuentra debidamente motivada y se profirió en cumplimiento de las normas y la jurisprudencia del Consejo de Estado, Sección Tercera, que como juez natural del proceso, consideró aplicables al asunto debatido, sin que se evidencien los defectos que se aducen en su contra. En ese orden de ideas, no hay evidencia de que la decisión judicial objeto de tutela comprometa los contenidos constitucionalmente protegidos que ameriten la intervención del juez constitucional, en la medida en que no se trata de un proveído absolutamente caprichoso, arbitrario o carente de justificación o motivación jurídica o que conduzca a la inexistencia de defensa y contradicción dentro del proceso, teniendo en cuenta que el actor tuvo a su disposición y utilizó los medios de defensa establecidos por el legislador para controvertir todos los aspectos respecto de los que se encontraba en desacuerdo y que ahora ataca por vía </w:t>
      </w:r>
      <w:r w:rsidRPr="005E4A12">
        <w:rPr>
          <w:rFonts w:ascii="Arial" w:eastAsia="Times New Roman" w:hAnsi="Arial" w:cs="Arial"/>
          <w:i/>
          <w:sz w:val="24"/>
          <w:szCs w:val="24"/>
          <w:lang w:val="es-ES_tradnl" w:eastAsia="es-ES"/>
        </w:rPr>
        <w:lastRenderedPageBreak/>
        <w:t>de tutela</w:t>
      </w:r>
      <w:r w:rsidRPr="005E4A12">
        <w:rPr>
          <w:rFonts w:ascii="Arial" w:eastAsia="Times New Roman" w:hAnsi="Arial" w:cs="Arial"/>
          <w:sz w:val="24"/>
          <w:szCs w:val="24"/>
          <w:lang w:val="es-ES_tradnl" w:eastAsia="es-ES"/>
        </w:rPr>
        <w:t>”.</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Indicó que no constituye defecto el hecho de que el interesado no comparta las consideraciones y la decisión del juez natural, al punto que las discrepancias razonables de interpretación de la normativa no supone la violación de derechos fundamentales, de ahí que no sea viable, por vía de tutela, revivir discusiones debidamente resueltas por el juez natural, ni transformarla en una tercera instancia.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shd w:val="clear" w:color="auto" w:fill="FFFFFF"/>
        <w:spacing w:line="276" w:lineRule="auto"/>
        <w:contextualSpacing/>
        <w:jc w:val="both"/>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5.  La impugnación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actor </w:t>
      </w:r>
      <w:r w:rsidRPr="005E4A12">
        <w:rPr>
          <w:rFonts w:ascii="Arial" w:eastAsia="Times New Roman" w:hAnsi="Arial" w:cs="Arial"/>
          <w:b/>
          <w:sz w:val="24"/>
          <w:szCs w:val="24"/>
          <w:lang w:val="es-ES_tradnl" w:eastAsia="es-ES"/>
        </w:rPr>
        <w:t>MILTON ENRIQUE OVIEDO ÁLVAREZ</w:t>
      </w:r>
      <w:r w:rsidRPr="005E4A12">
        <w:rPr>
          <w:rFonts w:ascii="Arial" w:eastAsia="Times New Roman" w:hAnsi="Arial" w:cs="Arial"/>
          <w:sz w:val="24"/>
          <w:szCs w:val="24"/>
          <w:lang w:val="es-ES_tradnl" w:eastAsia="es-ES"/>
        </w:rPr>
        <w:t>,</w:t>
      </w:r>
      <w:r w:rsidRPr="005E4A12">
        <w:rPr>
          <w:rFonts w:ascii="Arial" w:eastAsia="Times New Roman" w:hAnsi="Arial" w:cs="Arial"/>
          <w:b/>
          <w:sz w:val="24"/>
          <w:szCs w:val="24"/>
          <w:lang w:val="es-ES_tradnl" w:eastAsia="es-ES"/>
        </w:rPr>
        <w:t xml:space="preserve"> </w:t>
      </w:r>
      <w:r w:rsidRPr="005E4A12">
        <w:rPr>
          <w:rFonts w:ascii="Arial" w:eastAsia="Times New Roman" w:hAnsi="Arial" w:cs="Arial"/>
          <w:sz w:val="24"/>
          <w:szCs w:val="24"/>
          <w:lang w:val="es-ES_tradnl" w:eastAsia="es-ES"/>
        </w:rPr>
        <w:t>inconforme con la decisión, la impugnó mediante escrito que reposa en folios 202 a 227 vuelto del cuaderno principal.</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Indicó que la sentencia de tutela proferida por el </w:t>
      </w:r>
      <w:r w:rsidRPr="005E4A12">
        <w:rPr>
          <w:rFonts w:ascii="Arial" w:eastAsia="Times New Roman" w:hAnsi="Arial" w:cs="Arial"/>
          <w:i/>
          <w:sz w:val="24"/>
          <w:szCs w:val="24"/>
          <w:lang w:val="es-ES_tradnl" w:eastAsia="es-ES"/>
        </w:rPr>
        <w:t>a quo</w:t>
      </w:r>
      <w:r w:rsidRPr="005E4A12">
        <w:rPr>
          <w:rFonts w:ascii="Arial" w:eastAsia="Times New Roman" w:hAnsi="Arial" w:cs="Arial"/>
          <w:sz w:val="24"/>
          <w:szCs w:val="24"/>
          <w:lang w:val="es-ES_tradnl" w:eastAsia="es-ES"/>
        </w:rPr>
        <w:t xml:space="preserve"> fue escueta y simple, cuyo contenido, en su mayoría fue ocupado por el relato de antecedentes, sin analizar los cuestionamientos que se hicieran contra la sentencia demandada en tutela. Omitió hacer el estudio de la cadena argumentativa con la que se pretendió explicar los yerros en que incurrió el juez del contrato y la violación de los derechos fundamentales del actor. No asumió el estudio de la carga probatoria aportada por el actor de cara a la controversia contractual para que se analizaran los yerros planteados en la tutela de los que adolece la decisión de la Sección Tercera.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Aseveró que motivar es justificar la decisión adoptada, mediante una argumentación convincente e indicadora de la legalidad y racionalidad del fallo, como parte de los principios del sistema de garantías que las constituciones democráticas crean para la tutela de los individuos frente al poder estatal, siendo una de sus manifestaciones el poder jurisdiccional. La motivación es criterio diferenciador entre la racionalidad y la arbitrariedad. El pronunciamiento será arbitrario cuando carece en lo absoluto de fundamento, o teniéndolo, éste es erróneo.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La decisión de tutela en primera instancia presenta una falta de motivación y una motivación defectuosa. Lo primero, por cuanto no analizó los argumentos fácticos ni jurídicos que se le plantearon, por lo cual, con su fallo, vulneró el principio lógico de la razón suficiente. Tampoco efectuó el análisis de los procesos lógicos de los razonamientos que se refieren a las pruebas que se relacionaron en el escrito de amparo. No se expuso la razón de lo resuelto, ni despejó las inquietudes planteadas con la tutela, lo que convierte a la decisión en una “fachada” para cumplir con la formalidad y pretender que la decisión sí tiene motivación, cuando en realidad fue manifiestamente deficitaria.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Superada la argumentación de las generalidades de la motivación que debía contener la sentencia, retomó los planteamientos fundamento de la demanda de tutela, conforme se sintetizó en la parte de antecedentes y que se sustentaron en los defectos fáctico y sustantivo, en dos derroteros: la </w:t>
      </w:r>
      <w:r w:rsidRPr="005E4A12">
        <w:rPr>
          <w:rFonts w:ascii="Arial" w:eastAsia="Times New Roman" w:hAnsi="Arial" w:cs="Arial"/>
          <w:sz w:val="24"/>
          <w:szCs w:val="24"/>
          <w:u w:val="single"/>
          <w:lang w:val="es-ES_tradnl" w:eastAsia="es-ES"/>
        </w:rPr>
        <w:t>falta de legitimación en la causa por pasiva</w:t>
      </w:r>
      <w:r w:rsidRPr="005E4A12">
        <w:rPr>
          <w:rFonts w:ascii="Arial" w:eastAsia="Times New Roman" w:hAnsi="Arial" w:cs="Arial"/>
          <w:sz w:val="24"/>
          <w:szCs w:val="24"/>
          <w:lang w:val="es-ES_tradnl" w:eastAsia="es-ES"/>
        </w:rPr>
        <w:t xml:space="preserve"> del municipio de Ibagué, a lo que se opone, por cuanto no se tuvo en cuenta el convenio interadministrativo 0033 de marzo de 2007 que celebraran la GESTORA URBANA y el MUNICIPIO DE IBAGUÉ</w:t>
      </w:r>
      <w:r w:rsidRPr="005E4A12">
        <w:rPr>
          <w:rFonts w:ascii="Arial" w:eastAsia="Times New Roman" w:hAnsi="Arial" w:cs="Arial"/>
          <w:b/>
          <w:sz w:val="24"/>
          <w:szCs w:val="24"/>
          <w:lang w:val="es-ES_tradnl" w:eastAsia="es-ES"/>
        </w:rPr>
        <w:t xml:space="preserve"> </w:t>
      </w:r>
      <w:r w:rsidRPr="005E4A12">
        <w:rPr>
          <w:rFonts w:ascii="Arial" w:eastAsia="Times New Roman" w:hAnsi="Arial" w:cs="Arial"/>
          <w:sz w:val="24"/>
          <w:szCs w:val="24"/>
          <w:lang w:val="es-ES_tradnl" w:eastAsia="es-ES"/>
        </w:rPr>
        <w:t xml:space="preserve">para la adquisición de los lotes </w:t>
      </w:r>
      <w:r w:rsidRPr="005E4A12">
        <w:rPr>
          <w:rFonts w:ascii="Arial" w:eastAsia="Times New Roman" w:hAnsi="Arial" w:cs="Arial"/>
          <w:sz w:val="24"/>
          <w:szCs w:val="24"/>
          <w:lang w:val="es-ES_tradnl" w:eastAsia="es-ES"/>
        </w:rPr>
        <w:lastRenderedPageBreak/>
        <w:t xml:space="preserve">de terreno en los que el actor (contratista) debía construir las viviendas de interés social, siendo entonces unidad inescindible con el contrato de construcción 002 de febrero de 2007 y, el </w:t>
      </w:r>
      <w:r w:rsidRPr="005E4A12">
        <w:rPr>
          <w:rFonts w:ascii="Arial" w:eastAsia="Times New Roman" w:hAnsi="Arial" w:cs="Arial"/>
          <w:sz w:val="24"/>
          <w:szCs w:val="24"/>
          <w:u w:val="single"/>
          <w:lang w:val="es-ES_tradnl" w:eastAsia="es-ES"/>
        </w:rPr>
        <w:t>no reconocimiento del desequilibrio económico del contrato</w:t>
      </w:r>
      <w:r w:rsidRPr="005E4A12">
        <w:rPr>
          <w:rFonts w:ascii="Arial" w:eastAsia="Times New Roman" w:hAnsi="Arial" w:cs="Arial"/>
          <w:sz w:val="24"/>
          <w:szCs w:val="24"/>
          <w:lang w:val="es-ES_tradnl" w:eastAsia="es-ES"/>
        </w:rPr>
        <w:t xml:space="preserve"> ante la indebida y errada valoración probatoria de los operadores judiciales del contrato, frente a los conceptos de sobrecostos administrativos y financieros en que incurrió por la mayor permanencia en la obra y, de la expectativa de utilidad sobre las 280 viviendas que faltaron por construir debido al incumplimiento atribuible a la GESTORA URBANA y al MUNICIPIO DE IBAGUÉ quienes no legalizaron ni entregaron al contratista los lotes para las construcciones contratadas. Así también, demanda el reajuste del valor del contrato para que el pago se efectúe de conformidad al subsidio familiar de los auxilios de vivienda incrementado anualmente en el s.m.m.l.v.</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En forma literal expuso: “</w:t>
      </w:r>
      <w:r w:rsidRPr="005E4A12">
        <w:rPr>
          <w:rFonts w:ascii="Arial" w:eastAsia="Times New Roman" w:hAnsi="Arial" w:cs="Arial"/>
          <w:i/>
          <w:sz w:val="24"/>
          <w:szCs w:val="24"/>
          <w:lang w:val="es-ES_tradnl" w:eastAsia="es-ES"/>
        </w:rPr>
        <w:t>Todo lo anterior quedó demostrado dentro del expediente; pero la Subsección C y ahora la Sección Cuarta, sin razón valedera dan por no probados tales hechos, circunstancias que emergen clara y objetivamente, de no haberse efectuado la valoración de la prueba documental, pericial y testimonial obrante en el proceso, omisiones que conducen a la Subsección C de la Sección Tercera del Consejo de Estado y a la Sección Cuarta de la misma Corporación a proferir unos fallos ajenos a la realidad fáctica probatoria existente dentro del proceso, porque al no hacer la valoración del pruebas determinantes para identificar la veracidad de los hechos analizados por el juez constitucional, lo condujo a negar una tutela totalmente alejada de la realidad procesal</w:t>
      </w:r>
      <w:r w:rsidRPr="005E4A12">
        <w:rPr>
          <w:rFonts w:ascii="Arial" w:eastAsia="Times New Roman" w:hAnsi="Arial" w:cs="Arial"/>
          <w:sz w:val="24"/>
          <w:szCs w:val="24"/>
          <w:lang w:val="es-ES_tradnl" w:eastAsia="es-ES"/>
        </w:rPr>
        <w:t>” (fl. 226 cdno. ppal.).</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En vía de la impugnación, procedió a relacionar cada prueba que considera se omitió en su valoración y que coincide, en cuanto al defecto fáctico, con el sustento de su demanda de tutela, repitiendo incluso lo que de tiempo atrás alegó en el proceso contractual por vía de la apelación, así: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i)</w:t>
      </w:r>
      <w:r w:rsidRPr="005E4A12">
        <w:rPr>
          <w:rFonts w:ascii="Arial" w:eastAsia="Times New Roman" w:hAnsi="Arial" w:cs="Arial"/>
          <w:sz w:val="24"/>
          <w:szCs w:val="24"/>
          <w:lang w:val="es-ES_tradnl" w:eastAsia="es-ES"/>
        </w:rPr>
        <w:t xml:space="preserve"> otro sí Nº 02 de 27 de diciembre de 2007, en el que se adicionaron las obras necesaria para subsanar los defectos de los lotes y se reconoció el valor y el plazo adicional para su ejecución, pero que no se le reconoció el pago;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ii)</w:t>
      </w:r>
      <w:r w:rsidRPr="005E4A12">
        <w:rPr>
          <w:rFonts w:ascii="Arial" w:eastAsia="Times New Roman" w:hAnsi="Arial" w:cs="Arial"/>
          <w:sz w:val="24"/>
          <w:szCs w:val="24"/>
          <w:lang w:val="es-ES_tradnl" w:eastAsia="es-ES"/>
        </w:rPr>
        <w:t xml:space="preserve"> petición de 28 de enero de 2009 en el que el contratista -hoy tutelante- solicitó a la entidad contratante GESTORA URBANA, el restablecimiento del equilibrio económico del contrato 002 de 1º de febrero de 2007, por la afectación sufrida, en razón a la entrega incompleta, tardía y defectuosa de los lotes para desarrollar los proyectos de vivienda de interés social La Ceibita, El Limón, La Cima y Nueva Castilla, con anexo de cuadro de entrega de los lotes;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iii)</w:t>
      </w:r>
      <w:r w:rsidRPr="005E4A12">
        <w:rPr>
          <w:rFonts w:ascii="Arial" w:eastAsia="Times New Roman" w:hAnsi="Arial" w:cs="Arial"/>
          <w:sz w:val="24"/>
          <w:szCs w:val="24"/>
          <w:lang w:val="es-ES_tradnl" w:eastAsia="es-ES"/>
        </w:rPr>
        <w:t xml:space="preserve"> oficio de 12 de agosto de 2009 en el que el contratista solicita a la contratante el pago de $239.849.198,oo por concepto de obras adicionales realizadas en las urbanizaciones precitadas y que relaciona en cuadro a columnas con el nombre del proyecto, el detalle de las obras y el valor;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iv)</w:t>
      </w:r>
      <w:r w:rsidRPr="005E4A12">
        <w:rPr>
          <w:rFonts w:ascii="Arial" w:eastAsia="Times New Roman" w:hAnsi="Arial" w:cs="Arial"/>
          <w:sz w:val="24"/>
          <w:szCs w:val="24"/>
          <w:lang w:val="es-ES_tradnl" w:eastAsia="es-ES"/>
        </w:rPr>
        <w:t xml:space="preserve"> oficio Nº 2009-3008 de 25 de septiembre de 2009, con el que el contratista pone en conocimiento de la contratante, la relación de “pagos adicionales” para un total de adicionales de $308.701.941;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v)</w:t>
      </w:r>
      <w:r w:rsidRPr="005E4A12">
        <w:rPr>
          <w:rFonts w:ascii="Arial" w:eastAsia="Times New Roman" w:hAnsi="Arial" w:cs="Arial"/>
          <w:sz w:val="24"/>
          <w:szCs w:val="24"/>
          <w:lang w:val="es-ES_tradnl" w:eastAsia="es-ES"/>
        </w:rPr>
        <w:t xml:space="preserve"> oficio 2010-6926 de 25 de mayo de 2010 en el que el contratista informa a la contratante sobre los inconvenientes en la construcción de las viviendas;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vi)</w:t>
      </w:r>
      <w:r w:rsidRPr="005E4A12">
        <w:rPr>
          <w:rFonts w:ascii="Arial" w:eastAsia="Times New Roman" w:hAnsi="Arial" w:cs="Arial"/>
          <w:sz w:val="24"/>
          <w:szCs w:val="24"/>
          <w:lang w:val="es-ES_tradnl" w:eastAsia="es-ES"/>
        </w:rPr>
        <w:t xml:space="preserve"> oficio 8116 de 2 de julio de 2010 del contratista informando a la contratante las inconsistencias presentadas en los proyectos;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vii)</w:t>
      </w:r>
      <w:r w:rsidRPr="005E4A12">
        <w:rPr>
          <w:rFonts w:ascii="Arial" w:eastAsia="Times New Roman" w:hAnsi="Arial" w:cs="Arial"/>
          <w:sz w:val="24"/>
          <w:szCs w:val="24"/>
          <w:lang w:val="es-ES_tradnl" w:eastAsia="es-ES"/>
        </w:rPr>
        <w:t xml:space="preserve"> proyecto de liquidación presentada por el contratista ante la contratante </w:t>
      </w:r>
      <w:r w:rsidRPr="005E4A12">
        <w:rPr>
          <w:rFonts w:ascii="Arial" w:eastAsia="Times New Roman" w:hAnsi="Arial" w:cs="Arial"/>
          <w:i/>
          <w:sz w:val="24"/>
          <w:szCs w:val="24"/>
          <w:lang w:val="es-ES_tradnl" w:eastAsia="es-ES"/>
        </w:rPr>
        <w:t>“en el que consta que por concepto: (i) de obras de urbanismo ejecutadas en el proyecto de Nueva Castilla, etapas 2 y 3 se le adeuda la suma de $167.988.759; (ii) del cobro del 20% de 89 subsidios, se le debe el valor de $147.935.088,oo; (iii) reajuste del precio, le corresponde la suma de $3.949.075.200; (iv) sobrecostos administrativos, se le debe la suma de $143.238.311; y (v) por expectativa de utilidad se le debe el monto de $222.369.840.oo</w:t>
      </w:r>
      <w:r w:rsidRPr="005E4A12">
        <w:rPr>
          <w:rFonts w:ascii="Arial" w:eastAsia="Times New Roman" w:hAnsi="Arial" w:cs="Arial"/>
          <w:sz w:val="24"/>
          <w:szCs w:val="24"/>
          <w:lang w:val="es-ES_tradnl" w:eastAsia="es-ES"/>
        </w:rPr>
        <w:t>”.</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PRUEBAS FRENTE A CADA PROYECTO DE VIVIENDA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El Limón</w:t>
      </w:r>
      <w:r w:rsidRPr="005E4A12">
        <w:rPr>
          <w:rFonts w:ascii="Arial" w:eastAsia="Times New Roman" w:hAnsi="Arial" w:cs="Arial"/>
          <w:sz w:val="24"/>
          <w:szCs w:val="24"/>
          <w:lang w:val="es-ES_tradnl" w:eastAsia="es-ES"/>
        </w:rPr>
        <w:t>: oficio 270 de 30 de enero de 2008 de la contratante, dirigido a Seguros Cóndor S.A. (Aseguradora del proyecto El Limón con cargo a la Póliza Nº 30000) en la cual le informa que a la fecha, al no estar disponible el urbanismo en su totalidad antes del 15 de febrero de 2008 para este proyecto de construcción de 122 viviendas (primera etapa), FONADE no realizaría la supervisión y FIDUCAFÉ S.A. no girará el primer desembolso, lo que obliga a suspender hasta esta fecha, el inicio de las obras de construcción de las viviendas, “ya que se optó por el cobro anticipado”.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La Cima</w:t>
      </w:r>
      <w:r w:rsidRPr="005E4A12">
        <w:rPr>
          <w:rFonts w:ascii="Arial" w:eastAsia="Times New Roman" w:hAnsi="Arial" w:cs="Arial"/>
          <w:sz w:val="24"/>
          <w:szCs w:val="24"/>
          <w:lang w:val="es-ES_tradnl" w:eastAsia="es-ES"/>
        </w:rPr>
        <w:t>: acta de 12 de noviembre de 2008 suscrita por las partes contratantes y el interventor del contrato 002 de 2007, en el que consta, los siguientes hechos: el contratista informa que la manzana Q no se ha terminado aún y el talud colindante a las manzanas L y M se está erosionando. La contratante GESTOR URBANA dice que analizará si el contrato de urbanismo se puede adicionar para adelantar la empradización de los taludes de la urbanización para controlar la erosión y mitigar el derrumbamiento.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Acta de entrega de 13 de noviembre de 2008 en la que la GESTORA URBANA entrega al contratista “los lotes urbanizados correspondientes a la primera etapa del proyecto La Cima” para que inicie la construcción de las viviendas de interés social contratadas. En esta se dejan las constancias del topógrafo y del contratista sobre la visita de campo a los lotes.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Oficio BZ-034-09 de 26 de marzo de 2009 suscrito por el interventor de la obra, en la que informa a la contratante GESTORA URBANA, que el contratista se encontraba trabajando en las 246 viviendas, correspondientes a la etapa 1 y que buscaba cumplir con la entrega de viviendas el 31 de mayo de 2009, razón por la cual le solicitó a la contratante intensificar las labores de redes de servicios en general y remates y pulimento de la obra ejecutada.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Oficio BZ-067-09 de 15 de mayo de 2009 mediante el cual la interventora le indica </w:t>
      </w:r>
      <w:r w:rsidRPr="005E4A12">
        <w:rPr>
          <w:rFonts w:ascii="Arial" w:eastAsia="Times New Roman" w:hAnsi="Arial" w:cs="Arial"/>
          <w:sz w:val="24"/>
          <w:szCs w:val="24"/>
          <w:lang w:val="es-ES_tradnl" w:eastAsia="es-ES"/>
        </w:rPr>
        <w:lastRenderedPageBreak/>
        <w:t>a la contratante que debe realizar unas obras de urbanismo, so pena de verse afectada al entrega de las casas a FONADE y a los beneficiarios: arreglo de taludes y andenes, corrección de conexión de aguas negras a cámara de aguas lluvias, vías de acceso, encauzamiento de aguas lluvias y la realización de escrituras.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Oficio de 29 de enero de 2010, la interventoría solicitó a la contratante la entrega de unos lotes faltantes de la fase 2 del proyecto La Cima.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 xml:space="preserve">Nueva Castilla: </w:t>
      </w:r>
      <w:r w:rsidRPr="005E4A12">
        <w:rPr>
          <w:rFonts w:ascii="Arial" w:eastAsia="Times New Roman" w:hAnsi="Arial" w:cs="Arial"/>
          <w:sz w:val="24"/>
          <w:szCs w:val="24"/>
          <w:lang w:val="es-ES_tradnl" w:eastAsia="es-ES"/>
        </w:rPr>
        <w:t>Oficio BZ-090-09 de 20 de agosto de 2009, en el que la interventora (Etapas 1 y 2) informó a la Gestora Urbana de Ibagué, los aspectos que debían corregirse y las que hacían falta para poder entregar las viviendas antes de 30 de septiembre de 2009.</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Oficio 2009-3083 de 30 de septiembre de 2009, en el que el contratista informó a la gestora urbana, las inconsistencias en la escritura de loteo y en las matrículas inmobiliarias de Nueva Castilla (etapas 2 y 3). La respuesta de la </w:t>
      </w:r>
      <w:r w:rsidRPr="005E4A12">
        <w:rPr>
          <w:rFonts w:ascii="Arial" w:eastAsia="Times New Roman" w:hAnsi="Arial" w:cs="Arial"/>
          <w:b/>
          <w:sz w:val="24"/>
          <w:szCs w:val="24"/>
          <w:lang w:val="es-ES_tradnl" w:eastAsia="es-ES"/>
        </w:rPr>
        <w:t>GESTORA URBANA</w:t>
      </w:r>
      <w:r w:rsidRPr="005E4A12">
        <w:rPr>
          <w:rFonts w:ascii="Arial" w:eastAsia="Times New Roman" w:hAnsi="Arial" w:cs="Arial"/>
          <w:sz w:val="24"/>
          <w:szCs w:val="24"/>
          <w:lang w:val="es-ES_tradnl" w:eastAsia="es-ES"/>
        </w:rPr>
        <w:t xml:space="preserve"> era que estaban subsanando dichas inconsistencias.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Oficio RE-2010-5307 de 15 de febrero de 2010: La </w:t>
      </w:r>
      <w:r w:rsidRPr="005E4A12">
        <w:rPr>
          <w:rFonts w:ascii="Arial" w:eastAsia="Times New Roman" w:hAnsi="Arial" w:cs="Arial"/>
          <w:b/>
          <w:sz w:val="24"/>
          <w:szCs w:val="24"/>
          <w:lang w:val="es-ES_tradnl" w:eastAsia="es-ES"/>
        </w:rPr>
        <w:t xml:space="preserve">GESTORA URBANA </w:t>
      </w:r>
      <w:r w:rsidRPr="005E4A12">
        <w:rPr>
          <w:rFonts w:ascii="Arial" w:eastAsia="Times New Roman" w:hAnsi="Arial" w:cs="Arial"/>
          <w:sz w:val="24"/>
          <w:szCs w:val="24"/>
          <w:lang w:val="es-ES_tradnl" w:eastAsia="es-ES"/>
        </w:rPr>
        <w:t xml:space="preserve">informó que el contratista solicitó a la Gestora Urbana lo siguiente: i) pago de $179.118.587 por obras adicionales aprobadas por acta 28 de mayo de 2009 realizadas en Nueva Castilla, etapas 2 y 3 (ciclópeo para casas, muros de patio, soldado de limpieza, corte y conformación de terrazas y excavaciones en rocas.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Oficio de respuesta de 16 de marzo de 2010: el pago de lo solicitado no se ha realizado porque para la cancelación de dichas sumas de dinero, se requería el aporte de los beneficiarios de las viviendas, los cuales a la fecha no han sido cancelados.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Reclamación prejudicial de 26 de enero de 2011, presentada por con el contratista ante la Gestora Urbana (contratante) en la que puso en su conocimiento lo siguiente: </w:t>
      </w:r>
      <w:r w:rsidRPr="005E4A12">
        <w:rPr>
          <w:rFonts w:ascii="Arial" w:eastAsia="Times New Roman" w:hAnsi="Arial" w:cs="Arial"/>
          <w:i/>
          <w:sz w:val="24"/>
          <w:szCs w:val="24"/>
          <w:lang w:val="es-ES_tradnl" w:eastAsia="es-ES"/>
        </w:rPr>
        <w:t>“a la fecha no se me ha hecho el pago respectivo del porcentaje final adeudado por concepto de las obras de urbanismo ejecutadas y recibidas a satisfacción en su totalidad, del proyecto denominado Nueva Castilla, por parte de la empresa que usted representa…la cual afectó la situación financiera del Convenio Asociativo N° 002 de 2007”</w:t>
      </w:r>
      <w:r w:rsidRPr="005E4A12">
        <w:rPr>
          <w:rFonts w:ascii="Arial" w:eastAsia="Times New Roman" w:hAnsi="Arial" w:cs="Arial"/>
          <w:sz w:val="24"/>
          <w:szCs w:val="24"/>
          <w:lang w:val="es-ES_tradnl" w:eastAsia="es-ES"/>
        </w:rPr>
        <w:t>.</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Respuesta del 9 de febrero de 2011 de la Gestora Urbana a la reclamación prejudicial del contratista: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r w:rsidRPr="005E4A12">
        <w:rPr>
          <w:rFonts w:ascii="Arial" w:eastAsia="Times New Roman" w:hAnsi="Arial" w:cs="Arial"/>
          <w:i/>
          <w:sz w:val="24"/>
          <w:szCs w:val="24"/>
          <w:lang w:val="es-ES_tradnl" w:eastAsia="es-ES"/>
        </w:rPr>
        <w:t>“(…) con relación a las obras adicionales de Nueva Castilla y La Cima, la empresa ya inició el proceso y la toma de medidas para cancelar a usted en el menor tiempo posible a través de la Fiducia la suma de dinero a que haya lugar.</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r w:rsidRPr="005E4A12">
        <w:rPr>
          <w:rFonts w:ascii="Arial" w:eastAsia="Times New Roman" w:hAnsi="Arial" w:cs="Arial"/>
          <w:i/>
          <w:sz w:val="24"/>
          <w:szCs w:val="24"/>
          <w:lang w:val="es-ES_tradnl" w:eastAsia="es-ES"/>
        </w:rPr>
        <w:t xml:space="preserve">(…) frente a su reclamación sobre los dineros correspondientes a las obras de urbanismo de Nueva Castilla los dineros no han sido enviados por parte de la Administración Central, aun así la entidad está realizando el proceso </w:t>
      </w:r>
      <w:r w:rsidRPr="005E4A12">
        <w:rPr>
          <w:rFonts w:ascii="Arial" w:eastAsia="Times New Roman" w:hAnsi="Arial" w:cs="Arial"/>
          <w:i/>
          <w:sz w:val="24"/>
          <w:szCs w:val="24"/>
          <w:lang w:val="es-ES_tradnl" w:eastAsia="es-ES"/>
        </w:rPr>
        <w:lastRenderedPageBreak/>
        <w:t>administrativo interno para entregar a usted una solución pronta y satisfactoria en el menor tiempo posible, lo anterior sin perjuicio de las razones que abiertamente conocemos y aceptamos establecidas en su petición.</w:t>
      </w: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p>
    <w:p w:rsidR="00133748" w:rsidRPr="005E4A12" w:rsidRDefault="00133748" w:rsidP="00133748">
      <w:pPr>
        <w:widowControl w:val="0"/>
        <w:autoSpaceDE w:val="0"/>
        <w:autoSpaceDN w:val="0"/>
        <w:adjustRightInd w:val="0"/>
        <w:spacing w:line="276" w:lineRule="auto"/>
        <w:ind w:left="567"/>
        <w:jc w:val="both"/>
        <w:rPr>
          <w:rFonts w:ascii="Arial" w:eastAsia="Times New Roman" w:hAnsi="Arial" w:cs="Arial"/>
          <w:i/>
          <w:sz w:val="24"/>
          <w:szCs w:val="24"/>
          <w:lang w:val="es-ES_tradnl" w:eastAsia="es-ES"/>
        </w:rPr>
      </w:pPr>
      <w:r w:rsidRPr="005E4A12">
        <w:rPr>
          <w:rFonts w:ascii="Arial" w:eastAsia="Times New Roman" w:hAnsi="Arial" w:cs="Arial"/>
          <w:i/>
          <w:sz w:val="24"/>
          <w:szCs w:val="24"/>
          <w:lang w:val="es-ES_tradnl" w:eastAsia="es-ES"/>
        </w:rPr>
        <w:t>(…) con relación al cobro del 20% requerido por su señoría, los inconvenientes para el pago de los mismos han sido generados por el personal a su cargo, de allí que tal actuación está en su órbita para efecto que el proceso de cobro sea exitoso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 xml:space="preserve">Nueva Castilla – Etapa 1 </w:t>
      </w:r>
      <w:r w:rsidRPr="005E4A12">
        <w:rPr>
          <w:rFonts w:ascii="Arial" w:eastAsia="Times New Roman" w:hAnsi="Arial" w:cs="Arial"/>
          <w:sz w:val="24"/>
          <w:szCs w:val="24"/>
          <w:lang w:val="es-ES_tradnl" w:eastAsia="es-ES"/>
        </w:rPr>
        <w:t>(acta de inicio de 15 de octubre de 2007).</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Oficio de 29 de octubre de 2007 del contratista, mediante el cual solicitó a la Gestora Urbana, tomar las medidas necesarias para solucionar los siguientes imprevistos y poder llevar a cabo la construcción de viviendas en la etapa 1 de Nueva Castilla, a saber: replanteo y nivelación de las manzanas, rellenos de recebos para llegar a las cotas de diseños, ítems no contemplados dentro de la contratación de la construcción de las 133 viviendas.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Oficio de 26 de noviembre de 2007, el contratista solicitó a la Gestora Urbana, la colaboración en el proceso de escrituración de las 133 viviendas de la 1ª etapa de Nueva Castilla, a fin de obtener el 20% del pago por concepto de subsidio de vivienda.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Oficio de 28 de noviembre de 2007, el contratista puso a consideración de la Gestora Urbana, las siguientes cantidades y valores de las actividades a desarrollar, por cuanto una vez iniciada la 1ª etapa de este proyecto -que cuenta con las obras de urbanismo- se encontraron diferencias de niveles en relación con las vías, andenes y cajas de inspección existentes en esta etapa, que obligó a realizar cortes de terreno y rellenos, cuya relación expuso, así:</w:t>
      </w:r>
    </w:p>
    <w:p w:rsidR="00133748" w:rsidRPr="005E4A12" w:rsidRDefault="00133748" w:rsidP="00133748">
      <w:pPr>
        <w:widowControl w:val="0"/>
        <w:autoSpaceDE w:val="0"/>
        <w:autoSpaceDN w:val="0"/>
        <w:adjustRightInd w:val="0"/>
        <w:spacing w:line="276" w:lineRule="auto"/>
        <w:jc w:val="center"/>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ITEMS NO PREVISTOS EN LA URBANIZACIÓN NUEVA CASTILLA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4"/>
        <w:gridCol w:w="2174"/>
        <w:gridCol w:w="2174"/>
        <w:gridCol w:w="2174"/>
      </w:tblGrid>
      <w:tr w:rsidR="00133748" w:rsidRPr="005E4A12" w:rsidTr="00E524A8">
        <w:trPr>
          <w:tblHeader/>
        </w:trPr>
        <w:tc>
          <w:tcPr>
            <w:tcW w:w="2174" w:type="dxa"/>
            <w:shd w:val="clear" w:color="auto" w:fill="C6D9F1"/>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 xml:space="preserve">Ítems </w:t>
            </w:r>
          </w:p>
        </w:tc>
        <w:tc>
          <w:tcPr>
            <w:tcW w:w="2174" w:type="dxa"/>
            <w:shd w:val="clear" w:color="auto" w:fill="C6D9F1"/>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Cantidad</w:t>
            </w:r>
          </w:p>
        </w:tc>
        <w:tc>
          <w:tcPr>
            <w:tcW w:w="2174" w:type="dxa"/>
            <w:shd w:val="clear" w:color="auto" w:fill="C6D9F1"/>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Valor unitario</w:t>
            </w:r>
          </w:p>
        </w:tc>
        <w:tc>
          <w:tcPr>
            <w:tcW w:w="2174" w:type="dxa"/>
            <w:shd w:val="clear" w:color="auto" w:fill="C6D9F1"/>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Valor total</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Corte manual para nivel de terraza incluye retiro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356.05</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$7.343,oo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$2.614.475,15</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Construcción de muro de contención en concreto ciclópeo para cimentación</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36.00</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$215.623,oo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$7.762.428,oo</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Muro en concreto ciclópeo elevado sobre cimiento altura máxima 1.20 m incluye formaleta</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150.05</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$240.435,oo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$36.077.271,75</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Suministro y colocación de </w:t>
            </w:r>
            <w:r w:rsidRPr="005E4A12">
              <w:rPr>
                <w:rFonts w:ascii="Arial" w:eastAsia="Times New Roman" w:hAnsi="Arial" w:cs="Arial"/>
                <w:sz w:val="24"/>
                <w:szCs w:val="24"/>
                <w:lang w:val="es-ES_tradnl" w:eastAsia="es-ES"/>
              </w:rPr>
              <w:lastRenderedPageBreak/>
              <w:t>recebo para relleno compactado cada 15 cm en recebo seleccionado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lastRenderedPageBreak/>
              <w:t>1.878,oo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$32.200,oo</w:t>
            </w:r>
          </w:p>
        </w:tc>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$60.471.600,oo</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Punto sanitario para patio en 3”</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133</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$29.300,oo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$3.896.900,oo</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Demolición con explosivos de piedra incluye cargue y retiro de la misma</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1.00</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$977.500,oo</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$977.500,oo</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p>
        </w:tc>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SUBTOTAL</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$111.800.174</w:t>
            </w:r>
          </w:p>
        </w:tc>
      </w:tr>
      <w:tr w:rsidR="00133748" w:rsidRPr="005E4A12" w:rsidTr="00E524A8">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Precios incluidos A.I.U.</w:t>
            </w:r>
          </w:p>
        </w:tc>
        <w:tc>
          <w:tcPr>
            <w:tcW w:w="2174" w:type="dxa"/>
          </w:tcPr>
          <w:p w:rsidR="00133748" w:rsidRPr="005E4A12" w:rsidRDefault="00133748" w:rsidP="00E524A8">
            <w:pPr>
              <w:widowControl w:val="0"/>
              <w:autoSpaceDE w:val="0"/>
              <w:autoSpaceDN w:val="0"/>
              <w:adjustRightInd w:val="0"/>
              <w:spacing w:line="276" w:lineRule="auto"/>
              <w:jc w:val="both"/>
              <w:rPr>
                <w:rFonts w:ascii="Arial" w:eastAsia="Times New Roman" w:hAnsi="Arial" w:cs="Arial"/>
                <w:sz w:val="24"/>
                <w:szCs w:val="24"/>
                <w:lang w:val="es-ES_tradnl" w:eastAsia="es-ES"/>
              </w:rPr>
            </w:pP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TOTAL</w:t>
            </w:r>
          </w:p>
        </w:tc>
        <w:tc>
          <w:tcPr>
            <w:tcW w:w="2174" w:type="dxa"/>
          </w:tcPr>
          <w:p w:rsidR="00133748" w:rsidRPr="005E4A12" w:rsidRDefault="00133748" w:rsidP="00E524A8">
            <w:pPr>
              <w:widowControl w:val="0"/>
              <w:autoSpaceDE w:val="0"/>
              <w:autoSpaceDN w:val="0"/>
              <w:adjustRightInd w:val="0"/>
              <w:spacing w:line="276" w:lineRule="auto"/>
              <w:jc w:val="center"/>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$119.062.814,90</w:t>
            </w:r>
          </w:p>
        </w:tc>
      </w:tr>
    </w:tbl>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Oficio de 30 de enero de 2008, el contratista informó a la </w:t>
      </w:r>
      <w:r w:rsidRPr="005E4A12">
        <w:rPr>
          <w:rFonts w:ascii="Arial" w:eastAsia="Times New Roman" w:hAnsi="Arial" w:cs="Arial"/>
          <w:b/>
          <w:sz w:val="24"/>
          <w:szCs w:val="24"/>
          <w:lang w:val="es-ES_tradnl" w:eastAsia="es-ES"/>
        </w:rPr>
        <w:t>GESTORA URBANA</w:t>
      </w:r>
      <w:r w:rsidRPr="005E4A12">
        <w:rPr>
          <w:rFonts w:ascii="Arial" w:eastAsia="Times New Roman" w:hAnsi="Arial" w:cs="Arial"/>
          <w:sz w:val="24"/>
          <w:szCs w:val="24"/>
          <w:lang w:val="es-ES_tradnl" w:eastAsia="es-ES"/>
        </w:rPr>
        <w:t>, su preocupación, en relación con el rompimiento de desequilibrio económico que se ha presentado en la ejecución del convenio 002 de 2007, concretamente en cuanto a que solo el 15 de octubre de 2007 se comenzó la 1ª etapa de Nueva Castilla, que es el 5% aproximadamente del total del convenio y ésta comenzó 8 meses después de firmado y se realizó con los subsidios del año 2006 ($8.568.000) -tener en cuenta que en la licitación cada vivienda se presentó por menos del subsidio-.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Insistió en que la falta de escritura del loteo de las 133 viviendas de Nueva Castilla, impide el cobro del 20% final “</w:t>
      </w:r>
      <w:r w:rsidRPr="005E4A12">
        <w:rPr>
          <w:rFonts w:ascii="Arial" w:eastAsia="Times New Roman" w:hAnsi="Arial" w:cs="Arial"/>
          <w:i/>
          <w:sz w:val="24"/>
          <w:szCs w:val="24"/>
          <w:lang w:val="es-ES_tradnl" w:eastAsia="es-ES"/>
        </w:rPr>
        <w:t>por tal motivo, lo más apropiado sería, oportunamente proceder a la revisión de los lotes de los demás proyectos, a fin de evitar que ocurra la situación antes planteada que acarrearía graves perjuicios (…)</w:t>
      </w:r>
      <w:r w:rsidRPr="005E4A12">
        <w:rPr>
          <w:rFonts w:ascii="Arial" w:eastAsia="Times New Roman" w:hAnsi="Arial" w:cs="Arial"/>
          <w:sz w:val="24"/>
          <w:szCs w:val="24"/>
          <w:lang w:val="es-ES_tradnl" w:eastAsia="es-ES"/>
        </w:rPr>
        <w:t>”.</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 </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Oficio de 18 de abril de 2008, el contratista informó a la Gestora Urbana, que las correcciones solicitadas por el interventor en relación con 133 casas son de carácter estético y no afectarán la estabilidad de las estructuras; a la fecha solo le han cancelado el 66% del valor total de contrato adicional suscrito, pese a que el mismo finalizó el 10 de febrero de 2008 y se recibieron todas las obras adicionales a satisfacción; no se está dando cumplimiento a la entrega de escrituras de reloteo, lo que afecta el cobro del 20% estipulado en el Convenio Asociativo 002 de 2007.</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Informe de interventoría de 5 de julio de 2008 que describió los trabajos ejecutados durante el mes de junio de 2008 en la 1ª etapa de Nueva Castilla: en acta de compromiso de 8 de mayo de 2008, el contratista se comprometió a ejecutar las obras en dos meses, los cuales han resultado insuficientes debido a que se han detectado algunas inconsistencias en la obra ejecutada con los planos entregados con la contratante, como la inexistencia de vigas de cimentación y columnas y la falta de continuidad estructural -que en forma permanente ha sido advertida por la interventoría-, aspectos todos éstos que han demorado la ejecución de las reparaciones requeridas.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lastRenderedPageBreak/>
        <w:t>Por su parte el contratista, ha atendido parcialmente lo ordenado por la interventoría, faltando las reparaciones de la armadura de la viga cinta; demolición de algunas columnas en algunas manzanas.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 xml:space="preserve">Nueva Castilla - Etapa 2 </w:t>
      </w:r>
      <w:r w:rsidRPr="005E4A12">
        <w:rPr>
          <w:rFonts w:ascii="Arial" w:eastAsia="Times New Roman" w:hAnsi="Arial" w:cs="Arial"/>
          <w:sz w:val="24"/>
          <w:szCs w:val="24"/>
          <w:lang w:val="es-ES_tradnl" w:eastAsia="es-ES"/>
        </w:rPr>
        <w:t>(Acta de iniciación 6 de noviembre de 2008).</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Informe de 22 de octubre de 2009 de la visita realizada por FONADE como supervisora del Convenio Asociativo 002 de 2007, en la que se recomendó a la contratante, construir lo más pronto posible las vías a nivel base, los sardineles y los andenes de la 2ª etapa de Nueva Castilla.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Nueva Castilla - Etapa 3</w:t>
      </w:r>
      <w:r w:rsidRPr="005E4A12">
        <w:rPr>
          <w:rFonts w:ascii="Arial" w:eastAsia="Times New Roman" w:hAnsi="Arial" w:cs="Arial"/>
          <w:sz w:val="24"/>
          <w:szCs w:val="24"/>
          <w:lang w:val="es-ES_tradnl" w:eastAsia="es-ES"/>
        </w:rPr>
        <w:t xml:space="preserve"> (Acta de iniciación 20 de marzo de 2009).</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-Acta de suspensión de 1° de abril de 2009 suscrita por el interventor y las partes contratantes y el representante de la comunidad, en la que consta que las 264 viviendas de la etapa 3 de Nueva Castilla, se suspenden por término indefinido a la espera de que las condiciones climáticas mejoren.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-Acta de reinicio de obras de 13 de abril de 2009.</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-Informes de interventoría de junio y agosto de 2009 sobre la etapa 3 de Nueva Castilla, en los que solicitó a la contratante terminar de entregar los lotes para no perder continuidad en el trabajo y finalizar las obras de urbanismo y, al contratista, seguir realizando las pruebas de concreto a todos los elementos estructurales.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-Informe de interventoría de septiembre de 2009, en el que consta que el contratista cumplió a cabalidad la construcción de 291 viviendas de la etapa 3 de Nueva Castilla, como lo había exigido la interventoría y solicitó a la contratante finalizar las obras de urbanismo, para que FONADE pudiera realizar la visita de supervisión, en la que se exige el 100% de las obras para poder expedir el certificado de habitabilidad.</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-Informe de FONADE de 3 de diciembre de 2009 contentivo de las conclusiones de la visita de campo, en calidad de supervisora del Convenio Asociativo 002 de 2007, en el que observó que las vías están abiertas, en tierra, sin conformar y no se han construido los sardineles ni los andenes.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Por otra parte, las 291 viviendas se encuentran en ejecución y su avance físico equivale al 80%, advierte que están en actividades de alumbrado eléctrico interno, instalación de combos sanitarios y remates finales de fachada y elementos estructurales; conformando y limpiando patios. Observó algunos defectos por disgregación del concreto, reiterando que tanto el constructor como el interventor debían tomar los correctivos pertinentes. Que el constructor indicó que espera terminar las obras en el mes de febrero de 2010, pero manifestó su preocupación porque la contratante no ha iniciado la construcción de andenes y sardineles.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numPr>
          <w:ilvl w:val="0"/>
          <w:numId w:val="6"/>
        </w:numPr>
        <w:spacing w:line="276" w:lineRule="auto"/>
        <w:jc w:val="center"/>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CONSIDERACIONES DE LA SALA</w:t>
      </w:r>
    </w:p>
    <w:p w:rsidR="00133748" w:rsidRPr="005E4A12" w:rsidRDefault="00133748" w:rsidP="00133748">
      <w:pPr>
        <w:spacing w:line="276" w:lineRule="auto"/>
        <w:jc w:val="both"/>
        <w:rPr>
          <w:rFonts w:ascii="Arial" w:eastAsia="Times New Roman" w:hAnsi="Arial" w:cs="Arial"/>
          <w:b/>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lastRenderedPageBreak/>
        <w:t>1. Competencia</w:t>
      </w:r>
    </w:p>
    <w:p w:rsidR="00133748" w:rsidRPr="005E4A12" w:rsidRDefault="00133748" w:rsidP="00133748">
      <w:pPr>
        <w:tabs>
          <w:tab w:val="left" w:pos="2437"/>
        </w:tabs>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bCs/>
          <w:sz w:val="24"/>
          <w:szCs w:val="24"/>
          <w:lang w:val="es-ES_tradnl" w:eastAsia="es-ES"/>
        </w:rPr>
      </w:pPr>
      <w:r w:rsidRPr="005E4A12">
        <w:rPr>
          <w:rFonts w:ascii="Arial" w:eastAsia="Times New Roman" w:hAnsi="Arial" w:cs="Arial"/>
          <w:bCs/>
          <w:sz w:val="24"/>
          <w:szCs w:val="24"/>
          <w:lang w:val="es-ES_tradnl" w:eastAsia="es-ES"/>
        </w:rPr>
        <w:t>Esta Sala es competente para asumir el conocimiento de la impugnación presentada, según lo establecido por el Decreto No. 2591 de 1991,</w:t>
      </w:r>
      <w:r w:rsidRPr="005E4A12">
        <w:rPr>
          <w:rFonts w:ascii="Arial" w:eastAsia="Times New Roman" w:hAnsi="Arial" w:cs="Arial"/>
          <w:bCs/>
          <w:sz w:val="24"/>
          <w:szCs w:val="24"/>
          <w:vertAlign w:val="superscript"/>
          <w:lang w:val="es-ES_tradnl" w:eastAsia="es-ES"/>
        </w:rPr>
        <w:footnoteReference w:id="9"/>
      </w:r>
      <w:r w:rsidRPr="005E4A12">
        <w:rPr>
          <w:rFonts w:ascii="Arial" w:eastAsia="Times New Roman" w:hAnsi="Arial" w:cs="Arial"/>
          <w:bCs/>
          <w:sz w:val="24"/>
          <w:szCs w:val="24"/>
          <w:lang w:val="es-ES_tradnl" w:eastAsia="es-ES"/>
        </w:rPr>
        <w:t xml:space="preserve"> el artículo 2.2.3.1.2.1 del Decreto No. 1069 de 2015</w:t>
      </w:r>
      <w:r w:rsidRPr="005E4A12">
        <w:rPr>
          <w:rFonts w:ascii="Arial" w:eastAsia="Times New Roman" w:hAnsi="Arial" w:cs="Arial"/>
          <w:bCs/>
          <w:sz w:val="24"/>
          <w:szCs w:val="24"/>
          <w:vertAlign w:val="superscript"/>
          <w:lang w:val="es-ES_tradnl" w:eastAsia="es-ES"/>
        </w:rPr>
        <w:footnoteReference w:id="10"/>
      </w:r>
      <w:r w:rsidRPr="005E4A12">
        <w:rPr>
          <w:rFonts w:ascii="Arial" w:eastAsia="Times New Roman" w:hAnsi="Arial" w:cs="Arial"/>
          <w:bCs/>
          <w:sz w:val="24"/>
          <w:szCs w:val="24"/>
          <w:lang w:val="es-ES_tradnl" w:eastAsia="es-ES"/>
        </w:rPr>
        <w:t xml:space="preserve"> y por el artículo 2º del Acuerdo 55 de 2003</w:t>
      </w:r>
      <w:r w:rsidRPr="005E4A12">
        <w:rPr>
          <w:rFonts w:ascii="Arial" w:eastAsia="Times New Roman" w:hAnsi="Arial" w:cs="Arial"/>
          <w:bCs/>
          <w:sz w:val="24"/>
          <w:szCs w:val="24"/>
          <w:vertAlign w:val="superscript"/>
          <w:lang w:val="es-ES_tradnl" w:eastAsia="es-ES"/>
        </w:rPr>
        <w:footnoteReference w:id="11"/>
      </w:r>
      <w:r w:rsidRPr="005E4A12">
        <w:rPr>
          <w:rFonts w:ascii="Arial" w:eastAsia="Times New Roman" w:hAnsi="Arial" w:cs="Arial"/>
          <w:bCs/>
          <w:sz w:val="24"/>
          <w:szCs w:val="24"/>
          <w:lang w:val="es-ES_tradnl" w:eastAsia="es-ES"/>
        </w:rPr>
        <w:t xml:space="preserve"> de la Sala Plena del Consejo de Estado.</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b/>
          <w:sz w:val="24"/>
          <w:szCs w:val="24"/>
          <w:lang w:val="es-ES_tradnl" w:eastAsia="es-ES"/>
        </w:rPr>
      </w:pPr>
      <w:r w:rsidRPr="005E4A12">
        <w:rPr>
          <w:rFonts w:ascii="Arial" w:eastAsia="Times New Roman" w:hAnsi="Arial" w:cs="Arial"/>
          <w:b/>
          <w:sz w:val="24"/>
          <w:szCs w:val="24"/>
          <w:lang w:val="es-ES_tradnl" w:eastAsia="es-ES"/>
        </w:rPr>
        <w:t>2. Asunto bajo análisis</w:t>
      </w:r>
    </w:p>
    <w:p w:rsidR="00133748" w:rsidRPr="005E4A12" w:rsidRDefault="00133748" w:rsidP="00133748">
      <w:pPr>
        <w:spacing w:line="276" w:lineRule="auto"/>
        <w:jc w:val="both"/>
        <w:rPr>
          <w:rFonts w:ascii="Arial" w:eastAsia="Times New Roman" w:hAnsi="Arial" w:cs="Arial"/>
          <w:b/>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De acuerdo con los antecedentes de la acción de tutela y la impugnación presentada, corresponde a la Sala determinar:</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i. Procedencia de la acción de tutela contra providencias judiciales; superado lo anterior;</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ii. Se debe establecer si el fallo de tutela de primera instancia se debe confirmar, modificar o revocar, a partir de los argumentos dados en la impugnación por el tutelante </w:t>
      </w:r>
      <w:r w:rsidRPr="005E4A12">
        <w:rPr>
          <w:rFonts w:ascii="Arial" w:eastAsia="Times New Roman" w:hAnsi="Arial" w:cs="Arial"/>
          <w:b/>
          <w:sz w:val="24"/>
          <w:szCs w:val="24"/>
          <w:lang w:val="es-ES_tradnl" w:eastAsia="es-ES"/>
        </w:rPr>
        <w:t>MILTON ENRIQUE OVIEDO ÁLVAREZ</w:t>
      </w:r>
      <w:r w:rsidRPr="005E4A12">
        <w:rPr>
          <w:rFonts w:ascii="Arial" w:eastAsia="Times New Roman" w:hAnsi="Arial" w:cs="Arial"/>
          <w:sz w:val="24"/>
          <w:szCs w:val="24"/>
          <w:lang w:val="es-ES_tradnl" w:eastAsia="es-ES"/>
        </w:rPr>
        <w:t xml:space="preserve"> y a partir de la providencia cuestionada, determinar si se vulneraron los derechos fundamentales por él invocados.</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contextualSpacing/>
        <w:jc w:val="both"/>
        <w:outlineLvl w:val="0"/>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3. Procedencia de la acción de tutela contra providencias judiciales</w:t>
      </w:r>
    </w:p>
    <w:p w:rsidR="00133748" w:rsidRPr="005E4A12" w:rsidRDefault="00133748" w:rsidP="00133748">
      <w:pPr>
        <w:spacing w:line="276" w:lineRule="auto"/>
        <w:jc w:val="both"/>
        <w:rPr>
          <w:rFonts w:ascii="Arial" w:eastAsia="Times New Roman" w:hAnsi="Arial" w:cs="Arial"/>
          <w:b/>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La Sala Plena de lo Contencioso Administrativo, en sentencia de 31 de julio de 2012,</w:t>
      </w:r>
      <w:r w:rsidRPr="005E4A12">
        <w:rPr>
          <w:rFonts w:ascii="Arial" w:eastAsia="Times New Roman" w:hAnsi="Arial" w:cs="Arial"/>
          <w:sz w:val="24"/>
          <w:szCs w:val="24"/>
          <w:vertAlign w:val="superscript"/>
          <w:lang w:val="es-ES" w:eastAsia="es-ES"/>
        </w:rPr>
        <w:footnoteReference w:id="12"/>
      </w:r>
      <w:r w:rsidRPr="005E4A12">
        <w:rPr>
          <w:rFonts w:ascii="Arial" w:eastAsia="Times New Roman" w:hAnsi="Arial" w:cs="Arial"/>
          <w:sz w:val="24"/>
          <w:szCs w:val="24"/>
          <w:lang w:val="es-ES" w:eastAsia="es-ES"/>
        </w:rPr>
        <w:t xml:space="preserve"> </w:t>
      </w:r>
      <w:r w:rsidRPr="005E4A12">
        <w:rPr>
          <w:rFonts w:ascii="Arial" w:eastAsia="Times New Roman" w:hAnsi="Arial" w:cs="Arial"/>
          <w:b/>
          <w:sz w:val="24"/>
          <w:szCs w:val="24"/>
          <w:lang w:val="es-ES" w:eastAsia="es-ES"/>
        </w:rPr>
        <w:t xml:space="preserve">unificó </w:t>
      </w:r>
      <w:r w:rsidRPr="005E4A12">
        <w:rPr>
          <w:rFonts w:ascii="Arial" w:eastAsia="Times New Roman" w:hAnsi="Arial" w:cs="Arial"/>
          <w:sz w:val="24"/>
          <w:szCs w:val="24"/>
          <w:lang w:val="es-ES" w:eastAsia="es-ES"/>
        </w:rPr>
        <w:t>la diversidad de criterios que la Corporación tenía sobre la procedencia de la acción de tutela contra providencias judiciales,</w:t>
      </w:r>
      <w:r w:rsidRPr="005E4A12">
        <w:rPr>
          <w:rFonts w:ascii="Arial" w:eastAsia="Times New Roman" w:hAnsi="Arial" w:cs="Arial"/>
          <w:sz w:val="24"/>
          <w:szCs w:val="24"/>
          <w:vertAlign w:val="superscript"/>
          <w:lang w:val="es-ES" w:eastAsia="es-ES"/>
        </w:rPr>
        <w:footnoteReference w:id="13"/>
      </w:r>
      <w:r w:rsidRPr="005E4A12">
        <w:rPr>
          <w:rFonts w:ascii="Arial" w:eastAsia="Times New Roman" w:hAnsi="Arial" w:cs="Arial"/>
          <w:sz w:val="24"/>
          <w:szCs w:val="24"/>
          <w:lang w:val="es-ES" w:eastAsia="es-ES"/>
        </w:rPr>
        <w:t xml:space="preserve"> y en ella concluyó:</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ind w:left="567"/>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 si bien es cierto que el criterio mayoritario de la Sala Plena de lo Contencioso Administrativo ha sido el de considerar improcedente la acción de tutela contra providencias judiciales, no lo es menos que las distintas Secciones que la componen, </w:t>
      </w:r>
      <w:r w:rsidRPr="005E4A12">
        <w:rPr>
          <w:rFonts w:ascii="Arial" w:eastAsia="Times New Roman" w:hAnsi="Arial" w:cs="Arial"/>
          <w:b/>
          <w:sz w:val="24"/>
          <w:szCs w:val="24"/>
          <w:lang w:val="es-ES" w:eastAsia="es-ES"/>
        </w:rPr>
        <w:t>antes y después del pronunciamiento de 29 de junio de 2004 (Expediente AC-10203)</w:t>
      </w:r>
      <w:r w:rsidRPr="005E4A12">
        <w:rPr>
          <w:rFonts w:ascii="Arial" w:eastAsia="Times New Roman" w:hAnsi="Arial" w:cs="Arial"/>
          <w:sz w:val="24"/>
          <w:szCs w:val="24"/>
          <w:lang w:val="es-ES" w:eastAsia="es-ES"/>
        </w:rPr>
        <w:t xml:space="preserve">, han abierto paso a dicha acción constitucional, de manera excepcional, cuando se ha advertido la vulneración de derechos constitucionales fundamentales, </w:t>
      </w:r>
      <w:r w:rsidRPr="005E4A12">
        <w:rPr>
          <w:rFonts w:ascii="Arial" w:eastAsia="Times New Roman" w:hAnsi="Arial" w:cs="Arial"/>
          <w:b/>
          <w:sz w:val="24"/>
          <w:szCs w:val="24"/>
          <w:u w:val="single"/>
          <w:lang w:val="es-ES" w:eastAsia="es-ES"/>
        </w:rPr>
        <w:t>de ahí que se modifique tal criterio radical y se admita, como se hace en esta providencia, que debe acometerse el estudio de fondo, cuando se esté en presencia de providencias judiciales que resulten violatorias de tales derechos, observando al efecto los parámetros fijados hasta el momento Jurisprudencialmente</w:t>
      </w:r>
      <w:r w:rsidRPr="005E4A12">
        <w:rPr>
          <w:rFonts w:ascii="Arial" w:eastAsia="Times New Roman" w:hAnsi="Arial" w:cs="Arial"/>
          <w:sz w:val="24"/>
          <w:szCs w:val="24"/>
          <w:lang w:val="es-ES" w:eastAsia="es-ES"/>
        </w:rPr>
        <w:t>…».</w:t>
      </w:r>
      <w:r w:rsidRPr="005E4A12">
        <w:rPr>
          <w:rFonts w:ascii="Arial" w:eastAsia="Times New Roman" w:hAnsi="Arial" w:cs="Arial"/>
          <w:sz w:val="24"/>
          <w:szCs w:val="24"/>
          <w:vertAlign w:val="superscript"/>
          <w:lang w:val="es-ES" w:eastAsia="es-ES"/>
        </w:rPr>
        <w:footnoteReference w:id="14"/>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Conforme al anterior precedente, es claro que la Corporación ha</w:t>
      </w:r>
      <w:r w:rsidRPr="005E4A12">
        <w:rPr>
          <w:rFonts w:ascii="Arial" w:eastAsia="Times New Roman" w:hAnsi="Arial" w:cs="Arial"/>
          <w:b/>
          <w:sz w:val="24"/>
          <w:szCs w:val="24"/>
          <w:lang w:val="es-ES" w:eastAsia="es-ES"/>
        </w:rPr>
        <w:t xml:space="preserve"> </w:t>
      </w:r>
      <w:r w:rsidRPr="005E4A12">
        <w:rPr>
          <w:rFonts w:ascii="Arial" w:eastAsia="Times New Roman" w:hAnsi="Arial" w:cs="Arial"/>
          <w:sz w:val="24"/>
          <w:szCs w:val="24"/>
          <w:lang w:val="es-ES" w:eastAsia="es-ES"/>
        </w:rPr>
        <w:t>modificado su criterio sobre la procedencia de la acción de tutela</w:t>
      </w:r>
      <w:r w:rsidRPr="005E4A12">
        <w:rPr>
          <w:rFonts w:ascii="Arial" w:eastAsia="Times New Roman" w:hAnsi="Arial" w:cs="Arial"/>
          <w:b/>
          <w:sz w:val="24"/>
          <w:szCs w:val="24"/>
          <w:lang w:val="es-ES" w:eastAsia="es-ES"/>
        </w:rPr>
        <w:t xml:space="preserve"> </w:t>
      </w:r>
      <w:r w:rsidRPr="005E4A12">
        <w:rPr>
          <w:rFonts w:ascii="Arial" w:eastAsia="Times New Roman" w:hAnsi="Arial" w:cs="Arial"/>
          <w:sz w:val="24"/>
          <w:szCs w:val="24"/>
          <w:lang w:val="es-ES" w:eastAsia="es-ES"/>
        </w:rPr>
        <w:t>y, en consecuencia, conforme a él, es necesario</w:t>
      </w:r>
      <w:r w:rsidRPr="005E4A12">
        <w:rPr>
          <w:rFonts w:ascii="Arial" w:eastAsia="Times New Roman" w:hAnsi="Arial" w:cs="Arial"/>
          <w:b/>
          <w:sz w:val="24"/>
          <w:szCs w:val="24"/>
          <w:lang w:val="es-ES" w:eastAsia="es-ES"/>
        </w:rPr>
        <w:t xml:space="preserve"> </w:t>
      </w:r>
      <w:r w:rsidRPr="005E4A12">
        <w:rPr>
          <w:rFonts w:ascii="Arial" w:eastAsia="Times New Roman" w:hAnsi="Arial" w:cs="Arial"/>
          <w:sz w:val="24"/>
          <w:szCs w:val="24"/>
          <w:lang w:val="es-ES" w:eastAsia="es-ES"/>
        </w:rPr>
        <w:t>estudiar las acciones de tutela que se presenten contra providencia judicial y analizar si ellas vulneran algún derecho fundamental, observando al efecto los parámetros fijados hasta el momento por la jurisprudencia, como expresamente lo indica la decisión de unificación.</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Así, para la Sala ahora es importante precisar bajo qué parámetros se hará ese estudio, pues la sentencia de unificación se refirió a los «</w:t>
      </w:r>
      <w:r w:rsidRPr="005E4A12">
        <w:rPr>
          <w:rFonts w:ascii="Arial" w:eastAsia="Times New Roman" w:hAnsi="Arial" w:cs="Arial"/>
          <w:i/>
          <w:sz w:val="24"/>
          <w:szCs w:val="24"/>
          <w:lang w:val="es-ES" w:eastAsia="es-ES"/>
        </w:rPr>
        <w:t>… fijados hasta el momento jurisprudencialmente…</w:t>
      </w:r>
      <w:r w:rsidRPr="005E4A12">
        <w:rPr>
          <w:rFonts w:ascii="Arial" w:eastAsia="Times New Roman" w:hAnsi="Arial" w:cs="Arial"/>
          <w:sz w:val="24"/>
          <w:szCs w:val="24"/>
          <w:lang w:val="es-ES" w:eastAsia="es-ES"/>
        </w:rPr>
        <w:t>».</w:t>
      </w:r>
      <w:r w:rsidRPr="005E4A12">
        <w:rPr>
          <w:rFonts w:ascii="Arial" w:eastAsia="Times New Roman" w:hAnsi="Arial" w:cs="Arial"/>
          <w:i/>
          <w:sz w:val="24"/>
          <w:szCs w:val="24"/>
          <w:lang w:val="es-ES" w:eastAsia="es-ES"/>
        </w:rPr>
        <w:t xml:space="preserve"> </w:t>
      </w:r>
      <w:r w:rsidRPr="005E4A12">
        <w:rPr>
          <w:rFonts w:ascii="Arial" w:eastAsia="Times New Roman" w:hAnsi="Arial" w:cs="Arial"/>
          <w:sz w:val="24"/>
          <w:szCs w:val="24"/>
          <w:lang w:val="es-ES" w:eastAsia="es-ES"/>
        </w:rPr>
        <w:t>En efecto, sabido es que la tutela es un mecanismo residual y excepcional para la protección de derechos fundamentales como lo señala el artículo 86 constitucional y, por ende, la procedencia de esta acción constitucional contra providencia judicial no puede ser ajena a esas características.</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La Corte Constitucional se ha referido en forma amplia</w:t>
      </w:r>
      <w:r w:rsidRPr="005E4A12">
        <w:rPr>
          <w:rFonts w:ascii="Arial" w:eastAsia="Times New Roman" w:hAnsi="Arial" w:cs="Arial"/>
          <w:sz w:val="24"/>
          <w:szCs w:val="24"/>
          <w:vertAlign w:val="superscript"/>
          <w:lang w:val="es-ES" w:eastAsia="es-ES"/>
        </w:rPr>
        <w:footnoteReference w:id="15"/>
      </w:r>
      <w:r w:rsidRPr="005E4A12">
        <w:rPr>
          <w:rFonts w:ascii="Arial" w:eastAsia="Times New Roman" w:hAnsi="Arial" w:cs="Arial"/>
          <w:sz w:val="24"/>
          <w:szCs w:val="24"/>
          <w:lang w:val="es-ES" w:eastAsia="es-ES"/>
        </w:rPr>
        <w:t xml:space="preserve"> a unos requisitos generales y otros específicos de procedencia de la acción de tutela, sin distinguir cuáles dan origen a que se conceda o niegue el derecho al amparo -procedencia sustantiva- y cuáles impiden efectivamente adentrarnos en el fondo del asunto - procedencia adjetiva.</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En ese orden, primero se verificará que la solicitud de tutela cumpla unos presupuestos generales de procedibilidad. Estos requisitos son: </w:t>
      </w:r>
      <w:r w:rsidRPr="005E4A12">
        <w:rPr>
          <w:rFonts w:ascii="Arial" w:eastAsia="Times New Roman" w:hAnsi="Arial" w:cs="Arial"/>
          <w:i/>
          <w:sz w:val="24"/>
          <w:szCs w:val="24"/>
          <w:lang w:val="es-ES" w:eastAsia="es-ES"/>
        </w:rPr>
        <w:t>i)</w:t>
      </w:r>
      <w:r w:rsidRPr="005E4A12">
        <w:rPr>
          <w:rFonts w:ascii="Arial" w:eastAsia="Times New Roman" w:hAnsi="Arial" w:cs="Arial"/>
          <w:sz w:val="24"/>
          <w:szCs w:val="24"/>
          <w:lang w:val="es-ES" w:eastAsia="es-ES"/>
        </w:rPr>
        <w:t xml:space="preserve"> que no se trate de tutela contra tutela; </w:t>
      </w:r>
      <w:r w:rsidRPr="005E4A12">
        <w:rPr>
          <w:rFonts w:ascii="Arial" w:eastAsia="Times New Roman" w:hAnsi="Arial" w:cs="Arial"/>
          <w:i/>
          <w:sz w:val="24"/>
          <w:szCs w:val="24"/>
          <w:lang w:val="es-ES" w:eastAsia="es-ES"/>
        </w:rPr>
        <w:t>ii)</w:t>
      </w:r>
      <w:r w:rsidRPr="005E4A12">
        <w:rPr>
          <w:rFonts w:ascii="Arial" w:eastAsia="Times New Roman" w:hAnsi="Arial" w:cs="Arial"/>
          <w:sz w:val="24"/>
          <w:szCs w:val="24"/>
          <w:lang w:val="es-ES" w:eastAsia="es-ES"/>
        </w:rPr>
        <w:t xml:space="preserve"> subsidiariedad, es decir, agotamiento de los requisitos ordinarios y extraordinarios, siempre y cuando ellos sean idóneos y eficaces para la protección del derecho que se dice vulnerado; y</w:t>
      </w:r>
      <w:r w:rsidRPr="005E4A12">
        <w:rPr>
          <w:rFonts w:ascii="Arial" w:eastAsia="Times New Roman" w:hAnsi="Arial" w:cs="Arial"/>
          <w:i/>
          <w:sz w:val="24"/>
          <w:szCs w:val="24"/>
          <w:lang w:val="es-ES" w:eastAsia="es-ES"/>
        </w:rPr>
        <w:t xml:space="preserve"> iii)</w:t>
      </w:r>
      <w:r w:rsidRPr="005E4A12">
        <w:rPr>
          <w:rFonts w:ascii="Arial" w:eastAsia="Times New Roman" w:hAnsi="Arial" w:cs="Arial"/>
          <w:sz w:val="24"/>
          <w:szCs w:val="24"/>
          <w:lang w:val="es-ES" w:eastAsia="es-ES"/>
        </w:rPr>
        <w:t xml:space="preserve"> inmediatez.</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Cuando no se cumpla con uno de esos presupuestos, la Sección declarará </w:t>
      </w:r>
      <w:r w:rsidRPr="005E4A12">
        <w:rPr>
          <w:rFonts w:ascii="Arial" w:eastAsia="Times New Roman" w:hAnsi="Arial" w:cs="Arial"/>
          <w:b/>
          <w:sz w:val="24"/>
          <w:szCs w:val="24"/>
          <w:lang w:val="es-ES" w:eastAsia="es-ES"/>
        </w:rPr>
        <w:t>improcedente</w:t>
      </w:r>
      <w:r w:rsidRPr="005E4A12">
        <w:rPr>
          <w:rFonts w:ascii="Arial" w:eastAsia="Times New Roman" w:hAnsi="Arial" w:cs="Arial"/>
          <w:sz w:val="24"/>
          <w:szCs w:val="24"/>
          <w:lang w:val="es-ES" w:eastAsia="es-ES"/>
        </w:rPr>
        <w:t xml:space="preserve"> el amparo solicitado y no entrará a analizar el fondo del asunto.</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4. Examen de los requisitos: Procedencia adjetiva</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MX" w:eastAsia="es-ES"/>
        </w:rPr>
      </w:pPr>
      <w:r w:rsidRPr="005E4A12">
        <w:rPr>
          <w:rFonts w:ascii="Arial" w:eastAsia="Times New Roman" w:hAnsi="Arial" w:cs="Arial"/>
          <w:sz w:val="24"/>
          <w:szCs w:val="24"/>
          <w:lang w:val="es-ES" w:eastAsia="es-ES"/>
        </w:rPr>
        <w:t xml:space="preserve">La Sala ha establecido que cuando el </w:t>
      </w:r>
      <w:r w:rsidRPr="005E4A12">
        <w:rPr>
          <w:rFonts w:ascii="Arial" w:eastAsia="Times New Roman" w:hAnsi="Arial" w:cs="Arial"/>
          <w:i/>
          <w:sz w:val="24"/>
          <w:szCs w:val="24"/>
          <w:lang w:val="es-ES" w:eastAsia="es-ES"/>
        </w:rPr>
        <w:t>a quo</w:t>
      </w:r>
      <w:r w:rsidRPr="005E4A12">
        <w:rPr>
          <w:rFonts w:ascii="Arial" w:eastAsia="Times New Roman" w:hAnsi="Arial" w:cs="Arial"/>
          <w:sz w:val="24"/>
          <w:szCs w:val="24"/>
          <w:lang w:val="es-ES" w:eastAsia="es-ES"/>
        </w:rPr>
        <w:t xml:space="preserve"> de la tutela ha estudiado el fondo de asunto, es porque </w:t>
      </w:r>
      <w:r w:rsidRPr="005E4A12">
        <w:rPr>
          <w:rFonts w:ascii="Arial" w:eastAsia="Times New Roman" w:hAnsi="Arial" w:cs="Arial"/>
          <w:sz w:val="24"/>
          <w:szCs w:val="24"/>
          <w:lang w:eastAsia="es-ES"/>
        </w:rPr>
        <w:t xml:space="preserve">realizó el debido análisis de los requisitos de procedibilidad y sí los mismos no fueron objeto de impugnación </w:t>
      </w:r>
      <w:r w:rsidRPr="005E4A12">
        <w:rPr>
          <w:rFonts w:ascii="Arial" w:eastAsia="Times New Roman" w:hAnsi="Arial" w:cs="Arial"/>
          <w:sz w:val="24"/>
          <w:szCs w:val="24"/>
          <w:lang w:val="es-ES" w:eastAsia="es-ES"/>
        </w:rPr>
        <w:t>esta Sección entiende que, aquellos se dieron por superados</w:t>
      </w:r>
      <w:r w:rsidRPr="005E4A12">
        <w:rPr>
          <w:rFonts w:ascii="Arial" w:eastAsia="Times New Roman" w:hAnsi="Arial" w:cs="Arial"/>
          <w:sz w:val="24"/>
          <w:szCs w:val="24"/>
          <w:lang w:val="es-MX" w:eastAsia="es-ES"/>
        </w:rPr>
        <w:t>, y por ende, no hay lugar a pronunciarse sobre éstos.</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5. Estudio de fondo</w:t>
      </w:r>
    </w:p>
    <w:p w:rsidR="00133748" w:rsidRPr="005E4A12" w:rsidRDefault="00133748" w:rsidP="00133748">
      <w:pPr>
        <w:tabs>
          <w:tab w:val="left" w:pos="1670"/>
        </w:tabs>
        <w:spacing w:line="276" w:lineRule="auto"/>
        <w:contextualSpacing/>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eastAsia="es-ES"/>
        </w:rPr>
        <w:t xml:space="preserve">A juicio del tutelante </w:t>
      </w:r>
      <w:r w:rsidRPr="005E4A12">
        <w:rPr>
          <w:rFonts w:ascii="Arial" w:eastAsia="Times New Roman" w:hAnsi="Arial" w:cs="Arial"/>
          <w:b/>
          <w:sz w:val="24"/>
          <w:szCs w:val="24"/>
          <w:lang w:eastAsia="es-ES"/>
        </w:rPr>
        <w:t>MILTON ENRIQUE OVIEDO ÁLVAREZ</w:t>
      </w:r>
      <w:r w:rsidRPr="005E4A12">
        <w:rPr>
          <w:rFonts w:ascii="Arial" w:eastAsia="Times New Roman" w:hAnsi="Arial" w:cs="Arial"/>
          <w:sz w:val="24"/>
          <w:szCs w:val="24"/>
          <w:lang w:eastAsia="es-ES"/>
        </w:rPr>
        <w:t>, la Sección Cuarta del Consejo de Estado, al proferir la sentencia de 3 de octubre de 2016</w:t>
      </w:r>
      <w:r w:rsidRPr="005E4A12">
        <w:rPr>
          <w:rFonts w:ascii="Arial" w:eastAsia="Times New Roman" w:hAnsi="Arial" w:cs="Arial"/>
          <w:sz w:val="24"/>
          <w:szCs w:val="24"/>
          <w:vertAlign w:val="superscript"/>
          <w:lang w:eastAsia="es-ES"/>
        </w:rPr>
        <w:footnoteReference w:id="16"/>
      </w:r>
      <w:r w:rsidRPr="005E4A12">
        <w:rPr>
          <w:rFonts w:ascii="Arial" w:eastAsia="Times New Roman" w:hAnsi="Arial" w:cs="Arial"/>
          <w:sz w:val="24"/>
          <w:szCs w:val="24"/>
          <w:lang w:eastAsia="es-ES"/>
        </w:rPr>
        <w:t xml:space="preserve"> omitió motivar y en otros motivó erradamente la decisión denegatoria de amparo y que la Sección Tercera vulneró sus derechos fundamentales al </w:t>
      </w:r>
      <w:r w:rsidRPr="005E4A12">
        <w:rPr>
          <w:rFonts w:ascii="Arial" w:eastAsia="Times New Roman" w:hAnsi="Arial" w:cs="Arial"/>
          <w:sz w:val="24"/>
          <w:szCs w:val="24"/>
          <w:lang w:val="es-ES_tradnl" w:eastAsia="es-ES"/>
        </w:rPr>
        <w:t>debido proceso, al acceso a la justicia, confianza legítima y seguridad jurídica.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eastAsia="es-ES"/>
        </w:rPr>
        <w:lastRenderedPageBreak/>
        <w:t xml:space="preserve">Manifestó que </w:t>
      </w:r>
      <w:r w:rsidRPr="005E4A12">
        <w:rPr>
          <w:rFonts w:ascii="Arial" w:eastAsia="Times New Roman" w:hAnsi="Arial" w:cs="Arial"/>
          <w:sz w:val="24"/>
          <w:szCs w:val="24"/>
          <w:lang w:val="es-ES_tradnl" w:eastAsia="es-ES"/>
        </w:rPr>
        <w:t xml:space="preserve">el juez </w:t>
      </w:r>
      <w:r w:rsidRPr="005E4A12">
        <w:rPr>
          <w:rFonts w:ascii="Arial" w:eastAsia="Times New Roman" w:hAnsi="Arial" w:cs="Arial"/>
          <w:i/>
          <w:sz w:val="24"/>
          <w:szCs w:val="24"/>
          <w:lang w:val="es-ES_tradnl" w:eastAsia="es-ES"/>
        </w:rPr>
        <w:t xml:space="preserve">a quo </w:t>
      </w:r>
      <w:r w:rsidRPr="005E4A12">
        <w:rPr>
          <w:rFonts w:ascii="Arial" w:eastAsia="Times New Roman" w:hAnsi="Arial" w:cs="Arial"/>
          <w:sz w:val="24"/>
          <w:szCs w:val="24"/>
          <w:lang w:val="es-ES_tradnl" w:eastAsia="es-ES"/>
        </w:rPr>
        <w:t>de tutela y el de controversias contractuales, incurre en defectos sustantivo y fáctico.</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b/>
          <w:sz w:val="24"/>
          <w:szCs w:val="24"/>
          <w:lang w:val="es-ES_tradnl" w:eastAsia="es-ES"/>
        </w:rPr>
        <w:t>defecto sustantivo y fáctico</w:t>
      </w:r>
      <w:r w:rsidRPr="005E4A12">
        <w:rPr>
          <w:rFonts w:ascii="Arial" w:eastAsia="Times New Roman" w:hAnsi="Arial" w:cs="Arial"/>
          <w:sz w:val="24"/>
          <w:szCs w:val="24"/>
          <w:lang w:val="es-ES_tradnl" w:eastAsia="es-ES"/>
        </w:rPr>
        <w:t xml:space="preserve"> en cuanto a la declaratoria de falta de legitimación en la causa por pasiva del municipio de Ibagué,</w:t>
      </w:r>
      <w:r w:rsidRPr="005E4A12">
        <w:rPr>
          <w:rFonts w:ascii="Arial" w:hAnsi="Arial" w:cs="Arial"/>
          <w:sz w:val="24"/>
          <w:szCs w:val="24"/>
        </w:rPr>
        <w:t xml:space="preserve"> ante el desconocimiento de las </w:t>
      </w:r>
      <w:r w:rsidRPr="005E4A12">
        <w:rPr>
          <w:rFonts w:ascii="Arial" w:eastAsia="Times New Roman" w:hAnsi="Arial" w:cs="Arial"/>
          <w:sz w:val="24"/>
          <w:szCs w:val="24"/>
          <w:lang w:val="es-ES_tradnl" w:eastAsia="es-ES"/>
        </w:rPr>
        <w:t>normas jurídicas que demuestran que entre el municipio de Ibagué y el Banco Inmobiliario -Gestora Urbana- Empresa Industrial y Comercial del orden municipal-, existe una responsabilidad solidaria para con el contratista -hoy tutelante. Citó como apoyo normativo los artículos 209 de la Constitución Política, 23 de la Ley 80 de 1993, 6 y 38 de la Ley 489 de 1998 (principio de coordinación); 3.2.6.1 del Decreto 734 de 2012.</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Desconocer la legitimación por pasiva del municipio de Ibagué es escindir la unidad entre el convenio interadministrativo y el contrato para la construcción e impedir el cumplimiento de aquel, ya que tiene como finalidad el coordinar sus actuaciones para el adecuado desarrollo del mismo, desconociendo el principio de colaboración.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Por contera, la decisión de declarar la falta de legitimación referida adolece de falta de motivación y a la ignorancia de las cláusulas contractuales 3ª, 4ª, 6ª, 11 y 12 del Convenio 0033; de error de hecho por indebida valoración del material probatorio, por cuanto de este se evidencia como verdad probada que fue el municipio de Ibagué quien presentó el proyecto de elegibilidad ante FINDETER, con fuentes de financiación del Gobierno Nacional, los subsidios de familia para vivienda y fue quien se obligó a aportar en especie los lotes y las obras de urbanismo. Aunado a que la elegibilidad de los proyectos contratados fue tramitada ante FINDETER por dicho Municipio en asocio con la Gestora Urbana. De hecho, el lote fue adquirido por la Gestora Urbana con los recursos que le giró la entidad territorial. Todo lo cual implica que están obligados solidariamente a responder al contratista.</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b/>
          <w:sz w:val="24"/>
          <w:szCs w:val="24"/>
          <w:lang w:val="es-ES_tradnl" w:eastAsia="es-ES"/>
        </w:rPr>
        <w:t>defecto fáctico</w:t>
      </w:r>
      <w:r w:rsidRPr="005E4A12">
        <w:rPr>
          <w:rFonts w:ascii="Arial" w:eastAsia="Times New Roman" w:hAnsi="Arial" w:cs="Arial"/>
          <w:sz w:val="24"/>
          <w:szCs w:val="24"/>
          <w:lang w:val="es-ES_tradnl" w:eastAsia="es-ES"/>
        </w:rPr>
        <w:t xml:space="preserve">, en cuanto a la denegatoria de las pretensiones de desequilibrio de la ecuación económica del contrato, en tanto niega el amparo sin justificación racional, razonable y objetiva, sin analizar y sin valorar las pruebas que se han reiterado en el escrito de apelación. </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Si la sentencia hubiese estudiado las pruebas y argumentos expuestos en la tutela, la decisión sería otra, pues de las pruebas citadas, se evidencia que el contratista a lo largo de la ejecución del contrato, reclama de su entidad contratante y al interventor, la difícil situación económica a la que se ha visto enfrentado como consecuencia de los </w:t>
      </w:r>
      <w:r w:rsidRPr="005E4A12">
        <w:rPr>
          <w:rFonts w:ascii="Arial" w:eastAsia="Times New Roman" w:hAnsi="Arial" w:cs="Arial"/>
          <w:b/>
          <w:sz w:val="24"/>
          <w:szCs w:val="24"/>
          <w:lang w:val="es-ES_tradnl" w:eastAsia="es-ES"/>
        </w:rPr>
        <w:t>sobrecostos administrativos y financieros</w:t>
      </w:r>
      <w:r w:rsidRPr="005E4A12">
        <w:rPr>
          <w:rFonts w:ascii="Arial" w:eastAsia="Times New Roman" w:hAnsi="Arial" w:cs="Arial"/>
          <w:sz w:val="24"/>
          <w:szCs w:val="24"/>
          <w:lang w:val="es-ES_tradnl" w:eastAsia="es-ES"/>
        </w:rPr>
        <w:t xml:space="preserve"> por la mayor permanencia en la obra ejecutada, por causa no imputable al contratista, que se reflejaron en los costos de nómina, taller de ornamentación, arrendamiento de vehículos, servicios públicos, arriendo de oficinas para los años 2009 y 2010; por la entrega tardía, defectuosa e incompleta de los lotes, porque fueron entregados los 133 solo el 7 de enero de 2008 y, luego 264, para ser entregados con las viviendas construidas en 23 días. Además, los 133 lotes fueron entregados con defectos, lo que obligó a ejecutar obras adicionales. Así también, debió </w:t>
      </w:r>
      <w:r w:rsidRPr="005E4A12">
        <w:rPr>
          <w:rFonts w:ascii="Arial" w:eastAsia="Times New Roman" w:hAnsi="Arial" w:cs="Arial"/>
          <w:b/>
          <w:sz w:val="24"/>
          <w:szCs w:val="24"/>
          <w:lang w:val="es-ES_tradnl" w:eastAsia="es-ES"/>
        </w:rPr>
        <w:t>reajustarse el valor del contrato</w:t>
      </w:r>
      <w:r w:rsidRPr="005E4A12">
        <w:rPr>
          <w:rFonts w:ascii="Arial" w:eastAsia="Times New Roman" w:hAnsi="Arial" w:cs="Arial"/>
          <w:sz w:val="24"/>
          <w:szCs w:val="24"/>
          <w:lang w:val="es-ES_tradnl" w:eastAsia="es-ES"/>
        </w:rPr>
        <w:t xml:space="preserve">, de acuerdo con lo pactado en el convenio asociativo para que el pago se efectuara de conformidad con el subsidio familiar de los auxilios de vivienda </w:t>
      </w:r>
      <w:r w:rsidRPr="005E4A12">
        <w:rPr>
          <w:rFonts w:ascii="Arial" w:eastAsia="Times New Roman" w:hAnsi="Arial" w:cs="Arial"/>
          <w:sz w:val="24"/>
          <w:szCs w:val="24"/>
          <w:lang w:val="es-ES_tradnl" w:eastAsia="es-ES"/>
        </w:rPr>
        <w:lastRenderedPageBreak/>
        <w:t xml:space="preserve">incrementado anualmente en el s.m.m.l.v. Era del caso, reconocer la </w:t>
      </w:r>
      <w:r w:rsidRPr="005E4A12">
        <w:rPr>
          <w:rFonts w:ascii="Arial" w:eastAsia="Times New Roman" w:hAnsi="Arial" w:cs="Arial"/>
          <w:b/>
          <w:sz w:val="24"/>
          <w:szCs w:val="24"/>
          <w:lang w:val="es-ES_tradnl" w:eastAsia="es-ES"/>
        </w:rPr>
        <w:t>utilidad esperada</w:t>
      </w:r>
      <w:r w:rsidRPr="005E4A12">
        <w:rPr>
          <w:rFonts w:ascii="Arial" w:eastAsia="Times New Roman" w:hAnsi="Arial" w:cs="Arial"/>
          <w:sz w:val="24"/>
          <w:szCs w:val="24"/>
          <w:lang w:val="es-ES_tradnl" w:eastAsia="es-ES"/>
        </w:rPr>
        <w:t>, porque de las 2.026 casas, solo pudieron construirse 1.746 unidades, porque la Gestora Urbana y el Municipio de Ibagué incumplieron con la entrega de los 280 lotes, pues no los legalizaron.</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Por su parte, el juez </w:t>
      </w:r>
      <w:r w:rsidRPr="005E4A12">
        <w:rPr>
          <w:rFonts w:ascii="Arial" w:eastAsia="Times New Roman" w:hAnsi="Arial" w:cs="Arial"/>
          <w:i/>
          <w:sz w:val="24"/>
          <w:szCs w:val="24"/>
          <w:lang w:val="es-ES_tradnl" w:eastAsia="es-ES"/>
        </w:rPr>
        <w:t xml:space="preserve">ad quem </w:t>
      </w:r>
      <w:r w:rsidRPr="005E4A12">
        <w:rPr>
          <w:rFonts w:ascii="Arial" w:eastAsia="Times New Roman" w:hAnsi="Arial" w:cs="Arial"/>
          <w:sz w:val="24"/>
          <w:szCs w:val="24"/>
          <w:lang w:val="es-ES_tradnl" w:eastAsia="es-ES"/>
        </w:rPr>
        <w:t xml:space="preserve">de controversias contractuales desconoció tales hechos, al afirmar que los hechos desencadenantes del rompimiento del equilibrio del contrato fueron previstos y corregidos en el </w:t>
      </w:r>
      <w:r w:rsidRPr="005E4A12">
        <w:rPr>
          <w:rFonts w:ascii="Arial" w:eastAsia="Times New Roman" w:hAnsi="Arial" w:cs="Arial"/>
          <w:b/>
          <w:sz w:val="24"/>
          <w:szCs w:val="24"/>
          <w:u w:val="single"/>
          <w:lang w:val="es-ES_tradnl" w:eastAsia="es-ES"/>
        </w:rPr>
        <w:t>otro sí suscrito el 02 de diciembre de 2007</w:t>
      </w:r>
      <w:r w:rsidRPr="005E4A12">
        <w:rPr>
          <w:rFonts w:ascii="Arial" w:eastAsia="Times New Roman" w:hAnsi="Arial" w:cs="Arial"/>
          <w:sz w:val="24"/>
          <w:szCs w:val="24"/>
          <w:lang w:val="es-ES_tradnl" w:eastAsia="es-ES"/>
        </w:rPr>
        <w:t>, en el que se adicionaron las obras necesarias para subsanar los defectos de los lotes y se reconoció la adición del valor y el plazo para la ejecución, pero lo que se reclama es que no se ha efectuado el pago de esas obras adicionales y que a lo largo de toda la ejecución del contrato, el contratista le expuso a la GESTORA URBANA</w:t>
      </w:r>
      <w:r w:rsidRPr="005E4A12">
        <w:rPr>
          <w:rFonts w:ascii="Arial" w:eastAsia="Times New Roman" w:hAnsi="Arial" w:cs="Arial"/>
          <w:b/>
          <w:sz w:val="24"/>
          <w:szCs w:val="24"/>
          <w:lang w:val="es-ES_tradnl" w:eastAsia="es-ES"/>
        </w:rPr>
        <w:t xml:space="preserve"> </w:t>
      </w:r>
      <w:r w:rsidRPr="005E4A12">
        <w:rPr>
          <w:rFonts w:ascii="Arial" w:eastAsia="Times New Roman" w:hAnsi="Arial" w:cs="Arial"/>
          <w:sz w:val="24"/>
          <w:szCs w:val="24"/>
          <w:lang w:val="es-ES_tradnl" w:eastAsia="es-ES"/>
        </w:rPr>
        <w:t>el desequilibrio causado al contrato como consecuencia de su incumplimiento.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Concluyó que está demostrado que las obligaciones del contratista no se pudieron cumplir en los plazos inicialmente acordados, por la falta de previsión de la GESTORA URBANA, por la omisión en la adecuación y la entrega tardía de los predios necesarios donde se construirían las viviendas, lo que condujo a un desequilibrio del contrato en contra del contratista, emergiendo un caso de incumplimiento de las obligaciones inherentes al contrato por parte de la contratante y el municipio de Ibagué.</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Así pues, las pruebas e informes de interventoría de la etapa 3 de Nueva Castilla, de junio y agosto de 2009, antes relacionados, </w:t>
      </w:r>
      <w:r w:rsidRPr="005E4A12">
        <w:rPr>
          <w:rFonts w:ascii="Arial" w:eastAsia="Times New Roman" w:hAnsi="Arial" w:cs="Arial"/>
          <w:b/>
          <w:sz w:val="24"/>
          <w:szCs w:val="24"/>
          <w:lang w:val="es-ES_tradnl" w:eastAsia="es-ES"/>
        </w:rPr>
        <w:t>desvirtúan la consideración de la sentencia impugnada en tutela</w:t>
      </w:r>
      <w:r w:rsidRPr="005E4A12">
        <w:rPr>
          <w:rFonts w:ascii="Arial" w:eastAsia="Times New Roman" w:hAnsi="Arial" w:cs="Arial"/>
          <w:sz w:val="24"/>
          <w:szCs w:val="24"/>
          <w:lang w:val="es-ES_tradnl" w:eastAsia="es-ES"/>
        </w:rPr>
        <w:t>, por cuanto demuestran el incumplimiento contractual de la contratante GESTORA URBANA y del MUNICIPIO DE IBAGUÉ, y frente a lo cual, tanto el contratista como le interventoría, los requirieron permanentemente, para que terminaran de entregar los lotes a fin de no perder la continuidad en el trabajo y finalizar las obras de urbanismo y, así, permitir que el contratista pudiera seguir adelantando las pruebas de concreto a todos los elementos estructurales.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Así mismo, en el informe de interventoría de septiembre de 2009, consta que el contratista cumplió a cabalidad la construcción de las 291 viviendas de Nueva Castilla (etapa 3), como lo había exigido la interventoría y, en cambio, le impone a la contratante la terminación de las obras de urbanismo, para permitir la visita de supervisión de FONADE (véase informe de FONADE de 3 diciembre de 2009).</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Además, lo anterior se apuntala con la prueba pericial rendida dentro del proceso el 6 de febrero de 2013 -que desconoce por completo la sentencia- en el que se determinó el monto del desequilibrio contractual y financiero causado en desmedro del contratista, así como las utilidades probables durante el desarrollo y ejecución de los contratos urbanísticos de 2.026 viviendas de interés social tipo 1 en los barrios El Limón, La Ceiba, La Coma y Nueva Castilla y los gastos de administración de la mayor permanencia de la obra en los proyectos contratados.</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El </w:t>
      </w:r>
      <w:r w:rsidRPr="005E4A12">
        <w:rPr>
          <w:rFonts w:ascii="Arial" w:eastAsia="Times New Roman" w:hAnsi="Arial" w:cs="Arial"/>
          <w:b/>
          <w:sz w:val="24"/>
          <w:szCs w:val="24"/>
          <w:lang w:val="es-ES_tradnl" w:eastAsia="es-ES"/>
        </w:rPr>
        <w:t>error de hecho</w:t>
      </w:r>
      <w:r w:rsidRPr="005E4A12">
        <w:rPr>
          <w:rFonts w:ascii="Arial" w:eastAsia="Times New Roman" w:hAnsi="Arial" w:cs="Arial"/>
          <w:sz w:val="24"/>
          <w:szCs w:val="24"/>
          <w:lang w:val="es-ES_tradnl" w:eastAsia="es-ES"/>
        </w:rPr>
        <w:t xml:space="preserve">, entonces es que valoró en forma indebida el material probatorio </w:t>
      </w:r>
      <w:r w:rsidRPr="005E4A12">
        <w:rPr>
          <w:rFonts w:ascii="Arial" w:eastAsia="Times New Roman" w:hAnsi="Arial" w:cs="Arial"/>
          <w:sz w:val="24"/>
          <w:szCs w:val="24"/>
          <w:lang w:val="es-ES_tradnl" w:eastAsia="es-ES"/>
        </w:rPr>
        <w:lastRenderedPageBreak/>
        <w:t>y le llevó a efectuar la afirmación errada de que “</w:t>
      </w:r>
      <w:r w:rsidRPr="005E4A12">
        <w:rPr>
          <w:rFonts w:ascii="Arial" w:eastAsia="Times New Roman" w:hAnsi="Arial" w:cs="Arial"/>
          <w:i/>
          <w:sz w:val="24"/>
          <w:szCs w:val="24"/>
          <w:lang w:val="es-ES_tradnl" w:eastAsia="es-ES"/>
        </w:rPr>
        <w:t>los 279 lotes que no habían sido entregados se encontraban pendientes por contratar</w:t>
      </w:r>
      <w:r w:rsidRPr="005E4A12">
        <w:rPr>
          <w:rFonts w:ascii="Arial" w:eastAsia="Times New Roman" w:hAnsi="Arial" w:cs="Arial"/>
          <w:sz w:val="24"/>
          <w:szCs w:val="24"/>
          <w:lang w:val="es-ES_tradnl" w:eastAsia="es-ES"/>
        </w:rPr>
        <w:t>”, lo cual no corresponde a la realidad porque si ello fuera así no se hablaría de incumplimiento de la entidad contratante. Lo probado es que las obras de construcción sobre esos lotes sí estaban contratadas, pero la GESTORA URBANA incumplió la entrega.</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 xml:space="preserve">Lo anterior generó rompimiento del equilibrio financiero del contrato, que no fue reconocido por la sentencia de controversias contractuales, como lo corroboraron las pruebas documentales, pericial y testimoniales, que dicho fallo no valoró, lo que conllevó un </w:t>
      </w:r>
      <w:r w:rsidRPr="005E4A12">
        <w:rPr>
          <w:rFonts w:ascii="Arial" w:eastAsia="Times New Roman" w:hAnsi="Arial" w:cs="Arial"/>
          <w:b/>
          <w:sz w:val="24"/>
          <w:szCs w:val="24"/>
          <w:lang w:val="es-ES_tradnl" w:eastAsia="es-ES"/>
        </w:rPr>
        <w:t>defecto fáctico</w:t>
      </w:r>
      <w:r w:rsidRPr="005E4A12">
        <w:rPr>
          <w:rFonts w:ascii="Arial" w:eastAsia="Times New Roman" w:hAnsi="Arial" w:cs="Arial"/>
          <w:sz w:val="24"/>
          <w:szCs w:val="24"/>
          <w:lang w:val="es-ES_tradnl" w:eastAsia="es-ES"/>
        </w:rPr>
        <w:t xml:space="preserve"> que se presenta cuando el juez niega o valora la prueba de manera arbitraria, irracional y caprichosa u omite la valoración, como aconteció en este caso.</w:t>
      </w:r>
    </w:p>
    <w:p w:rsidR="00133748" w:rsidRPr="005E4A12" w:rsidRDefault="00133748" w:rsidP="00133748">
      <w:pPr>
        <w:widowControl w:val="0"/>
        <w:autoSpaceDE w:val="0"/>
        <w:autoSpaceDN w:val="0"/>
        <w:adjustRightInd w:val="0"/>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Para determinar si le asiste o no razón a la accionante, lo primero que debe abordar la Sección Quinta como operador </w:t>
      </w:r>
      <w:r w:rsidRPr="005E4A12">
        <w:rPr>
          <w:rFonts w:ascii="Arial" w:eastAsia="Times New Roman" w:hAnsi="Arial" w:cs="Arial"/>
          <w:i/>
          <w:sz w:val="24"/>
          <w:szCs w:val="24"/>
          <w:lang w:eastAsia="es-ES"/>
        </w:rPr>
        <w:t>ad quem</w:t>
      </w:r>
      <w:r w:rsidRPr="005E4A12">
        <w:rPr>
          <w:rFonts w:ascii="Arial" w:eastAsia="Times New Roman" w:hAnsi="Arial" w:cs="Arial"/>
          <w:sz w:val="24"/>
          <w:szCs w:val="24"/>
          <w:lang w:eastAsia="es-ES"/>
        </w:rPr>
        <w:t xml:space="preserve"> del amparo, es que no es viable convertirse en una instancia de la causa ordinaria, es decir, del medio de control de controversias contractuales. Así las cosas, procederá a cotejar los argumentos de la Sección Cuarta con aquellos planteados ante la Sección Tercera -juez del contractual- para determinar si en realidad la sentencia de primera instancia en tutela es carente de motivación o de consideraciones arbitrarias o caprichosas.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5.1. </w:t>
      </w:r>
      <w:r w:rsidRPr="005E4A12">
        <w:rPr>
          <w:rFonts w:ascii="Arial" w:eastAsia="Times New Roman" w:hAnsi="Arial" w:cs="Arial"/>
          <w:b/>
          <w:sz w:val="24"/>
          <w:szCs w:val="24"/>
          <w:lang w:eastAsia="es-ES"/>
        </w:rPr>
        <w:t>DEFECTO SUSTANTIVO Y FÁCTICO (legitimación en la causa por pasiva del municipio de Ibagué)</w:t>
      </w:r>
      <w:r w:rsidRPr="005E4A12">
        <w:rPr>
          <w:rFonts w:ascii="Arial" w:eastAsia="Times New Roman" w:hAnsi="Arial" w:cs="Arial"/>
          <w:sz w:val="24"/>
          <w:szCs w:val="24"/>
          <w:lang w:eastAsia="es-ES"/>
        </w:rPr>
        <w:t>.</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La Sección Cuarta como juez </w:t>
      </w:r>
      <w:r w:rsidRPr="005E4A12">
        <w:rPr>
          <w:rFonts w:ascii="Arial" w:eastAsia="Times New Roman" w:hAnsi="Arial" w:cs="Arial"/>
          <w:i/>
          <w:sz w:val="24"/>
          <w:szCs w:val="24"/>
          <w:lang w:eastAsia="es-ES"/>
        </w:rPr>
        <w:t xml:space="preserve">a quo </w:t>
      </w:r>
      <w:r w:rsidRPr="005E4A12">
        <w:rPr>
          <w:rFonts w:ascii="Arial" w:eastAsia="Times New Roman" w:hAnsi="Arial" w:cs="Arial"/>
          <w:sz w:val="24"/>
          <w:szCs w:val="24"/>
          <w:lang w:eastAsia="es-ES"/>
        </w:rPr>
        <w:t xml:space="preserve">en tutela, omitió pronunciarse sobre este punto, razón por la cual en atención a que fue aspecto planteado desde el inicio de la demanda de tutela y del que se insiste en la impugnación, lo asume en su estudio la Sección Quinta como operador </w:t>
      </w:r>
      <w:r w:rsidRPr="005E4A12">
        <w:rPr>
          <w:rFonts w:ascii="Arial" w:eastAsia="Times New Roman" w:hAnsi="Arial" w:cs="Arial"/>
          <w:i/>
          <w:sz w:val="24"/>
          <w:szCs w:val="24"/>
          <w:lang w:eastAsia="es-ES"/>
        </w:rPr>
        <w:t>ad quem</w:t>
      </w:r>
      <w:r w:rsidRPr="005E4A12">
        <w:rPr>
          <w:rFonts w:ascii="Arial" w:eastAsia="Times New Roman" w:hAnsi="Arial" w:cs="Arial"/>
          <w:sz w:val="24"/>
          <w:szCs w:val="24"/>
          <w:lang w:eastAsia="es-ES"/>
        </w:rPr>
        <w:t xml:space="preserve"> de la tutela y se analizará desde el soporte de la decisión de la Sección Tercera al resolver la controversia contractual.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sustento de la Sección Tercera contenido en el numeral 7 (fls. 1.266 y vto. cdno. 1), fue que el demandante en acción contractual dirigió sus pretensiones contra el MUNICIPIO DE IBAGUÉ y la GESTORA URBANA DE IBAGUÉ, con fundamento en que la entidad territorial fue quien presentó ante FINDETER el programa de vivienda de interés social para la ciudad y quien debía aportar en especie los lotes y realizar las obras de urbanismo.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Pero al analizar las cláusulas del contrato demandado, esto es el Convenio Asociativo 002 de febrero de 2007, desde una interpretación sistemática estudió que si bien el municipio de Ibagué, entre otros, aportaría recursos y que una de las fuentes de financiación del proyecto, era un lote de terreno con obras de urbanismo que aportaría el municipio de Ibagué, lo cierto es que estaba comprometida a entregar los lotes de terreno donde se construirían las viviendas, era la GESTORA URBANA DE IBAGUÉ, quien en el contrato aseveró ser la propietaria de los lotes.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Por otra parte, sí tuvo en cuenta el convenio interadministrativo 0033 de 2 de marzo de 2007, el cual también fue analizado desde su suscripción que fue posterior al contrato objeto de controversia y de su objeto en el que el municipio de Ibagué </w:t>
      </w:r>
      <w:r w:rsidRPr="005E4A12">
        <w:rPr>
          <w:rFonts w:ascii="Arial" w:eastAsia="Times New Roman" w:hAnsi="Arial" w:cs="Arial"/>
          <w:sz w:val="24"/>
          <w:szCs w:val="24"/>
          <w:lang w:eastAsia="es-ES"/>
        </w:rPr>
        <w:lastRenderedPageBreak/>
        <w:t>asignó la suma de $7.100.000.000 a la GESTORA URBANA, para el pago del predio correspondiente a Nueva Castilla y La Ceibita y para la ejecución de las obras de urbanismo en los proyectos de vivienda de interés social aprobados y por aprobar.</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Concluyó que desvincularía al municipio de Ibagué del proceso, por cuanto el contrato cuyo desequilibrio económico fue alegado por el actor, fue suscrito únicamente entre Milton Enrique Oviedo Álvarez y la Gestora Urbana como contratante y ejecutora y sobre quién recaía las obligaciones contractuales de entregar los predios, pese a que los predios y algunos recursos provenían del municipio y de otras entidades.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Para la Sección Quinta, es claro, que a diferencia de lo afirmado por el tutelante, es la literalidad del acuerdo de voluntades la que gobierna y regenta el actuar y desenvolvimiento de las partes en las etapas contractuales y pos contractuales que los vinculan. Lo cierto es que conforme con ese contenido obligacional, la GESTORA URBANA DE IBAGUÉ, según su acto de creación contenido en el Decreto municipal 0175 de 23 de abril de 2002, fue concebida como una forma de solucionar la carencia de un organismo en el Municipio que ejerciera las funciones de banco inmobiliario y operador urbano, a fin de que “…</w:t>
      </w:r>
      <w:r w:rsidRPr="005E4A12">
        <w:rPr>
          <w:rFonts w:ascii="Arial" w:eastAsia="Times New Roman" w:hAnsi="Arial" w:cs="Arial"/>
          <w:i/>
          <w:sz w:val="24"/>
          <w:szCs w:val="24"/>
          <w:lang w:eastAsia="es-ES"/>
        </w:rPr>
        <w:t>articule los esfuerzos de los diferentes entes administrativos y el sector privado (…)</w:t>
      </w:r>
      <w:r w:rsidRPr="005E4A12">
        <w:rPr>
          <w:rFonts w:ascii="Arial" w:eastAsia="Times New Roman" w:hAnsi="Arial" w:cs="Arial"/>
          <w:sz w:val="24"/>
          <w:szCs w:val="24"/>
          <w:lang w:eastAsia="es-ES"/>
        </w:rPr>
        <w:t>” (véanse considerandos del acto), bajo la naturaleza jurídica de empresa industrial y comercial del orden municipal, dotada de personería jurídica, autonomía administrativa, financiera y capital independiente y, dentro de sus actividades, la adquisición de bienes, mediante la enajenación, dación en pago, extinción de dominio, expropiación judicial o administrativa y de los inmuebles necesarios para el cumplimiento de su objeto social (art. 4.1. lit. j.) y en sus facultades, se observan las de llevar a cabo programas de construcción (compra y venta) y adelantar convenios o contratos con otras entidades del sector público o privado que persigan fines compatibles con su objeto (art. 5 nums. 3 y 7). Sus recursos están conformados por los bienes de INFIBAGUÉ y “</w:t>
      </w:r>
      <w:r w:rsidRPr="005E4A12">
        <w:rPr>
          <w:rFonts w:ascii="Arial" w:eastAsia="Times New Roman" w:hAnsi="Arial" w:cs="Arial"/>
          <w:i/>
          <w:sz w:val="24"/>
          <w:szCs w:val="24"/>
          <w:lang w:eastAsia="es-ES"/>
        </w:rPr>
        <w:t>los aportes y bienes muebles e inmuebles… que para fines de su objeto, entregare en propiedad la entidad territorial Municipio de Ibagué, INFIBAGUÉ o terceros, en los términos constitucionales y legales</w:t>
      </w:r>
      <w:r w:rsidRPr="005E4A12">
        <w:rPr>
          <w:rFonts w:ascii="Arial" w:eastAsia="Times New Roman" w:hAnsi="Arial" w:cs="Arial"/>
          <w:sz w:val="24"/>
          <w:szCs w:val="24"/>
          <w:lang w:eastAsia="es-ES"/>
        </w:rPr>
        <w:t>” y todos los bienes, derechos y recursos que reciba a cualquier título provenientes de entidades públicas o privadas, nacionales o internacionales (art. 7 nums. 2 y 6).</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hAnsi="Arial" w:cs="Arial"/>
          <w:sz w:val="24"/>
          <w:szCs w:val="24"/>
        </w:rPr>
      </w:pPr>
      <w:r w:rsidRPr="005E4A12">
        <w:rPr>
          <w:rFonts w:ascii="Arial" w:eastAsia="Times New Roman" w:hAnsi="Arial" w:cs="Arial"/>
          <w:sz w:val="24"/>
          <w:szCs w:val="24"/>
          <w:lang w:eastAsia="es-ES"/>
        </w:rPr>
        <w:t>De tal suerte que al observar el clausulado del Convenio Asociativo 002 de febrero de 2007, le asiste razón a la Sección Tercera, al afirmar que no aparece como sujeto contractual el MUNICIPIO DE IBAGUÉ, con lo cual no se advierte que el hecho de desvincular del proceso contractual, mediante la declaratoria de la falta de legitimación en la causa por pasiva a quien no suscribió el contrato, responde en forma fidedigna a la previsión del artículo 87</w:t>
      </w:r>
      <w:r w:rsidRPr="005E4A12">
        <w:rPr>
          <w:rStyle w:val="Refdenotaalpie"/>
          <w:rFonts w:ascii="Arial" w:eastAsia="Times New Roman" w:hAnsi="Arial" w:cs="Arial"/>
          <w:sz w:val="24"/>
          <w:szCs w:val="24"/>
          <w:lang w:eastAsia="es-ES"/>
        </w:rPr>
        <w:footnoteReference w:id="17"/>
      </w:r>
      <w:r w:rsidRPr="005E4A12">
        <w:rPr>
          <w:rFonts w:ascii="Arial" w:eastAsia="Times New Roman" w:hAnsi="Arial" w:cs="Arial"/>
          <w:sz w:val="24"/>
          <w:szCs w:val="24"/>
          <w:lang w:eastAsia="es-ES"/>
        </w:rPr>
        <w:t xml:space="preserve"> del CCA, vigente para el caso </w:t>
      </w:r>
      <w:r w:rsidRPr="005E4A12">
        <w:rPr>
          <w:rFonts w:ascii="Arial" w:eastAsia="Times New Roman" w:hAnsi="Arial" w:cs="Arial"/>
          <w:sz w:val="24"/>
          <w:szCs w:val="24"/>
          <w:lang w:eastAsia="es-ES"/>
        </w:rPr>
        <w:lastRenderedPageBreak/>
        <w:t xml:space="preserve">concreto al momento de incoar la demanda contractual, por cuanto en materia de controversias contractuales disponía que cualquiera de las </w:t>
      </w:r>
      <w:r w:rsidRPr="005E4A12">
        <w:rPr>
          <w:rFonts w:ascii="Arial" w:eastAsia="Times New Roman" w:hAnsi="Arial" w:cs="Arial"/>
          <w:b/>
          <w:sz w:val="24"/>
          <w:szCs w:val="24"/>
          <w:lang w:eastAsia="es-ES"/>
        </w:rPr>
        <w:t>partes de un contrato estatal</w:t>
      </w:r>
      <w:r w:rsidRPr="005E4A12">
        <w:rPr>
          <w:rFonts w:ascii="Arial" w:eastAsia="Times New Roman" w:hAnsi="Arial" w:cs="Arial"/>
          <w:sz w:val="24"/>
          <w:szCs w:val="24"/>
          <w:lang w:eastAsia="es-ES"/>
        </w:rPr>
        <w:t xml:space="preserve"> era la legitimada para pretensionar</w:t>
      </w:r>
      <w:r w:rsidRPr="005E4A12">
        <w:rPr>
          <w:rFonts w:ascii="Arial" w:hAnsi="Arial" w:cs="Arial"/>
          <w:sz w:val="24"/>
          <w:szCs w:val="24"/>
        </w:rPr>
        <w:t xml:space="preserve"> “</w:t>
      </w:r>
      <w:r w:rsidRPr="005E4A12">
        <w:rPr>
          <w:rFonts w:ascii="Arial" w:hAnsi="Arial" w:cs="Arial"/>
          <w:i/>
          <w:sz w:val="24"/>
          <w:szCs w:val="24"/>
        </w:rPr>
        <w:t>y que se condene al responsable a indemnizar los perjuicios y que se hagan otras declaraciones y condenas”</w:t>
      </w:r>
      <w:r w:rsidRPr="005E4A12">
        <w:rPr>
          <w:rFonts w:ascii="Arial" w:hAnsi="Arial" w:cs="Arial"/>
          <w:sz w:val="24"/>
          <w:szCs w:val="24"/>
        </w:rPr>
        <w:t xml:space="preserve">, no pudiendo conexar en forma directa que el traslado presupuestal o de recursos previstos en la normativa, implique </w:t>
      </w:r>
      <w:r w:rsidRPr="005E4A12">
        <w:rPr>
          <w:rFonts w:ascii="Arial" w:hAnsi="Arial" w:cs="Arial"/>
          <w:i/>
          <w:sz w:val="24"/>
          <w:szCs w:val="24"/>
        </w:rPr>
        <w:t>per se</w:t>
      </w:r>
      <w:r w:rsidRPr="005E4A12">
        <w:rPr>
          <w:rFonts w:ascii="Arial" w:hAnsi="Arial" w:cs="Arial"/>
          <w:sz w:val="24"/>
          <w:szCs w:val="24"/>
        </w:rPr>
        <w:t xml:space="preserve"> la vinculación pretensional del municipio en una controversia contractual, cuyo desenvolvimiento legitimacional es uno de los más parecidos al derecho privado, en el que se establecen los límites de concurrencia al proceso, a partir de la imposición obligacional derivada del acuerdo de voluntades, a fin de integrar el contradictorio del cual se predican muchos elementos similares al litisconsorcio necesario.</w:t>
      </w:r>
    </w:p>
    <w:p w:rsidR="00133748" w:rsidRPr="005E4A12" w:rsidRDefault="00133748" w:rsidP="00133748">
      <w:pPr>
        <w:spacing w:line="276" w:lineRule="auto"/>
        <w:jc w:val="both"/>
        <w:rPr>
          <w:rFonts w:ascii="Arial" w:hAnsi="Arial" w:cs="Arial"/>
          <w:sz w:val="24"/>
          <w:szCs w:val="24"/>
        </w:rPr>
      </w:pPr>
    </w:p>
    <w:p w:rsidR="00133748" w:rsidRPr="005E4A12" w:rsidRDefault="00133748" w:rsidP="00133748">
      <w:pPr>
        <w:spacing w:line="276" w:lineRule="auto"/>
        <w:jc w:val="both"/>
        <w:rPr>
          <w:rFonts w:ascii="Arial" w:hAnsi="Arial" w:cs="Arial"/>
          <w:sz w:val="24"/>
          <w:szCs w:val="24"/>
        </w:rPr>
      </w:pPr>
      <w:r w:rsidRPr="005E4A12">
        <w:rPr>
          <w:rFonts w:ascii="Arial" w:hAnsi="Arial" w:cs="Arial"/>
          <w:sz w:val="24"/>
          <w:szCs w:val="24"/>
        </w:rPr>
        <w:t>Lo cierto es que la concurrencia de recursos dentro de los convenios asociativos no impone, indefectiblemente, la responsabilidad contractual o presupuestal. Si ello fuera así, en el caso concreto, faltarían entonces el Gobierno Nacional y los beneficiarios del subsidio para que concurrieran a conformar la parte pasiva.</w:t>
      </w:r>
    </w:p>
    <w:p w:rsidR="00133748" w:rsidRPr="005E4A12" w:rsidRDefault="00133748" w:rsidP="00133748">
      <w:pPr>
        <w:spacing w:line="276" w:lineRule="auto"/>
        <w:jc w:val="both"/>
        <w:rPr>
          <w:rFonts w:ascii="Arial" w:hAnsi="Arial" w:cs="Arial"/>
          <w:sz w:val="24"/>
          <w:szCs w:val="24"/>
        </w:rPr>
      </w:pPr>
    </w:p>
    <w:p w:rsidR="00133748" w:rsidRPr="005E4A12" w:rsidRDefault="00133748" w:rsidP="00133748">
      <w:pPr>
        <w:spacing w:line="276" w:lineRule="auto"/>
        <w:jc w:val="both"/>
        <w:rPr>
          <w:rFonts w:ascii="Arial" w:hAnsi="Arial" w:cs="Arial"/>
          <w:sz w:val="24"/>
          <w:szCs w:val="24"/>
        </w:rPr>
      </w:pPr>
      <w:r w:rsidRPr="005E4A12">
        <w:rPr>
          <w:rFonts w:ascii="Arial" w:hAnsi="Arial" w:cs="Arial"/>
          <w:sz w:val="24"/>
          <w:szCs w:val="24"/>
        </w:rPr>
        <w:t>Es innegable, que esta controversia contractual puede fallarse sin la concurrencia del MUNICIPIO DE IBAGUÉ, porque él no se obligó con el contratista, aunado a que la contratante GESTORA URBANA de Ibagué, cuenta, por norma de creación, con personería jurídica, autonomía financiera y administrativa suficientes para obligarse contractualmente.</w:t>
      </w:r>
    </w:p>
    <w:p w:rsidR="00133748" w:rsidRPr="005E4A12" w:rsidRDefault="00133748" w:rsidP="00133748">
      <w:pPr>
        <w:spacing w:line="276" w:lineRule="auto"/>
        <w:jc w:val="both"/>
        <w:rPr>
          <w:rFonts w:ascii="Arial" w:hAnsi="Arial" w:cs="Arial"/>
          <w:sz w:val="24"/>
          <w:szCs w:val="24"/>
        </w:rPr>
      </w:pPr>
    </w:p>
    <w:p w:rsidR="00133748" w:rsidRPr="005E4A12" w:rsidRDefault="00133748" w:rsidP="00133748">
      <w:pPr>
        <w:spacing w:line="276" w:lineRule="auto"/>
        <w:jc w:val="both"/>
        <w:rPr>
          <w:rFonts w:ascii="Arial" w:hAnsi="Arial" w:cs="Arial"/>
          <w:sz w:val="24"/>
          <w:szCs w:val="24"/>
        </w:rPr>
      </w:pPr>
      <w:r w:rsidRPr="005E4A12">
        <w:rPr>
          <w:rFonts w:ascii="Arial" w:hAnsi="Arial" w:cs="Arial"/>
          <w:sz w:val="24"/>
          <w:szCs w:val="24"/>
        </w:rPr>
        <w:t xml:space="preserve">A diferencia del planteamiento del tutelante, que sustentó el defecto sustantivo en los </w:t>
      </w:r>
      <w:r w:rsidRPr="005E4A12">
        <w:rPr>
          <w:rFonts w:ascii="Arial" w:eastAsia="Times New Roman" w:hAnsi="Arial" w:cs="Arial"/>
          <w:sz w:val="24"/>
          <w:szCs w:val="24"/>
          <w:lang w:val="es-ES_tradnl" w:eastAsia="es-ES"/>
        </w:rPr>
        <w:t>artículos 209</w:t>
      </w:r>
      <w:r w:rsidRPr="005E4A12">
        <w:rPr>
          <w:rStyle w:val="Refdenotaalpie"/>
          <w:rFonts w:ascii="Arial" w:eastAsia="Times New Roman" w:hAnsi="Arial" w:cs="Arial"/>
          <w:sz w:val="24"/>
          <w:szCs w:val="24"/>
          <w:lang w:val="es-ES_tradnl" w:eastAsia="es-ES"/>
        </w:rPr>
        <w:footnoteReference w:id="18"/>
      </w:r>
      <w:r w:rsidRPr="005E4A12">
        <w:rPr>
          <w:rFonts w:ascii="Arial" w:eastAsia="Times New Roman" w:hAnsi="Arial" w:cs="Arial"/>
          <w:sz w:val="24"/>
          <w:szCs w:val="24"/>
          <w:lang w:val="es-ES_tradnl" w:eastAsia="es-ES"/>
        </w:rPr>
        <w:t xml:space="preserve"> de la Constitución Política, 23</w:t>
      </w:r>
      <w:r w:rsidRPr="005E4A12">
        <w:rPr>
          <w:rStyle w:val="Refdenotaalpie"/>
          <w:rFonts w:ascii="Arial" w:eastAsia="Times New Roman" w:hAnsi="Arial" w:cs="Arial"/>
          <w:sz w:val="24"/>
          <w:szCs w:val="24"/>
          <w:lang w:val="es-ES_tradnl" w:eastAsia="es-ES"/>
        </w:rPr>
        <w:footnoteReference w:id="19"/>
      </w:r>
      <w:r w:rsidRPr="005E4A12">
        <w:rPr>
          <w:rFonts w:ascii="Arial" w:eastAsia="Times New Roman" w:hAnsi="Arial" w:cs="Arial"/>
          <w:sz w:val="24"/>
          <w:szCs w:val="24"/>
          <w:lang w:val="es-ES_tradnl" w:eastAsia="es-ES"/>
        </w:rPr>
        <w:t xml:space="preserve"> de la Ley 80 de 1993, 6 y 38 la Ley 489 de 1998 (principio de coordinación); 3.2.6.1. del Decreto 734 de 2012</w:t>
      </w:r>
      <w:r w:rsidRPr="005E4A12">
        <w:rPr>
          <w:rStyle w:val="Refdenotaalpie"/>
          <w:rFonts w:ascii="Arial" w:eastAsia="Times New Roman" w:hAnsi="Arial" w:cs="Arial"/>
          <w:sz w:val="24"/>
          <w:szCs w:val="24"/>
          <w:lang w:val="es-ES_tradnl" w:eastAsia="es-ES"/>
        </w:rPr>
        <w:footnoteReference w:id="20"/>
      </w:r>
      <w:r w:rsidRPr="005E4A12">
        <w:rPr>
          <w:rFonts w:ascii="Arial" w:eastAsia="Times New Roman" w:hAnsi="Arial" w:cs="Arial"/>
          <w:sz w:val="24"/>
          <w:szCs w:val="24"/>
          <w:lang w:val="es-ES_tradnl" w:eastAsia="es-ES"/>
        </w:rPr>
        <w:t xml:space="preserve">, la </w:t>
      </w:r>
      <w:r w:rsidRPr="005E4A12">
        <w:rPr>
          <w:rFonts w:ascii="Arial" w:eastAsia="Times New Roman" w:hAnsi="Arial" w:cs="Arial"/>
          <w:sz w:val="24"/>
          <w:szCs w:val="24"/>
          <w:lang w:val="es-ES_tradnl" w:eastAsia="es-ES"/>
        </w:rPr>
        <w:lastRenderedPageBreak/>
        <w:t xml:space="preserve">Sección Quinta considera que </w:t>
      </w:r>
      <w:r w:rsidRPr="005E4A12">
        <w:rPr>
          <w:rFonts w:ascii="Arial" w:hAnsi="Arial" w:cs="Arial"/>
          <w:sz w:val="24"/>
          <w:szCs w:val="24"/>
        </w:rPr>
        <w:t xml:space="preserve">en materia procesal dentro de las controversias contractuales en este caso de construcción de viviendas, en las que se discuten derechos particulares del contratista, no es el principio de coordinación el que estructura ni la integración del contradictorio necesario ni el predicamento de la solidaridad, pues en el caso que se estudia la responsabilidad contractual devenida del posible incumplimiento recaía exclusivamente en la GESTORA URBANA de IBAGUÉ. </w:t>
      </w:r>
    </w:p>
    <w:p w:rsidR="00133748" w:rsidRPr="005E4A12" w:rsidRDefault="00133748" w:rsidP="00133748">
      <w:pPr>
        <w:pStyle w:val="NormalWeb"/>
        <w:spacing w:line="276" w:lineRule="auto"/>
        <w:rPr>
          <w:rFonts w:ascii="Arial" w:hAnsi="Arial" w:cs="Arial"/>
          <w:shd w:val="clear" w:color="auto" w:fill="FFFFFF"/>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Y es que el Convenio de Asociación 002 de </w:t>
      </w:r>
      <w:r w:rsidRPr="005E4A12">
        <w:rPr>
          <w:rFonts w:ascii="Arial" w:eastAsia="Times New Roman" w:hAnsi="Arial" w:cs="Arial"/>
          <w:b/>
          <w:sz w:val="24"/>
          <w:szCs w:val="24"/>
          <w:u w:val="single"/>
          <w:lang w:eastAsia="es-ES"/>
        </w:rPr>
        <w:t>febrero de 2007</w:t>
      </w:r>
      <w:r w:rsidRPr="005E4A12">
        <w:rPr>
          <w:rFonts w:ascii="Arial" w:eastAsia="Times New Roman" w:hAnsi="Arial" w:cs="Arial"/>
          <w:sz w:val="24"/>
          <w:szCs w:val="24"/>
          <w:lang w:eastAsia="es-ES"/>
        </w:rPr>
        <w:t xml:space="preserve"> fue acordado y suscrito entre la GESTORA URBANA DE IBAGUÉ y el contratista. Siendo las únicas dos partes contratantes y el Convenio Interadministrativo 0033 de </w:t>
      </w:r>
      <w:r w:rsidRPr="005E4A12">
        <w:rPr>
          <w:rFonts w:ascii="Arial" w:eastAsia="Times New Roman" w:hAnsi="Arial" w:cs="Arial"/>
          <w:b/>
          <w:sz w:val="24"/>
          <w:szCs w:val="24"/>
          <w:u w:val="single"/>
          <w:lang w:eastAsia="es-ES"/>
        </w:rPr>
        <w:t>marzo de 2007</w:t>
      </w:r>
      <w:r w:rsidRPr="005E4A12">
        <w:rPr>
          <w:rFonts w:ascii="Arial" w:eastAsia="Times New Roman" w:hAnsi="Arial" w:cs="Arial"/>
          <w:sz w:val="24"/>
          <w:szCs w:val="24"/>
          <w:lang w:eastAsia="es-ES"/>
        </w:rPr>
        <w:t>, aunque recayó sobre la compra de lotes en los sectores geográficos donde se construirían las viviendas de interés social, se celebró entre la GESTORA URBANA y el MUNICIPIO DE IBAGUÉ, fue suscrito un mes después del acuerdo de voluntades causa de la controversia ventilada, no siendo viable conexar o extender o concatenar las partes.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No se advierte entonces, que la Sección Tercera haya decido contra derecho, en transgresión de normas superiores (defecto sustantivo) una situación que, como se explicó, está apoyada en la regulación contractual y procesal y, tampoco se observa, la acusación de la indebida valoración </w:t>
      </w:r>
      <w:r w:rsidR="00EA0DC5" w:rsidRPr="005E4A12">
        <w:rPr>
          <w:rFonts w:ascii="Arial" w:eastAsia="Times New Roman" w:hAnsi="Arial" w:cs="Arial"/>
          <w:sz w:val="24"/>
          <w:szCs w:val="24"/>
          <w:lang w:eastAsia="es-ES"/>
        </w:rPr>
        <w:t>probatoria</w:t>
      </w:r>
      <w:r w:rsidRPr="005E4A12">
        <w:rPr>
          <w:rFonts w:ascii="Arial" w:eastAsia="Times New Roman" w:hAnsi="Arial" w:cs="Arial"/>
          <w:sz w:val="24"/>
          <w:szCs w:val="24"/>
          <w:lang w:eastAsia="es-ES"/>
        </w:rPr>
        <w:t xml:space="preserve"> (yerro fáctico), pues en la bitácora que rige a las partes, como en efecto, lo es el contrato objeto de demanda Convenio Asociativo 002 de febrero de 2007 y en el clausulado del Convenio interadministrativo 033 de marzo de 2007, la conclusión de la Sección Tercera, contiene el suficiente sustento, razón por la cual no se advierte la vulneración de los derechos fundamentales invocados.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No debe pasarse por alto que en las acciones o medios de control judicial en los que la controversia tiene connotaciones particulares y subjetivas, el tema de la legitimación en la causa es limitado, a diferencia de lo que acontece con el espectro amplio de legitimación en las acciones constitucionales o las acciones públicas, que por lo general han sido redactadas por el legislador, con expresiones idiomáticas comprensivas de “todos” o “todo el que…”, en la llamada legitimación universal.</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b/>
          <w:sz w:val="24"/>
          <w:szCs w:val="24"/>
          <w:lang w:eastAsia="es-ES"/>
        </w:rPr>
        <w:t>5.2. DEFECTO FÁCTICO</w:t>
      </w:r>
      <w:r w:rsidRPr="005E4A12">
        <w:rPr>
          <w:rFonts w:ascii="Arial" w:eastAsia="Times New Roman" w:hAnsi="Arial" w:cs="Arial"/>
          <w:sz w:val="24"/>
          <w:szCs w:val="24"/>
          <w:lang w:eastAsia="es-ES"/>
        </w:rPr>
        <w:t xml:space="preserve"> (ausencia de valoración probatoria).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lastRenderedPageBreak/>
        <w:t>Para la Sala una vez estudiados los antecedentes, el fallo de tutela de primera instancia, la impugnación contra esta y la providencia de segunda instancia proferida por la Subsección C, de la Sección Tercera del Consejo de Estado, se hace necesario reiterar los presupuestos para que se configure el defecto fáctico.</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widowControl w:val="0"/>
        <w:spacing w:line="276" w:lineRule="auto"/>
        <w:jc w:val="both"/>
        <w:rPr>
          <w:rFonts w:ascii="Arial" w:hAnsi="Arial" w:cs="Arial"/>
          <w:sz w:val="24"/>
          <w:szCs w:val="24"/>
        </w:rPr>
      </w:pPr>
      <w:r w:rsidRPr="005E4A12">
        <w:rPr>
          <w:rFonts w:ascii="Arial" w:eastAsia="Times New Roman" w:hAnsi="Arial" w:cs="Arial"/>
          <w:sz w:val="24"/>
          <w:szCs w:val="24"/>
          <w:lang w:eastAsia="es-ES"/>
        </w:rPr>
        <w:t xml:space="preserve">En cuanto al </w:t>
      </w:r>
      <w:r w:rsidRPr="005E4A12">
        <w:rPr>
          <w:rFonts w:ascii="Arial" w:eastAsia="Times New Roman" w:hAnsi="Arial" w:cs="Arial"/>
          <w:b/>
          <w:sz w:val="24"/>
          <w:szCs w:val="24"/>
          <w:lang w:eastAsia="es-ES"/>
        </w:rPr>
        <w:t xml:space="preserve">defecto fáctico </w:t>
      </w:r>
      <w:r w:rsidRPr="005E4A12">
        <w:rPr>
          <w:rFonts w:ascii="Arial" w:eastAsia="Times New Roman" w:hAnsi="Arial" w:cs="Arial"/>
          <w:sz w:val="24"/>
          <w:szCs w:val="24"/>
          <w:lang w:eastAsia="es-ES"/>
        </w:rPr>
        <w:t xml:space="preserve">este juez constitucional ha indicado que éste se configura en ciertos eventos y ante el cumplimiento de ciertas cargas por parte del tutelante, resulta oportuno poner de presente las reglas que, sobre el particular, decantó la Sala en </w:t>
      </w:r>
      <w:r w:rsidRPr="005E4A12">
        <w:rPr>
          <w:rFonts w:ascii="Arial" w:hAnsi="Arial" w:cs="Arial"/>
          <w:sz w:val="24"/>
          <w:szCs w:val="24"/>
        </w:rPr>
        <w:t>sentencia del pasado 11 de febrero de 2016, dentro del radicado No. 11001-03-15-000-2015-03442-00; así:</w:t>
      </w:r>
    </w:p>
    <w:p w:rsidR="00133748" w:rsidRPr="005E4A12" w:rsidRDefault="00133748" w:rsidP="00133748">
      <w:pPr>
        <w:spacing w:line="276" w:lineRule="auto"/>
        <w:jc w:val="both"/>
        <w:rPr>
          <w:rFonts w:ascii="Arial" w:hAnsi="Arial" w:cs="Arial"/>
          <w:sz w:val="24"/>
          <w:szCs w:val="24"/>
        </w:rPr>
      </w:pPr>
    </w:p>
    <w:p w:rsidR="00133748" w:rsidRPr="005E4A12" w:rsidRDefault="00133748" w:rsidP="00133748">
      <w:pPr>
        <w:spacing w:line="276" w:lineRule="auto"/>
        <w:ind w:left="567"/>
        <w:jc w:val="both"/>
        <w:rPr>
          <w:rFonts w:ascii="Arial" w:hAnsi="Arial" w:cs="Arial"/>
          <w:sz w:val="24"/>
          <w:szCs w:val="24"/>
          <w:shd w:val="clear" w:color="auto" w:fill="FFFFFF"/>
          <w:lang w:val="es-ES_tradnl"/>
        </w:rPr>
      </w:pPr>
      <w:r w:rsidRPr="005E4A12">
        <w:rPr>
          <w:rFonts w:ascii="Arial" w:hAnsi="Arial" w:cs="Arial"/>
          <w:sz w:val="24"/>
          <w:szCs w:val="24"/>
        </w:rPr>
        <w:t>«</w:t>
      </w:r>
      <w:r w:rsidRPr="005E4A12">
        <w:rPr>
          <w:rFonts w:ascii="Arial" w:hAnsi="Arial" w:cs="Arial"/>
          <w:sz w:val="24"/>
          <w:szCs w:val="24"/>
          <w:shd w:val="clear" w:color="auto" w:fill="FFFFFF"/>
          <w:lang w:val="es-ES_tradnl"/>
        </w:rPr>
        <w:t>Esta Sala de Sección, en decisión del 12 de noviembre del 2015</w:t>
      </w:r>
      <w:r w:rsidRPr="005E4A12">
        <w:rPr>
          <w:rFonts w:ascii="Arial" w:hAnsi="Arial" w:cs="Arial"/>
          <w:sz w:val="24"/>
          <w:szCs w:val="24"/>
          <w:shd w:val="clear" w:color="auto" w:fill="FFFFFF"/>
          <w:vertAlign w:val="superscript"/>
          <w:lang w:val="es-ES_tradnl"/>
        </w:rPr>
        <w:footnoteReference w:id="21"/>
      </w:r>
      <w:r w:rsidRPr="005E4A12">
        <w:rPr>
          <w:rFonts w:ascii="Arial" w:hAnsi="Arial" w:cs="Arial"/>
          <w:sz w:val="24"/>
          <w:szCs w:val="24"/>
          <w:shd w:val="clear" w:color="auto" w:fill="FFFFFF"/>
          <w:lang w:val="es-ES_tradnl"/>
        </w:rPr>
        <w:t xml:space="preserve"> precisó los alcances y requisitos que deben atenderse al momento de alegarse la ocurrencia de un defecto fáctico en una providencia judicial, los cuales son traídos a colación en la presente decisión:</w:t>
      </w:r>
    </w:p>
    <w:p w:rsidR="00133748" w:rsidRPr="005E4A12" w:rsidRDefault="00133748" w:rsidP="00133748">
      <w:pPr>
        <w:spacing w:line="276" w:lineRule="auto"/>
        <w:ind w:left="567"/>
        <w:jc w:val="both"/>
        <w:rPr>
          <w:rFonts w:ascii="Arial" w:hAnsi="Arial" w:cs="Arial"/>
          <w:sz w:val="24"/>
          <w:szCs w:val="24"/>
          <w:shd w:val="clear" w:color="auto" w:fill="FFFFFF"/>
          <w:lang w:val="es-ES_tradnl"/>
        </w:rPr>
      </w:pPr>
    </w:p>
    <w:p w:rsidR="00133748" w:rsidRPr="005E4A12" w:rsidRDefault="00133748" w:rsidP="00133748">
      <w:pPr>
        <w:spacing w:line="276" w:lineRule="auto"/>
        <w:ind w:left="567"/>
        <w:jc w:val="both"/>
        <w:rPr>
          <w:rFonts w:ascii="Arial" w:hAnsi="Arial" w:cs="Arial"/>
          <w:sz w:val="24"/>
          <w:szCs w:val="24"/>
        </w:rPr>
      </w:pPr>
      <w:r w:rsidRPr="005E4A12">
        <w:rPr>
          <w:rFonts w:ascii="Arial" w:hAnsi="Arial" w:cs="Arial"/>
          <w:sz w:val="24"/>
          <w:szCs w:val="24"/>
        </w:rPr>
        <w:t>Los eventos de configuración del defecto fáctico son: i) omisión de decretar o practicar pruebas indispensables para fallar el asunto; ii) desconocimiento del acervo probatorio determinante para identificar la veracidad de los hechos alegados por las partes; iii) valoración irracional o arbitraria de las pruebas aportadas; y iv) dictar sentencia con fundamento en pruebas obtenidas con violación del debido proceso, los cuales tienen las siguientes características:</w:t>
      </w:r>
    </w:p>
    <w:p w:rsidR="00133748" w:rsidRPr="005E4A12" w:rsidRDefault="00133748" w:rsidP="00133748">
      <w:pPr>
        <w:spacing w:line="276" w:lineRule="auto"/>
        <w:jc w:val="both"/>
        <w:rPr>
          <w:rFonts w:ascii="Arial" w:hAnsi="Arial" w:cs="Arial"/>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6287"/>
      </w:tblGrid>
      <w:tr w:rsidR="00133748" w:rsidRPr="005E4A12" w:rsidTr="00E524A8">
        <w:trPr>
          <w:tblHeader/>
        </w:trPr>
        <w:tc>
          <w:tcPr>
            <w:tcW w:w="1951" w:type="dxa"/>
            <w:shd w:val="clear" w:color="auto" w:fill="D9D9D9"/>
            <w:vAlign w:val="center"/>
          </w:tcPr>
          <w:p w:rsidR="00133748" w:rsidRPr="005E4A12" w:rsidRDefault="00133748" w:rsidP="00E524A8">
            <w:pPr>
              <w:spacing w:line="276" w:lineRule="auto"/>
              <w:jc w:val="center"/>
              <w:rPr>
                <w:rFonts w:ascii="Arial" w:hAnsi="Arial" w:cs="Arial"/>
                <w:b/>
                <w:sz w:val="24"/>
                <w:szCs w:val="24"/>
              </w:rPr>
            </w:pPr>
            <w:r w:rsidRPr="005E4A12">
              <w:rPr>
                <w:rFonts w:ascii="Arial" w:hAnsi="Arial" w:cs="Arial"/>
                <w:b/>
                <w:sz w:val="24"/>
                <w:szCs w:val="24"/>
              </w:rPr>
              <w:t>Evento</w:t>
            </w:r>
          </w:p>
        </w:tc>
        <w:tc>
          <w:tcPr>
            <w:tcW w:w="6287" w:type="dxa"/>
            <w:shd w:val="clear" w:color="auto" w:fill="D9D9D9"/>
            <w:vAlign w:val="center"/>
          </w:tcPr>
          <w:p w:rsidR="00133748" w:rsidRPr="005E4A12" w:rsidRDefault="00133748" w:rsidP="00E524A8">
            <w:pPr>
              <w:spacing w:line="276" w:lineRule="auto"/>
              <w:jc w:val="center"/>
              <w:rPr>
                <w:rFonts w:ascii="Arial" w:hAnsi="Arial" w:cs="Arial"/>
                <w:b/>
                <w:sz w:val="24"/>
                <w:szCs w:val="24"/>
              </w:rPr>
            </w:pPr>
            <w:r w:rsidRPr="005E4A12">
              <w:rPr>
                <w:rFonts w:ascii="Arial" w:hAnsi="Arial" w:cs="Arial"/>
                <w:b/>
                <w:sz w:val="24"/>
                <w:szCs w:val="24"/>
              </w:rPr>
              <w:t>Características</w:t>
            </w:r>
          </w:p>
        </w:tc>
      </w:tr>
      <w:tr w:rsidR="00133748" w:rsidRPr="005E4A12" w:rsidTr="00E524A8">
        <w:tc>
          <w:tcPr>
            <w:tcW w:w="1951" w:type="dxa"/>
            <w:shd w:val="clear" w:color="auto" w:fill="auto"/>
            <w:vAlign w:val="center"/>
          </w:tcPr>
          <w:p w:rsidR="00133748" w:rsidRPr="005E4A12" w:rsidRDefault="00133748" w:rsidP="00E524A8">
            <w:pPr>
              <w:spacing w:line="276" w:lineRule="auto"/>
              <w:jc w:val="center"/>
              <w:rPr>
                <w:rFonts w:ascii="Arial" w:hAnsi="Arial" w:cs="Arial"/>
                <w:b/>
                <w:sz w:val="24"/>
                <w:szCs w:val="24"/>
              </w:rPr>
            </w:pPr>
            <w:r w:rsidRPr="005E4A12">
              <w:rPr>
                <w:rFonts w:ascii="Arial" w:hAnsi="Arial" w:cs="Arial"/>
                <w:b/>
                <w:sz w:val="24"/>
                <w:szCs w:val="24"/>
              </w:rPr>
              <w:t>Omisión de decreto y práctica de pruebas indispensables para fallar el asunto</w:t>
            </w:r>
          </w:p>
          <w:p w:rsidR="00133748" w:rsidRPr="005E4A12" w:rsidRDefault="00133748" w:rsidP="00E524A8">
            <w:pPr>
              <w:spacing w:line="276" w:lineRule="auto"/>
              <w:rPr>
                <w:rFonts w:ascii="Arial" w:hAnsi="Arial" w:cs="Arial"/>
                <w:sz w:val="24"/>
                <w:szCs w:val="24"/>
              </w:rPr>
            </w:pPr>
          </w:p>
        </w:tc>
        <w:tc>
          <w:tcPr>
            <w:tcW w:w="6287" w:type="dxa"/>
            <w:shd w:val="clear" w:color="auto" w:fill="auto"/>
            <w:vAlign w:val="center"/>
          </w:tcPr>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 xml:space="preserve">Se da cuando la parte, con el fin de probar los hechos que alega, solicita al juez el decreto de una prueba </w:t>
            </w:r>
            <w:r w:rsidRPr="005E4A12">
              <w:rPr>
                <w:rFonts w:ascii="Arial" w:hAnsi="Arial" w:cs="Arial"/>
                <w:b/>
                <w:sz w:val="24"/>
                <w:szCs w:val="24"/>
              </w:rPr>
              <w:t xml:space="preserve">relevante </w:t>
            </w:r>
            <w:r w:rsidRPr="005E4A12">
              <w:rPr>
                <w:rFonts w:ascii="Arial" w:hAnsi="Arial" w:cs="Arial"/>
                <w:sz w:val="24"/>
                <w:szCs w:val="24"/>
              </w:rPr>
              <w:t>para resolver el problema jurídico sometido a consideración, y ésta fue negada; ello sin desconocer la facultad del juez ordinario de negar pruebas que no atiendan los requisitos de conducencia, pertinencia e idoneidad. Así las cosas, es importante considerar que no toda negativa a un decreto de pruebas abre la posibilidad a la configuración del defecto, ya que éste procederá cuando se rechace el decreto y práctica de la prueba que, solicitada oportunamente, no cumpla con los parámetros arriba señalados.</w:t>
            </w:r>
          </w:p>
          <w:p w:rsidR="00133748" w:rsidRPr="005E4A12" w:rsidRDefault="00133748" w:rsidP="00E524A8">
            <w:pPr>
              <w:tabs>
                <w:tab w:val="left" w:pos="3869"/>
              </w:tabs>
              <w:spacing w:line="276" w:lineRule="auto"/>
              <w:jc w:val="both"/>
              <w:rPr>
                <w:rFonts w:ascii="Arial" w:hAnsi="Arial" w:cs="Arial"/>
                <w:sz w:val="24"/>
                <w:szCs w:val="24"/>
              </w:rPr>
            </w:pPr>
          </w:p>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De esta manera, se requiere:</w:t>
            </w:r>
          </w:p>
          <w:p w:rsidR="00133748" w:rsidRPr="005E4A12" w:rsidRDefault="00133748" w:rsidP="00E524A8">
            <w:pPr>
              <w:spacing w:line="276" w:lineRule="auto"/>
              <w:jc w:val="both"/>
              <w:rPr>
                <w:rFonts w:ascii="Arial" w:hAnsi="Arial" w:cs="Arial"/>
                <w:sz w:val="24"/>
                <w:szCs w:val="24"/>
              </w:rPr>
            </w:pPr>
          </w:p>
          <w:p w:rsidR="00133748" w:rsidRPr="005E4A12" w:rsidRDefault="00133748" w:rsidP="00E524A8">
            <w:pPr>
              <w:numPr>
                <w:ilvl w:val="0"/>
                <w:numId w:val="7"/>
              </w:numPr>
              <w:spacing w:line="276" w:lineRule="auto"/>
              <w:jc w:val="both"/>
              <w:rPr>
                <w:rFonts w:ascii="Arial" w:hAnsi="Arial" w:cs="Arial"/>
                <w:sz w:val="24"/>
                <w:szCs w:val="24"/>
              </w:rPr>
            </w:pPr>
            <w:r w:rsidRPr="005E4A12">
              <w:rPr>
                <w:rFonts w:ascii="Arial" w:hAnsi="Arial" w:cs="Arial"/>
                <w:sz w:val="24"/>
                <w:szCs w:val="24"/>
              </w:rPr>
              <w:t>Que la parte identifique el elemento probatorio que solicitó</w:t>
            </w:r>
          </w:p>
          <w:p w:rsidR="00133748" w:rsidRPr="005E4A12" w:rsidRDefault="00133748" w:rsidP="00E524A8">
            <w:pPr>
              <w:numPr>
                <w:ilvl w:val="0"/>
                <w:numId w:val="7"/>
              </w:numPr>
              <w:spacing w:line="276" w:lineRule="auto"/>
              <w:jc w:val="both"/>
              <w:rPr>
                <w:rFonts w:ascii="Arial" w:hAnsi="Arial" w:cs="Arial"/>
                <w:sz w:val="24"/>
                <w:szCs w:val="24"/>
              </w:rPr>
            </w:pPr>
            <w:r w:rsidRPr="005E4A12">
              <w:rPr>
                <w:rFonts w:ascii="Arial" w:hAnsi="Arial" w:cs="Arial"/>
                <w:sz w:val="24"/>
                <w:szCs w:val="24"/>
              </w:rPr>
              <w:t>Que la parte demuestre que lo solicitó en oportunidad legal</w:t>
            </w:r>
          </w:p>
          <w:p w:rsidR="00133748" w:rsidRPr="005E4A12" w:rsidRDefault="00133748" w:rsidP="00E524A8">
            <w:pPr>
              <w:numPr>
                <w:ilvl w:val="0"/>
                <w:numId w:val="7"/>
              </w:numPr>
              <w:spacing w:line="276" w:lineRule="auto"/>
              <w:jc w:val="both"/>
              <w:rPr>
                <w:rFonts w:ascii="Arial" w:hAnsi="Arial" w:cs="Arial"/>
                <w:sz w:val="24"/>
                <w:szCs w:val="24"/>
              </w:rPr>
            </w:pPr>
            <w:r w:rsidRPr="005E4A12">
              <w:rPr>
                <w:rFonts w:ascii="Arial" w:hAnsi="Arial" w:cs="Arial"/>
                <w:sz w:val="24"/>
                <w:szCs w:val="24"/>
              </w:rPr>
              <w:lastRenderedPageBreak/>
              <w:t>Se expongan las razones por la cuales la prueba solicitada era conducente, pertinente o idónea.</w:t>
            </w:r>
          </w:p>
          <w:p w:rsidR="00133748" w:rsidRPr="005E4A12" w:rsidRDefault="00133748" w:rsidP="00E524A8">
            <w:pPr>
              <w:numPr>
                <w:ilvl w:val="0"/>
                <w:numId w:val="7"/>
              </w:numPr>
              <w:spacing w:line="276" w:lineRule="auto"/>
              <w:jc w:val="both"/>
              <w:rPr>
                <w:rFonts w:ascii="Arial" w:hAnsi="Arial" w:cs="Arial"/>
                <w:sz w:val="24"/>
                <w:szCs w:val="24"/>
              </w:rPr>
            </w:pPr>
            <w:r w:rsidRPr="005E4A12">
              <w:rPr>
                <w:rFonts w:ascii="Arial" w:hAnsi="Arial" w:cs="Arial"/>
                <w:sz w:val="24"/>
                <w:szCs w:val="24"/>
              </w:rPr>
              <w:t>Señalar de manera razonada la razón por la cual, de haberse decretado la prueba, el sentido de la decisión hubiere sido otro.</w:t>
            </w:r>
          </w:p>
        </w:tc>
      </w:tr>
      <w:tr w:rsidR="00133748" w:rsidRPr="005E4A12" w:rsidTr="00E524A8">
        <w:tc>
          <w:tcPr>
            <w:tcW w:w="1951" w:type="dxa"/>
            <w:shd w:val="clear" w:color="auto" w:fill="auto"/>
            <w:vAlign w:val="center"/>
          </w:tcPr>
          <w:p w:rsidR="00133748" w:rsidRPr="005E4A12" w:rsidRDefault="00133748" w:rsidP="00E524A8">
            <w:pPr>
              <w:spacing w:line="276" w:lineRule="auto"/>
              <w:jc w:val="center"/>
              <w:rPr>
                <w:rFonts w:ascii="Arial" w:hAnsi="Arial" w:cs="Arial"/>
                <w:sz w:val="24"/>
                <w:szCs w:val="24"/>
              </w:rPr>
            </w:pPr>
            <w:r w:rsidRPr="005E4A12">
              <w:rPr>
                <w:rFonts w:ascii="Arial" w:hAnsi="Arial" w:cs="Arial"/>
                <w:b/>
                <w:sz w:val="24"/>
                <w:szCs w:val="24"/>
              </w:rPr>
              <w:lastRenderedPageBreak/>
              <w:t>Desconocimiento del acervo probatorio determinante para identificar la veracidad de los hechos alegados por las partes</w:t>
            </w:r>
          </w:p>
        </w:tc>
        <w:tc>
          <w:tcPr>
            <w:tcW w:w="6287" w:type="dxa"/>
            <w:shd w:val="clear" w:color="auto" w:fill="auto"/>
            <w:vAlign w:val="center"/>
          </w:tcPr>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 xml:space="preserve">Se presenta cuando, </w:t>
            </w:r>
            <w:r w:rsidRPr="005E4A12">
              <w:rPr>
                <w:rFonts w:ascii="Arial" w:hAnsi="Arial" w:cs="Arial"/>
                <w:b/>
                <w:sz w:val="24"/>
                <w:szCs w:val="24"/>
              </w:rPr>
              <w:t xml:space="preserve">obrando los elementos de convicción en el expediente, y estos resultan decisivos frente a los hechos que se pretenden probar, </w:t>
            </w:r>
            <w:r w:rsidRPr="005E4A12">
              <w:rPr>
                <w:rFonts w:ascii="Arial" w:hAnsi="Arial" w:cs="Arial"/>
                <w:sz w:val="24"/>
                <w:szCs w:val="24"/>
              </w:rPr>
              <w:t xml:space="preserve">éstos no son tenidos en cuenta por el fallador ordinario. En este punto, se requiere que </w:t>
            </w:r>
            <w:r w:rsidRPr="005E4A12">
              <w:rPr>
                <w:rFonts w:ascii="Arial" w:hAnsi="Arial" w:cs="Arial"/>
                <w:b/>
                <w:sz w:val="24"/>
                <w:szCs w:val="24"/>
              </w:rPr>
              <w:t xml:space="preserve">de forma específica, </w:t>
            </w:r>
            <w:r w:rsidRPr="005E4A12">
              <w:rPr>
                <w:rFonts w:ascii="Arial" w:hAnsi="Arial" w:cs="Arial"/>
                <w:sz w:val="24"/>
                <w:szCs w:val="24"/>
              </w:rPr>
              <w:t>se concrete en el escrito de amparo, cuales pruebas, aportadas oportuna y legalmente, fueron desconocidas por el juez.</w:t>
            </w:r>
          </w:p>
          <w:p w:rsidR="00133748" w:rsidRPr="005E4A12" w:rsidRDefault="00133748" w:rsidP="00E524A8">
            <w:pPr>
              <w:spacing w:line="276" w:lineRule="auto"/>
              <w:jc w:val="both"/>
              <w:rPr>
                <w:rFonts w:ascii="Arial" w:hAnsi="Arial" w:cs="Arial"/>
                <w:sz w:val="24"/>
                <w:szCs w:val="24"/>
              </w:rPr>
            </w:pPr>
          </w:p>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Así las cosas, se configura siempre que:</w:t>
            </w:r>
          </w:p>
          <w:p w:rsidR="00133748" w:rsidRPr="005E4A12" w:rsidRDefault="00133748" w:rsidP="00E524A8">
            <w:pPr>
              <w:spacing w:line="276" w:lineRule="auto"/>
              <w:jc w:val="both"/>
              <w:rPr>
                <w:rFonts w:ascii="Arial" w:hAnsi="Arial" w:cs="Arial"/>
                <w:sz w:val="24"/>
                <w:szCs w:val="24"/>
              </w:rPr>
            </w:pPr>
          </w:p>
          <w:p w:rsidR="00133748" w:rsidRPr="005E4A12" w:rsidRDefault="00133748" w:rsidP="00E524A8">
            <w:pPr>
              <w:numPr>
                <w:ilvl w:val="0"/>
                <w:numId w:val="8"/>
              </w:numPr>
              <w:spacing w:line="276" w:lineRule="auto"/>
              <w:jc w:val="both"/>
              <w:rPr>
                <w:rFonts w:ascii="Arial" w:hAnsi="Arial" w:cs="Arial"/>
                <w:sz w:val="24"/>
                <w:szCs w:val="24"/>
              </w:rPr>
            </w:pPr>
            <w:r w:rsidRPr="005E4A12">
              <w:rPr>
                <w:rFonts w:ascii="Arial" w:hAnsi="Arial" w:cs="Arial"/>
                <w:sz w:val="24"/>
                <w:szCs w:val="24"/>
              </w:rPr>
              <w:t>Se identifiquen los elementos de prueba no valorados por el juez.</w:t>
            </w:r>
          </w:p>
          <w:p w:rsidR="00133748" w:rsidRPr="005E4A12" w:rsidRDefault="00133748" w:rsidP="00E524A8">
            <w:pPr>
              <w:numPr>
                <w:ilvl w:val="0"/>
                <w:numId w:val="8"/>
              </w:numPr>
              <w:spacing w:line="276" w:lineRule="auto"/>
              <w:jc w:val="both"/>
              <w:rPr>
                <w:rFonts w:ascii="Arial" w:hAnsi="Arial" w:cs="Arial"/>
                <w:sz w:val="24"/>
                <w:szCs w:val="24"/>
              </w:rPr>
            </w:pPr>
            <w:r w:rsidRPr="005E4A12">
              <w:rPr>
                <w:rFonts w:ascii="Arial" w:hAnsi="Arial" w:cs="Arial"/>
                <w:sz w:val="24"/>
                <w:szCs w:val="24"/>
              </w:rPr>
              <w:t>Se demuestre que éstos fueron aportados en forma legal y oportunamente al proceso</w:t>
            </w:r>
          </w:p>
          <w:p w:rsidR="00133748" w:rsidRPr="005E4A12" w:rsidRDefault="00133748" w:rsidP="00E524A8">
            <w:pPr>
              <w:numPr>
                <w:ilvl w:val="0"/>
                <w:numId w:val="8"/>
              </w:numPr>
              <w:spacing w:line="276" w:lineRule="auto"/>
              <w:jc w:val="both"/>
              <w:rPr>
                <w:rFonts w:ascii="Arial" w:hAnsi="Arial" w:cs="Arial"/>
                <w:sz w:val="24"/>
                <w:szCs w:val="24"/>
              </w:rPr>
            </w:pPr>
            <w:r w:rsidRPr="005E4A12">
              <w:rPr>
                <w:rFonts w:ascii="Arial" w:hAnsi="Arial" w:cs="Arial"/>
                <w:sz w:val="24"/>
                <w:szCs w:val="24"/>
              </w:rPr>
              <w:t>Señale las razones por las cuales eran relevantes para la decisión</w:t>
            </w:r>
          </w:p>
          <w:p w:rsidR="00133748" w:rsidRPr="005E4A12" w:rsidRDefault="00133748" w:rsidP="00E524A8">
            <w:pPr>
              <w:numPr>
                <w:ilvl w:val="0"/>
                <w:numId w:val="8"/>
              </w:numPr>
              <w:spacing w:line="276" w:lineRule="auto"/>
              <w:jc w:val="both"/>
              <w:rPr>
                <w:rFonts w:ascii="Arial" w:hAnsi="Arial" w:cs="Arial"/>
                <w:sz w:val="24"/>
                <w:szCs w:val="24"/>
              </w:rPr>
            </w:pPr>
            <w:r w:rsidRPr="005E4A12">
              <w:rPr>
                <w:rFonts w:ascii="Arial" w:hAnsi="Arial" w:cs="Arial"/>
                <w:sz w:val="24"/>
                <w:szCs w:val="24"/>
              </w:rPr>
              <w:t>Se precise, razonadamente, la incidencia de los mismos para variar el sentido del fallo.</w:t>
            </w:r>
          </w:p>
        </w:tc>
      </w:tr>
      <w:tr w:rsidR="00133748" w:rsidRPr="005E4A12" w:rsidTr="00E524A8">
        <w:tc>
          <w:tcPr>
            <w:tcW w:w="1951" w:type="dxa"/>
            <w:shd w:val="clear" w:color="auto" w:fill="auto"/>
            <w:vAlign w:val="center"/>
          </w:tcPr>
          <w:p w:rsidR="00133748" w:rsidRPr="005E4A12" w:rsidRDefault="00133748" w:rsidP="00E524A8">
            <w:pPr>
              <w:spacing w:line="276" w:lineRule="auto"/>
              <w:jc w:val="center"/>
              <w:rPr>
                <w:rFonts w:ascii="Arial" w:hAnsi="Arial" w:cs="Arial"/>
                <w:b/>
                <w:sz w:val="24"/>
                <w:szCs w:val="24"/>
              </w:rPr>
            </w:pPr>
            <w:r w:rsidRPr="005E4A12">
              <w:rPr>
                <w:rFonts w:ascii="Arial" w:hAnsi="Arial" w:cs="Arial"/>
                <w:b/>
                <w:sz w:val="24"/>
                <w:szCs w:val="24"/>
              </w:rPr>
              <w:t>Valoración irracional o arbitraria de las pruebas aportadas</w:t>
            </w:r>
          </w:p>
          <w:p w:rsidR="00133748" w:rsidRPr="005E4A12" w:rsidRDefault="00133748" w:rsidP="00E524A8">
            <w:pPr>
              <w:spacing w:line="276" w:lineRule="auto"/>
              <w:jc w:val="both"/>
              <w:rPr>
                <w:rFonts w:ascii="Arial" w:hAnsi="Arial" w:cs="Arial"/>
                <w:sz w:val="24"/>
                <w:szCs w:val="24"/>
              </w:rPr>
            </w:pPr>
          </w:p>
        </w:tc>
        <w:tc>
          <w:tcPr>
            <w:tcW w:w="6287" w:type="dxa"/>
            <w:shd w:val="clear" w:color="auto" w:fill="auto"/>
            <w:vAlign w:val="center"/>
          </w:tcPr>
          <w:p w:rsidR="00133748" w:rsidRPr="005E4A12" w:rsidRDefault="00133748" w:rsidP="00E524A8">
            <w:pPr>
              <w:spacing w:line="276" w:lineRule="auto"/>
              <w:jc w:val="both"/>
              <w:rPr>
                <w:rFonts w:ascii="Arial" w:hAnsi="Arial" w:cs="Arial"/>
                <w:b/>
                <w:sz w:val="24"/>
                <w:szCs w:val="24"/>
              </w:rPr>
            </w:pPr>
            <w:r w:rsidRPr="005E4A12">
              <w:rPr>
                <w:rFonts w:ascii="Arial" w:hAnsi="Arial" w:cs="Arial"/>
                <w:sz w:val="24"/>
                <w:szCs w:val="24"/>
              </w:rPr>
              <w:t xml:space="preserve">Procede cuando, a la luz de los postulados de la sana crítica, </w:t>
            </w:r>
            <w:r w:rsidRPr="005E4A12">
              <w:rPr>
                <w:rFonts w:ascii="Arial" w:hAnsi="Arial" w:cs="Arial"/>
                <w:b/>
                <w:sz w:val="24"/>
                <w:szCs w:val="24"/>
              </w:rPr>
              <w:t>la apreciación efectuada por el fallador, resulta manifiestamente equivocada o arbitraria, y por ello, el peso otorgado a la prueba se entiende alterado.</w:t>
            </w:r>
          </w:p>
          <w:p w:rsidR="00133748" w:rsidRPr="005E4A12" w:rsidRDefault="00133748" w:rsidP="00E524A8">
            <w:pPr>
              <w:spacing w:line="276" w:lineRule="auto"/>
              <w:jc w:val="both"/>
              <w:rPr>
                <w:rFonts w:ascii="Arial" w:hAnsi="Arial" w:cs="Arial"/>
                <w:b/>
                <w:sz w:val="24"/>
                <w:szCs w:val="24"/>
              </w:rPr>
            </w:pPr>
          </w:p>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Se requiere entonces que:</w:t>
            </w:r>
          </w:p>
          <w:p w:rsidR="00133748" w:rsidRPr="005E4A12" w:rsidRDefault="00133748" w:rsidP="00E524A8">
            <w:pPr>
              <w:spacing w:line="276" w:lineRule="auto"/>
              <w:jc w:val="both"/>
              <w:rPr>
                <w:rFonts w:ascii="Arial" w:hAnsi="Arial" w:cs="Arial"/>
                <w:sz w:val="24"/>
                <w:szCs w:val="24"/>
              </w:rPr>
            </w:pPr>
          </w:p>
          <w:p w:rsidR="00133748" w:rsidRPr="005E4A12" w:rsidRDefault="00133748" w:rsidP="00E524A8">
            <w:pPr>
              <w:numPr>
                <w:ilvl w:val="0"/>
                <w:numId w:val="9"/>
              </w:numPr>
              <w:spacing w:line="276" w:lineRule="auto"/>
              <w:jc w:val="both"/>
              <w:rPr>
                <w:rFonts w:ascii="Arial" w:hAnsi="Arial" w:cs="Arial"/>
                <w:sz w:val="24"/>
                <w:szCs w:val="24"/>
              </w:rPr>
            </w:pPr>
            <w:r w:rsidRPr="005E4A12">
              <w:rPr>
                <w:rFonts w:ascii="Arial" w:hAnsi="Arial" w:cs="Arial"/>
                <w:sz w:val="24"/>
                <w:szCs w:val="24"/>
              </w:rPr>
              <w:t>La parte precise cuál o cuáles de las pruebas fueron objeto de indebida valoración por el juez</w:t>
            </w:r>
          </w:p>
          <w:p w:rsidR="00133748" w:rsidRPr="005E4A12" w:rsidRDefault="00133748" w:rsidP="00E524A8">
            <w:pPr>
              <w:numPr>
                <w:ilvl w:val="0"/>
                <w:numId w:val="9"/>
              </w:numPr>
              <w:spacing w:line="276" w:lineRule="auto"/>
              <w:jc w:val="both"/>
              <w:rPr>
                <w:rFonts w:ascii="Arial" w:hAnsi="Arial" w:cs="Arial"/>
                <w:sz w:val="24"/>
                <w:szCs w:val="24"/>
              </w:rPr>
            </w:pPr>
            <w:r w:rsidRPr="005E4A12">
              <w:rPr>
                <w:rFonts w:ascii="Arial" w:hAnsi="Arial" w:cs="Arial"/>
                <w:sz w:val="24"/>
                <w:szCs w:val="24"/>
              </w:rPr>
              <w:t>La razón del por qué, en cada caso en particular, la consideración del operador judicial se aleja de las reglas de la lógica, la experiencia y la sana crítica.</w:t>
            </w:r>
          </w:p>
          <w:p w:rsidR="00133748" w:rsidRPr="005E4A12" w:rsidRDefault="00133748" w:rsidP="00E524A8">
            <w:pPr>
              <w:spacing w:line="276" w:lineRule="auto"/>
              <w:jc w:val="both"/>
              <w:rPr>
                <w:rFonts w:ascii="Arial" w:hAnsi="Arial" w:cs="Arial"/>
                <w:sz w:val="24"/>
                <w:szCs w:val="24"/>
              </w:rPr>
            </w:pPr>
          </w:p>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 xml:space="preserve">El segundo de los elementos señalados, resulta de vital importancia, pues es claro que un sencillo desacuerdo en relación con la conclusión a la cual arribó el juez de instancia, en ninguna manera puede ser razón para ordenar el amparo constitucional por este aspecto. Aceptar lo contrario, implicaría una </w:t>
            </w:r>
            <w:r w:rsidRPr="005E4A12">
              <w:rPr>
                <w:rFonts w:ascii="Arial" w:hAnsi="Arial" w:cs="Arial"/>
                <w:b/>
                <w:sz w:val="24"/>
                <w:szCs w:val="24"/>
              </w:rPr>
              <w:t>sustitución arbitraria del juez natural.</w:t>
            </w:r>
          </w:p>
        </w:tc>
      </w:tr>
      <w:tr w:rsidR="00133748" w:rsidRPr="005E4A12" w:rsidTr="00E524A8">
        <w:tc>
          <w:tcPr>
            <w:tcW w:w="1951" w:type="dxa"/>
            <w:shd w:val="clear" w:color="auto" w:fill="auto"/>
            <w:vAlign w:val="center"/>
          </w:tcPr>
          <w:p w:rsidR="00133748" w:rsidRPr="005E4A12" w:rsidRDefault="00133748" w:rsidP="00E524A8">
            <w:pPr>
              <w:spacing w:line="276" w:lineRule="auto"/>
              <w:jc w:val="center"/>
              <w:rPr>
                <w:rFonts w:ascii="Arial" w:hAnsi="Arial" w:cs="Arial"/>
                <w:b/>
                <w:sz w:val="24"/>
                <w:szCs w:val="24"/>
              </w:rPr>
            </w:pPr>
            <w:r w:rsidRPr="005E4A12">
              <w:rPr>
                <w:rFonts w:ascii="Arial" w:hAnsi="Arial" w:cs="Arial"/>
                <w:b/>
                <w:sz w:val="24"/>
                <w:szCs w:val="24"/>
              </w:rPr>
              <w:lastRenderedPageBreak/>
              <w:t>Dictar sentencia con fundamento en pruebas obtenidas con violación del debido proceso</w:t>
            </w:r>
          </w:p>
          <w:p w:rsidR="00133748" w:rsidRPr="005E4A12" w:rsidRDefault="00133748" w:rsidP="00E524A8">
            <w:pPr>
              <w:spacing w:line="276" w:lineRule="auto"/>
              <w:jc w:val="both"/>
              <w:rPr>
                <w:rFonts w:ascii="Arial" w:hAnsi="Arial" w:cs="Arial"/>
                <w:sz w:val="24"/>
                <w:szCs w:val="24"/>
              </w:rPr>
            </w:pPr>
          </w:p>
        </w:tc>
        <w:tc>
          <w:tcPr>
            <w:tcW w:w="6287" w:type="dxa"/>
            <w:shd w:val="clear" w:color="auto" w:fill="auto"/>
            <w:vAlign w:val="center"/>
          </w:tcPr>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Refiere al supuesto cuando el fallador de instancia decide el asunto con base en pruebas que no observaron los requisitos legales para su producción o introducción al proceso. Así las cosas, el juez no ignora la prueba ni se equivoca en su apreciación, pero yerra al haberla tenido en cuenta para decidir el problema jurídico que le fue planteado, al ser ésta una prueba que desconoce el debido proceso de las partes.</w:t>
            </w:r>
          </w:p>
          <w:p w:rsidR="00133748" w:rsidRPr="005E4A12" w:rsidRDefault="00133748" w:rsidP="00E524A8">
            <w:pPr>
              <w:spacing w:line="276" w:lineRule="auto"/>
              <w:jc w:val="both"/>
              <w:rPr>
                <w:rFonts w:ascii="Arial" w:hAnsi="Arial" w:cs="Arial"/>
                <w:sz w:val="24"/>
                <w:szCs w:val="24"/>
              </w:rPr>
            </w:pPr>
          </w:p>
          <w:p w:rsidR="00133748" w:rsidRPr="005E4A12" w:rsidRDefault="00133748" w:rsidP="00E524A8">
            <w:pPr>
              <w:spacing w:line="276" w:lineRule="auto"/>
              <w:jc w:val="both"/>
              <w:rPr>
                <w:rFonts w:ascii="Arial" w:hAnsi="Arial" w:cs="Arial"/>
                <w:sz w:val="24"/>
                <w:szCs w:val="24"/>
              </w:rPr>
            </w:pPr>
            <w:r w:rsidRPr="005E4A12">
              <w:rPr>
                <w:rFonts w:ascii="Arial" w:hAnsi="Arial" w:cs="Arial"/>
                <w:sz w:val="24"/>
                <w:szCs w:val="24"/>
              </w:rPr>
              <w:t>Para su configuración corresponde:</w:t>
            </w:r>
          </w:p>
          <w:p w:rsidR="00133748" w:rsidRPr="005E4A12" w:rsidRDefault="00133748" w:rsidP="00E524A8">
            <w:pPr>
              <w:spacing w:line="276" w:lineRule="auto"/>
              <w:jc w:val="both"/>
              <w:rPr>
                <w:rFonts w:ascii="Arial" w:hAnsi="Arial" w:cs="Arial"/>
                <w:sz w:val="24"/>
                <w:szCs w:val="24"/>
              </w:rPr>
            </w:pPr>
          </w:p>
          <w:p w:rsidR="00133748" w:rsidRPr="005E4A12" w:rsidRDefault="00133748" w:rsidP="00E524A8">
            <w:pPr>
              <w:numPr>
                <w:ilvl w:val="0"/>
                <w:numId w:val="10"/>
              </w:numPr>
              <w:spacing w:line="276" w:lineRule="auto"/>
              <w:jc w:val="both"/>
              <w:rPr>
                <w:rFonts w:ascii="Arial" w:hAnsi="Arial" w:cs="Arial"/>
                <w:sz w:val="24"/>
                <w:szCs w:val="24"/>
              </w:rPr>
            </w:pPr>
            <w:r w:rsidRPr="005E4A12">
              <w:rPr>
                <w:rFonts w:ascii="Arial" w:hAnsi="Arial" w:cs="Arial"/>
                <w:sz w:val="24"/>
                <w:szCs w:val="24"/>
              </w:rPr>
              <w:t>Señalar con claridad los elementos probatorios aportados con violación al artículo 29 constitucional.</w:t>
            </w:r>
          </w:p>
          <w:p w:rsidR="00133748" w:rsidRPr="005E4A12" w:rsidRDefault="00133748" w:rsidP="00E524A8">
            <w:pPr>
              <w:numPr>
                <w:ilvl w:val="0"/>
                <w:numId w:val="10"/>
              </w:numPr>
              <w:spacing w:line="276" w:lineRule="auto"/>
              <w:jc w:val="both"/>
              <w:rPr>
                <w:rFonts w:ascii="Arial" w:hAnsi="Arial" w:cs="Arial"/>
                <w:sz w:val="24"/>
                <w:szCs w:val="24"/>
              </w:rPr>
            </w:pPr>
            <w:r w:rsidRPr="005E4A12">
              <w:rPr>
                <w:rFonts w:ascii="Arial" w:hAnsi="Arial" w:cs="Arial"/>
                <w:sz w:val="24"/>
                <w:szCs w:val="24"/>
              </w:rPr>
              <w:t>Exponer las razones que sustentan dicha vulneración.</w:t>
            </w:r>
          </w:p>
          <w:p w:rsidR="00133748" w:rsidRPr="005E4A12" w:rsidRDefault="00133748" w:rsidP="00E524A8">
            <w:pPr>
              <w:numPr>
                <w:ilvl w:val="0"/>
                <w:numId w:val="10"/>
              </w:numPr>
              <w:spacing w:line="276" w:lineRule="auto"/>
              <w:jc w:val="both"/>
              <w:rPr>
                <w:rFonts w:ascii="Arial" w:hAnsi="Arial" w:cs="Arial"/>
                <w:sz w:val="24"/>
                <w:szCs w:val="24"/>
              </w:rPr>
            </w:pPr>
            <w:r w:rsidRPr="005E4A12">
              <w:rPr>
                <w:rFonts w:ascii="Arial" w:hAnsi="Arial" w:cs="Arial"/>
                <w:sz w:val="24"/>
                <w:szCs w:val="24"/>
              </w:rPr>
              <w:t>Demostrar que estos elementos de convicción fueron el sustento de la decisión.</w:t>
            </w:r>
          </w:p>
        </w:tc>
      </w:tr>
    </w:tbl>
    <w:p w:rsidR="00133748" w:rsidRPr="005E4A12" w:rsidRDefault="00133748" w:rsidP="00133748">
      <w:pPr>
        <w:spacing w:line="276" w:lineRule="auto"/>
        <w:jc w:val="both"/>
        <w:rPr>
          <w:rFonts w:ascii="Arial" w:hAnsi="Arial" w:cs="Arial"/>
          <w:sz w:val="24"/>
          <w:szCs w:val="24"/>
        </w:rPr>
      </w:pPr>
    </w:p>
    <w:p w:rsidR="00133748" w:rsidRPr="005E4A12" w:rsidRDefault="00133748" w:rsidP="00133748">
      <w:pPr>
        <w:spacing w:line="276" w:lineRule="auto"/>
        <w:ind w:left="567"/>
        <w:jc w:val="both"/>
        <w:rPr>
          <w:rFonts w:ascii="Arial" w:hAnsi="Arial" w:cs="Arial"/>
          <w:sz w:val="24"/>
          <w:szCs w:val="24"/>
        </w:rPr>
      </w:pPr>
      <w:r w:rsidRPr="005E4A12">
        <w:rPr>
          <w:rFonts w:ascii="Arial" w:hAnsi="Arial" w:cs="Arial"/>
          <w:sz w:val="24"/>
          <w:szCs w:val="24"/>
        </w:rPr>
        <w:t>Como se ve en los elementos señalados, la parte accionante debe precisar mínimamente en su escrito el cargo que plantea, para demostrar no solo la configuración del defecto, sino también, su incidencia en la decisión judicial.</w:t>
      </w:r>
    </w:p>
    <w:p w:rsidR="00133748" w:rsidRPr="005E4A12" w:rsidRDefault="00133748" w:rsidP="00133748">
      <w:pPr>
        <w:spacing w:line="276" w:lineRule="auto"/>
        <w:ind w:left="567"/>
        <w:jc w:val="both"/>
        <w:rPr>
          <w:rFonts w:ascii="Arial" w:hAnsi="Arial" w:cs="Arial"/>
          <w:sz w:val="24"/>
          <w:szCs w:val="24"/>
        </w:rPr>
      </w:pPr>
    </w:p>
    <w:p w:rsidR="00133748" w:rsidRPr="005E4A12" w:rsidRDefault="00133748" w:rsidP="00133748">
      <w:pPr>
        <w:spacing w:line="276" w:lineRule="auto"/>
        <w:ind w:left="567"/>
        <w:jc w:val="both"/>
        <w:rPr>
          <w:rFonts w:ascii="Arial" w:hAnsi="Arial" w:cs="Arial"/>
          <w:sz w:val="24"/>
          <w:szCs w:val="24"/>
        </w:rPr>
      </w:pPr>
      <w:r w:rsidRPr="005E4A12">
        <w:rPr>
          <w:rFonts w:ascii="Arial" w:hAnsi="Arial" w:cs="Arial"/>
          <w:sz w:val="24"/>
          <w:szCs w:val="24"/>
        </w:rPr>
        <w:t>Lo anterior se suma a la exigencia de una carga argumentativa razonable para lograr la prosperidad del cargo, toda vez que, en el caso de una tutela contra una providencia judicial, están en juego valores importantes para el ordenamiento jurídico, como lo son la cosa juzgada y los derivados de los artículos 1º, 2º, 4º, 5º y 6º de la Constitución.</w:t>
      </w:r>
    </w:p>
    <w:p w:rsidR="00133748" w:rsidRPr="005E4A12" w:rsidRDefault="00133748" w:rsidP="00133748">
      <w:pPr>
        <w:spacing w:line="276" w:lineRule="auto"/>
        <w:ind w:left="567"/>
        <w:jc w:val="both"/>
        <w:rPr>
          <w:rFonts w:ascii="Arial" w:hAnsi="Arial" w:cs="Arial"/>
          <w:sz w:val="24"/>
          <w:szCs w:val="24"/>
        </w:rPr>
      </w:pPr>
    </w:p>
    <w:p w:rsidR="00133748" w:rsidRPr="005E4A12" w:rsidRDefault="00133748" w:rsidP="00133748">
      <w:pPr>
        <w:spacing w:line="276" w:lineRule="auto"/>
        <w:ind w:left="567"/>
        <w:jc w:val="both"/>
        <w:rPr>
          <w:rFonts w:ascii="Arial" w:eastAsia="Times New Roman" w:hAnsi="Arial" w:cs="Arial"/>
          <w:sz w:val="24"/>
          <w:szCs w:val="24"/>
          <w:lang w:val="es-ES" w:eastAsia="es-ES"/>
        </w:rPr>
      </w:pPr>
      <w:r w:rsidRPr="005E4A12">
        <w:rPr>
          <w:rFonts w:ascii="Arial" w:hAnsi="Arial" w:cs="Arial"/>
          <w:sz w:val="24"/>
          <w:szCs w:val="24"/>
        </w:rPr>
        <w:t xml:space="preserve">Así mismo, debe ser cuidadoso el interesado al formular el cargo, en la medida en que los supuestos de hecho hasta aquí mencionados, se excluyen entre sí, de tal manera que no será posible alegar uno y otro respecto de una misma prueba, como suele ocurrir, pues además de ser desacertado, genera confusión al fallador». </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hAnsi="Arial" w:cs="Arial"/>
          <w:sz w:val="24"/>
          <w:szCs w:val="24"/>
        </w:rPr>
      </w:pPr>
      <w:r w:rsidRPr="005E4A12">
        <w:rPr>
          <w:rFonts w:ascii="Arial" w:eastAsia="Times New Roman" w:hAnsi="Arial" w:cs="Arial"/>
          <w:sz w:val="24"/>
          <w:szCs w:val="24"/>
          <w:lang w:val="es-ES" w:eastAsia="es-ES"/>
        </w:rPr>
        <w:t>Para la Sala, conforme a los límites de la demanda y de la impugnación, se encuentra la discusión en el supuesto denominado “</w:t>
      </w:r>
      <w:r w:rsidRPr="005E4A12">
        <w:rPr>
          <w:rFonts w:ascii="Arial" w:hAnsi="Arial" w:cs="Arial"/>
          <w:b/>
          <w:sz w:val="24"/>
          <w:szCs w:val="24"/>
        </w:rPr>
        <w:t>Valoración irracional o arbitraria de las pruebas aportadas</w:t>
      </w:r>
      <w:r w:rsidRPr="005E4A12">
        <w:rPr>
          <w:rFonts w:ascii="Arial" w:hAnsi="Arial" w:cs="Arial"/>
          <w:sz w:val="24"/>
          <w:szCs w:val="24"/>
        </w:rPr>
        <w:t>” y se fundamenta en que conforme la apreciación efectuada por el fallador, resulta manifiestamente equivocada o arbitraria, y por ello, el peso otorgado a la prueba se entiende alterado, todo bajo la égida de la sana crítica.</w:t>
      </w:r>
    </w:p>
    <w:p w:rsidR="00133748" w:rsidRPr="005E4A12" w:rsidRDefault="00133748" w:rsidP="00133748">
      <w:pPr>
        <w:spacing w:line="276" w:lineRule="auto"/>
        <w:jc w:val="both"/>
        <w:rPr>
          <w:rFonts w:ascii="Arial" w:hAnsi="Arial" w:cs="Arial"/>
          <w:b/>
          <w:sz w:val="24"/>
          <w:szCs w:val="24"/>
        </w:rPr>
      </w:pPr>
    </w:p>
    <w:p w:rsidR="00133748" w:rsidRPr="005E4A12" w:rsidRDefault="00133748" w:rsidP="00133748">
      <w:pPr>
        <w:spacing w:line="276" w:lineRule="auto"/>
        <w:jc w:val="both"/>
        <w:rPr>
          <w:rFonts w:ascii="Arial" w:hAnsi="Arial" w:cs="Arial"/>
          <w:sz w:val="24"/>
          <w:szCs w:val="24"/>
        </w:rPr>
      </w:pPr>
      <w:r w:rsidRPr="005E4A12">
        <w:rPr>
          <w:rFonts w:ascii="Arial" w:hAnsi="Arial" w:cs="Arial"/>
          <w:sz w:val="24"/>
          <w:szCs w:val="24"/>
        </w:rPr>
        <w:t>En este caso, el tutelante ha cumplido con el presupuesto de precisar cuáles de las pruebas fueron objeto de indebida valoración por el juez y la razón del por qué, en cada caso en particular, la consideración del operador judicial se aleja de las reglas de la lógica, la experiencia y la sana crítica.</w:t>
      </w:r>
    </w:p>
    <w:p w:rsidR="00133748" w:rsidRPr="005E4A12" w:rsidRDefault="00133748" w:rsidP="00133748">
      <w:pPr>
        <w:spacing w:line="276" w:lineRule="auto"/>
        <w:jc w:val="both"/>
        <w:rPr>
          <w:rFonts w:ascii="Arial" w:hAnsi="Arial" w:cs="Arial"/>
          <w:sz w:val="24"/>
          <w:szCs w:val="24"/>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hAnsi="Arial" w:cs="Arial"/>
          <w:sz w:val="24"/>
          <w:szCs w:val="24"/>
        </w:rPr>
        <w:lastRenderedPageBreak/>
        <w:t>Siendo entonces la labor del juez del amparo, adentrarse en la tesis argumentativa del impugnante, para analizar la arbitrariedad o no del juez de la causa y determinar que no se trate del simple desacuerdo en relación con la conclusión a la cual arribó el juez de instancia, pues de ninguna manera, sobre todo este último aspecto, puede ser razón para ordenar el amparo constitucional, porque de ello implicaría una sustitución arbitraria del juez natural.</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La Sección Cuarta del Consejo de Estado, al fallar la primera instancia en tutela, luego de resumir las consideraciones medulares del fallo de la controversia contractual, concluyó que los diversos otros sí, acuerdos, actas de iniciación de obras adicionales y demás compromisos suscritos entre las partes contratantes, constituyeron claros eventos del restablecimiento del equilibrio económico del contrato en el que manifestaron su conformidad y dentro de la oportunidad debida, sin que el contratista hiciera salvedad alguna de obligaciones o circunstancias adicionales y, por ende, el juez del contrato no encontró acreditado el desequilibrio demandado en relación con la </w:t>
      </w:r>
      <w:r w:rsidRPr="005E4A12">
        <w:rPr>
          <w:rFonts w:ascii="Arial" w:eastAsia="Times New Roman" w:hAnsi="Arial" w:cs="Arial"/>
          <w:b/>
          <w:sz w:val="24"/>
          <w:szCs w:val="24"/>
          <w:lang w:val="es-ES" w:eastAsia="es-ES"/>
        </w:rPr>
        <w:t xml:space="preserve">mayor permanencia en la obra </w:t>
      </w:r>
      <w:r w:rsidRPr="005E4A12">
        <w:rPr>
          <w:rFonts w:ascii="Arial" w:eastAsia="Times New Roman" w:hAnsi="Arial" w:cs="Arial"/>
          <w:sz w:val="24"/>
          <w:szCs w:val="24"/>
          <w:lang w:val="es-ES" w:eastAsia="es-ES"/>
        </w:rPr>
        <w:t xml:space="preserve">generadora de sobrecostos, como tampoco de </w:t>
      </w:r>
      <w:r w:rsidRPr="005E4A12">
        <w:rPr>
          <w:rFonts w:ascii="Arial" w:eastAsia="Times New Roman" w:hAnsi="Arial" w:cs="Arial"/>
          <w:b/>
          <w:sz w:val="24"/>
          <w:szCs w:val="24"/>
          <w:lang w:val="es-ES" w:eastAsia="es-ES"/>
        </w:rPr>
        <w:t>incumplimiento en el número de lotes entregados</w:t>
      </w:r>
      <w:r w:rsidRPr="005E4A12">
        <w:rPr>
          <w:rFonts w:ascii="Arial" w:eastAsia="Times New Roman" w:hAnsi="Arial" w:cs="Arial"/>
          <w:sz w:val="24"/>
          <w:szCs w:val="24"/>
          <w:lang w:val="es-ES" w:eastAsia="es-ES"/>
        </w:rPr>
        <w:t>.</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sz w:val="24"/>
          <w:szCs w:val="24"/>
          <w:lang w:val="es-ES" w:eastAsia="es-ES"/>
        </w:rPr>
        <w:t xml:space="preserve">Por lo anterior, concluyó que no se podía endilgar defecto alguno, porque la Sección Tercera actuó conforme a las normas que eran aplicables al caso y explicó y sustentó en debida forma su decisión. No encontró que los contenidos constitucionalmente protegidos ameriten la intervención del juez constitucional, pues no se trató de un proveído caprichoso, arbitrario o carente de justificación o motivación jurídica o que condujera a la inexistencia de defensa y contradicción dentro del proceso. </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val="es-ES" w:eastAsia="es-ES"/>
        </w:rPr>
        <w:t xml:space="preserve">Para la Sección Quinta, como se estableció anteladamente, el tutelante </w:t>
      </w:r>
      <w:r w:rsidRPr="005E4A12">
        <w:rPr>
          <w:rFonts w:ascii="Arial" w:eastAsia="Times New Roman" w:hAnsi="Arial" w:cs="Arial"/>
          <w:b/>
          <w:sz w:val="24"/>
          <w:szCs w:val="24"/>
          <w:lang w:val="es-ES" w:eastAsia="es-ES"/>
        </w:rPr>
        <w:t>MILTON ENRIQUE OVIEDO ÁLVAREZ</w:t>
      </w:r>
      <w:r w:rsidRPr="005E4A12">
        <w:rPr>
          <w:rFonts w:ascii="Arial" w:eastAsia="Times New Roman" w:hAnsi="Arial" w:cs="Arial"/>
          <w:sz w:val="24"/>
          <w:szCs w:val="24"/>
          <w:lang w:eastAsia="es-ES"/>
        </w:rPr>
        <w:t>, cumplió con la carga de postulación del error fáctico o probatorio, pues identificó las pruebas que no fueron tenidas en cuenta para tomar la decisión y precisó razonablemente del porqué valorarlas puede variar el sentido del fallo proferido por la Sección Tercera.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Huelga recordar que en la impugnación el actor considera que la valoración arbitraria de las pruebas recayó sobre aquellas que evidenciaron el </w:t>
      </w:r>
      <w:r w:rsidRPr="005E4A12">
        <w:rPr>
          <w:rFonts w:ascii="Arial" w:eastAsia="Times New Roman" w:hAnsi="Arial" w:cs="Arial"/>
          <w:b/>
          <w:sz w:val="24"/>
          <w:szCs w:val="24"/>
          <w:u w:val="single"/>
          <w:lang w:eastAsia="es-ES"/>
        </w:rPr>
        <w:t>rompimiento del equilibrio financiero del contrato</w:t>
      </w:r>
      <w:r w:rsidRPr="005E4A12">
        <w:rPr>
          <w:rFonts w:ascii="Arial" w:eastAsia="Times New Roman" w:hAnsi="Arial" w:cs="Arial"/>
          <w:sz w:val="24"/>
          <w:szCs w:val="24"/>
          <w:lang w:eastAsia="es-ES"/>
        </w:rPr>
        <w:t xml:space="preserve">, por el </w:t>
      </w:r>
      <w:r w:rsidRPr="005E4A12">
        <w:rPr>
          <w:rFonts w:ascii="Arial" w:eastAsia="Times New Roman" w:hAnsi="Arial" w:cs="Arial"/>
          <w:b/>
          <w:sz w:val="24"/>
          <w:szCs w:val="24"/>
          <w:u w:val="single"/>
          <w:lang w:eastAsia="es-ES"/>
        </w:rPr>
        <w:t>no reconocimiento de la utilidad frente a 280 casas</w:t>
      </w:r>
      <w:r w:rsidRPr="005E4A12">
        <w:rPr>
          <w:rFonts w:ascii="Arial" w:eastAsia="Times New Roman" w:hAnsi="Arial" w:cs="Arial"/>
          <w:sz w:val="24"/>
          <w:szCs w:val="24"/>
          <w:lang w:eastAsia="es-ES"/>
        </w:rPr>
        <w:t xml:space="preserve"> de las 2.026 que se habían acordado construir, que fue imposible llevarlas a cabo por la falta de entrega de los lotes, imputable a la entidad contratante GESTORA URBANA DE IBAGUÉ y, el </w:t>
      </w:r>
      <w:r w:rsidRPr="005E4A12">
        <w:rPr>
          <w:rFonts w:ascii="Arial" w:eastAsia="Times New Roman" w:hAnsi="Arial" w:cs="Arial"/>
          <w:b/>
          <w:sz w:val="24"/>
          <w:szCs w:val="24"/>
          <w:u w:val="single"/>
          <w:lang w:eastAsia="es-ES"/>
        </w:rPr>
        <w:t>reajuste del precio del contrato que incluya el incremento del valor del subsidio familia</w:t>
      </w:r>
      <w:r w:rsidRPr="005E4A12">
        <w:rPr>
          <w:rFonts w:ascii="Arial" w:eastAsia="Times New Roman" w:hAnsi="Arial" w:cs="Arial"/>
          <w:sz w:val="24"/>
          <w:szCs w:val="24"/>
          <w:lang w:eastAsia="es-ES"/>
        </w:rPr>
        <w:t>r, en tanto el pago se hace con estos recursos, pues el fallo contiene otras consideraciones frente a otros temas, que llevaron a que revocara la sentencia de primera instancia.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Dicha autoridad judicial para negar las pretensiones contractuales de las cuales el tutelante predica el yerro fáctico indicó:</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ind w:left="567"/>
        <w:jc w:val="both"/>
        <w:rPr>
          <w:rFonts w:ascii="Arial" w:eastAsia="Times New Roman" w:hAnsi="Arial" w:cs="Arial"/>
          <w:i/>
          <w:sz w:val="24"/>
          <w:szCs w:val="24"/>
          <w:lang w:eastAsia="es-ES"/>
        </w:rPr>
      </w:pPr>
      <w:r w:rsidRPr="005E4A12">
        <w:rPr>
          <w:rFonts w:ascii="Arial" w:eastAsia="Times New Roman" w:hAnsi="Arial" w:cs="Arial"/>
          <w:i/>
          <w:sz w:val="24"/>
          <w:szCs w:val="24"/>
          <w:lang w:eastAsia="es-ES"/>
        </w:rPr>
        <w:t xml:space="preserve">«…debe recordarse que en todos los eventos que pueden dar lugar a una alteración del equilibrio económico del contrato es indispensable, para que se </w:t>
      </w:r>
      <w:r w:rsidRPr="005E4A12">
        <w:rPr>
          <w:rFonts w:ascii="Arial" w:eastAsia="Times New Roman" w:hAnsi="Arial" w:cs="Arial"/>
          <w:i/>
          <w:sz w:val="24"/>
          <w:szCs w:val="24"/>
          <w:lang w:eastAsia="es-ES"/>
        </w:rPr>
        <w:lastRenderedPageBreak/>
        <w:t xml:space="preserve">abra paso el restablecimiento, </w:t>
      </w:r>
      <w:r w:rsidRPr="005E4A12">
        <w:rPr>
          <w:rFonts w:ascii="Arial" w:eastAsia="Times New Roman" w:hAnsi="Arial" w:cs="Arial"/>
          <w:b/>
          <w:i/>
          <w:sz w:val="24"/>
          <w:szCs w:val="24"/>
          <w:lang w:eastAsia="es-ES"/>
        </w:rPr>
        <w:t>la prueba del menoscabo y de que este es grave y que además no corresponde a un riesgo propio de la actividad que debía ser asumido por una de las partes contractuales</w:t>
      </w:r>
      <w:r w:rsidRPr="005E4A12">
        <w:rPr>
          <w:rFonts w:ascii="Arial" w:eastAsia="Times New Roman" w:hAnsi="Arial" w:cs="Arial"/>
          <w:i/>
          <w:sz w:val="24"/>
          <w:szCs w:val="24"/>
          <w:lang w:eastAsia="es-ES"/>
        </w:rPr>
        <w:t>.</w:t>
      </w:r>
    </w:p>
    <w:p w:rsidR="00133748" w:rsidRPr="005E4A12" w:rsidRDefault="00133748" w:rsidP="00133748">
      <w:pPr>
        <w:ind w:left="567"/>
        <w:jc w:val="both"/>
        <w:rPr>
          <w:rFonts w:ascii="Arial" w:eastAsia="Times New Roman" w:hAnsi="Arial" w:cs="Arial"/>
          <w:i/>
          <w:sz w:val="24"/>
          <w:szCs w:val="24"/>
          <w:lang w:eastAsia="es-ES"/>
        </w:rPr>
      </w:pPr>
    </w:p>
    <w:p w:rsidR="00133748" w:rsidRPr="005E4A12" w:rsidRDefault="00133748" w:rsidP="00133748">
      <w:pPr>
        <w:ind w:left="567"/>
        <w:jc w:val="both"/>
        <w:rPr>
          <w:rFonts w:ascii="Arial" w:eastAsia="Times New Roman" w:hAnsi="Arial" w:cs="Arial"/>
          <w:i/>
          <w:sz w:val="24"/>
          <w:szCs w:val="24"/>
          <w:lang w:eastAsia="es-ES"/>
        </w:rPr>
      </w:pPr>
      <w:r w:rsidRPr="005E4A12">
        <w:rPr>
          <w:rFonts w:ascii="Arial" w:eastAsia="Times New Roman" w:hAnsi="Arial" w:cs="Arial"/>
          <w:i/>
          <w:sz w:val="24"/>
          <w:szCs w:val="24"/>
          <w:lang w:eastAsia="es-ES"/>
        </w:rPr>
        <w:t>(…)</w:t>
      </w:r>
    </w:p>
    <w:p w:rsidR="00133748" w:rsidRPr="005E4A12" w:rsidRDefault="00133748" w:rsidP="00133748">
      <w:pPr>
        <w:ind w:left="567"/>
        <w:jc w:val="both"/>
        <w:rPr>
          <w:rFonts w:ascii="Arial" w:eastAsia="Times New Roman" w:hAnsi="Arial" w:cs="Arial"/>
          <w:i/>
          <w:sz w:val="24"/>
          <w:szCs w:val="24"/>
          <w:lang w:eastAsia="es-ES"/>
        </w:rPr>
      </w:pPr>
    </w:p>
    <w:p w:rsidR="00133748" w:rsidRPr="005E4A12" w:rsidRDefault="00133748" w:rsidP="00133748">
      <w:pPr>
        <w:ind w:left="567"/>
        <w:jc w:val="both"/>
        <w:rPr>
          <w:rFonts w:ascii="Arial" w:eastAsia="Times New Roman" w:hAnsi="Arial" w:cs="Arial"/>
          <w:sz w:val="24"/>
          <w:szCs w:val="24"/>
          <w:lang w:eastAsia="es-ES"/>
        </w:rPr>
      </w:pPr>
      <w:r w:rsidRPr="005E4A12">
        <w:rPr>
          <w:rFonts w:ascii="Arial" w:eastAsia="Times New Roman" w:hAnsi="Arial" w:cs="Arial"/>
          <w:i/>
          <w:sz w:val="24"/>
          <w:szCs w:val="24"/>
          <w:lang w:eastAsia="es-ES"/>
        </w:rPr>
        <w:t xml:space="preserve">Pero además de la prueba de tales hechos es preciso, para que prospere una pretensión de restablecimiento del equilibrio económico del contrato en virtud de cualquiera de las causas que pueden dar lugar a la alteración que </w:t>
      </w:r>
      <w:r w:rsidRPr="005E4A12">
        <w:rPr>
          <w:rFonts w:ascii="Arial" w:eastAsia="Times New Roman" w:hAnsi="Arial" w:cs="Arial"/>
          <w:b/>
          <w:i/>
          <w:sz w:val="24"/>
          <w:szCs w:val="24"/>
          <w:lang w:eastAsia="es-ES"/>
        </w:rPr>
        <w:t>el factor de oportunidad no la haga improcedente</w:t>
      </w:r>
      <w:r w:rsidRPr="005E4A12">
        <w:rPr>
          <w:rStyle w:val="Refdenotaalpie"/>
          <w:rFonts w:ascii="Arial" w:eastAsia="Times New Roman" w:hAnsi="Arial" w:cs="Arial"/>
          <w:i/>
          <w:sz w:val="24"/>
          <w:szCs w:val="24"/>
          <w:lang w:eastAsia="es-ES"/>
        </w:rPr>
        <w:footnoteReference w:id="22"/>
      </w:r>
      <w:r w:rsidRPr="005E4A12">
        <w:rPr>
          <w:rFonts w:ascii="Arial" w:eastAsia="Times New Roman" w:hAnsi="Arial" w:cs="Arial"/>
          <w:sz w:val="24"/>
          <w:szCs w:val="24"/>
          <w:lang w:eastAsia="es-ES"/>
        </w:rPr>
        <w:t xml:space="preserve">. </w:t>
      </w:r>
    </w:p>
    <w:p w:rsidR="00133748" w:rsidRPr="005E4A12" w:rsidRDefault="00133748" w:rsidP="00133748">
      <w:pPr>
        <w:spacing w:line="276" w:lineRule="auto"/>
        <w:ind w:left="567"/>
        <w:jc w:val="both"/>
        <w:rPr>
          <w:rFonts w:ascii="Arial" w:eastAsia="Times New Roman" w:hAnsi="Arial" w:cs="Arial"/>
          <w:sz w:val="24"/>
          <w:szCs w:val="24"/>
          <w:lang w:eastAsia="es-ES"/>
        </w:rPr>
      </w:pPr>
    </w:p>
    <w:p w:rsidR="00133748" w:rsidRPr="005E4A12" w:rsidRDefault="00133748" w:rsidP="00133748">
      <w:pPr>
        <w:ind w:left="567"/>
        <w:jc w:val="both"/>
        <w:rPr>
          <w:rFonts w:ascii="Arial" w:eastAsia="Times New Roman" w:hAnsi="Arial" w:cs="Arial"/>
          <w:i/>
          <w:sz w:val="24"/>
          <w:szCs w:val="24"/>
          <w:lang w:eastAsia="es-ES"/>
        </w:rPr>
      </w:pPr>
      <w:r w:rsidRPr="005E4A12">
        <w:rPr>
          <w:rFonts w:ascii="Arial" w:eastAsia="Times New Roman" w:hAnsi="Arial" w:cs="Arial"/>
          <w:i/>
          <w:sz w:val="24"/>
          <w:szCs w:val="24"/>
          <w:lang w:eastAsia="es-ES"/>
        </w:rPr>
        <w:t>(…)</w:t>
      </w:r>
    </w:p>
    <w:p w:rsidR="00133748" w:rsidRPr="005E4A12" w:rsidRDefault="00133748" w:rsidP="00133748">
      <w:pPr>
        <w:ind w:left="567"/>
        <w:jc w:val="both"/>
        <w:rPr>
          <w:rFonts w:ascii="Arial" w:eastAsia="Times New Roman" w:hAnsi="Arial" w:cs="Arial"/>
          <w:i/>
          <w:sz w:val="24"/>
          <w:szCs w:val="24"/>
          <w:lang w:eastAsia="es-ES"/>
        </w:rPr>
      </w:pPr>
    </w:p>
    <w:p w:rsidR="00133748" w:rsidRPr="005E4A12" w:rsidRDefault="00133748" w:rsidP="00133748">
      <w:pPr>
        <w:ind w:left="567"/>
        <w:jc w:val="both"/>
        <w:rPr>
          <w:rFonts w:ascii="Arial" w:eastAsia="Times New Roman" w:hAnsi="Arial" w:cs="Arial"/>
          <w:i/>
          <w:sz w:val="24"/>
          <w:szCs w:val="24"/>
          <w:lang w:eastAsia="es-ES"/>
        </w:rPr>
      </w:pPr>
      <w:r w:rsidRPr="005E4A12">
        <w:rPr>
          <w:rFonts w:ascii="Arial" w:eastAsia="Times New Roman" w:hAnsi="Arial" w:cs="Arial"/>
          <w:i/>
          <w:sz w:val="24"/>
          <w:szCs w:val="24"/>
          <w:lang w:eastAsia="es-ES"/>
        </w:rPr>
        <w:t xml:space="preserve">… si las solicitudes, reclamaciones o salvedades fundadas en la alteración del equilibrio económico no se hacen al momento de suscribir las suspensiones, adiciones o prórrogas del plazo contractual, contratos adicionales, otrosíes, etc., que por tal motivo se convinieren, cualquier solicitud, reclamación, pretensión ulterior es extemporánea, improcedente e impróspera por vulnerar el principio de la buena fe contractual.”. </w:t>
      </w:r>
    </w:p>
    <w:p w:rsidR="00133748" w:rsidRPr="005E4A12" w:rsidRDefault="00133748" w:rsidP="00133748">
      <w:pPr>
        <w:spacing w:line="276" w:lineRule="auto"/>
        <w:ind w:left="567"/>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Es decir, el </w:t>
      </w:r>
      <w:r w:rsidRPr="005E4A12">
        <w:rPr>
          <w:rFonts w:ascii="Arial" w:eastAsia="Times New Roman" w:hAnsi="Arial" w:cs="Arial"/>
          <w:b/>
          <w:sz w:val="24"/>
          <w:szCs w:val="24"/>
          <w:lang w:eastAsia="es-ES"/>
        </w:rPr>
        <w:t>elemento de oportunidad</w:t>
      </w:r>
      <w:r w:rsidRPr="005E4A12">
        <w:rPr>
          <w:rFonts w:ascii="Arial" w:eastAsia="Times New Roman" w:hAnsi="Arial" w:cs="Arial"/>
          <w:sz w:val="24"/>
          <w:szCs w:val="24"/>
          <w:lang w:eastAsia="es-ES"/>
        </w:rPr>
        <w:t xml:space="preserve"> es presupuesto para dar viabilidad a las reclamaciones en materia contractual, como lo evidencia la Sección Tercera de los artículos 16</w:t>
      </w:r>
      <w:r w:rsidRPr="005E4A12">
        <w:rPr>
          <w:rStyle w:val="Refdenotaalpie"/>
          <w:rFonts w:ascii="Arial" w:eastAsia="Times New Roman" w:hAnsi="Arial" w:cs="Arial"/>
          <w:sz w:val="24"/>
          <w:szCs w:val="24"/>
          <w:lang w:eastAsia="es-ES"/>
        </w:rPr>
        <w:footnoteReference w:id="23"/>
      </w:r>
      <w:r w:rsidRPr="005E4A12">
        <w:rPr>
          <w:rFonts w:ascii="Arial" w:eastAsia="Times New Roman" w:hAnsi="Arial" w:cs="Arial"/>
          <w:sz w:val="24"/>
          <w:szCs w:val="24"/>
          <w:lang w:eastAsia="es-ES"/>
        </w:rPr>
        <w:t xml:space="preserve"> y 27</w:t>
      </w:r>
      <w:r w:rsidRPr="005E4A12">
        <w:rPr>
          <w:rStyle w:val="Refdenotaalpie"/>
          <w:rFonts w:ascii="Arial" w:eastAsia="Times New Roman" w:hAnsi="Arial" w:cs="Arial"/>
          <w:sz w:val="24"/>
          <w:szCs w:val="24"/>
          <w:lang w:eastAsia="es-ES"/>
        </w:rPr>
        <w:footnoteReference w:id="24"/>
      </w:r>
      <w:r w:rsidRPr="005E4A12">
        <w:rPr>
          <w:rFonts w:ascii="Arial" w:eastAsia="Times New Roman" w:hAnsi="Arial" w:cs="Arial"/>
          <w:sz w:val="24"/>
          <w:szCs w:val="24"/>
          <w:lang w:eastAsia="es-ES"/>
        </w:rPr>
        <w:t xml:space="preserve"> de la Ley 80 de 1993, que determinan que cuando existan circunstancias que impliquen variaciones al contrato, el mecanismo debe ser el acuerdo de voluntades y solo si no se logra, la administración puede hacerlo unilateralmente, dejando en libertad al contratista de renunciar a la ejecución del contrato si la modificación altera el valor del contrato en 20% o más. </w:t>
      </w:r>
    </w:p>
    <w:p w:rsidR="00133748" w:rsidRPr="005E4A12" w:rsidRDefault="00133748" w:rsidP="00133748">
      <w:pPr>
        <w:spacing w:line="276" w:lineRule="auto"/>
        <w:ind w:left="567"/>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Al punto, que considera que si las solicitudes, reclamaciones o salvedades fundadas en la alteración del equilibrio económico no se hacen al momento de suscribir las </w:t>
      </w:r>
      <w:r w:rsidRPr="005E4A12">
        <w:rPr>
          <w:rFonts w:ascii="Arial" w:eastAsia="Times New Roman" w:hAnsi="Arial" w:cs="Arial"/>
          <w:sz w:val="24"/>
          <w:szCs w:val="24"/>
          <w:lang w:eastAsia="es-ES"/>
        </w:rPr>
        <w:lastRenderedPageBreak/>
        <w:t>suspensiones, adiciones o prórrogas del plazo contractual, contratos adicionales, otros si, siendo extemporánea, cualquiera pretensión indemnizatoria no será de recibo porque vulneraría el principio de buena fe contractual.</w:t>
      </w:r>
    </w:p>
    <w:p w:rsidR="00133748" w:rsidRPr="005E4A12" w:rsidRDefault="00133748" w:rsidP="00133748">
      <w:pPr>
        <w:spacing w:line="276" w:lineRule="auto"/>
        <w:ind w:left="567"/>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Por otra parte, indicó que se requiere la </w:t>
      </w:r>
      <w:r w:rsidRPr="005E4A12">
        <w:rPr>
          <w:rFonts w:ascii="Arial" w:eastAsia="Times New Roman" w:hAnsi="Arial" w:cs="Arial"/>
          <w:b/>
          <w:sz w:val="24"/>
          <w:szCs w:val="24"/>
          <w:lang w:eastAsia="es-ES"/>
        </w:rPr>
        <w:t xml:space="preserve">prueba del menoscabo, que es de naturaleza grave y que no corresponde al riesgo propio de la actividad </w:t>
      </w:r>
      <w:r w:rsidRPr="005E4A12">
        <w:rPr>
          <w:rFonts w:ascii="Arial" w:eastAsia="Times New Roman" w:hAnsi="Arial" w:cs="Arial"/>
          <w:sz w:val="24"/>
          <w:szCs w:val="24"/>
          <w:lang w:eastAsia="es-ES"/>
        </w:rPr>
        <w:t>que deba ser asumido por una de las partes contratantes.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Ahora bien, en el punto preciso de las pruebas, la Sección Tercera, tuvo en cuenta, como lo relaciona en la extensa enumeración de la prueba documental y de otra índole frente a las invocadas por el impugnante. Para efectos de este estudio, se tendrán en cuenta las pruebas soporte del fallo contractual y las que el tutelante echó de menos en la debida valoración, las cuales se exponen en sombreado:</w:t>
      </w:r>
    </w:p>
    <w:p w:rsidR="00133748" w:rsidRPr="005E4A12" w:rsidRDefault="00133748" w:rsidP="00133748">
      <w:pPr>
        <w:spacing w:line="276" w:lineRule="auto"/>
        <w:ind w:left="567"/>
        <w:jc w:val="both"/>
        <w:rPr>
          <w:rFonts w:ascii="Arial" w:eastAsia="Times New Roman" w:hAnsi="Arial" w:cs="Arial"/>
          <w:sz w:val="24"/>
          <w:szCs w:val="24"/>
          <w:lang w:eastAsia="es-ES"/>
        </w:rPr>
      </w:pP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otrosí de 12 de septiembre de 2007</w:t>
      </w:r>
      <w:r w:rsidRPr="005E4A12">
        <w:rPr>
          <w:rFonts w:ascii="Arial" w:eastAsia="Times New Roman" w:hAnsi="Arial" w:cs="Arial"/>
          <w:sz w:val="24"/>
          <w:szCs w:val="24"/>
          <w:lang w:eastAsia="es-ES"/>
        </w:rPr>
        <w:t xml:space="preserve"> suscrito entre las partes contractuales, por medio del cual se modificó el numeral 3° de la cláusula 8</w:t>
      </w:r>
      <w:r w:rsidRPr="005E4A12">
        <w:rPr>
          <w:rStyle w:val="Refdenotaalpie"/>
          <w:rFonts w:ascii="Arial" w:eastAsia="Times New Roman" w:hAnsi="Arial" w:cs="Arial"/>
          <w:sz w:val="24"/>
          <w:szCs w:val="24"/>
          <w:lang w:eastAsia="es-ES"/>
        </w:rPr>
        <w:footnoteReference w:id="25"/>
      </w:r>
      <w:r w:rsidRPr="005E4A12">
        <w:rPr>
          <w:rFonts w:ascii="Arial" w:eastAsia="Times New Roman" w:hAnsi="Arial" w:cs="Arial"/>
          <w:sz w:val="24"/>
          <w:szCs w:val="24"/>
          <w:lang w:eastAsia="es-ES"/>
        </w:rPr>
        <w:t xml:space="preserve"> del Contrato 002 de 2007 relacionado con la cantidad de obra, pero se dejó claro que las demás cláusulas del convenio seguirían iguales en cuanto a contenido y alcance (fls. 1.113 y 1.114 tomo iv). </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otrosí de 27 de diciembre de 2007</w:t>
      </w:r>
      <w:r w:rsidRPr="005E4A12">
        <w:rPr>
          <w:rFonts w:ascii="Arial" w:eastAsia="Times New Roman" w:hAnsi="Arial" w:cs="Arial"/>
          <w:sz w:val="24"/>
          <w:szCs w:val="24"/>
          <w:lang w:eastAsia="es-ES"/>
        </w:rPr>
        <w:t xml:space="preserve">, en el que las partes acordaron </w:t>
      </w:r>
      <w:r w:rsidRPr="005E4A12">
        <w:rPr>
          <w:rFonts w:ascii="Arial" w:eastAsia="Times New Roman" w:hAnsi="Arial" w:cs="Arial"/>
          <w:b/>
          <w:sz w:val="24"/>
          <w:szCs w:val="24"/>
          <w:lang w:eastAsia="es-ES"/>
        </w:rPr>
        <w:t>adicionar</w:t>
      </w:r>
      <w:r w:rsidRPr="005E4A12">
        <w:rPr>
          <w:rFonts w:ascii="Arial" w:eastAsia="Times New Roman" w:hAnsi="Arial" w:cs="Arial"/>
          <w:sz w:val="24"/>
          <w:szCs w:val="24"/>
          <w:lang w:eastAsia="es-ES"/>
        </w:rPr>
        <w:t xml:space="preserve"> que el contratista se obligaba a ejecutar unas obras a precios unitarios fijos en las cantidades que nominaron “</w:t>
      </w:r>
      <w:r w:rsidRPr="005E4A12">
        <w:rPr>
          <w:rFonts w:ascii="Arial" w:eastAsia="Times New Roman" w:hAnsi="Arial" w:cs="Arial"/>
          <w:i/>
          <w:sz w:val="24"/>
          <w:szCs w:val="24"/>
          <w:lang w:eastAsia="es-ES"/>
        </w:rPr>
        <w:t>ítems no previstos en la urbanización Nueva Castilla”</w:t>
      </w:r>
      <w:r w:rsidRPr="005E4A12">
        <w:rPr>
          <w:rFonts w:ascii="Arial" w:eastAsia="Times New Roman" w:hAnsi="Arial" w:cs="Arial"/>
          <w:sz w:val="24"/>
          <w:szCs w:val="24"/>
          <w:lang w:eastAsia="es-ES"/>
        </w:rPr>
        <w:t>, entre otros, por el corte manual para nivel de la terraza, construcción de muro de contención en concreto ciclópeo para cimentación, muro en concreto ciclópeo elevado, suministro y colocación del recebo para relleno compactado cada 15 cms, punto sanitario para patio y demolición con explosivos de piedra incluye cargue y retiro</w:t>
      </w:r>
      <w:r w:rsidRPr="005E4A12">
        <w:rPr>
          <w:rFonts w:ascii="Arial" w:eastAsia="Times New Roman" w:hAnsi="Arial" w:cs="Arial"/>
          <w:i/>
          <w:sz w:val="24"/>
          <w:szCs w:val="24"/>
          <w:lang w:eastAsia="es-ES"/>
        </w:rPr>
        <w:t xml:space="preserve"> </w:t>
      </w:r>
      <w:r w:rsidRPr="005E4A12">
        <w:rPr>
          <w:rFonts w:ascii="Arial" w:eastAsia="Times New Roman" w:hAnsi="Arial" w:cs="Arial"/>
          <w:sz w:val="24"/>
          <w:szCs w:val="24"/>
          <w:lang w:eastAsia="es-ES"/>
        </w:rPr>
        <w:t xml:space="preserve">(fls. 1.115 a 1.1.17 ib y 476 a 478 c. 4 en naranja); se precisó el valor de las obras adicionales en $119.118.715,oo, con cargo a la fiducia $40.000.000 y con cargo a la GESTORA URBANA $79.118.714,oo y se dio un plazo de 30 días contados a partir de esta contrato adicional. Estas obras se iniciaron el </w:t>
      </w:r>
      <w:r w:rsidRPr="005E4A12">
        <w:rPr>
          <w:rFonts w:ascii="Arial" w:eastAsia="Times New Roman" w:hAnsi="Arial" w:cs="Arial"/>
          <w:b/>
          <w:sz w:val="24"/>
          <w:szCs w:val="24"/>
          <w:u w:val="single"/>
          <w:lang w:eastAsia="es-ES"/>
        </w:rPr>
        <w:t>10 de enero de 2008</w:t>
      </w:r>
      <w:r w:rsidRPr="005E4A12">
        <w:rPr>
          <w:rFonts w:ascii="Arial" w:eastAsia="Times New Roman" w:hAnsi="Arial" w:cs="Arial"/>
          <w:sz w:val="24"/>
          <w:szCs w:val="24"/>
          <w:lang w:eastAsia="es-ES"/>
        </w:rPr>
        <w:t xml:space="preserve">, según consta en el acta de iniciación de las obras adicionales y se terminaron el 6 de febrero de 2008 (fls. 479 c. 4 naranja, 1.284 a 1.298 Tomo IV). </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Acta adicional y de compromiso de mayo 8 de 2008</w:t>
      </w:r>
      <w:r w:rsidRPr="005E4A12">
        <w:rPr>
          <w:rFonts w:ascii="Arial" w:eastAsia="Times New Roman" w:hAnsi="Arial" w:cs="Arial"/>
          <w:sz w:val="24"/>
          <w:szCs w:val="24"/>
          <w:lang w:eastAsia="es-ES"/>
        </w:rPr>
        <w:t xml:space="preserve">, en la que se indicó que debido a las dificultades de orden constructivo, técnico y estructural que han impedido el avance de las obras, las partes acordaron: que el contratista realizaría las correcciones, reparaciones y demás actividades de carácter técnico precisadas en el informe de interventoría de 28 de abril de 2008, respecto de las 133 viviendas de Nueva Castilla, dentro de los 60 días siguientes a la suscripción del acta -sin que se modifique el plazo inicialmente </w:t>
      </w:r>
      <w:r w:rsidRPr="005E4A12">
        <w:rPr>
          <w:rFonts w:ascii="Arial" w:eastAsia="Times New Roman" w:hAnsi="Arial" w:cs="Arial"/>
          <w:sz w:val="24"/>
          <w:szCs w:val="24"/>
          <w:lang w:eastAsia="es-ES"/>
        </w:rPr>
        <w:lastRenderedPageBreak/>
        <w:t>pactado- y la GESTORA URBANA se comprometió a entregar todos los documentos necesarios para la continuación del proceso de escrituración y registro. Las demás cláusulas mantenían igual (fls. 1.118 a 1.123 Tomo IV).</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-Precisamente respecto de estas 133 viviendas, el contratista fue sancionado con multa mediante Resolución 237 de 30 de julio de 2008, por no haber dado solución a las falencias y no haber entregado esta primera etapa.</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u w:val="single"/>
          <w:lang w:eastAsia="es-ES"/>
        </w:rPr>
        <w:t>El otro si de 17 de diciembre de 2008</w:t>
      </w:r>
      <w:r w:rsidRPr="005E4A12">
        <w:rPr>
          <w:rFonts w:ascii="Arial" w:eastAsia="Times New Roman" w:hAnsi="Arial" w:cs="Arial"/>
          <w:sz w:val="24"/>
          <w:szCs w:val="24"/>
          <w:lang w:eastAsia="es-ES"/>
        </w:rPr>
        <w:t xml:space="preserve">, que modificó la cláusula segunda del otro sí de 27 de diciembre de 2007, en el sentido de que el pago de los $40.000.000 convenidos por concepto de obras adicionales, se efectuaría con recursos de la GESTORA URBANA -antes de dijo que con los dineros por concepto de subsidio familiar, los cuales no se han podido cobrar, </w:t>
      </w:r>
      <w:r w:rsidRPr="005E4A12">
        <w:rPr>
          <w:rFonts w:ascii="Arial" w:eastAsia="Times New Roman" w:hAnsi="Arial" w:cs="Arial"/>
          <w:b/>
          <w:sz w:val="24"/>
          <w:szCs w:val="24"/>
          <w:u w:val="single"/>
          <w:lang w:eastAsia="es-ES"/>
        </w:rPr>
        <w:t>presentándose un desequilibrio económico del contrato</w:t>
      </w:r>
      <w:r w:rsidRPr="005E4A12">
        <w:rPr>
          <w:rFonts w:ascii="Arial" w:eastAsia="Times New Roman" w:hAnsi="Arial" w:cs="Arial"/>
          <w:sz w:val="24"/>
          <w:szCs w:val="24"/>
          <w:lang w:eastAsia="es-ES"/>
        </w:rPr>
        <w:t>-.</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Oficio de 23 de diciembre de 2008</w:t>
      </w:r>
      <w:r w:rsidRPr="005E4A12">
        <w:rPr>
          <w:rFonts w:ascii="Arial" w:eastAsia="Times New Roman" w:hAnsi="Arial" w:cs="Arial"/>
          <w:sz w:val="24"/>
          <w:szCs w:val="24"/>
          <w:lang w:eastAsia="es-ES"/>
        </w:rPr>
        <w:t>, la GESTORA URBANA DE IBAGUÉ indica al contratista que los recursos de la etapa I de la Ceibita fueron desembolsados el 15 de diciembre de 2008 y la etapa 2 de la Urbanización Nueva Castilla, el 23 de diciembre de 2008 y que los lotes están listos para dar inicio a las obras de construcción, no existiendo razón para que no dé inicio a la ejecución de las obras “</w:t>
      </w:r>
      <w:r w:rsidRPr="005E4A12">
        <w:rPr>
          <w:rFonts w:ascii="Arial" w:eastAsia="Times New Roman" w:hAnsi="Arial" w:cs="Arial"/>
          <w:i/>
          <w:sz w:val="24"/>
          <w:szCs w:val="24"/>
          <w:lang w:eastAsia="es-ES"/>
        </w:rPr>
        <w:t>por lo tanto le manifestamos que cualquier costo generado por el retraso en el inicio de las obras, no será asumido por la Entidad y de no darse de manera inmediata, procederemos a tomar las medidas legales pertinentes</w:t>
      </w:r>
      <w:r w:rsidRPr="005E4A12">
        <w:rPr>
          <w:rFonts w:ascii="Arial" w:eastAsia="Times New Roman" w:hAnsi="Arial" w:cs="Arial"/>
          <w:sz w:val="24"/>
          <w:szCs w:val="24"/>
          <w:lang w:eastAsia="es-ES"/>
        </w:rPr>
        <w:t>”.</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Acta de reinicio de obras de 7 de enero de 2009</w:t>
      </w:r>
      <w:r w:rsidRPr="005E4A12">
        <w:rPr>
          <w:rFonts w:ascii="Arial" w:eastAsia="Times New Roman" w:hAnsi="Arial" w:cs="Arial"/>
          <w:sz w:val="24"/>
          <w:szCs w:val="24"/>
          <w:lang w:eastAsia="es-ES"/>
        </w:rPr>
        <w:t>, de las obras de la segunda etapa de Nueva Castilla, que se habían suspendido el 7 de noviembre de 2008. Se dejó constancia que algunos de los lotes a intervenir no se encuentran en los niveles presentados en el proyecto inicial, por lo que se cuantificarán los rellenos o cortes requeridos para que las viviendas queden como en el diseño urbanístico contemplado.</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lang w:eastAsia="es-ES"/>
        </w:rPr>
        <w:t>Oficio 0074 de 14 de enero de 2009</w:t>
      </w:r>
      <w:r w:rsidRPr="005E4A12">
        <w:rPr>
          <w:rFonts w:ascii="Arial" w:eastAsia="Times New Roman" w:hAnsi="Arial" w:cs="Arial"/>
          <w:sz w:val="24"/>
          <w:szCs w:val="24"/>
          <w:lang w:eastAsia="es-ES"/>
        </w:rPr>
        <w:t>, el constructor informa a la GESTORA URBANA cómo va la escrituración de Nueva Castilla e indica al final que “</w:t>
      </w:r>
      <w:r w:rsidRPr="005E4A12">
        <w:rPr>
          <w:rFonts w:ascii="Arial" w:eastAsia="Times New Roman" w:hAnsi="Arial" w:cs="Arial"/>
          <w:i/>
          <w:sz w:val="24"/>
          <w:szCs w:val="24"/>
          <w:lang w:eastAsia="es-ES"/>
        </w:rPr>
        <w:t>…para el cobro del 20% transcurrido (7) meses de la entrega física de las casas depende de un 90% de que los beneficiarios resuelvan el compromiso con ustedes, lo cual me crea una situación económica difícil</w:t>
      </w:r>
      <w:r w:rsidRPr="005E4A12">
        <w:rPr>
          <w:rFonts w:ascii="Arial" w:eastAsia="Times New Roman" w:hAnsi="Arial" w:cs="Arial"/>
          <w:sz w:val="24"/>
          <w:szCs w:val="24"/>
          <w:lang w:eastAsia="es-ES"/>
        </w:rPr>
        <w:t>”.</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lang w:eastAsia="es-ES"/>
        </w:rPr>
        <w:t>Oficio de 21 de enero de 2009</w:t>
      </w:r>
      <w:r w:rsidRPr="005E4A12">
        <w:rPr>
          <w:rFonts w:ascii="Arial" w:eastAsia="Times New Roman" w:hAnsi="Arial" w:cs="Arial"/>
          <w:sz w:val="24"/>
          <w:szCs w:val="24"/>
          <w:lang w:eastAsia="es-ES"/>
        </w:rPr>
        <w:t xml:space="preserve"> de la GESTORA URBANA, en el que manifiesta que es conveniente adicionar el término del contrato, debido a las dos olas invernales  que se presentaron en abril 2007 y 2009 que obligó a paralizar las obras contratadas (fls. 1.231 a 1.232 Tomo IV).</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Otro sí de 27 de enero de 2009</w:t>
      </w:r>
      <w:r w:rsidRPr="005E4A12">
        <w:rPr>
          <w:rFonts w:ascii="Arial" w:eastAsia="Times New Roman" w:hAnsi="Arial" w:cs="Arial"/>
          <w:sz w:val="24"/>
          <w:szCs w:val="24"/>
          <w:lang w:eastAsia="es-ES"/>
        </w:rPr>
        <w:t>, las partes, para garantizar el desarrollo exitoso del proyecto contratado, adicionaron el plazo establecido en la cláusula 9</w:t>
      </w:r>
      <w:r w:rsidRPr="005E4A12">
        <w:rPr>
          <w:rStyle w:val="Refdenotaalpie"/>
          <w:rFonts w:ascii="Arial" w:eastAsia="Times New Roman" w:hAnsi="Arial" w:cs="Arial"/>
          <w:sz w:val="24"/>
          <w:szCs w:val="24"/>
          <w:lang w:eastAsia="es-ES"/>
        </w:rPr>
        <w:footnoteReference w:id="26"/>
      </w:r>
      <w:r w:rsidRPr="005E4A12">
        <w:rPr>
          <w:rFonts w:ascii="Arial" w:eastAsia="Times New Roman" w:hAnsi="Arial" w:cs="Arial"/>
          <w:sz w:val="24"/>
          <w:szCs w:val="24"/>
          <w:lang w:eastAsia="es-ES"/>
        </w:rPr>
        <w:t xml:space="preserve"> del contrato en 12 meses, contados a partir del día siguiente a la expiración del término fijado en el convenio inicial.</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28 de enero de 2009</w:t>
      </w:r>
      <w:r w:rsidRPr="005E4A12">
        <w:rPr>
          <w:rFonts w:ascii="Arial" w:eastAsia="Times New Roman" w:hAnsi="Arial" w:cs="Arial"/>
          <w:sz w:val="24"/>
          <w:szCs w:val="24"/>
          <w:lang w:eastAsia="es-ES"/>
        </w:rPr>
        <w:t xml:space="preserve"> el contratista solicita a su contratante el </w:t>
      </w:r>
      <w:r w:rsidRPr="005E4A12">
        <w:rPr>
          <w:rFonts w:ascii="Arial" w:eastAsia="Times New Roman" w:hAnsi="Arial" w:cs="Arial"/>
          <w:b/>
          <w:sz w:val="24"/>
          <w:szCs w:val="24"/>
          <w:u w:val="single"/>
          <w:lang w:eastAsia="es-ES"/>
        </w:rPr>
        <w:t>restablecimiento del equilibrio económico del contrato</w:t>
      </w:r>
      <w:r w:rsidRPr="005E4A12">
        <w:rPr>
          <w:rFonts w:ascii="Arial" w:eastAsia="Times New Roman" w:hAnsi="Arial" w:cs="Arial"/>
          <w:sz w:val="24"/>
          <w:szCs w:val="24"/>
          <w:lang w:eastAsia="es-ES"/>
        </w:rPr>
        <w:t xml:space="preserve"> por la entrega incompleta, tardía y defectuosa de los lotes para construir las viviendas en La </w:t>
      </w:r>
      <w:r w:rsidRPr="005E4A12">
        <w:rPr>
          <w:rFonts w:ascii="Arial" w:eastAsia="Times New Roman" w:hAnsi="Arial" w:cs="Arial"/>
          <w:sz w:val="24"/>
          <w:szCs w:val="24"/>
          <w:lang w:eastAsia="es-ES"/>
        </w:rPr>
        <w:lastRenderedPageBreak/>
        <w:t>Ceibita, El Limón, La Cima y Nueva Castilla y presenta relación pormenorizada de las entregas por proyecto, incluye las fechas de entrega, los faltantes y observaciones como por ejemplo: para Nueva Castilla “</w:t>
      </w:r>
      <w:r w:rsidRPr="005E4A12">
        <w:rPr>
          <w:rFonts w:ascii="Arial" w:eastAsia="Times New Roman" w:hAnsi="Arial" w:cs="Arial"/>
          <w:i/>
          <w:sz w:val="24"/>
          <w:szCs w:val="24"/>
          <w:lang w:eastAsia="es-ES"/>
        </w:rPr>
        <w:t>el contrato se encuentra por 1.163 viviendas y en la actualidad las 3 etapas suman 686, quedando pendientes 279</w:t>
      </w:r>
      <w:r w:rsidRPr="005E4A12">
        <w:rPr>
          <w:rFonts w:ascii="Arial" w:eastAsia="Times New Roman" w:hAnsi="Arial" w:cs="Arial"/>
          <w:sz w:val="24"/>
          <w:szCs w:val="24"/>
          <w:lang w:eastAsia="es-ES"/>
        </w:rPr>
        <w:t>”.</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25 de febrero de 2009</w:t>
      </w:r>
      <w:r w:rsidRPr="005E4A12">
        <w:rPr>
          <w:rFonts w:ascii="Arial" w:eastAsia="Times New Roman" w:hAnsi="Arial" w:cs="Arial"/>
          <w:b/>
          <w:sz w:val="24"/>
          <w:szCs w:val="24"/>
          <w:lang w:eastAsia="es-ES"/>
        </w:rPr>
        <w:t xml:space="preserve"> </w:t>
      </w:r>
      <w:r w:rsidRPr="005E4A12">
        <w:rPr>
          <w:rFonts w:ascii="Arial" w:eastAsia="Times New Roman" w:hAnsi="Arial" w:cs="Arial"/>
          <w:sz w:val="24"/>
          <w:szCs w:val="24"/>
          <w:lang w:eastAsia="es-ES"/>
        </w:rPr>
        <w:t>dirigido por la GESTORA URBANA al contratista que por renuncia de los beneficiarios al subsidio, no se debían construir la casa 9 de la manzana P de La Cima, la casa 7 de la manzana 11 de La Ceibita y las casas 1 manzana 1, 8 de la manzana 14, 1 de la manzana 16, casa 12 de la manzana 1, casa 10 de la manzana 2.</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El </w:t>
      </w:r>
      <w:r w:rsidRPr="005E4A12">
        <w:rPr>
          <w:rFonts w:ascii="Arial" w:eastAsia="Times New Roman" w:hAnsi="Arial" w:cs="Arial"/>
          <w:b/>
          <w:sz w:val="24"/>
          <w:szCs w:val="24"/>
          <w:u w:val="single"/>
          <w:lang w:eastAsia="es-ES"/>
        </w:rPr>
        <w:t>12 de agosto de 2009</w:t>
      </w:r>
      <w:r w:rsidRPr="005E4A12">
        <w:rPr>
          <w:rFonts w:ascii="Arial" w:eastAsia="Times New Roman" w:hAnsi="Arial" w:cs="Arial"/>
          <w:b/>
          <w:sz w:val="24"/>
          <w:szCs w:val="24"/>
          <w:lang w:eastAsia="es-ES"/>
        </w:rPr>
        <w:t xml:space="preserve"> </w:t>
      </w:r>
      <w:r w:rsidRPr="005E4A12">
        <w:rPr>
          <w:rFonts w:ascii="Arial" w:eastAsia="Times New Roman" w:hAnsi="Arial" w:cs="Arial"/>
          <w:sz w:val="24"/>
          <w:szCs w:val="24"/>
          <w:lang w:eastAsia="es-ES"/>
        </w:rPr>
        <w:t>del contratista a la GESTORA URBANA, en la que solicita el pago de $239.849.198, por concepto de obras adicionales realizadas en La Ceibita, El Limón, La Cima y Nueva Castilla por concepto de obras adicionales en dichas urbanizaciones, tales como, rellenos, renivelaciones de terrazas, excavaciones, contratos ciclópeos, por valores que discrimina así: en La Ceibita, $59.853.817,oo, en El Limón, $117.611.689,oo, La Cima, $34.266.566,oo y la etapa 2 de Nueva Castilla, $88.070.943,oo (fls. 547 a 549 c. 1, 233 a 235 c.2 y 1.168 a 1.170 tomo IV).</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u w:val="single"/>
          <w:lang w:eastAsia="es-ES"/>
        </w:rPr>
        <w:t>Oficio 2009-3008 de 25 de septiembre de 2009</w:t>
      </w:r>
      <w:r w:rsidRPr="005E4A12">
        <w:rPr>
          <w:rFonts w:ascii="Arial" w:eastAsia="Times New Roman" w:hAnsi="Arial" w:cs="Arial"/>
          <w:sz w:val="24"/>
          <w:szCs w:val="24"/>
          <w:lang w:eastAsia="es-ES"/>
        </w:rPr>
        <w:t xml:space="preserve">, mediante el cual el contratista informa a la contratante, la relación de pagos adicionales, que coinciden casi en su totalidad con los indicados en el oficio de 12 de agosto, salvo en cuanto agrega “adicional de punto eléctrico” en La Cima I por $8.898.926, que conllevan a que los $239.849.198 reclamados se incrementaren en $308.701.941 (fls. 565 c.1.) </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lang w:eastAsia="es-ES"/>
        </w:rPr>
        <w:t xml:space="preserve"> </w:t>
      </w:r>
      <w:r w:rsidRPr="005E4A12">
        <w:rPr>
          <w:rFonts w:ascii="Arial" w:eastAsia="Times New Roman" w:hAnsi="Arial" w:cs="Arial"/>
          <w:b/>
          <w:sz w:val="24"/>
          <w:szCs w:val="24"/>
          <w:u w:val="single"/>
          <w:lang w:eastAsia="es-ES"/>
        </w:rPr>
        <w:t>Acta de 26 de enero de 2010</w:t>
      </w:r>
      <w:r w:rsidRPr="005E4A12">
        <w:rPr>
          <w:rFonts w:ascii="Arial" w:eastAsia="Times New Roman" w:hAnsi="Arial" w:cs="Arial"/>
          <w:b/>
          <w:sz w:val="24"/>
          <w:szCs w:val="24"/>
          <w:lang w:eastAsia="es-ES"/>
        </w:rPr>
        <w:t xml:space="preserve"> </w:t>
      </w:r>
      <w:r w:rsidRPr="005E4A12">
        <w:rPr>
          <w:rFonts w:ascii="Arial" w:eastAsia="Times New Roman" w:hAnsi="Arial" w:cs="Arial"/>
          <w:sz w:val="24"/>
          <w:szCs w:val="24"/>
          <w:lang w:eastAsia="es-ES"/>
        </w:rPr>
        <w:t>suscrita por la partes y el asesor externo de la oficina de viviendas y proyectos de la entidad contratante, para adicionar el término del contrato en 6 meses y, por ende, modificar la cláusula 9 del contrato 002 de febrero 2007 y su otro sí de 27 de enero de 2009 “</w:t>
      </w:r>
      <w:r w:rsidRPr="005E4A12">
        <w:rPr>
          <w:rFonts w:ascii="Arial" w:eastAsia="Times New Roman" w:hAnsi="Arial" w:cs="Arial"/>
          <w:b/>
          <w:sz w:val="24"/>
          <w:szCs w:val="24"/>
          <w:lang w:eastAsia="es-ES"/>
        </w:rPr>
        <w:t>y se estipuló que las demás cláusulas del convenio seguirían iguales</w:t>
      </w:r>
      <w:r w:rsidRPr="005E4A12">
        <w:rPr>
          <w:rFonts w:ascii="Arial" w:eastAsia="Times New Roman" w:hAnsi="Arial" w:cs="Arial"/>
          <w:sz w:val="24"/>
          <w:szCs w:val="24"/>
          <w:lang w:eastAsia="es-ES"/>
        </w:rPr>
        <w:t>” (fls. 1.237 a 1.242 Tomo IV).</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u w:val="single"/>
          <w:lang w:eastAsia="es-ES"/>
        </w:rPr>
        <w:t>Acta Nº 1 del Contrato de 28 de enero de 2010</w:t>
      </w:r>
      <w:r w:rsidRPr="005E4A12">
        <w:rPr>
          <w:rFonts w:ascii="Arial" w:eastAsia="Times New Roman" w:hAnsi="Arial" w:cs="Arial"/>
          <w:sz w:val="24"/>
          <w:szCs w:val="24"/>
          <w:lang w:eastAsia="es-ES"/>
        </w:rPr>
        <w:t>, las partes contractuales acuerdan suspender el contrato hasta cuando finalicen los trámites administrativos que se adelantan ante el Ministerio del Medio Ambiente relacionados con las obras de urbanismo (fls. 1.245 a 1.248 Tomo IV).</w:t>
      </w:r>
    </w:p>
    <w:p w:rsidR="00133748" w:rsidRPr="005E4A12" w:rsidRDefault="00133748" w:rsidP="00133748">
      <w:pPr>
        <w:spacing w:line="276" w:lineRule="auto"/>
        <w:ind w:left="567"/>
        <w:jc w:val="both"/>
        <w:rPr>
          <w:rFonts w:ascii="Arial" w:eastAsia="Times New Roman" w:hAnsi="Arial" w:cs="Arial"/>
          <w:b/>
          <w:sz w:val="24"/>
          <w:szCs w:val="24"/>
          <w:lang w:eastAsia="es-ES"/>
        </w:rPr>
      </w:pPr>
      <w:r w:rsidRPr="005E4A12">
        <w:rPr>
          <w:rFonts w:ascii="Arial" w:eastAsia="Times New Roman" w:hAnsi="Arial" w:cs="Arial"/>
          <w:sz w:val="24"/>
          <w:szCs w:val="24"/>
          <w:lang w:eastAsia="es-ES"/>
        </w:rPr>
        <w:t xml:space="preserve"> - </w:t>
      </w:r>
      <w:r w:rsidRPr="005E4A12">
        <w:rPr>
          <w:rFonts w:ascii="Arial" w:eastAsia="Times New Roman" w:hAnsi="Arial" w:cs="Arial"/>
          <w:b/>
          <w:sz w:val="24"/>
          <w:szCs w:val="24"/>
          <w:u w:val="single"/>
          <w:lang w:eastAsia="es-ES"/>
        </w:rPr>
        <w:t>Otro sí de 14 de mayo de 2010</w:t>
      </w:r>
      <w:r w:rsidRPr="005E4A12">
        <w:rPr>
          <w:rFonts w:ascii="Arial" w:eastAsia="Times New Roman" w:hAnsi="Arial" w:cs="Arial"/>
          <w:sz w:val="24"/>
          <w:szCs w:val="24"/>
          <w:lang w:eastAsia="es-ES"/>
        </w:rPr>
        <w:t xml:space="preserve">, por medio de las cuales acordaron las siguientes cláusulas, en vista del </w:t>
      </w:r>
      <w:r w:rsidRPr="005E4A12">
        <w:rPr>
          <w:rFonts w:ascii="Arial" w:eastAsia="Times New Roman" w:hAnsi="Arial" w:cs="Arial"/>
          <w:b/>
          <w:sz w:val="24"/>
          <w:szCs w:val="24"/>
          <w:u w:val="single"/>
          <w:lang w:eastAsia="es-ES"/>
        </w:rPr>
        <w:t>desequilibrio económico del contrato ocasionado por el incumplimiento de los beneficiarios</w:t>
      </w:r>
      <w:r w:rsidRPr="005E4A12">
        <w:rPr>
          <w:rFonts w:ascii="Arial" w:eastAsia="Times New Roman" w:hAnsi="Arial" w:cs="Arial"/>
          <w:sz w:val="24"/>
          <w:szCs w:val="24"/>
          <w:lang w:eastAsia="es-ES"/>
        </w:rPr>
        <w:t xml:space="preserve"> al no haber cancelado a la fecha el valor correspondiente al aporte que les correspondía para realizar el cierre financiero, lo que ha ocasionado que el proyecto Nueva Castilla no se haya culminado en su totalidad y a fin de finalizarlo: i) Adicionar la cláusula 7</w:t>
      </w:r>
      <w:r w:rsidRPr="005E4A12">
        <w:rPr>
          <w:rStyle w:val="Refdenotaalpie"/>
          <w:rFonts w:ascii="Arial" w:eastAsia="Times New Roman" w:hAnsi="Arial" w:cs="Arial"/>
          <w:sz w:val="24"/>
          <w:szCs w:val="24"/>
          <w:lang w:eastAsia="es-ES"/>
        </w:rPr>
        <w:footnoteReference w:id="27"/>
      </w:r>
      <w:r w:rsidRPr="005E4A12">
        <w:rPr>
          <w:rFonts w:ascii="Arial" w:eastAsia="Times New Roman" w:hAnsi="Arial" w:cs="Arial"/>
          <w:sz w:val="24"/>
          <w:szCs w:val="24"/>
          <w:lang w:eastAsia="es-ES"/>
        </w:rPr>
        <w:t xml:space="preserve"> del contrato, con el numeral 11 dentro de las obligaciones del contratista: </w:t>
      </w:r>
      <w:r w:rsidRPr="005E4A12">
        <w:rPr>
          <w:rFonts w:ascii="Arial" w:eastAsia="Times New Roman" w:hAnsi="Arial" w:cs="Arial"/>
          <w:i/>
          <w:sz w:val="24"/>
          <w:szCs w:val="24"/>
          <w:lang w:eastAsia="es-ES"/>
        </w:rPr>
        <w:t xml:space="preserve">“(…) se obliga a partir de la fecha a ejecutar o culminar en su totalidad, los ítems de obra que a continuación se detallan con el fin de finalizar </w:t>
      </w:r>
      <w:r w:rsidRPr="005E4A12">
        <w:rPr>
          <w:rFonts w:ascii="Arial" w:eastAsia="Times New Roman" w:hAnsi="Arial" w:cs="Arial"/>
          <w:sz w:val="24"/>
          <w:szCs w:val="24"/>
          <w:lang w:eastAsia="es-ES"/>
        </w:rPr>
        <w:t>(sic)</w:t>
      </w:r>
      <w:r w:rsidRPr="005E4A12">
        <w:rPr>
          <w:rFonts w:ascii="Arial" w:eastAsia="Times New Roman" w:hAnsi="Arial" w:cs="Arial"/>
          <w:i/>
          <w:sz w:val="24"/>
          <w:szCs w:val="24"/>
          <w:lang w:eastAsia="es-ES"/>
        </w:rPr>
        <w:t xml:space="preserve"> el proyecto constructivo Nueva Castilla Etapas 2 y 3, en un término que no supere el del plazo y vigencia del Convenio Asociativo inicialmente pactado </w:t>
      </w:r>
      <w:r w:rsidRPr="005E4A12">
        <w:rPr>
          <w:rFonts w:ascii="Arial" w:eastAsia="Times New Roman" w:hAnsi="Arial" w:cs="Arial"/>
          <w:i/>
          <w:sz w:val="24"/>
          <w:szCs w:val="24"/>
          <w:lang w:eastAsia="es-ES"/>
        </w:rPr>
        <w:lastRenderedPageBreak/>
        <w:t xml:space="preserve">y sus actas adicionales igualmente, </w:t>
      </w:r>
      <w:r w:rsidRPr="005E4A12">
        <w:rPr>
          <w:rFonts w:ascii="Arial" w:eastAsia="Times New Roman" w:hAnsi="Arial" w:cs="Arial"/>
          <w:b/>
          <w:i/>
          <w:sz w:val="24"/>
          <w:szCs w:val="24"/>
          <w:u w:val="single"/>
          <w:lang w:eastAsia="es-ES"/>
        </w:rPr>
        <w:t>la suma de dinero aquí establecida como costo de las obras descritas y necesarias</w:t>
      </w:r>
      <w:r w:rsidRPr="005E4A12">
        <w:rPr>
          <w:rFonts w:ascii="Arial" w:eastAsia="Times New Roman" w:hAnsi="Arial" w:cs="Arial"/>
          <w:i/>
          <w:sz w:val="24"/>
          <w:szCs w:val="24"/>
          <w:lang w:eastAsia="es-ES"/>
        </w:rPr>
        <w:t xml:space="preserve"> serán cancelados al contratista directamente por la compañía fiduciaria FIDUCAFÉ, recursos obtenidos por los </w:t>
      </w:r>
      <w:r w:rsidRPr="005E4A12">
        <w:rPr>
          <w:rFonts w:ascii="Arial" w:eastAsia="Times New Roman" w:hAnsi="Arial" w:cs="Arial"/>
          <w:b/>
          <w:i/>
          <w:sz w:val="24"/>
          <w:szCs w:val="24"/>
          <w:u w:val="single"/>
          <w:lang w:eastAsia="es-ES"/>
        </w:rPr>
        <w:t>rendimientos financieros que han generado los correspondientes subsidios de vivienda</w:t>
      </w:r>
      <w:r w:rsidRPr="005E4A12">
        <w:rPr>
          <w:rFonts w:ascii="Arial" w:eastAsia="Times New Roman" w:hAnsi="Arial" w:cs="Arial"/>
          <w:i/>
          <w:sz w:val="24"/>
          <w:szCs w:val="24"/>
          <w:lang w:eastAsia="es-ES"/>
        </w:rPr>
        <w:t xml:space="preserve">, previa autorización de la GESTORA URBANA DE IBAGUÉ como oferente del proyecto, que se cancelarán de la siguiente manera un 40% como anticipo, un 40% restante mediante actas parciales de obra. Y un 20% que se cancelará al contratista una vez finalizadas” </w:t>
      </w:r>
      <w:r w:rsidRPr="005E4A12">
        <w:rPr>
          <w:rFonts w:ascii="Arial" w:eastAsia="Times New Roman" w:hAnsi="Arial" w:cs="Arial"/>
          <w:sz w:val="24"/>
          <w:szCs w:val="24"/>
          <w:lang w:eastAsia="es-ES"/>
        </w:rPr>
        <w:t xml:space="preserve">las obras de urbanismo de Nueva Castilla. </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b/>
          <w:sz w:val="24"/>
          <w:szCs w:val="24"/>
          <w:lang w:eastAsia="es-ES"/>
        </w:rPr>
        <w:t>- Etapa II y III</w:t>
      </w:r>
      <w:r w:rsidRPr="005E4A12">
        <w:rPr>
          <w:rFonts w:ascii="Arial" w:eastAsia="Times New Roman" w:hAnsi="Arial" w:cs="Arial"/>
          <w:sz w:val="24"/>
          <w:szCs w:val="24"/>
          <w:lang w:eastAsia="es-ES"/>
        </w:rPr>
        <w:t xml:space="preserve">, relacionadas con la excavación, cunetas, andenes en concreto, sardineles, excavaciones de sardineles, suministro, extendida y compactación de recebo, explanación, cajeo, cargue y retiro de sobrantes, las cuales tienen un costo de </w:t>
      </w:r>
      <w:r w:rsidRPr="005E4A12">
        <w:rPr>
          <w:rFonts w:ascii="Arial" w:eastAsia="Times New Roman" w:hAnsi="Arial" w:cs="Arial"/>
          <w:b/>
          <w:sz w:val="24"/>
          <w:szCs w:val="24"/>
          <w:lang w:eastAsia="es-ES"/>
        </w:rPr>
        <w:t>$915.151.811,06</w:t>
      </w:r>
      <w:r w:rsidRPr="005E4A12">
        <w:rPr>
          <w:rFonts w:ascii="Arial" w:eastAsia="Times New Roman" w:hAnsi="Arial" w:cs="Arial"/>
          <w:sz w:val="24"/>
          <w:szCs w:val="24"/>
          <w:lang w:eastAsia="es-ES"/>
        </w:rPr>
        <w:t>.</w:t>
      </w:r>
    </w:p>
    <w:p w:rsidR="00133748" w:rsidRPr="005E4A12" w:rsidRDefault="00133748" w:rsidP="00133748">
      <w:pPr>
        <w:spacing w:line="276" w:lineRule="auto"/>
        <w:ind w:left="567"/>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ii) Se constituyó la garantía única de cumplimiento de las obras adicionadas y iii) se estableció que las demás cláusulas del contrato 002 de 2007 se mantienen en cuanto a contenido y alcance.</w:t>
      </w:r>
    </w:p>
    <w:p w:rsidR="00133748" w:rsidRPr="005E4A12" w:rsidRDefault="00133748" w:rsidP="00133748">
      <w:pPr>
        <w:numPr>
          <w:ilvl w:val="0"/>
          <w:numId w:val="13"/>
        </w:numPr>
        <w:spacing w:line="276" w:lineRule="auto"/>
        <w:ind w:left="567" w:firstLine="0"/>
        <w:jc w:val="both"/>
        <w:rPr>
          <w:rFonts w:ascii="Arial" w:eastAsia="Times New Roman" w:hAnsi="Arial" w:cs="Arial"/>
          <w:sz w:val="24"/>
          <w:szCs w:val="24"/>
          <w:lang w:eastAsia="es-ES"/>
        </w:rPr>
      </w:pPr>
      <w:r w:rsidRPr="005E4A12">
        <w:rPr>
          <w:rFonts w:ascii="Arial" w:eastAsia="Times New Roman" w:hAnsi="Arial" w:cs="Arial"/>
          <w:b/>
          <w:sz w:val="24"/>
          <w:szCs w:val="24"/>
          <w:lang w:eastAsia="es-ES"/>
        </w:rPr>
        <w:t>Oficio 2010-6926 de 25 de mayo de 2010</w:t>
      </w:r>
      <w:r w:rsidRPr="005E4A12">
        <w:rPr>
          <w:rFonts w:ascii="Arial" w:eastAsia="Times New Roman" w:hAnsi="Arial" w:cs="Arial"/>
          <w:sz w:val="24"/>
          <w:szCs w:val="24"/>
          <w:lang w:eastAsia="es-ES"/>
        </w:rPr>
        <w:t xml:space="preserve"> en el que el contratista informa a la GESTORA URBANA DE IBAGUÉ, los inconvenientes en la construcción de viviendas de Nueva Castilla, El Limón, La Ceibita y La Cima, a saber: </w:t>
      </w:r>
      <w:r w:rsidRPr="005E4A12">
        <w:rPr>
          <w:rFonts w:ascii="Arial" w:eastAsia="Times New Roman" w:hAnsi="Arial" w:cs="Arial"/>
          <w:sz w:val="24"/>
          <w:szCs w:val="24"/>
          <w:u w:val="single"/>
          <w:lang w:eastAsia="es-ES"/>
        </w:rPr>
        <w:t>En Nueva Castilla,</w:t>
      </w:r>
      <w:r w:rsidRPr="005E4A12">
        <w:rPr>
          <w:rFonts w:ascii="Arial" w:eastAsia="Times New Roman" w:hAnsi="Arial" w:cs="Arial"/>
          <w:sz w:val="24"/>
          <w:szCs w:val="24"/>
          <w:lang w:eastAsia="es-ES"/>
        </w:rPr>
        <w:t xml:space="preserve"> las obras de urbanismo sin terminar, problemas de escrituras de loteo, falta el número de cada Resolución para la legalización del predio, las obras adicionales, la legalización del predio con y sin hipoteca, falta de legalización de varias viviendas. En las urbanizaciones </w:t>
      </w:r>
      <w:r w:rsidRPr="005E4A12">
        <w:rPr>
          <w:rFonts w:ascii="Arial" w:eastAsia="Times New Roman" w:hAnsi="Arial" w:cs="Arial"/>
          <w:sz w:val="24"/>
          <w:szCs w:val="24"/>
          <w:u w:val="single"/>
          <w:lang w:eastAsia="es-ES"/>
        </w:rPr>
        <w:t>El Limón</w:t>
      </w:r>
      <w:r w:rsidRPr="005E4A12">
        <w:rPr>
          <w:rFonts w:ascii="Arial" w:eastAsia="Times New Roman" w:hAnsi="Arial" w:cs="Arial"/>
          <w:sz w:val="24"/>
          <w:szCs w:val="24"/>
          <w:lang w:eastAsia="es-ES"/>
        </w:rPr>
        <w:t xml:space="preserve">, </w:t>
      </w:r>
      <w:r w:rsidRPr="005E4A12">
        <w:rPr>
          <w:rFonts w:ascii="Arial" w:eastAsia="Times New Roman" w:hAnsi="Arial" w:cs="Arial"/>
          <w:sz w:val="24"/>
          <w:szCs w:val="24"/>
          <w:u w:val="single"/>
          <w:lang w:eastAsia="es-ES"/>
        </w:rPr>
        <w:t>La Ceibita</w:t>
      </w:r>
      <w:r w:rsidRPr="005E4A12">
        <w:rPr>
          <w:rFonts w:ascii="Arial" w:eastAsia="Times New Roman" w:hAnsi="Arial" w:cs="Arial"/>
          <w:sz w:val="24"/>
          <w:szCs w:val="24"/>
          <w:lang w:eastAsia="es-ES"/>
        </w:rPr>
        <w:t xml:space="preserve">, y </w:t>
      </w:r>
      <w:r w:rsidRPr="005E4A12">
        <w:rPr>
          <w:rFonts w:ascii="Arial" w:eastAsia="Times New Roman" w:hAnsi="Arial" w:cs="Arial"/>
          <w:sz w:val="24"/>
          <w:szCs w:val="24"/>
          <w:u w:val="single"/>
          <w:lang w:eastAsia="es-ES"/>
        </w:rPr>
        <w:t>La Cima</w:t>
      </w:r>
      <w:r w:rsidRPr="005E4A12">
        <w:rPr>
          <w:rFonts w:ascii="Arial" w:eastAsia="Times New Roman" w:hAnsi="Arial" w:cs="Arial"/>
          <w:sz w:val="24"/>
          <w:szCs w:val="24"/>
          <w:lang w:eastAsia="es-ES"/>
        </w:rPr>
        <w:t xml:space="preserve"> se presenta la falta de pago del impuesto departamental de algunos beneficiarios y otros que no aparecen para la firma y en esta última, las obras de urbanismo no están listas, existen problemas de loteo en las escrituras, lotes 25 y 26 de la manzana K no existen, la manzana D tampoco existe, la manzana C no tiene fecha catastral individual.</w:t>
      </w:r>
    </w:p>
    <w:p w:rsidR="00133748" w:rsidRPr="005E4A12" w:rsidRDefault="00133748" w:rsidP="00133748">
      <w:pPr>
        <w:numPr>
          <w:ilvl w:val="0"/>
          <w:numId w:val="13"/>
        </w:numPr>
        <w:spacing w:line="276" w:lineRule="auto"/>
        <w:ind w:left="567" w:firstLine="0"/>
        <w:jc w:val="both"/>
        <w:rPr>
          <w:rFonts w:ascii="Arial" w:eastAsia="Times New Roman" w:hAnsi="Arial" w:cs="Arial"/>
          <w:sz w:val="24"/>
          <w:szCs w:val="24"/>
          <w:lang w:eastAsia="es-ES"/>
        </w:rPr>
      </w:pPr>
      <w:r w:rsidRPr="005E4A12">
        <w:rPr>
          <w:rFonts w:ascii="Arial" w:eastAsia="Times New Roman" w:hAnsi="Arial" w:cs="Arial"/>
          <w:b/>
          <w:sz w:val="24"/>
          <w:szCs w:val="24"/>
          <w:lang w:eastAsia="es-ES"/>
        </w:rPr>
        <w:t xml:space="preserve">Informe presentado el 26 de mayo de 2010 </w:t>
      </w:r>
      <w:r w:rsidRPr="005E4A12">
        <w:rPr>
          <w:rFonts w:ascii="Arial" w:eastAsia="Times New Roman" w:hAnsi="Arial" w:cs="Arial"/>
          <w:sz w:val="24"/>
          <w:szCs w:val="24"/>
          <w:lang w:eastAsia="es-ES"/>
        </w:rPr>
        <w:t>por el contratista a la contratante en el que constan los cobros y pagos del 20% que ingresaron a las respectivas cajas de compensación familiar y que le han sido debidamente pagados como contratista por parte de la fiducia, así:</w:t>
      </w:r>
    </w:p>
    <w:p w:rsidR="00133748" w:rsidRPr="005E4A12" w:rsidRDefault="00133748" w:rsidP="00133748">
      <w:pPr>
        <w:spacing w:line="276" w:lineRule="auto"/>
        <w:jc w:val="both"/>
        <w:rPr>
          <w:rFonts w:ascii="Arial" w:eastAsia="Times New Roman" w:hAnsi="Arial" w:cs="Arial"/>
          <w:sz w:val="24"/>
          <w:szCs w:val="24"/>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4"/>
        <w:gridCol w:w="2470"/>
        <w:gridCol w:w="2127"/>
        <w:gridCol w:w="1925"/>
      </w:tblGrid>
      <w:tr w:rsidR="00133748" w:rsidRPr="005E4A12" w:rsidTr="00E524A8">
        <w:trPr>
          <w:tblHeader/>
        </w:trPr>
        <w:tc>
          <w:tcPr>
            <w:tcW w:w="2174"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Proyecto</w:t>
            </w:r>
          </w:p>
        </w:tc>
        <w:tc>
          <w:tcPr>
            <w:tcW w:w="2470"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Total beneficiarios radicados ante la Caja de Compensación Familiar</w:t>
            </w:r>
          </w:p>
        </w:tc>
        <w:tc>
          <w:tcPr>
            <w:tcW w:w="2127"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Beneficiarios pagados al contratista</w:t>
            </w:r>
          </w:p>
        </w:tc>
        <w:tc>
          <w:tcPr>
            <w:tcW w:w="1925"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hAnsi="Arial" w:cs="Arial"/>
                <w:b/>
                <w:sz w:val="24"/>
                <w:szCs w:val="24"/>
              </w:rPr>
              <w:t>Valor cancelado</w:t>
            </w:r>
          </w:p>
        </w:tc>
      </w:tr>
      <w:tr w:rsidR="00133748" w:rsidRPr="005E4A12" w:rsidTr="00E524A8">
        <w:tc>
          <w:tcPr>
            <w:tcW w:w="217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Nueva Castilla Etapa 1</w:t>
            </w:r>
          </w:p>
        </w:tc>
        <w:tc>
          <w:tcPr>
            <w:tcW w:w="247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99</w:t>
            </w:r>
          </w:p>
        </w:tc>
        <w:tc>
          <w:tcPr>
            <w:tcW w:w="212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78</w:t>
            </w:r>
          </w:p>
        </w:tc>
        <w:tc>
          <w:tcPr>
            <w:tcW w:w="1925"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$131.141.808</w:t>
            </w:r>
          </w:p>
        </w:tc>
      </w:tr>
      <w:tr w:rsidR="00133748" w:rsidRPr="005E4A12" w:rsidTr="00E524A8">
        <w:tc>
          <w:tcPr>
            <w:tcW w:w="2174" w:type="dxa"/>
            <w:shd w:val="clear" w:color="auto" w:fill="auto"/>
          </w:tcPr>
          <w:p w:rsidR="00133748" w:rsidRPr="005E4A12" w:rsidRDefault="00133748" w:rsidP="00E524A8">
            <w:pPr>
              <w:spacing w:line="276" w:lineRule="auto"/>
              <w:rPr>
                <w:rFonts w:ascii="Arial" w:eastAsia="Times New Roman" w:hAnsi="Arial" w:cs="Arial"/>
                <w:sz w:val="24"/>
                <w:szCs w:val="24"/>
                <w:lang w:eastAsia="es-ES"/>
              </w:rPr>
            </w:pPr>
            <w:r w:rsidRPr="005E4A12">
              <w:rPr>
                <w:rFonts w:ascii="Arial" w:eastAsia="Times New Roman" w:hAnsi="Arial" w:cs="Arial"/>
                <w:sz w:val="24"/>
                <w:szCs w:val="24"/>
                <w:lang w:eastAsia="es-ES"/>
              </w:rPr>
              <w:t>Urbanización El Limón</w:t>
            </w:r>
          </w:p>
        </w:tc>
        <w:tc>
          <w:tcPr>
            <w:tcW w:w="247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383</w:t>
            </w:r>
          </w:p>
        </w:tc>
        <w:tc>
          <w:tcPr>
            <w:tcW w:w="212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338</w:t>
            </w:r>
          </w:p>
        </w:tc>
        <w:tc>
          <w:tcPr>
            <w:tcW w:w="1925"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$561.820.896</w:t>
            </w:r>
          </w:p>
        </w:tc>
      </w:tr>
      <w:tr w:rsidR="00133748" w:rsidRPr="005E4A12" w:rsidTr="00E524A8">
        <w:tc>
          <w:tcPr>
            <w:tcW w:w="217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Urbanización La Ceibita</w:t>
            </w:r>
          </w:p>
        </w:tc>
        <w:tc>
          <w:tcPr>
            <w:tcW w:w="247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190</w:t>
            </w:r>
          </w:p>
        </w:tc>
        <w:tc>
          <w:tcPr>
            <w:tcW w:w="212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51</w:t>
            </w:r>
          </w:p>
        </w:tc>
        <w:tc>
          <w:tcPr>
            <w:tcW w:w="1925"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$66.487.680</w:t>
            </w:r>
          </w:p>
        </w:tc>
      </w:tr>
      <w:tr w:rsidR="00133748" w:rsidRPr="005E4A12" w:rsidTr="00E524A8">
        <w:tc>
          <w:tcPr>
            <w:tcW w:w="217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La Cima etapa 1</w:t>
            </w:r>
          </w:p>
        </w:tc>
        <w:tc>
          <w:tcPr>
            <w:tcW w:w="247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200</w:t>
            </w:r>
          </w:p>
        </w:tc>
        <w:tc>
          <w:tcPr>
            <w:tcW w:w="212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53</w:t>
            </w:r>
          </w:p>
        </w:tc>
        <w:tc>
          <w:tcPr>
            <w:tcW w:w="1925"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$88.096.176</w:t>
            </w:r>
          </w:p>
        </w:tc>
      </w:tr>
      <w:tr w:rsidR="00133748" w:rsidRPr="005E4A12" w:rsidTr="00E524A8">
        <w:tc>
          <w:tcPr>
            <w:tcW w:w="2174" w:type="dxa"/>
            <w:shd w:val="clear" w:color="auto" w:fill="auto"/>
          </w:tcPr>
          <w:p w:rsidR="00133748" w:rsidRPr="005E4A12" w:rsidRDefault="00133748" w:rsidP="00E524A8">
            <w:pPr>
              <w:spacing w:line="276" w:lineRule="auto"/>
              <w:jc w:val="both"/>
              <w:rPr>
                <w:rFonts w:ascii="Arial" w:eastAsia="Times New Roman" w:hAnsi="Arial" w:cs="Arial"/>
                <w:b/>
                <w:sz w:val="24"/>
                <w:szCs w:val="24"/>
                <w:lang w:eastAsia="es-ES"/>
              </w:rPr>
            </w:pPr>
            <w:r w:rsidRPr="005E4A12">
              <w:rPr>
                <w:rFonts w:ascii="Arial" w:eastAsia="Times New Roman" w:hAnsi="Arial" w:cs="Arial"/>
                <w:b/>
                <w:sz w:val="24"/>
                <w:szCs w:val="24"/>
                <w:lang w:eastAsia="es-ES"/>
              </w:rPr>
              <w:t>TOTAL</w:t>
            </w:r>
          </w:p>
        </w:tc>
        <w:tc>
          <w:tcPr>
            <w:tcW w:w="2470" w:type="dxa"/>
            <w:shd w:val="clear" w:color="auto" w:fill="auto"/>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872</w:t>
            </w:r>
          </w:p>
        </w:tc>
        <w:tc>
          <w:tcPr>
            <w:tcW w:w="2127" w:type="dxa"/>
            <w:shd w:val="clear" w:color="auto" w:fill="auto"/>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520</w:t>
            </w:r>
          </w:p>
        </w:tc>
        <w:tc>
          <w:tcPr>
            <w:tcW w:w="1925" w:type="dxa"/>
            <w:shd w:val="clear" w:color="auto" w:fill="auto"/>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$847.546.560</w:t>
            </w:r>
          </w:p>
        </w:tc>
      </w:tr>
    </w:tbl>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lastRenderedPageBreak/>
        <w:t xml:space="preserve">- </w:t>
      </w:r>
      <w:r w:rsidRPr="005E4A12">
        <w:rPr>
          <w:rFonts w:ascii="Arial" w:eastAsia="Times New Roman" w:hAnsi="Arial" w:cs="Arial"/>
          <w:b/>
          <w:sz w:val="24"/>
          <w:szCs w:val="24"/>
          <w:lang w:eastAsia="es-ES"/>
        </w:rPr>
        <w:t xml:space="preserve">Oficio 8116 de 2 de julio de 2010 </w:t>
      </w:r>
      <w:r w:rsidRPr="005E4A12">
        <w:rPr>
          <w:rFonts w:ascii="Arial" w:eastAsia="Times New Roman" w:hAnsi="Arial" w:cs="Arial"/>
          <w:sz w:val="24"/>
          <w:szCs w:val="24"/>
          <w:lang w:eastAsia="es-ES"/>
        </w:rPr>
        <w:t xml:space="preserve">suscrito por el contratista, a través del cual le informa a la contratante, las inconsistencias presentadas en los proyectos: </w:t>
      </w:r>
      <w:r w:rsidRPr="005E4A12">
        <w:rPr>
          <w:rFonts w:ascii="Arial" w:eastAsia="Times New Roman" w:hAnsi="Arial" w:cs="Arial"/>
          <w:sz w:val="24"/>
          <w:szCs w:val="24"/>
          <w:u w:val="single"/>
          <w:lang w:eastAsia="es-ES"/>
        </w:rPr>
        <w:t>Nueva Castilla, etapas 2 y 3</w:t>
      </w:r>
      <w:r w:rsidRPr="005E4A12">
        <w:rPr>
          <w:rFonts w:ascii="Arial" w:eastAsia="Times New Roman" w:hAnsi="Arial" w:cs="Arial"/>
          <w:sz w:val="24"/>
          <w:szCs w:val="24"/>
          <w:lang w:eastAsia="es-ES"/>
        </w:rPr>
        <w:t xml:space="preserve">, no se han instalado los medidores de agua y energía porque no se cuenta con la autorización de la GESTORA URBANA; en las viviendas de la etapa 3, hacen falta las acometidas eléctricas de cada vivienda -responsabilidad del contratista contratado por ella, no se ha realizado la visita de FONADE, que es necesaria para cobrar el 20% convenido. En </w:t>
      </w:r>
      <w:r w:rsidRPr="005E4A12">
        <w:rPr>
          <w:rFonts w:ascii="Arial" w:eastAsia="Times New Roman" w:hAnsi="Arial" w:cs="Arial"/>
          <w:sz w:val="24"/>
          <w:szCs w:val="24"/>
          <w:u w:val="single"/>
          <w:lang w:eastAsia="es-ES"/>
        </w:rPr>
        <w:t>La Cima etapa 2,</w:t>
      </w:r>
      <w:r w:rsidRPr="005E4A12">
        <w:rPr>
          <w:rFonts w:ascii="Arial" w:eastAsia="Times New Roman" w:hAnsi="Arial" w:cs="Arial"/>
          <w:sz w:val="24"/>
          <w:szCs w:val="24"/>
          <w:lang w:eastAsia="es-ES"/>
        </w:rPr>
        <w:t xml:space="preserve"> no se han entregado las fichas catastrales de las manzanas C y D, faltan acometidas eléctricas de 47 viviendas y la construcción de andenes y adecuaciones de vías y zonas verdes, falta instalación de los contadores de energía, no ha habido tampoco visita de FONADE.</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lang w:eastAsia="es-ES"/>
        </w:rPr>
        <w:t xml:space="preserve"> Proyecto de liquidación</w:t>
      </w:r>
      <w:r w:rsidRPr="005E4A12">
        <w:rPr>
          <w:rFonts w:ascii="Arial" w:eastAsia="Times New Roman" w:hAnsi="Arial" w:cs="Arial"/>
          <w:sz w:val="24"/>
          <w:szCs w:val="24"/>
          <w:lang w:eastAsia="es-ES"/>
        </w:rPr>
        <w:t xml:space="preserve"> presentada por el contratista ante la GESTORA URBANA, en el que consta los dineros que le deben, a saber:</w:t>
      </w:r>
    </w:p>
    <w:p w:rsidR="00133748" w:rsidRPr="005E4A12" w:rsidRDefault="00133748" w:rsidP="00133748">
      <w:pPr>
        <w:spacing w:line="276" w:lineRule="auto"/>
        <w:jc w:val="both"/>
        <w:rPr>
          <w:rFonts w:ascii="Arial" w:eastAsia="Times New Roman" w:hAnsi="Arial" w:cs="Arial"/>
          <w:sz w:val="24"/>
          <w:szCs w:val="24"/>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8"/>
        <w:gridCol w:w="4348"/>
      </w:tblGrid>
      <w:tr w:rsidR="00133748" w:rsidRPr="005E4A12" w:rsidTr="00E524A8">
        <w:trPr>
          <w:tblHeader/>
        </w:trPr>
        <w:tc>
          <w:tcPr>
            <w:tcW w:w="4348" w:type="dxa"/>
            <w:shd w:val="clear" w:color="auto" w:fill="BDD6EE"/>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Concepto</w:t>
            </w:r>
          </w:p>
        </w:tc>
        <w:tc>
          <w:tcPr>
            <w:tcW w:w="4348" w:type="dxa"/>
            <w:shd w:val="clear" w:color="auto" w:fill="BDD6EE"/>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Valor</w:t>
            </w:r>
          </w:p>
        </w:tc>
      </w:tr>
      <w:tr w:rsidR="00133748" w:rsidRPr="005E4A12" w:rsidTr="00E524A8">
        <w:tc>
          <w:tcPr>
            <w:tcW w:w="4348"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Obras de urbanismo ejecutadas en Nueva Castilla, etapas 2 y 3.</w:t>
            </w:r>
          </w:p>
        </w:tc>
        <w:tc>
          <w:tcPr>
            <w:tcW w:w="4348"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$167.988.759</w:t>
            </w:r>
          </w:p>
        </w:tc>
      </w:tr>
      <w:tr w:rsidR="00133748" w:rsidRPr="005E4A12" w:rsidTr="00E524A8">
        <w:tc>
          <w:tcPr>
            <w:tcW w:w="4348"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Cobro del 20% de 89 subsidios</w:t>
            </w:r>
          </w:p>
        </w:tc>
        <w:tc>
          <w:tcPr>
            <w:tcW w:w="4348"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$147.935.088</w:t>
            </w:r>
          </w:p>
        </w:tc>
      </w:tr>
      <w:tr w:rsidR="00133748" w:rsidRPr="005E4A12" w:rsidTr="00E524A8">
        <w:tc>
          <w:tcPr>
            <w:tcW w:w="4348"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Reajuste de precio</w:t>
            </w:r>
          </w:p>
        </w:tc>
        <w:tc>
          <w:tcPr>
            <w:tcW w:w="4348"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$3.949.075.200</w:t>
            </w:r>
          </w:p>
        </w:tc>
      </w:tr>
      <w:tr w:rsidR="00133748" w:rsidRPr="005E4A12" w:rsidTr="00E524A8">
        <w:tc>
          <w:tcPr>
            <w:tcW w:w="4348"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Sobrecostos administrativos</w:t>
            </w:r>
          </w:p>
        </w:tc>
        <w:tc>
          <w:tcPr>
            <w:tcW w:w="4348"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$143.238.311</w:t>
            </w:r>
          </w:p>
        </w:tc>
      </w:tr>
      <w:tr w:rsidR="00133748" w:rsidRPr="005E4A12" w:rsidTr="00E524A8">
        <w:tc>
          <w:tcPr>
            <w:tcW w:w="4348"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Expectativa de utilidad</w:t>
            </w:r>
          </w:p>
        </w:tc>
        <w:tc>
          <w:tcPr>
            <w:tcW w:w="4348"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$222.369.840</w:t>
            </w:r>
          </w:p>
        </w:tc>
      </w:tr>
    </w:tbl>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aplazamiento de conciliación prejudicial adelantada el 30 de septiembre de 2011</w:t>
      </w:r>
      <w:r w:rsidRPr="005E4A12">
        <w:rPr>
          <w:rFonts w:ascii="Arial" w:eastAsia="Times New Roman" w:hAnsi="Arial" w:cs="Arial"/>
          <w:sz w:val="24"/>
          <w:szCs w:val="24"/>
          <w:lang w:eastAsia="es-ES"/>
        </w:rPr>
        <w:t>, ante la Procuraduría General de la Nación - Procuraduría Judicial 26 en lo Administrativo - sede Ibagué, que fue convocada por el contratista, con la propósito de conciliar con el municipio de Ibagué y la GESTORA URBANA, los aspectos de: i) liquidación del contrato 002 de 1 de febrero de 2007; ii) el pago por $167.988.759,oo por concepto de porcentaje fina adeudado por las obras urbanísticas ejecutadas y recibidas a satisfacción por la GESTORA URBANA del proyecto Nueva Castilla; iii) el pago de $5.212.214.336,oo por concepto de desequilibrio financiero del contrato, generado por el incumplimiento en el desarrollo del contrato. Esta diligencia fue suspendida hasta el 24 de octubre de 2011, porque el municipio de Ibagué no contaba con el acta del Comité de Conciliación en asocio con la GESTORA URBANA de Ibagué.</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lang w:eastAsia="es-ES"/>
        </w:rPr>
        <w:t xml:space="preserve"> Acta del Comité de Conciliación del municipio de Ibagué</w:t>
      </w:r>
      <w:r w:rsidRPr="005E4A12">
        <w:rPr>
          <w:rFonts w:ascii="Arial" w:eastAsia="Times New Roman" w:hAnsi="Arial" w:cs="Arial"/>
          <w:sz w:val="24"/>
          <w:szCs w:val="24"/>
          <w:lang w:eastAsia="es-ES"/>
        </w:rPr>
        <w:t xml:space="preserve"> suscrita el </w:t>
      </w:r>
      <w:r w:rsidRPr="005E4A12">
        <w:rPr>
          <w:rFonts w:ascii="Arial" w:eastAsia="Times New Roman" w:hAnsi="Arial" w:cs="Arial"/>
          <w:b/>
          <w:sz w:val="24"/>
          <w:szCs w:val="24"/>
          <w:lang w:eastAsia="es-ES"/>
        </w:rPr>
        <w:t>21 de octubre de 2011</w:t>
      </w:r>
      <w:r w:rsidRPr="005E4A12">
        <w:rPr>
          <w:rFonts w:ascii="Arial" w:eastAsia="Times New Roman" w:hAnsi="Arial" w:cs="Arial"/>
          <w:sz w:val="24"/>
          <w:szCs w:val="24"/>
          <w:lang w:eastAsia="es-ES"/>
        </w:rPr>
        <w:t xml:space="preserve"> en la que se reconoció: i) el valor de $167.988.759 por concepto de obras de urbanismo realizadas por el contratista; ii) el pago del 20% del saldo final de 89 subsidios a favor del contratista. Debe advertirse que el Municipio de Ibagué no se encuentra legitimado dentro de la presente reclamación.</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Comité de Conciliación de la GESTORA URBANA de IBAGUÉ</w:t>
      </w:r>
      <w:r w:rsidRPr="005E4A12">
        <w:rPr>
          <w:rFonts w:ascii="Arial" w:eastAsia="Times New Roman" w:hAnsi="Arial" w:cs="Arial"/>
          <w:sz w:val="24"/>
          <w:szCs w:val="24"/>
          <w:lang w:eastAsia="es-ES"/>
        </w:rPr>
        <w:t xml:space="preserve"> suscrita el </w:t>
      </w:r>
      <w:r w:rsidRPr="005E4A12">
        <w:rPr>
          <w:rFonts w:ascii="Arial" w:eastAsia="Times New Roman" w:hAnsi="Arial" w:cs="Arial"/>
          <w:b/>
          <w:sz w:val="24"/>
          <w:szCs w:val="24"/>
          <w:lang w:eastAsia="es-ES"/>
        </w:rPr>
        <w:t>24 de octubre de 2011</w:t>
      </w:r>
      <w:r w:rsidRPr="005E4A12">
        <w:rPr>
          <w:rFonts w:ascii="Arial" w:eastAsia="Times New Roman" w:hAnsi="Arial" w:cs="Arial"/>
          <w:sz w:val="24"/>
          <w:szCs w:val="24"/>
          <w:lang w:eastAsia="es-ES"/>
        </w:rPr>
        <w:t>, en la que se acepta y reconoce los siguientes pagos: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i) el 20% del saldo final correspondiente a 89 subsidios, pero le solicitó al constructor que clasifique los subsidios del proyecto, para que sean confrontados por la interventoría y la fiducia.</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ii) la suma de $167.988.759,oo por concepto de obras adicionales de urbanismo.</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En lo atinente a la mayor permanencia de obra debido a que “</w:t>
      </w:r>
      <w:r w:rsidRPr="005E4A12">
        <w:rPr>
          <w:rFonts w:ascii="Arial" w:eastAsia="Times New Roman" w:hAnsi="Arial" w:cs="Arial"/>
          <w:i/>
          <w:sz w:val="24"/>
          <w:szCs w:val="24"/>
          <w:lang w:eastAsia="es-ES"/>
        </w:rPr>
        <w:t xml:space="preserve">el contrato cumplió su vigencia hasta el año 2011, donde se realizaron prórrogas en tiempo como presupuestales o económicas en donde se tenía presupuestado todos los gastos de </w:t>
      </w:r>
      <w:r w:rsidRPr="005E4A12">
        <w:rPr>
          <w:rFonts w:ascii="Arial" w:eastAsia="Times New Roman" w:hAnsi="Arial" w:cs="Arial"/>
          <w:i/>
          <w:sz w:val="24"/>
          <w:szCs w:val="24"/>
          <w:lang w:eastAsia="es-ES"/>
        </w:rPr>
        <w:lastRenderedPageBreak/>
        <w:t>administración que intenta el convocante cobrar en la presente acción y cuyos soportes no garantizan que pertenezcan a dicha obra</w:t>
      </w:r>
      <w:r w:rsidRPr="005E4A12">
        <w:rPr>
          <w:rFonts w:ascii="Arial" w:eastAsia="Times New Roman" w:hAnsi="Arial" w:cs="Arial"/>
          <w:sz w:val="24"/>
          <w:szCs w:val="24"/>
          <w:lang w:eastAsia="es-ES"/>
        </w:rPr>
        <w:t>”.</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audiencia de conciliación prejudicial de 24 de octubre de 2011</w:t>
      </w:r>
      <w:r w:rsidRPr="005E4A12">
        <w:rPr>
          <w:rFonts w:ascii="Arial" w:eastAsia="Times New Roman" w:hAnsi="Arial" w:cs="Arial"/>
          <w:sz w:val="24"/>
          <w:szCs w:val="24"/>
          <w:lang w:eastAsia="es-ES"/>
        </w:rPr>
        <w:t xml:space="preserve">, ante la Procuraduría General de la Nación - Procuradora Judicial 26 en lo administrativo, en la que se dio continuidad a la diligencia de 30 de septiembre de 2011. La parte convocante (contratista) solicita que la contratante le pague la suma de </w:t>
      </w:r>
      <w:r w:rsidRPr="005E4A12">
        <w:rPr>
          <w:rFonts w:ascii="Arial" w:eastAsia="Times New Roman" w:hAnsi="Arial" w:cs="Arial"/>
          <w:b/>
          <w:sz w:val="24"/>
          <w:szCs w:val="24"/>
          <w:lang w:eastAsia="es-ES"/>
        </w:rPr>
        <w:t>$167.988.759,oo</w:t>
      </w:r>
      <w:r w:rsidRPr="005E4A12">
        <w:rPr>
          <w:rFonts w:ascii="Arial" w:eastAsia="Times New Roman" w:hAnsi="Arial" w:cs="Arial"/>
          <w:sz w:val="24"/>
          <w:szCs w:val="24"/>
          <w:lang w:eastAsia="es-ES"/>
        </w:rPr>
        <w:t xml:space="preserve"> por concepto de porcentaje final adeudado por concepto de obras urbanísticas ejecutadas y recibidas a satisfacción en el proyecto Nueva Castilla por la GESTORA URBANA DE IBAGUÉ; la suma de </w:t>
      </w:r>
      <w:r w:rsidRPr="005E4A12">
        <w:rPr>
          <w:rFonts w:ascii="Arial" w:eastAsia="Times New Roman" w:hAnsi="Arial" w:cs="Arial"/>
          <w:b/>
          <w:sz w:val="24"/>
          <w:szCs w:val="24"/>
          <w:lang w:eastAsia="es-ES"/>
        </w:rPr>
        <w:t>$5.212.214.336,oo</w:t>
      </w:r>
      <w:r w:rsidRPr="005E4A12">
        <w:rPr>
          <w:rFonts w:ascii="Arial" w:eastAsia="Times New Roman" w:hAnsi="Arial" w:cs="Arial"/>
          <w:sz w:val="24"/>
          <w:szCs w:val="24"/>
          <w:lang w:eastAsia="es-ES"/>
        </w:rPr>
        <w:t xml:space="preserve"> por concepto de desequilibrio financiero administrativo contractual generado por el incumplimiento en el desarrollo del convenio administrativo 002 de 2007, los cuales deben ser indexados.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El </w:t>
      </w:r>
      <w:r w:rsidRPr="005E4A12">
        <w:rPr>
          <w:rFonts w:ascii="Arial" w:eastAsia="Times New Roman" w:hAnsi="Arial" w:cs="Arial"/>
          <w:b/>
          <w:sz w:val="24"/>
          <w:szCs w:val="24"/>
          <w:lang w:eastAsia="es-ES"/>
        </w:rPr>
        <w:t>MUNICIPIO DE IBAGUÉ</w:t>
      </w:r>
      <w:r w:rsidRPr="005E4A12">
        <w:rPr>
          <w:rFonts w:ascii="Arial" w:eastAsia="Times New Roman" w:hAnsi="Arial" w:cs="Arial"/>
          <w:sz w:val="24"/>
          <w:szCs w:val="24"/>
          <w:lang w:eastAsia="es-ES"/>
        </w:rPr>
        <w:t xml:space="preserve"> indicó que no podía declararse solidariamente responsable con la GESTORA URBANA, porque esta es un ente descentralizado municipal, con personería jurídica y autonomía presupuestal y financiera, razón por la cual ella es quien debe presentar la fórmula conciliatoria.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La GESTORA URBANA DE IBAGUÉ reconoce y acepta pagar la suma de $167.988.759,oo, por concepto de obras adicionales “y a lo referente a lo manifestado por los convocados existe conceptos claros de la Contraloría General de la República en donde se establece claramente la responsabilidad del Municipio por la demora en el desarrollo y ejecución del convenio. En cuanto a FONVIVIENDA es preciso acotar que ésta trasladó y depositó oportunamente los dineros de estos convenios, mediante la fiducia que se constituyó con la GESTORA.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Certificado de ejecución de obra suscrito por el Gerente de la GESTORA URBANA DE IBAGUÉ</w:t>
      </w:r>
      <w:r w:rsidRPr="005E4A12">
        <w:rPr>
          <w:rFonts w:ascii="Arial" w:eastAsia="Times New Roman" w:hAnsi="Arial" w:cs="Arial"/>
          <w:sz w:val="24"/>
          <w:szCs w:val="24"/>
          <w:lang w:eastAsia="es-ES"/>
        </w:rPr>
        <w:t xml:space="preserve"> en el que consta que a la fecha, el contratista ha ejecutado el 81% del concreto 002 de 2007, así:</w:t>
      </w:r>
    </w:p>
    <w:p w:rsidR="00133748" w:rsidRPr="005E4A12" w:rsidRDefault="00133748" w:rsidP="00133748">
      <w:pPr>
        <w:spacing w:line="276" w:lineRule="auto"/>
        <w:jc w:val="both"/>
        <w:rPr>
          <w:rFonts w:ascii="Arial" w:eastAsia="Times New Roman" w:hAnsi="Arial" w:cs="Arial"/>
          <w:sz w:val="24"/>
          <w:szCs w:val="24"/>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9"/>
        <w:gridCol w:w="1739"/>
        <w:gridCol w:w="1739"/>
        <w:gridCol w:w="1739"/>
        <w:gridCol w:w="1740"/>
      </w:tblGrid>
      <w:tr w:rsidR="00133748" w:rsidRPr="005E4A12" w:rsidTr="00E524A8">
        <w:tc>
          <w:tcPr>
            <w:tcW w:w="1739"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Proyecto</w:t>
            </w:r>
          </w:p>
        </w:tc>
        <w:tc>
          <w:tcPr>
            <w:tcW w:w="1739"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Número de unidades de viviendas contratadas</w:t>
            </w:r>
          </w:p>
        </w:tc>
        <w:tc>
          <w:tcPr>
            <w:tcW w:w="1739"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Vr de las viviendas de interés social</w:t>
            </w:r>
          </w:p>
        </w:tc>
        <w:tc>
          <w:tcPr>
            <w:tcW w:w="1739" w:type="dxa"/>
            <w:shd w:val="clear" w:color="auto" w:fill="BDD6EE"/>
          </w:tcPr>
          <w:p w:rsidR="00133748" w:rsidRPr="005E4A12" w:rsidRDefault="00133748" w:rsidP="00E524A8">
            <w:pPr>
              <w:spacing w:line="276" w:lineRule="auto"/>
              <w:ind w:left="1162" w:hanging="1416"/>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 xml:space="preserve">Fecha de </w:t>
            </w:r>
          </w:p>
          <w:p w:rsidR="00133748" w:rsidRPr="005E4A12" w:rsidRDefault="00133748" w:rsidP="00E524A8">
            <w:pPr>
              <w:spacing w:line="276" w:lineRule="auto"/>
              <w:ind w:left="1162" w:hanging="1416"/>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inicio</w:t>
            </w:r>
          </w:p>
        </w:tc>
        <w:tc>
          <w:tcPr>
            <w:tcW w:w="1740"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 de ejecución</w:t>
            </w:r>
          </w:p>
        </w:tc>
      </w:tr>
      <w:tr w:rsidR="00133748" w:rsidRPr="005E4A12" w:rsidTr="00E524A8">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LA CEIBITA</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208</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$8.758.245</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05-01-2009</w:t>
            </w:r>
          </w:p>
        </w:tc>
        <w:tc>
          <w:tcPr>
            <w:tcW w:w="174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100%</w:t>
            </w:r>
          </w:p>
        </w:tc>
      </w:tr>
      <w:tr w:rsidR="00133748" w:rsidRPr="005E4A12" w:rsidTr="00E524A8">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NUEVA CASTILLA</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965</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$8.460.906</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15-10-2007</w:t>
            </w:r>
          </w:p>
        </w:tc>
        <w:tc>
          <w:tcPr>
            <w:tcW w:w="174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72%</w:t>
            </w:r>
          </w:p>
        </w:tc>
      </w:tr>
      <w:tr w:rsidR="00133748" w:rsidRPr="005E4A12" w:rsidTr="00E524A8">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LA CIMA</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467</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$10.091.585</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15-11-2008</w:t>
            </w:r>
          </w:p>
        </w:tc>
        <w:tc>
          <w:tcPr>
            <w:tcW w:w="174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80%</w:t>
            </w:r>
          </w:p>
        </w:tc>
      </w:tr>
      <w:tr w:rsidR="00133748" w:rsidRPr="005E4A12" w:rsidTr="00E524A8">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EL LIMÓN</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386</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$8.460.906</w:t>
            </w:r>
          </w:p>
        </w:tc>
        <w:tc>
          <w:tcPr>
            <w:tcW w:w="1739"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1-04-2008</w:t>
            </w:r>
          </w:p>
        </w:tc>
        <w:tc>
          <w:tcPr>
            <w:tcW w:w="1740"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100%</w:t>
            </w:r>
          </w:p>
        </w:tc>
      </w:tr>
    </w:tbl>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Eso en cuanto a las pruebas que las partes contratantes relacionaron como generales o contentivas de varios rubros.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Frente a las pruebas relacionadas en forma específico para cada proyecto: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u w:val="single"/>
          <w:lang w:eastAsia="es-ES"/>
        </w:rPr>
        <w:t>EL LIMÓN</w:t>
      </w:r>
      <w:r w:rsidRPr="005E4A12">
        <w:rPr>
          <w:rFonts w:ascii="Arial" w:eastAsia="Times New Roman" w:hAnsi="Arial" w:cs="Arial"/>
          <w:sz w:val="24"/>
          <w:szCs w:val="24"/>
          <w:lang w:eastAsia="es-ES"/>
        </w:rPr>
        <w:t xml:space="preserve">: Tanto el tutelante como la decisión que se impugna en tutela, tuvieron en cuenta el oficio 270 de 30 de enero de 2008 que la GESTORA URBANA DE IBAGUÉ dirigió a SEGUROS CONDOR S.A. (Aseguradora del proyecto, conforme </w:t>
      </w:r>
      <w:r w:rsidRPr="005E4A12">
        <w:rPr>
          <w:rFonts w:ascii="Arial" w:eastAsia="Times New Roman" w:hAnsi="Arial" w:cs="Arial"/>
          <w:sz w:val="24"/>
          <w:szCs w:val="24"/>
          <w:lang w:eastAsia="es-ES"/>
        </w:rPr>
        <w:lastRenderedPageBreak/>
        <w:t>a la póliza 30000), en el que le informa que al no estar disponibles las obras de urbanismo, debe suspenderse la obra de la construcción de 122 viviendas (1ª etapa), por cuanto FONADE no realiza la supervisión, y por ende, FIDUCAFÉ, no gira el primer desembolso “</w:t>
      </w:r>
      <w:r w:rsidRPr="005E4A12">
        <w:rPr>
          <w:rFonts w:ascii="Arial" w:eastAsia="Times New Roman" w:hAnsi="Arial" w:cs="Arial"/>
          <w:i/>
          <w:sz w:val="24"/>
          <w:szCs w:val="24"/>
          <w:lang w:eastAsia="es-ES"/>
        </w:rPr>
        <w:t>lo que obliga a suspender hasta esta fecha, el inicio de las obras de construcción de las viviendas ya que se optó por el cobro anticipado</w:t>
      </w:r>
      <w:r w:rsidRPr="005E4A12">
        <w:rPr>
          <w:rFonts w:ascii="Arial" w:eastAsia="Times New Roman" w:hAnsi="Arial" w:cs="Arial"/>
          <w:sz w:val="24"/>
          <w:szCs w:val="24"/>
          <w:lang w:eastAsia="es-ES"/>
        </w:rPr>
        <w:t>”.</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La sentencia de la Sección Tercera, nutre el análisis del acervo probatorio con las actas de inicio de obra, a saber: para la etapa I, el </w:t>
      </w:r>
      <w:r w:rsidRPr="005E4A12">
        <w:rPr>
          <w:rFonts w:ascii="Arial" w:eastAsia="Times New Roman" w:hAnsi="Arial" w:cs="Arial"/>
          <w:b/>
          <w:sz w:val="24"/>
          <w:szCs w:val="24"/>
          <w:lang w:eastAsia="es-ES"/>
        </w:rPr>
        <w:t xml:space="preserve">1º de abril de 2008 </w:t>
      </w:r>
      <w:r w:rsidRPr="005E4A12">
        <w:rPr>
          <w:rFonts w:ascii="Arial" w:eastAsia="Times New Roman" w:hAnsi="Arial" w:cs="Arial"/>
          <w:sz w:val="24"/>
          <w:szCs w:val="24"/>
          <w:lang w:eastAsia="es-ES"/>
        </w:rPr>
        <w:t xml:space="preserve">(122 viviendas) y etapa 3 (264 viviendas), el </w:t>
      </w:r>
      <w:r w:rsidRPr="005E4A12">
        <w:rPr>
          <w:rFonts w:ascii="Arial" w:eastAsia="Times New Roman" w:hAnsi="Arial" w:cs="Arial"/>
          <w:b/>
          <w:sz w:val="24"/>
          <w:szCs w:val="24"/>
          <w:lang w:eastAsia="es-ES"/>
        </w:rPr>
        <w:t>17 de julio de 2008</w:t>
      </w:r>
      <w:r w:rsidRPr="005E4A12">
        <w:rPr>
          <w:rFonts w:ascii="Arial" w:eastAsia="Times New Roman" w:hAnsi="Arial" w:cs="Arial"/>
          <w:sz w:val="24"/>
          <w:szCs w:val="24"/>
          <w:lang w:eastAsia="es-ES"/>
        </w:rPr>
        <w:t>. No se dejaron salvedades en las actas.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u w:val="single"/>
          <w:lang w:eastAsia="es-ES"/>
        </w:rPr>
        <w:t>LA CIMA</w:t>
      </w:r>
      <w:r w:rsidRPr="005E4A12">
        <w:rPr>
          <w:rFonts w:ascii="Arial" w:eastAsia="Times New Roman" w:hAnsi="Arial" w:cs="Arial"/>
          <w:sz w:val="24"/>
          <w:szCs w:val="24"/>
          <w:lang w:eastAsia="es-ES"/>
        </w:rPr>
        <w:t xml:space="preserve">: tutelante y el fallo demandado citan el </w:t>
      </w:r>
      <w:r w:rsidRPr="005E4A12">
        <w:rPr>
          <w:rFonts w:ascii="Arial" w:eastAsia="Times New Roman" w:hAnsi="Arial" w:cs="Arial"/>
          <w:b/>
          <w:sz w:val="24"/>
          <w:szCs w:val="24"/>
          <w:lang w:eastAsia="es-ES"/>
        </w:rPr>
        <w:t>Acta de entrega de lotes suscrita el 12 de noviembre de 2008</w:t>
      </w:r>
      <w:r w:rsidRPr="005E4A12">
        <w:rPr>
          <w:rFonts w:ascii="Arial" w:eastAsia="Times New Roman" w:hAnsi="Arial" w:cs="Arial"/>
          <w:sz w:val="24"/>
          <w:szCs w:val="24"/>
          <w:lang w:eastAsia="es-ES"/>
        </w:rPr>
        <w:t>. Dejando salvedades referentes a que la manzana Q no se ha terminado y que el talud colindante a las manzanas L y M se está erosionando. Por su parte la GESTORA indicó que analizaría el contrato de urbanismo para ver si se puede adicionar para adelantar la empradización de los taludes de la urbanización y así controlar la erosión y mitigar el derrumbamiento de los mismos.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Así mismo, ambas partes citan el </w:t>
      </w:r>
      <w:r w:rsidRPr="005E4A12">
        <w:rPr>
          <w:rFonts w:ascii="Arial" w:eastAsia="Times New Roman" w:hAnsi="Arial" w:cs="Arial"/>
          <w:b/>
          <w:sz w:val="24"/>
          <w:szCs w:val="24"/>
          <w:lang w:eastAsia="es-ES"/>
        </w:rPr>
        <w:t>Acta de 13 de noviembre de 2008</w:t>
      </w:r>
      <w:r w:rsidRPr="005E4A12">
        <w:rPr>
          <w:rFonts w:ascii="Arial" w:eastAsia="Times New Roman" w:hAnsi="Arial" w:cs="Arial"/>
          <w:sz w:val="24"/>
          <w:szCs w:val="24"/>
          <w:lang w:eastAsia="es-ES"/>
        </w:rPr>
        <w:t>, en la que consta que la GESTORA URBANA DE IBAGUÉ</w:t>
      </w:r>
      <w:r w:rsidRPr="005E4A12">
        <w:rPr>
          <w:rFonts w:ascii="Arial" w:eastAsia="Times New Roman" w:hAnsi="Arial" w:cs="Arial"/>
          <w:b/>
          <w:sz w:val="24"/>
          <w:szCs w:val="24"/>
          <w:lang w:eastAsia="es-ES"/>
        </w:rPr>
        <w:t xml:space="preserve"> </w:t>
      </w:r>
      <w:r w:rsidRPr="005E4A12">
        <w:rPr>
          <w:rFonts w:ascii="Arial" w:eastAsia="Times New Roman" w:hAnsi="Arial" w:cs="Arial"/>
          <w:sz w:val="24"/>
          <w:szCs w:val="24"/>
          <w:lang w:eastAsia="es-ES"/>
        </w:rPr>
        <w:t>le hace entrega al contratista, los lotes urbanizados de la primera etapa para que inicie la construcción de las viviendas. El contratista indica que no se ha terminado la construcción de la vía vehicular entre las manzanas N y O, que resulta necesaria para el acceso de los materiales al campamento; que se termine la instalación de la tubería bajando por el acceso entre las manzanas K y L y la parte colindante a la cancha e insistió en que el talud entre las manzanas L y M se está erosionando.</w:t>
      </w:r>
    </w:p>
    <w:p w:rsidR="00133748" w:rsidRPr="005E4A12" w:rsidRDefault="00133748" w:rsidP="00133748">
      <w:pPr>
        <w:spacing w:line="276" w:lineRule="auto"/>
        <w:jc w:val="both"/>
        <w:rPr>
          <w:rFonts w:ascii="Arial" w:eastAsia="Times New Roman" w:hAnsi="Arial" w:cs="Arial"/>
          <w:b/>
          <w:sz w:val="24"/>
          <w:szCs w:val="24"/>
          <w:lang w:eastAsia="es-ES"/>
        </w:rPr>
      </w:pPr>
      <w:r w:rsidRPr="005E4A12">
        <w:rPr>
          <w:rFonts w:ascii="Arial" w:eastAsia="Times New Roman" w:hAnsi="Arial" w:cs="Arial"/>
          <w:b/>
          <w:sz w:val="24"/>
          <w:szCs w:val="24"/>
          <w:lang w:eastAsia="es-ES"/>
        </w:rPr>
        <w:softHyphen/>
        <w:t xml:space="preserve"> </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b/>
          <w:sz w:val="24"/>
          <w:szCs w:val="24"/>
          <w:lang w:eastAsia="es-ES"/>
        </w:rPr>
        <w:t>- Acta de entrega de 20 de noviembre de 2008</w:t>
      </w:r>
      <w:r w:rsidRPr="005E4A12">
        <w:rPr>
          <w:rFonts w:ascii="Arial" w:eastAsia="Times New Roman" w:hAnsi="Arial" w:cs="Arial"/>
          <w:sz w:val="24"/>
          <w:szCs w:val="24"/>
          <w:lang w:eastAsia="es-ES"/>
        </w:rPr>
        <w:t>, la GESTORA URBANA DE IBAGUÉ hace entrega de obras de urbanismo en La Cima (terrazas, cajas de inspección, acometidas de agua potable con conexión, manzanas conformadas sin escombros, los pozos) a la interventoría, para  que las entregue al contratista.</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572 de 17 de febrero de 2009</w:t>
      </w:r>
      <w:r w:rsidRPr="005E4A12">
        <w:rPr>
          <w:rFonts w:ascii="Arial" w:eastAsia="Times New Roman" w:hAnsi="Arial" w:cs="Arial"/>
          <w:sz w:val="24"/>
          <w:szCs w:val="24"/>
          <w:lang w:eastAsia="es-ES"/>
        </w:rPr>
        <w:t xml:space="preserve"> en el que la GESTORA URBANA pone en conocimiento del contratista que ya se encuentra contratada la elaboración del loteo y que está a la espera de la escritura registrada.</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BZ-034-09 de 26 de marzo de 2009</w:t>
      </w:r>
      <w:r w:rsidRPr="005E4A12">
        <w:rPr>
          <w:rFonts w:ascii="Arial" w:eastAsia="Times New Roman" w:hAnsi="Arial" w:cs="Arial"/>
          <w:sz w:val="24"/>
          <w:szCs w:val="24"/>
          <w:lang w:eastAsia="es-ES"/>
        </w:rPr>
        <w:t>, tenido en cuenta por el tutelante y el fallo. Suscrito por el interventor de la obra, en el que pone de presente a la GESTORA que el contratista se encontraba trabajando en 246 viviendas de la etapa 1 y que este pretendía cumplir con la entrega el 31 de mayo de 2009, le solicitó entonces intensificar las labores de redes de servicios y remates y pulimento de la obra ejecutada.</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BZ-067-09 de 15 de mayo de 2009</w:t>
      </w:r>
      <w:r w:rsidRPr="005E4A12">
        <w:rPr>
          <w:rFonts w:ascii="Arial" w:eastAsia="Times New Roman" w:hAnsi="Arial" w:cs="Arial"/>
          <w:sz w:val="24"/>
          <w:szCs w:val="24"/>
          <w:lang w:eastAsia="es-ES"/>
        </w:rPr>
        <w:t>, también citado por ambas partes tutelares, por el cual el interventor solicitó a la GESTORA URBANA las obras de urbanismo (arreglo de taludes, desenlazar, nivelar y empradizar, construcción de andenes, nivelación de terrenos, corrección de conexión de aguas negras a cámara de aguas lluvias, red eléctrica y la realización de escritura de los lotes), so pena de verse afectada la entrega de las casas a FONADE y a los beneficiarios.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lastRenderedPageBreak/>
        <w:t xml:space="preserve">- </w:t>
      </w:r>
      <w:r w:rsidRPr="005E4A12">
        <w:rPr>
          <w:rFonts w:ascii="Arial" w:eastAsia="Times New Roman" w:hAnsi="Arial" w:cs="Arial"/>
          <w:b/>
          <w:sz w:val="24"/>
          <w:szCs w:val="24"/>
          <w:lang w:eastAsia="es-ES"/>
        </w:rPr>
        <w:t>Oficio de 29 de enero de 2010</w:t>
      </w:r>
      <w:r w:rsidRPr="005E4A12">
        <w:rPr>
          <w:rFonts w:ascii="Arial" w:eastAsia="Times New Roman" w:hAnsi="Arial" w:cs="Arial"/>
          <w:sz w:val="24"/>
          <w:szCs w:val="24"/>
          <w:lang w:eastAsia="es-ES"/>
        </w:rPr>
        <w:t>, por el cual la interventoría solicitó a la GESTORA URBANA la entrega de los lotes faltantes de la fase II.</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u w:val="single"/>
          <w:lang w:eastAsia="es-ES"/>
        </w:rPr>
        <w:t>NUEVA CASTILLA</w:t>
      </w:r>
      <w:r w:rsidRPr="005E4A12">
        <w:rPr>
          <w:rFonts w:ascii="Arial" w:eastAsia="Times New Roman" w:hAnsi="Arial" w:cs="Arial"/>
          <w:sz w:val="24"/>
          <w:szCs w:val="24"/>
          <w:lang w:eastAsia="es-ES"/>
        </w:rPr>
        <w:t xml:space="preserve">: - </w:t>
      </w:r>
      <w:r w:rsidRPr="005E4A12">
        <w:rPr>
          <w:rFonts w:ascii="Arial" w:eastAsia="Times New Roman" w:hAnsi="Arial" w:cs="Arial"/>
          <w:b/>
          <w:sz w:val="24"/>
          <w:szCs w:val="24"/>
          <w:lang w:eastAsia="es-ES"/>
        </w:rPr>
        <w:t>Informe de visita técnica de 9 de febrero de 2009</w:t>
      </w:r>
      <w:r w:rsidRPr="005E4A12">
        <w:rPr>
          <w:rFonts w:ascii="Arial" w:eastAsia="Times New Roman" w:hAnsi="Arial" w:cs="Arial"/>
          <w:sz w:val="24"/>
          <w:szCs w:val="24"/>
          <w:lang w:eastAsia="es-ES"/>
        </w:rPr>
        <w:t xml:space="preserve">, a </w:t>
      </w:r>
      <w:r w:rsidRPr="005E4A12">
        <w:rPr>
          <w:rFonts w:ascii="Arial" w:eastAsia="Times New Roman" w:hAnsi="Arial" w:cs="Arial"/>
          <w:b/>
          <w:sz w:val="24"/>
          <w:szCs w:val="24"/>
          <w:lang w:eastAsia="es-ES"/>
        </w:rPr>
        <w:t xml:space="preserve">11 viviendas </w:t>
      </w:r>
      <w:r w:rsidRPr="005E4A12">
        <w:rPr>
          <w:rFonts w:ascii="Arial" w:eastAsia="Times New Roman" w:hAnsi="Arial" w:cs="Arial"/>
          <w:sz w:val="24"/>
          <w:szCs w:val="24"/>
          <w:lang w:eastAsia="es-ES"/>
        </w:rPr>
        <w:t>realizada por los asesores externos del proceso de vivienda y proyectos especiales, que deja las conclusiones de lo observado el pasado 9 de enero: i) casa 8 de la manzana 8 debe cambiar el sifón del lavaplatos por escape de agua; ii) casa 1 de la manzana 6, el sanitario del baño está separado del muro en 10 cms, lo que disminuye el espacio de circulación del baño y iii) casa 3 de la manzana 2, el taco del contador de la luz no sirve y no es posible abastecer de luz a la vivienda.</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lang w:eastAsia="es-ES"/>
        </w:rPr>
        <w:t xml:space="preserve"> Oficio BZ-090-09</w:t>
      </w: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de 20 de agosto de 2009</w:t>
      </w:r>
      <w:r w:rsidRPr="005E4A12">
        <w:rPr>
          <w:rFonts w:ascii="Arial" w:eastAsia="Times New Roman" w:hAnsi="Arial" w:cs="Arial"/>
          <w:sz w:val="24"/>
          <w:szCs w:val="24"/>
          <w:lang w:eastAsia="es-ES"/>
        </w:rPr>
        <w:t xml:space="preserve">, traído a colación por ambas partes en tutela, mediante el cual la interventoría informó a la GESTORA URBANA, lo siguiente: </w:t>
      </w:r>
      <w:r w:rsidRPr="005E4A12">
        <w:rPr>
          <w:rFonts w:ascii="Arial" w:eastAsia="Times New Roman" w:hAnsi="Arial" w:cs="Arial"/>
          <w:sz w:val="24"/>
          <w:szCs w:val="24"/>
          <w:u w:val="single"/>
          <w:lang w:eastAsia="es-ES"/>
        </w:rPr>
        <w:t>Etapa 1</w:t>
      </w:r>
      <w:r w:rsidRPr="005E4A12">
        <w:rPr>
          <w:rFonts w:ascii="Arial" w:eastAsia="Times New Roman" w:hAnsi="Arial" w:cs="Arial"/>
          <w:sz w:val="24"/>
          <w:szCs w:val="24"/>
          <w:lang w:eastAsia="es-ES"/>
        </w:rPr>
        <w:t xml:space="preserve">, deben adelantarse antes del 30 de septiembre de 2009, para la entrega de las viviendas, lo siguiente: a) corrección de la escritura de loteo; b) organización de las vías de urbanización y manejo de aguas lluvias; c) acometidas eléctricas, con instalación de contador y de polo a tierra; d) recolección de los aportes para el impuesto a la beneficencia que deben pagar los beneficiarios; e) corrección de la conexión de aguas negras a un pozo de aguas lluvias y, f) la construcción de la cunetas aledañas al andén perimetral. </w:t>
      </w:r>
      <w:r w:rsidRPr="005E4A12">
        <w:rPr>
          <w:rFonts w:ascii="Arial" w:eastAsia="Times New Roman" w:hAnsi="Arial" w:cs="Arial"/>
          <w:sz w:val="24"/>
          <w:szCs w:val="24"/>
          <w:u w:val="single"/>
          <w:lang w:eastAsia="es-ES"/>
        </w:rPr>
        <w:t>Etapa 2</w:t>
      </w:r>
      <w:r w:rsidRPr="005E4A12">
        <w:rPr>
          <w:rFonts w:ascii="Arial" w:eastAsia="Times New Roman" w:hAnsi="Arial" w:cs="Arial"/>
          <w:sz w:val="24"/>
          <w:szCs w:val="24"/>
          <w:lang w:eastAsia="es-ES"/>
        </w:rPr>
        <w:t>, realizar obras adicionales de ciclópeo y relleno en las manzanas I y J y revisar la conexión de la tubería principal para que las aguas negras no se devuelvan a la vivienda en época invernal.</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2009-3083 de 30 de septiembre de 2009</w:t>
      </w:r>
      <w:r w:rsidRPr="005E4A12">
        <w:rPr>
          <w:rFonts w:ascii="Arial" w:eastAsia="Times New Roman" w:hAnsi="Arial" w:cs="Arial"/>
          <w:sz w:val="24"/>
          <w:szCs w:val="24"/>
          <w:lang w:eastAsia="es-ES"/>
        </w:rPr>
        <w:t>, valorado por el tutelante y en el fallo, en el que el contratista informa a la GESTORA URBANA, las inconsistencias que encontró en la escritura de loteo y en las matrículas inmobiliarias de las etapas 2 y 3. La GESTORA URBANA respondió mediante oficio 3242 informando que se encontraba subsanando dichas inconsistencias.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RE-2010-5307 de 15 de febrero de 2010</w:t>
      </w:r>
      <w:r w:rsidRPr="005E4A12">
        <w:rPr>
          <w:rFonts w:ascii="Arial" w:eastAsia="Times New Roman" w:hAnsi="Arial" w:cs="Arial"/>
          <w:sz w:val="24"/>
          <w:szCs w:val="24"/>
          <w:lang w:eastAsia="es-ES"/>
        </w:rPr>
        <w:t xml:space="preserve">, citado por ambas partes tutelares, en el que el contratista solicitó a la contratante el pago de la suma de $179.118.587 por concepto de obras adicionales en las etapas 1 y 2, aprobadas en el acta de conciliación de 28 de mayo de 2009. La GESTORA URBANA respondió mediante </w:t>
      </w:r>
      <w:r w:rsidRPr="005E4A12">
        <w:rPr>
          <w:rFonts w:ascii="Arial" w:eastAsia="Times New Roman" w:hAnsi="Arial" w:cs="Arial"/>
          <w:b/>
          <w:sz w:val="24"/>
          <w:szCs w:val="24"/>
          <w:lang w:eastAsia="es-ES"/>
        </w:rPr>
        <w:t>oficio de 16 de marzo de 2010</w:t>
      </w:r>
      <w:r w:rsidRPr="005E4A12">
        <w:rPr>
          <w:rFonts w:ascii="Arial" w:eastAsia="Times New Roman" w:hAnsi="Arial" w:cs="Arial"/>
          <w:sz w:val="24"/>
          <w:szCs w:val="24"/>
          <w:lang w:eastAsia="es-ES"/>
        </w:rPr>
        <w:t xml:space="preserve"> que no había realizado el pago porque para cancelarlo se requería de los aportes de los beneficiarios a las viviendas, que no han sido aportados.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Reclamación prejudicial de 26 de enero de 2011</w:t>
      </w:r>
      <w:r w:rsidRPr="005E4A12">
        <w:rPr>
          <w:rFonts w:ascii="Arial" w:eastAsia="Times New Roman" w:hAnsi="Arial" w:cs="Arial"/>
          <w:sz w:val="24"/>
          <w:szCs w:val="24"/>
          <w:lang w:eastAsia="es-ES"/>
        </w:rPr>
        <w:t>, citada por ambas partes, mediante la cual el contratista puso en conocimiento de la GESTORA URBANA que a la fecha no le ha pagado el respectivo porcentaje final adeudado por concepto de obras de urbanismo ejecutadas y recibidas a satisfacción, lo cual afectó la situación financiera del Convenio Asociativo 002 de 2007.</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Respuesta de 9 de febrero de 2011</w:t>
      </w:r>
      <w:r w:rsidRPr="005E4A12">
        <w:rPr>
          <w:rFonts w:ascii="Arial" w:eastAsia="Times New Roman" w:hAnsi="Arial" w:cs="Arial"/>
          <w:sz w:val="24"/>
          <w:szCs w:val="24"/>
          <w:lang w:eastAsia="es-ES"/>
        </w:rPr>
        <w:t xml:space="preserve">, tenida en cuenta por el tutelante y el fallo impugnado, en el que la GESTORA URBANA indicó: i) en relación con las obras adicionales de Nueva Castilla y La Cima, ya inició el proceso y toma de medidas para cancelarle en el menor tiempo posible a través de la Fiducia; ii) frente a la reclamación del dinero por las sumas de urbanismo, los dineros no han sido enviados por la administración central, aunque la GESTORA está realizando el proceso administrativo interno para entregar a usted una solución pronta y satisfactoria en el menor tiempo posible; iii) en relación con el cobro del 20%, los </w:t>
      </w:r>
      <w:r w:rsidRPr="005E4A12">
        <w:rPr>
          <w:rFonts w:ascii="Arial" w:eastAsia="Times New Roman" w:hAnsi="Arial" w:cs="Arial"/>
          <w:sz w:val="24"/>
          <w:szCs w:val="24"/>
          <w:lang w:eastAsia="es-ES"/>
        </w:rPr>
        <w:lastRenderedPageBreak/>
        <w:t>inconvenientes para el pago de los mismos han sido generados por el personal a su cargo, así que está en su órbita para que el proceso de cobro tenga éxito.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ETAPA 1 NUEVA CASTILLA: Ambas partes citan las </w:t>
      </w:r>
      <w:r w:rsidRPr="005E4A12">
        <w:rPr>
          <w:rFonts w:ascii="Arial" w:eastAsia="Times New Roman" w:hAnsi="Arial" w:cs="Arial"/>
          <w:b/>
          <w:sz w:val="24"/>
          <w:szCs w:val="24"/>
          <w:lang w:eastAsia="es-ES"/>
        </w:rPr>
        <w:t>Actas de iniciación de 15 de octubre de 2007</w:t>
      </w:r>
      <w:r w:rsidRPr="005E4A12">
        <w:rPr>
          <w:rFonts w:ascii="Arial" w:eastAsia="Times New Roman" w:hAnsi="Arial" w:cs="Arial"/>
          <w:sz w:val="24"/>
          <w:szCs w:val="24"/>
          <w:lang w:eastAsia="es-ES"/>
        </w:rPr>
        <w:t xml:space="preserve"> suscritas por el Supervisor y las partes contratantes y éstas en otra aparte.</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29 de octubre de 2007</w:t>
      </w:r>
      <w:r w:rsidRPr="005E4A12">
        <w:rPr>
          <w:rFonts w:ascii="Arial" w:eastAsia="Times New Roman" w:hAnsi="Arial" w:cs="Arial"/>
          <w:sz w:val="24"/>
          <w:szCs w:val="24"/>
          <w:lang w:eastAsia="es-ES"/>
        </w:rPr>
        <w:t xml:space="preserve">, también evaluado para el actor en tutela y el fallo impugnado, mediante el cual el contratista solicitó a la contratante la toma de medidas para solucionar los imprevistos de relleno en recebo para llegar a las cotas de diseño para la totalidad de las 133 viviendas y que no está contenido en los </w:t>
      </w:r>
      <w:r w:rsidRPr="005E4A12">
        <w:rPr>
          <w:rFonts w:ascii="Arial" w:eastAsia="Times New Roman" w:hAnsi="Arial" w:cs="Arial"/>
          <w:i/>
          <w:sz w:val="24"/>
          <w:szCs w:val="24"/>
          <w:lang w:eastAsia="es-ES"/>
        </w:rPr>
        <w:t xml:space="preserve">ítems </w:t>
      </w:r>
      <w:r w:rsidRPr="005E4A12">
        <w:rPr>
          <w:rFonts w:ascii="Arial" w:eastAsia="Times New Roman" w:hAnsi="Arial" w:cs="Arial"/>
          <w:sz w:val="24"/>
          <w:szCs w:val="24"/>
          <w:lang w:eastAsia="es-ES"/>
        </w:rPr>
        <w:t>del contrato. Debe ejecutar sobre cimientos para contener el relleno entre el norte y el sur de las manzanas para poder levantar el muro lindero y debe ser técnicamente compactado, de lo contrario se requiere sobre cimentación de los muros laterales de las viviendas; aclaró que estas obras tampoco fueron incluidas en el contrato.</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26 de noviembre de 2007</w:t>
      </w:r>
      <w:r w:rsidRPr="005E4A12">
        <w:rPr>
          <w:rFonts w:ascii="Arial" w:eastAsia="Times New Roman" w:hAnsi="Arial" w:cs="Arial"/>
          <w:sz w:val="24"/>
          <w:szCs w:val="24"/>
          <w:lang w:eastAsia="es-ES"/>
        </w:rPr>
        <w:t xml:space="preserve">, citado por ambas partes, en el que el contratista le solicita a la GESTORA URBANA, su colaboración en el proceso de escrituración de las 133 viviendas (etapa 1), ya que el cobro del 20% del subsidio de vivienda y el cobro del crédito de las familias ante el Banco Agrario, requieren de aquel, so pena de no poder entregar las viviendas </w:t>
      </w:r>
      <w:r w:rsidRPr="005E4A12">
        <w:rPr>
          <w:rFonts w:ascii="Arial" w:eastAsia="Times New Roman" w:hAnsi="Arial" w:cs="Arial"/>
          <w:sz w:val="24"/>
          <w:szCs w:val="24"/>
          <w:u w:val="single"/>
          <w:lang w:eastAsia="es-ES"/>
        </w:rPr>
        <w:t>el 26 de noviembre de 2007</w:t>
      </w:r>
      <w:r w:rsidRPr="005E4A12">
        <w:rPr>
          <w:rFonts w:ascii="Arial" w:eastAsia="Times New Roman" w:hAnsi="Arial" w:cs="Arial"/>
          <w:sz w:val="24"/>
          <w:szCs w:val="24"/>
          <w:lang w:eastAsia="es-ES"/>
        </w:rPr>
        <w:t>.</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28 de noviembre de 2007</w:t>
      </w:r>
      <w:r w:rsidRPr="005E4A12">
        <w:rPr>
          <w:rFonts w:ascii="Arial" w:eastAsia="Times New Roman" w:hAnsi="Arial" w:cs="Arial"/>
          <w:sz w:val="24"/>
          <w:szCs w:val="24"/>
          <w:lang w:eastAsia="es-ES"/>
        </w:rPr>
        <w:t>, citado por ambas partes, en el que el contratista pone en consideración de la GESTORA URBANA, las siguientes cantidades y valores de las actividades a desarrollar, en atención a las diferencias de niveles de vías, andenes y cajas de inspección existentes en esta etapa, lo que obligó a cortes de terreno y a rellenos en material seleccionado los cuales deben confinarse con muros estructurales y cíclopes de elevación.</w:t>
      </w:r>
    </w:p>
    <w:p w:rsidR="00133748" w:rsidRPr="005E4A12" w:rsidRDefault="00133748" w:rsidP="00133748">
      <w:pPr>
        <w:spacing w:line="276" w:lineRule="auto"/>
        <w:ind w:left="567"/>
        <w:jc w:val="both"/>
        <w:rPr>
          <w:rFonts w:ascii="Arial" w:eastAsia="Times New Roman" w:hAnsi="Arial" w:cs="Arial"/>
          <w:b/>
          <w:sz w:val="24"/>
          <w:szCs w:val="24"/>
          <w:lang w:eastAsia="es-ES"/>
        </w:rPr>
      </w:pPr>
    </w:p>
    <w:p w:rsidR="00133748" w:rsidRPr="005E4A12" w:rsidRDefault="00133748" w:rsidP="0013374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ÍTEMS NO PREVISTOS URBANIZACIÓN NUEVA CASTILLA</w:t>
      </w:r>
    </w:p>
    <w:p w:rsidR="00133748" w:rsidRPr="005E4A12" w:rsidRDefault="00133748" w:rsidP="00133748">
      <w:pPr>
        <w:spacing w:line="276" w:lineRule="auto"/>
        <w:jc w:val="center"/>
        <w:rPr>
          <w:rFonts w:ascii="Arial" w:eastAsia="Times New Roman" w:hAnsi="Arial" w:cs="Arial"/>
          <w:sz w:val="24"/>
          <w:szCs w:val="24"/>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1134"/>
        <w:gridCol w:w="1701"/>
        <w:gridCol w:w="2067"/>
      </w:tblGrid>
      <w:tr w:rsidR="00133748" w:rsidRPr="005E4A12" w:rsidTr="00E524A8">
        <w:trPr>
          <w:tblHeader/>
        </w:trPr>
        <w:tc>
          <w:tcPr>
            <w:tcW w:w="3794"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ÍTEMS</w:t>
            </w:r>
          </w:p>
        </w:tc>
        <w:tc>
          <w:tcPr>
            <w:tcW w:w="1134"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CANT</w:t>
            </w:r>
          </w:p>
        </w:tc>
        <w:tc>
          <w:tcPr>
            <w:tcW w:w="1701"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VALOR UNIT</w:t>
            </w:r>
          </w:p>
        </w:tc>
        <w:tc>
          <w:tcPr>
            <w:tcW w:w="2067" w:type="dxa"/>
            <w:shd w:val="clear" w:color="auto" w:fill="BDD6EE"/>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VALOR TOTAL</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Corte manual para nivel de terraza incluye retiro</w:t>
            </w:r>
          </w:p>
        </w:tc>
        <w:tc>
          <w:tcPr>
            <w:tcW w:w="1134"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356.05</w:t>
            </w:r>
          </w:p>
        </w:tc>
        <w:tc>
          <w:tcPr>
            <w:tcW w:w="1701"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$7.343,oo</w:t>
            </w:r>
          </w:p>
        </w:tc>
        <w:tc>
          <w:tcPr>
            <w:tcW w:w="206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$2.614.475,15</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Construcción de muro de contención en concreto ciclópeo para cimentación</w:t>
            </w:r>
          </w:p>
        </w:tc>
        <w:tc>
          <w:tcPr>
            <w:tcW w:w="1134"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36.00</w:t>
            </w:r>
          </w:p>
        </w:tc>
        <w:tc>
          <w:tcPr>
            <w:tcW w:w="1701"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$215.623,oo</w:t>
            </w:r>
          </w:p>
        </w:tc>
        <w:tc>
          <w:tcPr>
            <w:tcW w:w="206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$7.762.428,oo</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Muro en concreto ciclópeo elevado para sobre cimiento altura máxima 1.20 m incluye formaleta</w:t>
            </w:r>
          </w:p>
        </w:tc>
        <w:tc>
          <w:tcPr>
            <w:tcW w:w="1134"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150.05</w:t>
            </w:r>
          </w:p>
        </w:tc>
        <w:tc>
          <w:tcPr>
            <w:tcW w:w="1701"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$240.435,oo</w:t>
            </w:r>
          </w:p>
        </w:tc>
        <w:tc>
          <w:tcPr>
            <w:tcW w:w="206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$36.077.271,75</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Suministro y colocación de recebo para relleno compactado cada 15 cm en recebo seleccionado</w:t>
            </w:r>
          </w:p>
        </w:tc>
        <w:tc>
          <w:tcPr>
            <w:tcW w:w="1134"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1.878</w:t>
            </w:r>
          </w:p>
        </w:tc>
        <w:tc>
          <w:tcPr>
            <w:tcW w:w="1701"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$32.200,oo</w:t>
            </w:r>
          </w:p>
        </w:tc>
        <w:tc>
          <w:tcPr>
            <w:tcW w:w="206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$60.471.600,oo</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Punto sanitario para patio en 3”</w:t>
            </w:r>
          </w:p>
        </w:tc>
        <w:tc>
          <w:tcPr>
            <w:tcW w:w="1134"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133,00</w:t>
            </w:r>
          </w:p>
        </w:tc>
        <w:tc>
          <w:tcPr>
            <w:tcW w:w="1701"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$29.300,oo</w:t>
            </w:r>
          </w:p>
        </w:tc>
        <w:tc>
          <w:tcPr>
            <w:tcW w:w="206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$3.896.900,oo</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Demolición con explosivos de piedra incluye cargue y retiro de la misma</w:t>
            </w:r>
          </w:p>
        </w:tc>
        <w:tc>
          <w:tcPr>
            <w:tcW w:w="1134"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1.00</w:t>
            </w:r>
          </w:p>
        </w:tc>
        <w:tc>
          <w:tcPr>
            <w:tcW w:w="1701"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$977.500,oo</w:t>
            </w:r>
          </w:p>
        </w:tc>
        <w:tc>
          <w:tcPr>
            <w:tcW w:w="2067" w:type="dxa"/>
            <w:shd w:val="clear" w:color="auto" w:fill="auto"/>
          </w:tcPr>
          <w:p w:rsidR="00133748" w:rsidRPr="005E4A12" w:rsidRDefault="00133748" w:rsidP="00E524A8">
            <w:pPr>
              <w:spacing w:line="276" w:lineRule="auto"/>
              <w:jc w:val="center"/>
              <w:rPr>
                <w:rFonts w:ascii="Arial" w:eastAsia="Times New Roman" w:hAnsi="Arial" w:cs="Arial"/>
                <w:sz w:val="24"/>
                <w:szCs w:val="24"/>
                <w:lang w:eastAsia="es-ES"/>
              </w:rPr>
            </w:pPr>
            <w:r w:rsidRPr="005E4A12">
              <w:rPr>
                <w:rFonts w:ascii="Arial" w:eastAsia="Times New Roman" w:hAnsi="Arial" w:cs="Arial"/>
                <w:sz w:val="24"/>
                <w:szCs w:val="24"/>
                <w:lang w:eastAsia="es-ES"/>
              </w:rPr>
              <w:t>$977.500,oo</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p>
        </w:tc>
        <w:tc>
          <w:tcPr>
            <w:tcW w:w="113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p>
        </w:tc>
        <w:tc>
          <w:tcPr>
            <w:tcW w:w="1701" w:type="dxa"/>
            <w:shd w:val="clear" w:color="auto" w:fill="auto"/>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SUBTOTAL</w:t>
            </w:r>
          </w:p>
        </w:tc>
        <w:tc>
          <w:tcPr>
            <w:tcW w:w="2067" w:type="dxa"/>
            <w:shd w:val="clear" w:color="auto" w:fill="auto"/>
          </w:tcPr>
          <w:p w:rsidR="00133748" w:rsidRPr="005E4A12" w:rsidRDefault="00133748" w:rsidP="00E524A8">
            <w:pPr>
              <w:spacing w:line="276" w:lineRule="auto"/>
              <w:jc w:val="both"/>
              <w:rPr>
                <w:rFonts w:ascii="Arial" w:eastAsia="Times New Roman" w:hAnsi="Arial" w:cs="Arial"/>
                <w:b/>
                <w:sz w:val="24"/>
                <w:szCs w:val="24"/>
                <w:lang w:eastAsia="es-ES"/>
              </w:rPr>
            </w:pPr>
            <w:r w:rsidRPr="005E4A12">
              <w:rPr>
                <w:rFonts w:ascii="Arial" w:eastAsia="Times New Roman" w:hAnsi="Arial" w:cs="Arial"/>
                <w:b/>
                <w:sz w:val="24"/>
                <w:szCs w:val="24"/>
                <w:lang w:eastAsia="es-ES"/>
              </w:rPr>
              <w:t>$111.800.174,90</w:t>
            </w:r>
          </w:p>
        </w:tc>
      </w:tr>
      <w:tr w:rsidR="00133748" w:rsidRPr="005E4A12" w:rsidTr="00E524A8">
        <w:tc>
          <w:tcPr>
            <w:tcW w:w="37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Precios incluidos A.I.U.</w:t>
            </w:r>
          </w:p>
        </w:tc>
        <w:tc>
          <w:tcPr>
            <w:tcW w:w="113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p>
        </w:tc>
        <w:tc>
          <w:tcPr>
            <w:tcW w:w="1701" w:type="dxa"/>
            <w:shd w:val="clear" w:color="auto" w:fill="auto"/>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TOTAL</w:t>
            </w:r>
          </w:p>
        </w:tc>
        <w:tc>
          <w:tcPr>
            <w:tcW w:w="2067" w:type="dxa"/>
            <w:shd w:val="clear" w:color="auto" w:fill="auto"/>
          </w:tcPr>
          <w:p w:rsidR="00133748" w:rsidRPr="005E4A12" w:rsidRDefault="00133748" w:rsidP="00E524A8">
            <w:pPr>
              <w:spacing w:line="276" w:lineRule="auto"/>
              <w:jc w:val="center"/>
              <w:rPr>
                <w:rFonts w:ascii="Arial" w:eastAsia="Times New Roman" w:hAnsi="Arial" w:cs="Arial"/>
                <w:b/>
                <w:sz w:val="24"/>
                <w:szCs w:val="24"/>
                <w:lang w:eastAsia="es-ES"/>
              </w:rPr>
            </w:pPr>
            <w:r w:rsidRPr="005E4A12">
              <w:rPr>
                <w:rFonts w:ascii="Arial" w:eastAsia="Times New Roman" w:hAnsi="Arial" w:cs="Arial"/>
                <w:b/>
                <w:sz w:val="24"/>
                <w:szCs w:val="24"/>
                <w:lang w:eastAsia="es-ES"/>
              </w:rPr>
              <w:t>$119.062.814,90</w:t>
            </w:r>
          </w:p>
        </w:tc>
      </w:tr>
    </w:tbl>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30 de enero de 2008</w:t>
      </w:r>
      <w:r w:rsidRPr="005E4A12">
        <w:rPr>
          <w:rFonts w:ascii="Arial" w:eastAsia="Times New Roman" w:hAnsi="Arial" w:cs="Arial"/>
          <w:sz w:val="24"/>
          <w:szCs w:val="24"/>
          <w:lang w:eastAsia="es-ES"/>
        </w:rPr>
        <w:t xml:space="preserve">, citado por el tutelante y el fallo, por el cual el contratista informó a la GESTORA URBANA, su preocupación, en cuanto al </w:t>
      </w:r>
      <w:r w:rsidRPr="005E4A12">
        <w:rPr>
          <w:rFonts w:ascii="Arial" w:eastAsia="Times New Roman" w:hAnsi="Arial" w:cs="Arial"/>
          <w:b/>
          <w:sz w:val="24"/>
          <w:szCs w:val="24"/>
          <w:lang w:eastAsia="es-ES"/>
        </w:rPr>
        <w:t>rompimiento del desequilibrio económico</w:t>
      </w:r>
      <w:r w:rsidRPr="005E4A12">
        <w:rPr>
          <w:rFonts w:ascii="Arial" w:eastAsia="Times New Roman" w:hAnsi="Arial" w:cs="Arial"/>
          <w:sz w:val="24"/>
          <w:szCs w:val="24"/>
          <w:lang w:eastAsia="es-ES"/>
        </w:rPr>
        <w:t xml:space="preserve"> que se ha presentado en la ejecución del Convenio Asociativo porque en la actualidad solo se ha dado comienzo (15 de octubre de 2007) etapa 1, lo que equivale tan solo a un 5% del total del convenio y se comenzó 8 meses después de la firma, se apoyó en subsidios del año 2006 ($8.568.000) y que no se cuenta con la escritura del loteo de las 133 viviendas de la etapa 1, situación que impide, el cobro del 20% final.</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lang w:eastAsia="es-ES"/>
        </w:rPr>
        <w:t>Oficio de 19 de febrero de 2008</w:t>
      </w:r>
      <w:r w:rsidRPr="005E4A12">
        <w:rPr>
          <w:rFonts w:ascii="Arial" w:eastAsia="Times New Roman" w:hAnsi="Arial" w:cs="Arial"/>
          <w:sz w:val="24"/>
          <w:szCs w:val="24"/>
          <w:lang w:eastAsia="es-ES"/>
        </w:rPr>
        <w:t>, la GESTORA URBANA puso en conocimiento del contratista que en la Oficina Jurídica y Contratación de la GESTORA, se encuentra a su disposición para copia de la escritura de englobe y de desenglobe de los 133 predios, con las respectivas matrículas inmobiliarias, con el objeto de adelantar el trámite de escrituración y registro de las 133 viviendas.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interventoría de 29 de febrero de 2008</w:t>
      </w:r>
      <w:r w:rsidRPr="005E4A12">
        <w:rPr>
          <w:rFonts w:ascii="Arial" w:eastAsia="Times New Roman" w:hAnsi="Arial" w:cs="Arial"/>
          <w:sz w:val="24"/>
          <w:szCs w:val="24"/>
          <w:lang w:eastAsia="es-ES"/>
        </w:rPr>
        <w:t>, en el que el interventor indicó que las viviendas de la etapa 1 construidas por el contratista no podían ser recibidas porque no cumplen con la calidad exigida, para lo cual se otorgó una semana al contratista para que presente las alternativas de solución de irregularidades y presente cronograma real para la terminación de la primera etapa.</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0720 de 18 de marzo de 2008</w:t>
      </w:r>
      <w:r w:rsidRPr="005E4A12">
        <w:rPr>
          <w:rFonts w:ascii="Arial" w:eastAsia="Times New Roman" w:hAnsi="Arial" w:cs="Arial"/>
          <w:sz w:val="24"/>
          <w:szCs w:val="24"/>
          <w:lang w:eastAsia="es-ES"/>
        </w:rPr>
        <w:t>, en el que la GESTORA URBANA le hace entrega al contratista de 133 minutas firmadas de inicio al proceso de escrituración de las viviendas, radicadas mediante oficio Nº 746 y 723 de 13 de marzo de 2008.</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18 de abril de 2008</w:t>
      </w:r>
      <w:r w:rsidRPr="005E4A12">
        <w:rPr>
          <w:rFonts w:ascii="Arial" w:eastAsia="Times New Roman" w:hAnsi="Arial" w:cs="Arial"/>
          <w:sz w:val="24"/>
          <w:szCs w:val="24"/>
          <w:lang w:eastAsia="es-ES"/>
        </w:rPr>
        <w:t xml:space="preserve">, traído a colación por varios extremos de la </w:t>
      </w:r>
      <w:r w:rsidRPr="005E4A12">
        <w:rPr>
          <w:rFonts w:ascii="Arial" w:eastAsia="Times New Roman" w:hAnsi="Arial" w:cs="Arial"/>
          <w:i/>
          <w:sz w:val="24"/>
          <w:szCs w:val="24"/>
          <w:lang w:eastAsia="es-ES"/>
        </w:rPr>
        <w:t>litis</w:t>
      </w:r>
      <w:r w:rsidRPr="005E4A12">
        <w:rPr>
          <w:rFonts w:ascii="Arial" w:eastAsia="Times New Roman" w:hAnsi="Arial" w:cs="Arial"/>
          <w:sz w:val="24"/>
          <w:szCs w:val="24"/>
          <w:lang w:eastAsia="es-ES"/>
        </w:rPr>
        <w:t>, en el que el contratista le informa a la GESTORA URBANA: i) que las correcciones solicitadas por el interventor respecto de las 133 viviendas son de carácter estético y no afecta la estabilidad de las estructuras; ii) a la fecha solo se ha cancelado al contratista el 66% del valor total del contrato adicional suscrito con la GESTORA URBANA, pese a que él mismo finalizó el 10 de febrero de 2008 y se recibieron todas las obras adicionales; iii) no se está dando cumplimiento a la entrega de escrituras de reloteo, lo que afecta el cobro del 20% estipulado en el Convenio Asociativo.</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interventoría de 5 de julio de 2008</w:t>
      </w:r>
      <w:r w:rsidRPr="005E4A12">
        <w:rPr>
          <w:rFonts w:ascii="Arial" w:eastAsia="Times New Roman" w:hAnsi="Arial" w:cs="Arial"/>
          <w:sz w:val="24"/>
          <w:szCs w:val="24"/>
          <w:lang w:eastAsia="es-ES"/>
        </w:rPr>
        <w:t>, valorada por el tutelante y la sentencia demandada, en el que el interventor describe los trabajos ejecutados durante el mes de junio de 2008 (etapa 1 Nueva Castilla). Indicó que el contratista firmó acta de compromiso para la ejecución de obras en un término de 2 meses, las cuales han resultado insuficientes debido a que se detectaron algunas inconsistencias en la obra ejecutada con los planos entregados por la GESTORA URBANA, específicamente, la inexistencia de vigas de cimentación y columnas independientes entre los ejes 1 y 2; teniendo estructuras compartidas, lo que al final se solucionó y la falta de continuidad estructural ha demorado más de lo previsto la ejecución de las reparaciones requeridas.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Indicó que el contratista ha atendido parcialmente lo ordenado por la interventoría, faltando las reparaciones de la armadura de la viga; demoler algunas columnas </w:t>
      </w:r>
      <w:r w:rsidRPr="005E4A12">
        <w:rPr>
          <w:rFonts w:ascii="Arial" w:eastAsia="Times New Roman" w:hAnsi="Arial" w:cs="Arial"/>
          <w:sz w:val="24"/>
          <w:szCs w:val="24"/>
          <w:lang w:eastAsia="es-ES"/>
        </w:rPr>
        <w:lastRenderedPageBreak/>
        <w:t>especialmente en las manzanas 4, 5, 8 y 9 y la menor dimensión de la casa 6, manzana 9, que se ordenó corregir.</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En ocasiones se ha solicitado por el contratista perfilar estructuras y recalzarlas mediante proceso técnico recomendado por el diseñador estructural, autorizándose este procedimiento cuando las dimensiones difieren de los planos en menos de 2 cms o cuando se requiere solo delinear la columna.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entrega y recibo parcial de obra suscrita el 30 de julio de 2008</w:t>
      </w:r>
      <w:r w:rsidRPr="005E4A12">
        <w:rPr>
          <w:rFonts w:ascii="Arial" w:eastAsia="Times New Roman" w:hAnsi="Arial" w:cs="Arial"/>
          <w:sz w:val="24"/>
          <w:szCs w:val="24"/>
          <w:lang w:eastAsia="es-ES"/>
        </w:rPr>
        <w:t>, mediante la cual el contratista y el interventor dejan constancia de la terminación real y efectiva de las 133 viviendas de la etapa 1, la entrega de estas a la contratante y la recepción de la obra a entera satisfacción de la GESTORA URBANA. El contratista se compromete a solucionar cualquier inconsistencia o irregularidad que no se haya detectado en la construcción y entregar el área de las vías peatonales y vehiculares, libre de materiales sobrantes, correctamente perfiladas y aseadas. Las llaves terminales, los medidores y accesorios no se han instalado, lo cual realizará el constructor, previa la entrega definitiva de las viviendas a los usuarios, a lo cual se compromete a efectuar una vez tramitada la escrituración correspondiente.</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interventoría de 4 de agosto de 2008</w:t>
      </w:r>
      <w:r w:rsidRPr="005E4A12">
        <w:rPr>
          <w:rFonts w:ascii="Arial" w:eastAsia="Times New Roman" w:hAnsi="Arial" w:cs="Arial"/>
          <w:sz w:val="24"/>
          <w:szCs w:val="24"/>
          <w:lang w:eastAsia="es-ES"/>
        </w:rPr>
        <w:t>, en el que consta las inconsistencias evidenciadas en el informe de 5 de julio de 2008 han sido superadas.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 xml:space="preserve">Informe de supervisión de la visita de campo de 9 de octubre de 2008 </w:t>
      </w:r>
      <w:r w:rsidRPr="005E4A12">
        <w:rPr>
          <w:rFonts w:ascii="Arial" w:eastAsia="Times New Roman" w:hAnsi="Arial" w:cs="Arial"/>
          <w:sz w:val="24"/>
          <w:szCs w:val="24"/>
          <w:lang w:eastAsia="es-ES"/>
        </w:rPr>
        <w:t>de FONADE, sobre las obras de la etapa 1, en el que verificó que las 133 viviendas fueron construidas y las obras de urbanismo de la GESTORA están ejecutadas en un 100%</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18 de noviembre de 2008</w:t>
      </w:r>
      <w:r w:rsidRPr="005E4A12">
        <w:rPr>
          <w:rFonts w:ascii="Arial" w:eastAsia="Times New Roman" w:hAnsi="Arial" w:cs="Arial"/>
          <w:sz w:val="24"/>
          <w:szCs w:val="24"/>
          <w:lang w:eastAsia="es-ES"/>
        </w:rPr>
        <w:t>, en el que el contratista solicita a la GESTORA el pago de $40.000.000,oo por concepto del contrato adicional de 27 de diciembre de 2007.</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Resolución de Gerencia 422 de 10 de diciembre de 2008</w:t>
      </w:r>
      <w:r w:rsidRPr="005E4A12">
        <w:rPr>
          <w:rFonts w:ascii="Arial" w:eastAsia="Times New Roman" w:hAnsi="Arial" w:cs="Arial"/>
          <w:sz w:val="24"/>
          <w:szCs w:val="24"/>
          <w:lang w:eastAsia="es-ES"/>
        </w:rPr>
        <w:t xml:space="preserve"> expedida por la GESTORA URBANA en la que resolvió “</w:t>
      </w:r>
      <w:r w:rsidRPr="005E4A12">
        <w:rPr>
          <w:rFonts w:ascii="Arial" w:eastAsia="Times New Roman" w:hAnsi="Arial" w:cs="Arial"/>
          <w:i/>
          <w:sz w:val="24"/>
          <w:szCs w:val="24"/>
          <w:lang w:eastAsia="es-ES"/>
        </w:rPr>
        <w:t>proceder a realizar el proceso de escrituración”</w:t>
      </w:r>
      <w:r w:rsidRPr="005E4A12">
        <w:rPr>
          <w:rFonts w:ascii="Arial" w:eastAsia="Times New Roman" w:hAnsi="Arial" w:cs="Arial"/>
          <w:sz w:val="24"/>
          <w:szCs w:val="24"/>
          <w:lang w:eastAsia="es-ES"/>
        </w:rPr>
        <w:t xml:space="preserve"> de 11 unidades de vivienda. </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19 de enero de 2009</w:t>
      </w:r>
      <w:r w:rsidRPr="005E4A12">
        <w:rPr>
          <w:rFonts w:ascii="Arial" w:eastAsia="Times New Roman" w:hAnsi="Arial" w:cs="Arial"/>
          <w:sz w:val="24"/>
          <w:szCs w:val="24"/>
          <w:lang w:eastAsia="es-ES"/>
        </w:rPr>
        <w:t>, por medio del cual el interventor certificó que las 133 viviendas, por valor $1.139.544.000,oo han sido recibidas a satisfacción por esta interventoría, así como las obras adicionales por $119.118.876,88.</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lang w:eastAsia="es-ES"/>
        </w:rPr>
        <w:t xml:space="preserve"> Oficio 1032 de 3 de febrero de 2009</w:t>
      </w:r>
      <w:r w:rsidRPr="005E4A12">
        <w:rPr>
          <w:rFonts w:ascii="Arial" w:eastAsia="Times New Roman" w:hAnsi="Arial" w:cs="Arial"/>
          <w:sz w:val="24"/>
          <w:szCs w:val="24"/>
          <w:lang w:eastAsia="es-ES"/>
        </w:rPr>
        <w:t>, por medio del cual el Jefe del Departamento de Subsidios y Vivienda le informó a la GESTORA URBANA que no era posible dar trámite al desembolso del 20% final del proyecto Nueva Castilla, correspondiente a 28 beneficiarios, en razón a que la póliza tenía vigencia hasta el 31 de diciembre de 2008, incumpliendo la Resolución 1272 de 2007.</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5 de febrero de 2009</w:t>
      </w:r>
      <w:r w:rsidRPr="005E4A12">
        <w:rPr>
          <w:rFonts w:ascii="Arial" w:eastAsia="Times New Roman" w:hAnsi="Arial" w:cs="Arial"/>
          <w:sz w:val="24"/>
          <w:szCs w:val="24"/>
          <w:lang w:eastAsia="es-ES"/>
        </w:rPr>
        <w:t xml:space="preserve">, el contratista le informó a la GESTORA URBANA, los inconvenientes que ha tenido para dar inicio al cobro del 20% final de las 133 viviendas, por cuanto al radicar el 19 de enero de 2009, los documentos de 49 beneficiarios para el cobro del 20% final del subsidio y por conocimiento -no oficial- la no aceptación del cobro debido al vencimiento de la póliza del seguro de cumplimiento del subsidio familiar tomada por el banco inmobiliario GESTORA URBANA porque estuvo vigente hasta el 31 de enero de 2008. E indicó: es de conocimiento que la demora en que incurrió la GESTORA URABANA en concederme la autorización para el cobro del 20% de estos beneficiarios; un </w:t>
      </w:r>
      <w:r w:rsidRPr="005E4A12">
        <w:rPr>
          <w:rFonts w:ascii="Arial" w:eastAsia="Times New Roman" w:hAnsi="Arial" w:cs="Arial"/>
          <w:sz w:val="24"/>
          <w:szCs w:val="24"/>
          <w:lang w:eastAsia="es-ES"/>
        </w:rPr>
        <w:lastRenderedPageBreak/>
        <w:t>proceso de escrituración que está estancado por la hipoteca y/o créditos, que tramitan los beneficiarios con el Banco Agrario, que son ajenos a la labor como contratista; la no entrega de viviendas a los beneficiarios que generan vencimientos en los certificados de libertad, que derivan en la devolución de las escrituras presentadas para el cobro en las cajas de compensación, por cuanto tienen vigencia de 30 días.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w:t>
      </w:r>
      <w:r w:rsidRPr="005E4A12">
        <w:rPr>
          <w:rFonts w:ascii="Arial" w:eastAsia="Times New Roman" w:hAnsi="Arial" w:cs="Arial"/>
          <w:b/>
          <w:sz w:val="24"/>
          <w:szCs w:val="24"/>
          <w:lang w:eastAsia="es-ES"/>
        </w:rPr>
        <w:t xml:space="preserve"> Oficio 530 de 12 de febrero de 2009</w:t>
      </w:r>
      <w:r w:rsidRPr="005E4A12">
        <w:rPr>
          <w:rFonts w:ascii="Arial" w:eastAsia="Times New Roman" w:hAnsi="Arial" w:cs="Arial"/>
          <w:sz w:val="24"/>
          <w:szCs w:val="24"/>
          <w:lang w:eastAsia="es-ES"/>
        </w:rPr>
        <w:t>, suscrito por la GESTORA URBANA, en el que informó al contratista que debido a las inconsistencias que presentan las viviendas respecto del informe de 9 de febrero, se canceló la entrega de las mismas, por cuanto no presentan las condiciones técnicas adecuadas para la ocupación del inmueble, por lo que le solicitó resolviera esos inconvenientes para proceder a la entrega respectiva.</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0644 de 18 de febrero de 2009</w:t>
      </w:r>
      <w:r w:rsidRPr="005E4A12">
        <w:rPr>
          <w:rFonts w:ascii="Arial" w:eastAsia="Times New Roman" w:hAnsi="Arial" w:cs="Arial"/>
          <w:sz w:val="24"/>
          <w:szCs w:val="24"/>
          <w:lang w:eastAsia="es-ES"/>
        </w:rPr>
        <w:t xml:space="preserve"> suscrito por la GESTORA URBANA, en respuesta al oficio de 5 de febrero anterior que presentara el contratista: 1) en relación con las actas cobro del 20%, lo cierto es que nunca fueron presentadas conforme a los requisitos legales ante la GESTORA URBANA; 2) la demora en la obra generó que a los beneficiarios les correspondiera realizar nuevamente el trámite para la aprobación del crédito por lo tanto la culpa no es de la entidad; 3) debe tener claro que el proceso de escrituración debe iniciar hasta tanto el bien inmueble se encuentre ejecutado de manera correcta, terminado y recibido por la entidad, situación que tan solo ocurrió el 30 de julio de 2008.</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de 12 de agosto de 2009</w:t>
      </w:r>
      <w:r w:rsidRPr="005E4A12">
        <w:rPr>
          <w:rFonts w:ascii="Arial" w:eastAsia="Times New Roman" w:hAnsi="Arial" w:cs="Arial"/>
          <w:sz w:val="24"/>
          <w:szCs w:val="24"/>
          <w:lang w:eastAsia="es-ES"/>
        </w:rPr>
        <w:t xml:space="preserve"> del contratista a la GESTORA URBANA, mediante el cual le solicitó el pago del 20% del subsidio familiar de vivienda en los términos contractuales, por cuanto a 31 de julio de 2008 se dio entrega de 133 casas.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Oficio RS-2009-3153 de 30 de septiembre de 2009</w:t>
      </w:r>
      <w:r w:rsidRPr="005E4A12">
        <w:rPr>
          <w:rFonts w:ascii="Arial" w:eastAsia="Times New Roman" w:hAnsi="Arial" w:cs="Arial"/>
          <w:sz w:val="24"/>
          <w:szCs w:val="24"/>
          <w:lang w:eastAsia="es-ES"/>
        </w:rPr>
        <w:t>, en el que la GESTORA URBANA indicó al contratista que confrontada la información con el equipo técnico de vivienda y proyectos de la entidad, se tiene que en la etapa 1 de Nueva Castilla, se entregaron 102 viviendas, faltando 31 viviendas y agregó “</w:t>
      </w:r>
      <w:r w:rsidRPr="005E4A12">
        <w:rPr>
          <w:rFonts w:ascii="Arial" w:eastAsia="Times New Roman" w:hAnsi="Arial" w:cs="Arial"/>
          <w:i/>
          <w:sz w:val="24"/>
          <w:szCs w:val="24"/>
          <w:lang w:eastAsia="es-ES"/>
        </w:rPr>
        <w:t>De igual forma, el ente demandado en aquella oportunidad le manifestó al contratista, que durante la etapa 1 de construcción de las viviendas de interés social en la Urbanización Nueva Castilla, no se presentó ningún tipo de incumplimiento relacionado con el pago convenido por cuanto ‘en la legalización de la primera etapa que consta de 246 viviendas le fue entregado al 50% del 100% del valor total de los recursos obtenidos por parte de ahorros programados destinados al constructor de la vivienda</w:t>
      </w:r>
      <w:r w:rsidRPr="005E4A12">
        <w:rPr>
          <w:rFonts w:ascii="Arial" w:eastAsia="Times New Roman" w:hAnsi="Arial" w:cs="Arial"/>
          <w:sz w:val="24"/>
          <w:szCs w:val="24"/>
          <w:lang w:eastAsia="es-ES"/>
        </w:rPr>
        <w:t>”.</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ETAPA 2 NUEVA CASTILLA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iniciación de obras de 6 de noviembre de 2008</w:t>
      </w:r>
      <w:r w:rsidRPr="005E4A12">
        <w:rPr>
          <w:rFonts w:ascii="Arial" w:eastAsia="Times New Roman" w:hAnsi="Arial" w:cs="Arial"/>
          <w:sz w:val="24"/>
          <w:szCs w:val="24"/>
          <w:lang w:eastAsia="es-ES"/>
        </w:rPr>
        <w:t>, traída a colación por el tutelante y el fallo impugnado. Suscrita por las partes contractuales, el Municipio de Ibagué, el interventor de la obra y el representante de la comunidad, aunque no fue rubricada por la GESTORA URBANA. El número de viviendas a construir son 264.</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supervisión de las visitas de campo de 6 de marzo de 2009</w:t>
      </w:r>
      <w:r w:rsidRPr="005E4A12">
        <w:rPr>
          <w:rFonts w:ascii="Arial" w:eastAsia="Times New Roman" w:hAnsi="Arial" w:cs="Arial"/>
          <w:sz w:val="24"/>
          <w:szCs w:val="24"/>
          <w:lang w:eastAsia="es-ES"/>
        </w:rPr>
        <w:t xml:space="preserve"> realizado por FONADE, en el cual verificó lo siguiente: de las 264 viviendas, a la fecha tan solo se encontraban en construcción 85 casas, lo que equivale al 11% de ejecución de lo convenido; las obras de urbanismo -compromiso de la GESTORA URBANA- se encuentran ejecutadas en el 75%.</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lastRenderedPageBreak/>
        <w:t xml:space="preserve">- </w:t>
      </w:r>
      <w:r w:rsidRPr="005E4A12">
        <w:rPr>
          <w:rFonts w:ascii="Arial" w:eastAsia="Times New Roman" w:hAnsi="Arial" w:cs="Arial"/>
          <w:b/>
          <w:sz w:val="24"/>
          <w:szCs w:val="24"/>
          <w:lang w:eastAsia="es-ES"/>
        </w:rPr>
        <w:t>Informe de interventoría de agosto de 2009</w:t>
      </w:r>
      <w:r w:rsidRPr="005E4A12">
        <w:rPr>
          <w:rFonts w:ascii="Arial" w:eastAsia="Times New Roman" w:hAnsi="Arial" w:cs="Arial"/>
          <w:sz w:val="24"/>
          <w:szCs w:val="24"/>
          <w:lang w:eastAsia="es-ES"/>
        </w:rPr>
        <w:t>, en el que la interventoría indicó que todas las viviendas se encontraban techadas y con piso y que se había solicitado al contratista iniciar los trabajos de remate, como: entubar y regatear la parte eléctrica, retocar carpintería metálica y colocar vidrios para cerrar la vivienda y poder finalmente instalar los aparatos sanitarios y eléctricos. Le recordó al contratista que los subsidios se vencían el 30 de septiembre de 2009, por lo cual se le solicitó terminar la obra lo más pronto posible. Le solicitó a la GESTORA URBANA que adelantara el trámite de la ficha catastral de los inmuebles, para poder dar inicio al proceso de escrituración y que debían culminar las obras de urbanismo.</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interventoría de septiembre de 2009</w:t>
      </w:r>
      <w:r w:rsidRPr="005E4A12">
        <w:rPr>
          <w:rFonts w:ascii="Arial" w:eastAsia="Times New Roman" w:hAnsi="Arial" w:cs="Arial"/>
          <w:sz w:val="24"/>
          <w:szCs w:val="24"/>
          <w:lang w:eastAsia="es-ES"/>
        </w:rPr>
        <w:t>, en el que consta que todas las viviendas de la etapa 2, estaban terminadas y listas para la supervisión de FONADE y para organizar la entrega a los beneficiarios. Pero le reiteró a las partes contratantes las solicitudes del informe de agosto 2009.</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22 de octubre de 2009</w:t>
      </w:r>
      <w:r w:rsidRPr="005E4A12">
        <w:rPr>
          <w:rFonts w:ascii="Arial" w:eastAsia="Times New Roman" w:hAnsi="Arial" w:cs="Arial"/>
          <w:sz w:val="24"/>
          <w:szCs w:val="24"/>
          <w:lang w:eastAsia="es-ES"/>
        </w:rPr>
        <w:t xml:space="preserve"> de la visita realizada por FONADE, en la que solicitó a la GESTORA URBANA, construir lo más pronto posible las vías a nivel base, los sardineles y los andenes, requisitos necesarios para certificar las viviendas.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ETAPA 3 NUEVA CASTILLA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iniciación de obra de 20 de marzo de 2009</w:t>
      </w:r>
      <w:r w:rsidRPr="005E4A12">
        <w:rPr>
          <w:rFonts w:ascii="Arial" w:eastAsia="Times New Roman" w:hAnsi="Arial" w:cs="Arial"/>
          <w:sz w:val="24"/>
          <w:szCs w:val="24"/>
          <w:lang w:eastAsia="es-ES"/>
        </w:rPr>
        <w:t>, traída a colación por el tutelante y el fallo impugnado en tutela, suscrita por las partes contractuales, el interventor de la obra y el representante de la comunidad.</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suspensión de la obra de 1º de abril de 2009</w:t>
      </w:r>
      <w:r w:rsidRPr="005E4A12">
        <w:rPr>
          <w:rFonts w:ascii="Arial" w:eastAsia="Times New Roman" w:hAnsi="Arial" w:cs="Arial"/>
          <w:sz w:val="24"/>
          <w:szCs w:val="24"/>
          <w:lang w:eastAsia="es-ES"/>
        </w:rPr>
        <w:t>, evaluada por el tutelante y el fallo, suscrita por las partes contractuales y el representante de la comunidad, debido a las condiciones climáticas.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Acta de reinicio de obras de 13 de abril de 2009</w:t>
      </w:r>
      <w:r w:rsidRPr="005E4A12">
        <w:rPr>
          <w:rFonts w:ascii="Arial" w:eastAsia="Times New Roman" w:hAnsi="Arial" w:cs="Arial"/>
          <w:sz w:val="24"/>
          <w:szCs w:val="24"/>
          <w:lang w:eastAsia="es-ES"/>
        </w:rPr>
        <w:t>, prueba documental evaluada por el tutelante y el fallo.</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Informes de interventoría  de junio y agosto de 2009</w:t>
      </w:r>
      <w:r w:rsidRPr="005E4A12">
        <w:rPr>
          <w:rFonts w:ascii="Arial" w:eastAsia="Times New Roman" w:hAnsi="Arial" w:cs="Arial"/>
          <w:sz w:val="24"/>
          <w:szCs w:val="24"/>
          <w:lang w:eastAsia="es-ES"/>
        </w:rPr>
        <w:t>, prueba citada por ambas partes, en la que la interventoría le pidió a la GESTORA URBANA terminar de entregar los lotes para no perder continuidad en el trabajo y finalizar las obras de urbanismo y, al contratista, seguir realizando las pruebas de concreto a todos los elementos estructurales.</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interventoría de septiembre de 2009</w:t>
      </w:r>
      <w:r w:rsidRPr="005E4A12">
        <w:rPr>
          <w:rFonts w:ascii="Arial" w:eastAsia="Times New Roman" w:hAnsi="Arial" w:cs="Arial"/>
          <w:sz w:val="24"/>
          <w:szCs w:val="24"/>
          <w:lang w:eastAsia="es-ES"/>
        </w:rPr>
        <w:t>, citado por el tutelante y el fallo impugnado, en el que consta que el contratista cumplió a cabalidad con la construcción de 291 viviendas. Y le solicitó a la GESTORA URBANA culminar las obras de urbanismo como son andenes y sardineles, para poder solicitar la visita de supervisión de FONADE, quien exige que el urbanismo esté realizado en el 100% para poder expedir el certificado de habitabilidad.</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Informe de visita de campo de 3 de diciembre de 2009</w:t>
      </w:r>
      <w:r w:rsidRPr="005E4A12">
        <w:rPr>
          <w:rFonts w:ascii="Arial" w:eastAsia="Times New Roman" w:hAnsi="Arial" w:cs="Arial"/>
          <w:sz w:val="24"/>
          <w:szCs w:val="24"/>
          <w:lang w:eastAsia="es-ES"/>
        </w:rPr>
        <w:t xml:space="preserve">, prueba citada por el tutelante y el fallo, en la que FONADE advirtió lo siguiente: </w:t>
      </w:r>
    </w:p>
    <w:p w:rsidR="00133748" w:rsidRPr="005E4A12" w:rsidRDefault="00133748" w:rsidP="00133748">
      <w:pPr>
        <w:spacing w:line="276" w:lineRule="auto"/>
        <w:jc w:val="both"/>
        <w:rPr>
          <w:rFonts w:ascii="Arial" w:eastAsia="Times New Roman" w:hAnsi="Arial" w:cs="Arial"/>
          <w:sz w:val="24"/>
          <w:szCs w:val="24"/>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5894"/>
      </w:tblGrid>
      <w:tr w:rsidR="00133748" w:rsidRPr="005E4A12" w:rsidTr="00E524A8">
        <w:tc>
          <w:tcPr>
            <w:tcW w:w="2802"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Ejecución de obras de urbanismo</w:t>
            </w:r>
          </w:p>
        </w:tc>
        <w:tc>
          <w:tcPr>
            <w:tcW w:w="58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En la “tercera etapa” del proyecto (291 viviendas) cuentan con las redes de acueducto, redes de alcantarillado, redes de energía eléctrica y de alumbrado público construidas al 100%. Las vías están abiertas, en tierra, sin conformar y no se han construido los sardineles y los andenes.</w:t>
            </w:r>
          </w:p>
        </w:tc>
      </w:tr>
      <w:tr w:rsidR="00133748" w:rsidRPr="005E4A12" w:rsidTr="00E524A8">
        <w:tc>
          <w:tcPr>
            <w:tcW w:w="2802"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lastRenderedPageBreak/>
              <w:t>Ejecución de obras de vivienda</w:t>
            </w:r>
          </w:p>
        </w:tc>
        <w:tc>
          <w:tcPr>
            <w:tcW w:w="5894" w:type="dxa"/>
            <w:shd w:val="clear" w:color="auto" w:fill="auto"/>
          </w:tcPr>
          <w:p w:rsidR="00133748" w:rsidRPr="005E4A12" w:rsidRDefault="00133748" w:rsidP="00E524A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Según lo observado en el recorrido realizado por las obras, se encuentran en ejecución las 291 viviendas que conforman la tercera etapa y el avance físico en la construcción de las viviendas, equivale al 80%. Las viviendas se encuentran en actividades de alambrado eléctrico interno, instalación de combos sanitarios y remates finales de fachada y elementos estructurales. Además, se encuentra conformando y limpiando los patios de las viviendas. Respecto a la ejecución de las obras, la Supervisión recomendó reemplazar los bloques fracturados, rotos o con defectos de fabricación que se encuentran instalados. </w:t>
            </w:r>
            <w:r w:rsidRPr="005E4A12">
              <w:rPr>
                <w:rFonts w:ascii="Arial" w:eastAsia="Times New Roman" w:hAnsi="Arial" w:cs="Arial"/>
                <w:b/>
                <w:sz w:val="24"/>
                <w:szCs w:val="24"/>
                <w:lang w:eastAsia="es-ES"/>
              </w:rPr>
              <w:t>Esta supervisión aprecia que las obras se están adelantando bajo condiciones controladas y con buenas prácticas constructivas. Se observaron puntualmente algunos elementos con defectos por disgregación del concreto; sobre lo cual se reiteró tanto al constructor como al interventor, que deben tomar los correctivos pertinentes. Por lo demás se observó que las obras se están adelantando bajo condiciones controladas y con buenas prácticas constructivas</w:t>
            </w:r>
            <w:r w:rsidRPr="005E4A12">
              <w:rPr>
                <w:rFonts w:ascii="Arial" w:eastAsia="Times New Roman" w:hAnsi="Arial" w:cs="Arial"/>
                <w:sz w:val="24"/>
                <w:szCs w:val="24"/>
                <w:lang w:eastAsia="es-ES"/>
              </w:rPr>
              <w:t xml:space="preserve">. El constructor dispone de muy buena cantidad de materiales de patio y en bodega. El Constructor indicó a ésta supervisión que espera terminar las obras en el mes de febrero de 2010, </w:t>
            </w:r>
            <w:r w:rsidRPr="005E4A12">
              <w:rPr>
                <w:rFonts w:ascii="Arial" w:eastAsia="Times New Roman" w:hAnsi="Arial" w:cs="Arial"/>
                <w:b/>
                <w:sz w:val="24"/>
                <w:szCs w:val="24"/>
                <w:lang w:eastAsia="es-ES"/>
              </w:rPr>
              <w:t>sin embargo expresó su preocupación porque el oferente no ha iniciado las obras de construcción de andenes y sardineles de la urbanización. El oferente no le ha suministrado a esta Supervisión el listado de los beneficiarios asignados a este proyecto</w:t>
            </w:r>
            <w:r w:rsidRPr="005E4A12">
              <w:rPr>
                <w:rFonts w:ascii="Arial" w:eastAsia="Times New Roman" w:hAnsi="Arial" w:cs="Arial"/>
                <w:sz w:val="24"/>
                <w:szCs w:val="24"/>
                <w:lang w:eastAsia="es-ES"/>
              </w:rPr>
              <w:t>.</w:t>
            </w:r>
          </w:p>
        </w:tc>
      </w:tr>
    </w:tbl>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w:t>
      </w:r>
      <w:r w:rsidRPr="005E4A12">
        <w:rPr>
          <w:rFonts w:ascii="Arial" w:eastAsia="Times New Roman" w:hAnsi="Arial" w:cs="Arial"/>
          <w:b/>
          <w:sz w:val="24"/>
          <w:szCs w:val="24"/>
          <w:lang w:eastAsia="es-ES"/>
        </w:rPr>
        <w:t>Dictamen pericial de 6 de febrero de 2013</w:t>
      </w:r>
      <w:r w:rsidRPr="005E4A12">
        <w:rPr>
          <w:rFonts w:ascii="Arial" w:eastAsia="Times New Roman" w:hAnsi="Arial" w:cs="Arial"/>
          <w:sz w:val="24"/>
          <w:szCs w:val="24"/>
          <w:lang w:eastAsia="es-ES"/>
        </w:rPr>
        <w:t xml:space="preserve">, rendido ante el Tribunal </w:t>
      </w:r>
      <w:r w:rsidRPr="005E4A12">
        <w:rPr>
          <w:rFonts w:ascii="Arial" w:eastAsia="Times New Roman" w:hAnsi="Arial" w:cs="Arial"/>
          <w:i/>
          <w:sz w:val="24"/>
          <w:szCs w:val="24"/>
          <w:lang w:eastAsia="es-ES"/>
        </w:rPr>
        <w:t>a quo</w:t>
      </w:r>
      <w:r w:rsidRPr="005E4A12">
        <w:rPr>
          <w:rFonts w:ascii="Arial" w:eastAsia="Times New Roman" w:hAnsi="Arial" w:cs="Arial"/>
          <w:sz w:val="24"/>
          <w:szCs w:val="24"/>
          <w:lang w:eastAsia="es-ES"/>
        </w:rPr>
        <w:t>, dentro del medio de control de controversias contractuales, a fin de establecer: i) el monto real del desequilibrio contractual y financiero que dejó de recibir el contratista; ii) las utilidades probables durante el desarrollo y ejecución de los contratos urbanísticos de 2.026 viviendas de interés social e, iii) los gastos de administración de la mayor permanencia de la obra en los proyectos contratados.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Indicó el perito que para rendir el informe de la experticia se basó en las pruebas del proceso, en los libros contables del contratista y en sus respectivos soportes, en los recibos de caja, comprobantes de egresos, facturas, notas contables, contratos de arrendamiento, relación de los beneficiarios de los subsidios pendientes de legalización para el cobro del 20% y la legalización de estos. Concluyó lo siguiente:</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1) frente al </w:t>
      </w:r>
      <w:r w:rsidRPr="005E4A12">
        <w:rPr>
          <w:rFonts w:ascii="Arial" w:eastAsia="Times New Roman" w:hAnsi="Arial" w:cs="Arial"/>
          <w:b/>
          <w:sz w:val="24"/>
          <w:szCs w:val="24"/>
          <w:lang w:eastAsia="es-ES"/>
        </w:rPr>
        <w:t xml:space="preserve">desequilibrio contractual y financiero que dejó de recibir el contratista: </w:t>
      </w:r>
      <w:r w:rsidRPr="005E4A12">
        <w:rPr>
          <w:rFonts w:ascii="Arial" w:eastAsia="Times New Roman" w:hAnsi="Arial" w:cs="Arial"/>
          <w:sz w:val="24"/>
          <w:szCs w:val="24"/>
          <w:lang w:eastAsia="es-ES"/>
        </w:rPr>
        <w:t xml:space="preserve">-Se debe reajustar el valor del convenio conforme al incremento anual del subsidio que pende del también aumento del s.m.m.l.v. De tal suerte que a </w:t>
      </w:r>
      <w:r w:rsidRPr="005E4A12">
        <w:rPr>
          <w:rFonts w:ascii="Arial" w:eastAsia="Times New Roman" w:hAnsi="Arial" w:cs="Arial"/>
          <w:sz w:val="24"/>
          <w:szCs w:val="24"/>
          <w:lang w:eastAsia="es-ES"/>
        </w:rPr>
        <w:lastRenderedPageBreak/>
        <w:t>$3.949.075.200, al aplicarle IPC de los años 2011 y 2012, arroja una nueva cifra a razón de $5.353.919.200.</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saldo final del cobro del 20% de cada uno de los 89 subsidios reconocido por la GESTORA URBANA en el acta de comité y que no han sido desembolsados al contratista, arrojan un total de $200.561.179, teniendo en cuenta el IPC 2011 y 2012.</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-De conformidad con lo anterior, se tiene que a Milton Enrique Oviedo no se le ha entregado la suma de $5.554.471.379.</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2) En relación con la </w:t>
      </w:r>
      <w:r w:rsidRPr="005E4A12">
        <w:rPr>
          <w:rFonts w:ascii="Arial" w:eastAsia="Times New Roman" w:hAnsi="Arial" w:cs="Arial"/>
          <w:b/>
          <w:sz w:val="24"/>
          <w:szCs w:val="24"/>
          <w:lang w:eastAsia="es-ES"/>
        </w:rPr>
        <w:t>expectativa de la utilidad esperada por el contratista</w:t>
      </w:r>
      <w:r w:rsidRPr="005E4A12">
        <w:rPr>
          <w:rFonts w:ascii="Arial" w:eastAsia="Times New Roman" w:hAnsi="Arial" w:cs="Arial"/>
          <w:sz w:val="24"/>
          <w:szCs w:val="24"/>
          <w:lang w:eastAsia="es-ES"/>
        </w:rPr>
        <w:t>: En atención a que de las 2.026 viviendas a construir, la contratante solo entregó 1.746 lotes, se tiene que al contratista se le debe reconocer la suma de $303.682.778, por concepto del 7% del AIU.</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3) Frente a los </w:t>
      </w:r>
      <w:r w:rsidRPr="005E4A12">
        <w:rPr>
          <w:rFonts w:ascii="Arial" w:eastAsia="Times New Roman" w:hAnsi="Arial" w:cs="Arial"/>
          <w:b/>
          <w:sz w:val="24"/>
          <w:szCs w:val="24"/>
          <w:lang w:eastAsia="es-ES"/>
        </w:rPr>
        <w:t>costos de administración</w:t>
      </w:r>
      <w:r w:rsidRPr="005E4A12">
        <w:rPr>
          <w:rFonts w:ascii="Arial" w:eastAsia="Times New Roman" w:hAnsi="Arial" w:cs="Arial"/>
          <w:sz w:val="24"/>
          <w:szCs w:val="24"/>
          <w:lang w:eastAsia="es-ES"/>
        </w:rPr>
        <w:t xml:space="preserve">: Observados los libros de contabilidad, es evidente que el contratista, durante los años 2009 y 2010, incurrió en gastos administrativos y financieros, concretados en los costos de nómina, taller de ornamentación, arrendamiento de vehículos, servicios públicos, arriendo de oficina, los cuales ascienden a la suma de $982.700.315, actualizado conforme al IPC de 2011 y 2012.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 Los </w:t>
      </w:r>
      <w:r w:rsidRPr="005E4A12">
        <w:rPr>
          <w:rFonts w:ascii="Arial" w:eastAsia="Times New Roman" w:hAnsi="Arial" w:cs="Arial"/>
          <w:b/>
          <w:sz w:val="24"/>
          <w:szCs w:val="24"/>
          <w:lang w:eastAsia="es-ES"/>
        </w:rPr>
        <w:t>TESTIMONIOS rendidos el 5 y 6 marzo de 2013</w:t>
      </w:r>
      <w:r w:rsidRPr="005E4A12">
        <w:rPr>
          <w:rFonts w:ascii="Arial" w:eastAsia="Times New Roman" w:hAnsi="Arial" w:cs="Arial"/>
          <w:sz w:val="24"/>
          <w:szCs w:val="24"/>
          <w:lang w:eastAsia="es-ES"/>
        </w:rPr>
        <w:t xml:space="preserve">, dentro del proceso de controversias contractuales, por los señores: </w:t>
      </w:r>
      <w:r w:rsidRPr="005E4A12">
        <w:rPr>
          <w:rFonts w:ascii="Arial" w:eastAsia="Times New Roman" w:hAnsi="Arial" w:cs="Arial"/>
          <w:sz w:val="24"/>
          <w:szCs w:val="24"/>
          <w:u w:val="single"/>
          <w:lang w:eastAsia="es-ES"/>
        </w:rPr>
        <w:t>José Domingo Torres Cáceres</w:t>
      </w:r>
      <w:r w:rsidRPr="005E4A12">
        <w:rPr>
          <w:rFonts w:ascii="Arial" w:eastAsia="Times New Roman" w:hAnsi="Arial" w:cs="Arial"/>
          <w:sz w:val="24"/>
          <w:szCs w:val="24"/>
          <w:lang w:eastAsia="es-ES"/>
        </w:rPr>
        <w:t xml:space="preserve"> (interventor de Nueva Castilla), quien al preguntársele sobre los inconvenientes presentados durante la ejecución del Convenio Asociativo, depuso que se presentaron algunos inconvenientes durante la ejecución, que calificó de normales y que fueron corregidos en su totalidad; </w:t>
      </w:r>
      <w:r w:rsidRPr="005E4A12">
        <w:rPr>
          <w:rFonts w:ascii="Arial" w:eastAsia="Times New Roman" w:hAnsi="Arial" w:cs="Arial"/>
          <w:sz w:val="24"/>
          <w:szCs w:val="24"/>
          <w:u w:val="single"/>
          <w:lang w:eastAsia="es-ES"/>
        </w:rPr>
        <w:t>Ferney Eduardo Arias Vidal</w:t>
      </w:r>
      <w:r w:rsidRPr="005E4A12">
        <w:rPr>
          <w:rFonts w:ascii="Arial" w:eastAsia="Times New Roman" w:hAnsi="Arial" w:cs="Arial"/>
          <w:sz w:val="24"/>
          <w:szCs w:val="24"/>
          <w:lang w:eastAsia="es-ES"/>
        </w:rPr>
        <w:t xml:space="preserve">, asesor externo para la oficina de vivienda de la GESTORA URBANA, indicando que esta nunca le entregó completo el número de lotes al contratista </w:t>
      </w:r>
      <w:r w:rsidRPr="005E4A12">
        <w:rPr>
          <w:rFonts w:ascii="Arial" w:eastAsia="Times New Roman" w:hAnsi="Arial" w:cs="Arial"/>
          <w:sz w:val="24"/>
          <w:szCs w:val="24"/>
          <w:u w:val="single"/>
          <w:lang w:eastAsia="es-ES"/>
        </w:rPr>
        <w:t>José Raúl Bonilla Zea</w:t>
      </w:r>
      <w:r w:rsidRPr="005E4A12">
        <w:rPr>
          <w:rFonts w:ascii="Arial" w:eastAsia="Times New Roman" w:hAnsi="Arial" w:cs="Arial"/>
          <w:sz w:val="24"/>
          <w:szCs w:val="24"/>
          <w:lang w:eastAsia="es-ES"/>
        </w:rPr>
        <w:t xml:space="preserve">, interventor del proyecto La Cima, indicó que durante la ejecución tan solo se presentaron inconvenientes con la idoneidad del personal de la obra, lo cual estaba a cargo del contratista. </w:t>
      </w:r>
      <w:r w:rsidRPr="005E4A12">
        <w:rPr>
          <w:rFonts w:ascii="Arial" w:eastAsia="Times New Roman" w:hAnsi="Arial" w:cs="Arial"/>
          <w:sz w:val="24"/>
          <w:szCs w:val="24"/>
          <w:u w:val="single"/>
          <w:lang w:eastAsia="es-ES"/>
        </w:rPr>
        <w:t>Alba Nury Rendón</w:t>
      </w:r>
      <w:r w:rsidRPr="005E4A12">
        <w:rPr>
          <w:rFonts w:ascii="Arial" w:eastAsia="Times New Roman" w:hAnsi="Arial" w:cs="Arial"/>
          <w:sz w:val="24"/>
          <w:szCs w:val="24"/>
          <w:lang w:eastAsia="es-ES"/>
        </w:rPr>
        <w:t xml:space="preserve">, secretaria el contratista, quien manifestó que la GESTORA URBANA no les recibía las viviendas construidas porque faltaba el urbanismo que era obligación de la GESTORA.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Pues bien, la Sección Quinta, observa que de la nutrida relación de pruebas que la Sección Tercera analizó y tuvo en cuenta, se evidencia el periplo de esta controversia contractual y claro que escindir algunas para soportar la impugnación, lleva al lector desprevenido a entrar en los razonamientos de la parte actora, pero precisamente como se denota en los apartes sombreados que corresponden a aquellas pruebas que el tutelante advierte en la impugnación, a su juicio, se valoraron en forma arbitraria, caprichosa e indebida, a saber: </w:t>
      </w:r>
      <w:r w:rsidRPr="005E4A12">
        <w:rPr>
          <w:rFonts w:ascii="Arial" w:eastAsia="Times New Roman" w:hAnsi="Arial" w:cs="Arial"/>
          <w:sz w:val="24"/>
          <w:szCs w:val="24"/>
          <w:lang w:val="es-ES_tradnl" w:eastAsia="es-ES"/>
        </w:rPr>
        <w:t xml:space="preserve">otro sí Nº 02 de 27 de diciembre de 2007; petición de 28 de enero de 2009; oficio de 12 de agosto de 2009; oficio Nº 2009-3008 de 25 de septiembre de 2009; oficio 2010-6926 de 25 de mayo de 2010; oficio 8116 de 2 de julio de 2010; proyecto de liquidación del contrato; oficio 270 de 30 de enero de 2008; acta de 12 de noviembre de 2008; acta de entrega de 13 de noviembre de 2008; oficio BZ-034-09 de 26 de marzo de 2009; </w:t>
      </w:r>
      <w:r w:rsidRPr="005E4A12">
        <w:rPr>
          <w:rFonts w:ascii="Arial" w:eastAsia="Times New Roman" w:hAnsi="Arial" w:cs="Arial"/>
          <w:sz w:val="24"/>
          <w:szCs w:val="24"/>
          <w:lang w:val="es-ES_tradnl" w:eastAsia="es-ES"/>
        </w:rPr>
        <w:lastRenderedPageBreak/>
        <w:t xml:space="preserve">oficio BZ-067-09 de 15 de mayo de 2009; oficio de 29 de enero de 2010; oficio BZ-090-09 de 20 de agosto de 2009; oficio 2009-3083 de 30 de septiembre de 2009; oficio RE-2010-5307 de 15 de febrero de 2010; oficio de respuesta de 16 de marzo de 2010; reclamación prejudicial de 26 de enero de 2011; respuesta del 9 de febrero de 2011 de la Gestora Urbana a la reclamación prejudicial del contratista; oficio de 29 de octubre de 2007; oficio de 26 de noviembre de 2007; oficio de 28 de noviembre de 2007; oficio de 30 de enero de 2008; oficio de 18 de abril de 2008; informe de interventoría de 5 de julio de 2008; informe de 22 de octubre de 2009; acta de suspensión de 1° de abril de 2009; acta de reinicio de obras de 13 de abril de 2009; informes de interventoría de junio y agosto de 2009; informe de interventoría de septiembre de 2009 e informe de FONADE de 3 de diciembre de 2009, </w:t>
      </w:r>
      <w:r w:rsidRPr="005E4A12">
        <w:rPr>
          <w:rFonts w:ascii="Arial" w:eastAsia="Times New Roman" w:hAnsi="Arial" w:cs="Arial"/>
          <w:sz w:val="24"/>
          <w:szCs w:val="24"/>
          <w:lang w:eastAsia="es-ES"/>
        </w:rPr>
        <w:t>lo cierto es que la realidad termina en el punto de partida que llevó a denegar la pretensión de desequilibrio contractual, atinente a la extemporaneidad de la reclamación respectiva y sus salvedades en los acuerdos de voluntades.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Huelga recordar que el tutelante indica al explicar en el caso concreto de las pruebas en que basa su disertación de amparo, lo siguiente:</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error de hecho en que incurre la Sección Tercera C, cuando afirma que los 279 lotes que no habían sido entregados se encontraban pendientes por contratar. Lo cual no es cierto, porque ello responde al incumplimiento de que la GESTORA URBANA, cuyo compromiso era dicha entrega.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error de hecho ante la indebida valoración probatoria del rompimiento del equilibrio económico del contrato y la no valoración de la prueba documental, pericial y testimonial. La valoración indebida de los sobrecostos administrativos y financieros en que ha incurrido el contratista por la mayor permanencia en la obra ejecutada, que se materializaron en costos de nómina, taller de ornamentación, arrendamiento de vehículos, servicios públicos, arriendo de oficinas en los años 2009 y 2010.</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error de hecho por no reajustarse el valor del contrato, en razón a que los subsidios de vivienda suben en forma porcentual con el aumento del s.m.m.l.v.</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error de hecho por no reconocer la utilidad esperada, respecto a las 280 viviendas que se pactó para ser construidas, pero que no se llevó a cabo por el incumplimiento de la GESTORA URBANA en entregar los lotes.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error de hecho al no valorar los informes de la interventoría de la etapa III de Nueva Castilla, de junio y agosto de 2009, porque la sentencia desconoce que fueron reiterados y permanentes los requerimientos del contratista y del interventor para que entregara los lotes de terreno donde se construirían las viviendas, para no perder continuidad en el trabajo y finalizar las obras de urbanismo, en grave detrimento de los intereses económicos del contratista y, que contrario sensu del informe de interventoría de septiembre de 2009, se evidencia que el actor cumplió a cabalidad con la construcción de las 291 viviendas y, la GESTORA URBANA incluso continúa incumpliendo con la entrega de las obras de urbanismo.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lastRenderedPageBreak/>
        <w:t>Por su parte, la Sección Tercera, frente a las pretensiones contractuales discutidas por el tutelante e insistidas por éste en la impugnación, determinó:</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numPr>
          <w:ilvl w:val="0"/>
          <w:numId w:val="15"/>
        </w:numPr>
        <w:spacing w:line="276" w:lineRule="auto"/>
        <w:jc w:val="both"/>
        <w:rPr>
          <w:rFonts w:ascii="Arial" w:eastAsia="Times New Roman" w:hAnsi="Arial" w:cs="Arial"/>
          <w:sz w:val="24"/>
          <w:szCs w:val="24"/>
          <w:lang w:eastAsia="es-ES"/>
        </w:rPr>
      </w:pPr>
      <w:r w:rsidRPr="005E4A12">
        <w:rPr>
          <w:rFonts w:ascii="Arial" w:eastAsia="Times New Roman" w:hAnsi="Arial" w:cs="Arial"/>
          <w:b/>
          <w:sz w:val="24"/>
          <w:szCs w:val="24"/>
          <w:lang w:eastAsia="es-ES"/>
        </w:rPr>
        <w:t>Del rompimiento del equilibrio financiero del Convenio 002 de 2007</w:t>
      </w:r>
      <w:r w:rsidRPr="005E4A12">
        <w:rPr>
          <w:rFonts w:ascii="Arial" w:eastAsia="Times New Roman" w:hAnsi="Arial" w:cs="Arial"/>
          <w:sz w:val="24"/>
          <w:szCs w:val="24"/>
          <w:lang w:eastAsia="es-ES"/>
        </w:rPr>
        <w:t xml:space="preserve"> </w:t>
      </w:r>
    </w:p>
    <w:p w:rsidR="00133748" w:rsidRPr="005E4A12" w:rsidRDefault="00133748" w:rsidP="00133748">
      <w:pPr>
        <w:spacing w:line="276" w:lineRule="auto"/>
        <w:ind w:left="360"/>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Analizó los siguientes supuestos fácticos, a saber:</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b/>
          <w:sz w:val="24"/>
          <w:szCs w:val="24"/>
          <w:lang w:eastAsia="es-ES"/>
        </w:rPr>
      </w:pPr>
      <w:r w:rsidRPr="005E4A12">
        <w:rPr>
          <w:rFonts w:ascii="Arial" w:eastAsia="Times New Roman" w:hAnsi="Arial" w:cs="Arial"/>
          <w:sz w:val="24"/>
          <w:szCs w:val="24"/>
          <w:lang w:eastAsia="es-ES"/>
        </w:rPr>
        <w:t xml:space="preserve">1.1. </w:t>
      </w:r>
      <w:r w:rsidRPr="005E4A12">
        <w:rPr>
          <w:rFonts w:ascii="Arial" w:eastAsia="Times New Roman" w:hAnsi="Arial" w:cs="Arial"/>
          <w:b/>
          <w:sz w:val="24"/>
          <w:szCs w:val="24"/>
          <w:lang w:eastAsia="es-ES"/>
        </w:rPr>
        <w:t>Retraso en el inicio de obras en Nueva Castilla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El primero, sobre el incumplimiento de las obligaciones por parte de la contratante frente a las obras de urbanismo que retrasaron el inicio de la obra, acotando que en efecto firmado el contrato en febrero de 2007, solo pudo iniciarse en </w:t>
      </w:r>
      <w:r w:rsidRPr="005E4A12">
        <w:rPr>
          <w:rFonts w:ascii="Arial" w:eastAsia="Times New Roman" w:hAnsi="Arial" w:cs="Arial"/>
          <w:sz w:val="24"/>
          <w:szCs w:val="24"/>
          <w:u w:val="single"/>
          <w:lang w:eastAsia="es-ES"/>
        </w:rPr>
        <w:t>octubre de 2007</w:t>
      </w:r>
      <w:r w:rsidRPr="005E4A12">
        <w:rPr>
          <w:rFonts w:ascii="Arial" w:eastAsia="Times New Roman" w:hAnsi="Arial" w:cs="Arial"/>
          <w:sz w:val="24"/>
          <w:szCs w:val="24"/>
          <w:lang w:eastAsia="es-ES"/>
        </w:rPr>
        <w:t>, pero lo que echa de menos es que en el acta de inicio, no se dejó ninguna salvedad sobre los perjuicios financieros causados al contratista o los incrementos económicos padecidos por el contratista por el retardo en la iniciación de la obra.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En el otro sí de </w:t>
      </w:r>
      <w:r w:rsidRPr="005E4A12">
        <w:rPr>
          <w:rFonts w:ascii="Arial" w:eastAsia="Times New Roman" w:hAnsi="Arial" w:cs="Arial"/>
          <w:sz w:val="24"/>
          <w:szCs w:val="24"/>
          <w:u w:val="single"/>
          <w:lang w:eastAsia="es-ES"/>
        </w:rPr>
        <w:t>12 de septiembre de 2007</w:t>
      </w:r>
      <w:r w:rsidRPr="005E4A12">
        <w:rPr>
          <w:rFonts w:ascii="Arial" w:eastAsia="Times New Roman" w:hAnsi="Arial" w:cs="Arial"/>
          <w:sz w:val="24"/>
          <w:szCs w:val="24"/>
          <w:lang w:eastAsia="es-ES"/>
        </w:rPr>
        <w:t>, al modificar el numeral 3º de la cláusula octava sobre la garantía y calidad de la obra, tampoco se dejó salvedad alguna e incluso expresamente se indicó que las cláusulas del convenio se mantendrían incólumes.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b/>
          <w:sz w:val="24"/>
          <w:szCs w:val="24"/>
          <w:lang w:eastAsia="es-ES"/>
        </w:rPr>
      </w:pPr>
      <w:r w:rsidRPr="005E4A12">
        <w:rPr>
          <w:rFonts w:ascii="Arial" w:eastAsia="Times New Roman" w:hAnsi="Arial" w:cs="Arial"/>
          <w:sz w:val="24"/>
          <w:szCs w:val="24"/>
          <w:lang w:eastAsia="es-ES"/>
        </w:rPr>
        <w:t xml:space="preserve">1.2. </w:t>
      </w:r>
      <w:r w:rsidRPr="005E4A12">
        <w:rPr>
          <w:rFonts w:ascii="Arial" w:eastAsia="Times New Roman" w:hAnsi="Arial" w:cs="Arial"/>
          <w:b/>
          <w:sz w:val="24"/>
          <w:szCs w:val="24"/>
          <w:lang w:eastAsia="es-ES"/>
        </w:rPr>
        <w:t>Entrega tardía y defectuosa de lotes de Nueva Castilla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El segundo, la entrega tardía y defectuosa e incompleta de los lotes donde se iban a realizar las obras, concretamente en la urbanización Nueva Castilla, los 133 que se le entregaron tan solo el 7 de enero de 2008 y los 264 lotes, 23 días antes de que se tuvieran que entregar las viviendas construidas, pues según el cronograma contractual debían estar ejecutadas antes del 1º de febrero de 2008. Y, sobre los 133 lotes, obras que eran necesarias para la construcción de las viviendas que no fueron previstas en el contrato.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En este punto, la Sección Tercera tuvo en cuenta que se suscribió entre las partes el </w:t>
      </w:r>
      <w:r w:rsidRPr="005E4A12">
        <w:rPr>
          <w:rFonts w:ascii="Arial" w:eastAsia="Times New Roman" w:hAnsi="Arial" w:cs="Arial"/>
          <w:b/>
          <w:sz w:val="24"/>
          <w:szCs w:val="24"/>
          <w:u w:val="single"/>
          <w:lang w:eastAsia="es-ES"/>
        </w:rPr>
        <w:t>otro sí de 27 de diciembre de 2007</w:t>
      </w:r>
      <w:r w:rsidRPr="005E4A12">
        <w:rPr>
          <w:rFonts w:ascii="Arial" w:eastAsia="Times New Roman" w:hAnsi="Arial" w:cs="Arial"/>
          <w:sz w:val="24"/>
          <w:szCs w:val="24"/>
          <w:lang w:eastAsia="es-ES"/>
        </w:rPr>
        <w:t>, para acordar las obras y valor de los adicionales. Nuevamente, el juez del contrato, echa de menos que el contratista haya dejado salvedades.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b/>
          <w:sz w:val="24"/>
          <w:szCs w:val="24"/>
          <w:lang w:eastAsia="es-ES"/>
        </w:rPr>
      </w:pPr>
      <w:r w:rsidRPr="005E4A12">
        <w:rPr>
          <w:rFonts w:ascii="Arial" w:eastAsia="Times New Roman" w:hAnsi="Arial" w:cs="Arial"/>
          <w:sz w:val="24"/>
          <w:szCs w:val="24"/>
          <w:lang w:eastAsia="es-ES"/>
        </w:rPr>
        <w:t xml:space="preserve">1.3. </w:t>
      </w:r>
      <w:r w:rsidRPr="005E4A12">
        <w:rPr>
          <w:rFonts w:ascii="Arial" w:eastAsia="Times New Roman" w:hAnsi="Arial" w:cs="Arial"/>
          <w:b/>
          <w:sz w:val="24"/>
          <w:szCs w:val="24"/>
          <w:lang w:eastAsia="es-ES"/>
        </w:rPr>
        <w:t>Hechos posteriores atinentes a suscripción de otros acuerdos interpartes contractuales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La Sección Tercera agregó que si bien con posterioridad a los hechos probados antes narrados, las partes contractuales, suscribieron diferentes acuerdos, a saber:</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acta de iniciación de obras adicionales el 10 de enero de 2008,</w:t>
      </w: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acta adicional y de compromiso el 8 de mayo de 2008,</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Sin que tampoco se dejara salvedad. Y por el contrario, el contratista adquirió una serie de obligaciones, cuyo incumplimiento dio lugar a la imposición de la multa contenida en la Resolución 237 de 30 de julio de 2008, confirmada por la Resolución 315 de 1º de octubre siguiente.</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Así sucesivamente la Sección Tercera, relata uno a uno los acuerdos y pactos inter partes, los cuales tienen un común denominador y es que no se dejaron salvedades y menos atinente a sobrecostos.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1.4. </w:t>
      </w:r>
      <w:r w:rsidRPr="005E4A12">
        <w:rPr>
          <w:rFonts w:ascii="Arial" w:eastAsia="Times New Roman" w:hAnsi="Arial" w:cs="Arial"/>
          <w:b/>
          <w:sz w:val="24"/>
          <w:szCs w:val="24"/>
          <w:lang w:eastAsia="es-ES"/>
        </w:rPr>
        <w:t>Sobrecostos por mayor permanencia en la obra</w:t>
      </w:r>
      <w:r w:rsidRPr="005E4A12">
        <w:rPr>
          <w:rFonts w:ascii="Arial" w:eastAsia="Times New Roman" w:hAnsi="Arial" w:cs="Arial"/>
          <w:sz w:val="24"/>
          <w:szCs w:val="24"/>
          <w:lang w:eastAsia="es-ES"/>
        </w:rPr>
        <w:t>.</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Generador de pagos en exceso por nómina, arrendamiento de oficinas, entre otros.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La Sección Quinta encuentra que dentro de las pruebas de la acción contractual, las referencias al desequilibrio del contrato -sin que como juez de tutela pueda cuestionar la </w:t>
      </w:r>
      <w:r w:rsidRPr="005E4A12">
        <w:rPr>
          <w:rFonts w:ascii="Arial" w:eastAsia="Times New Roman" w:hAnsi="Arial" w:cs="Arial"/>
          <w:i/>
          <w:sz w:val="24"/>
          <w:szCs w:val="24"/>
          <w:lang w:eastAsia="es-ES"/>
        </w:rPr>
        <w:t>ratio</w:t>
      </w:r>
      <w:r w:rsidRPr="005E4A12">
        <w:rPr>
          <w:rFonts w:ascii="Arial" w:eastAsia="Times New Roman" w:hAnsi="Arial" w:cs="Arial"/>
          <w:sz w:val="24"/>
          <w:szCs w:val="24"/>
          <w:lang w:eastAsia="es-ES"/>
        </w:rPr>
        <w:t xml:space="preserve"> del juez del contrato sobre el necesario enteramiento inter partes de lo que desequilibra el contrato en el momento oportuno, por cuanto ha de recordarse que el vicio glosado es fáctico-, sí advierte claramente que en los otros sí y en los adicionales no se dejó salvedad alguna.</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Tampoco es materia tutelar determinar si a los convenios de asociación les es o no aplicable la regulación de los contratos estatales</w:t>
      </w:r>
      <w:r w:rsidRPr="005E4A12">
        <w:rPr>
          <w:rStyle w:val="Refdenotaalpie"/>
          <w:rFonts w:ascii="Arial" w:eastAsia="Times New Roman" w:hAnsi="Arial" w:cs="Arial"/>
          <w:sz w:val="24"/>
          <w:szCs w:val="24"/>
          <w:lang w:eastAsia="es-ES"/>
        </w:rPr>
        <w:footnoteReference w:id="28"/>
      </w:r>
      <w:r w:rsidRPr="005E4A12">
        <w:rPr>
          <w:rFonts w:ascii="Arial" w:eastAsia="Times New Roman" w:hAnsi="Arial" w:cs="Arial"/>
          <w:sz w:val="24"/>
          <w:szCs w:val="24"/>
          <w:lang w:eastAsia="es-ES"/>
        </w:rPr>
        <w:t>, pues parte de la doctrina indica que no y, que por ende, aspectos precontractuales como la preselección o selección objetiva del contratista estatal o aspectos de la ejecución como el equilibrio financiero del contrato e índice A.I.U. son ajenos a la naturaleza que persiguen los convenios de asociación.</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hAnsi="Arial" w:cs="Arial"/>
          <w:sz w:val="24"/>
          <w:szCs w:val="24"/>
          <w:shd w:val="clear" w:color="auto" w:fill="FFFFFF"/>
        </w:rPr>
      </w:pPr>
      <w:r w:rsidRPr="005E4A12">
        <w:rPr>
          <w:rFonts w:ascii="Arial" w:eastAsia="Times New Roman" w:hAnsi="Arial" w:cs="Arial"/>
          <w:sz w:val="24"/>
          <w:szCs w:val="24"/>
          <w:lang w:eastAsia="es-ES"/>
        </w:rPr>
        <w:t>Huelga recordar que el desequilibrio financiero del contrato, como tradicionalmente se conoce frente a los contratos estatales, se concibe como uno de los derechos de los contratistas, en recibir oportunamente la remuneración pactada y a que esta no se altere en su valor intrínseco durante la vigencia del contrato y deviene consecuencialmente que tengan el derecho: “</w:t>
      </w:r>
      <w:r w:rsidRPr="005E4A12">
        <w:rPr>
          <w:rFonts w:ascii="Arial" w:eastAsia="Times New Roman" w:hAnsi="Arial" w:cs="Arial"/>
          <w:i/>
          <w:sz w:val="24"/>
          <w:szCs w:val="24"/>
          <w:lang w:eastAsia="es-ES"/>
        </w:rPr>
        <w:t>...</w:t>
      </w:r>
      <w:r w:rsidRPr="005E4A12">
        <w:rPr>
          <w:rFonts w:ascii="Arial" w:hAnsi="Arial" w:cs="Arial"/>
          <w:i/>
          <w:sz w:val="24"/>
          <w:szCs w:val="24"/>
          <w:shd w:val="clear" w:color="auto" w:fill="FFFFFF"/>
        </w:rPr>
        <w:t>,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w:t>
      </w:r>
      <w:r w:rsidRPr="005E4A12">
        <w:rPr>
          <w:rFonts w:ascii="Arial" w:hAnsi="Arial" w:cs="Arial"/>
          <w:sz w:val="24"/>
          <w:szCs w:val="24"/>
          <w:shd w:val="clear" w:color="auto" w:fill="FFFFFF"/>
        </w:rPr>
        <w:t>” (Ley 80/93). Pero conforme al régimen aplicable al convenio asociativo la cláusula tercera sobre fundamentos legales, no somete este acuerdo a la ley de contratación estatal al indicar “</w:t>
      </w:r>
      <w:r w:rsidRPr="005E4A12">
        <w:rPr>
          <w:rFonts w:ascii="Arial" w:hAnsi="Arial" w:cs="Arial"/>
          <w:i/>
          <w:sz w:val="24"/>
          <w:szCs w:val="24"/>
          <w:shd w:val="clear" w:color="auto" w:fill="FFFFFF"/>
        </w:rPr>
        <w:t>las obligaciones adquiridas en el presente convenio se rigen por las siguientes normas: artículo 51 de la Constitución Nacional, leyes 3ª de 1991, 388 de 1997, Ley 489 de 1998, Ley 812 de 2003 y Decreto 975 de 2004, Resoluciones 966 de 2004 y 1554 de 2005 y demás normas vigentes sobre vivienda de interés social; y artículos 1.602 y ss del Código Civil</w:t>
      </w:r>
      <w:r w:rsidRPr="005E4A12">
        <w:rPr>
          <w:rFonts w:ascii="Arial" w:hAnsi="Arial" w:cs="Arial"/>
          <w:sz w:val="24"/>
          <w:szCs w:val="24"/>
          <w:shd w:val="clear" w:color="auto" w:fill="FFFFFF"/>
        </w:rPr>
        <w:t>”.</w:t>
      </w:r>
    </w:p>
    <w:p w:rsidR="00133748" w:rsidRPr="005E4A12" w:rsidRDefault="00133748" w:rsidP="00133748">
      <w:pPr>
        <w:spacing w:line="276" w:lineRule="auto"/>
        <w:jc w:val="both"/>
        <w:rPr>
          <w:rFonts w:ascii="Arial" w:hAnsi="Arial" w:cs="Arial"/>
          <w:sz w:val="24"/>
          <w:szCs w:val="24"/>
          <w:shd w:val="clear" w:color="auto" w:fill="FFFFFF"/>
        </w:rPr>
      </w:pPr>
    </w:p>
    <w:p w:rsidR="00133748" w:rsidRPr="005E4A12" w:rsidRDefault="00133748" w:rsidP="00133748">
      <w:pPr>
        <w:spacing w:line="276" w:lineRule="auto"/>
        <w:jc w:val="both"/>
        <w:rPr>
          <w:rFonts w:ascii="Arial" w:hAnsi="Arial" w:cs="Arial"/>
          <w:sz w:val="24"/>
          <w:szCs w:val="24"/>
          <w:shd w:val="clear" w:color="auto" w:fill="FFFFFF"/>
        </w:rPr>
      </w:pPr>
      <w:r w:rsidRPr="005E4A12">
        <w:rPr>
          <w:rFonts w:ascii="Arial" w:hAnsi="Arial" w:cs="Arial"/>
          <w:sz w:val="24"/>
          <w:szCs w:val="24"/>
          <w:shd w:val="clear" w:color="auto" w:fill="FFFFFF"/>
        </w:rPr>
        <w:t xml:space="preserve">Lo cierto es que el análisis de la ecuación financiera del contrato se sustenta en un aspecto fáctico temporal, devenido del estudio comparativo, durante la ejecución del contrato, si las nuevas circunstancias exceden las tenidas en cuenta al momento de llevar a efecto práctico el acuerdo de voluntades, debe tratarse de eventos </w:t>
      </w:r>
      <w:r w:rsidRPr="005E4A12">
        <w:rPr>
          <w:rFonts w:ascii="Arial" w:hAnsi="Arial" w:cs="Arial"/>
          <w:sz w:val="24"/>
          <w:szCs w:val="24"/>
          <w:u w:val="single"/>
          <w:shd w:val="clear" w:color="auto" w:fill="FFFFFF"/>
        </w:rPr>
        <w:t>extraordinarios</w:t>
      </w:r>
      <w:r w:rsidRPr="005E4A12">
        <w:rPr>
          <w:rFonts w:ascii="Arial" w:hAnsi="Arial" w:cs="Arial"/>
          <w:sz w:val="24"/>
          <w:szCs w:val="24"/>
          <w:shd w:val="clear" w:color="auto" w:fill="FFFFFF"/>
        </w:rPr>
        <w:t xml:space="preserve"> y de </w:t>
      </w:r>
      <w:r w:rsidRPr="005E4A12">
        <w:rPr>
          <w:rFonts w:ascii="Arial" w:hAnsi="Arial" w:cs="Arial"/>
          <w:sz w:val="24"/>
          <w:szCs w:val="24"/>
          <w:u w:val="single"/>
          <w:shd w:val="clear" w:color="auto" w:fill="FFFFFF"/>
        </w:rPr>
        <w:t>carácter grave</w:t>
      </w:r>
      <w:r w:rsidRPr="005E4A12">
        <w:rPr>
          <w:rFonts w:ascii="Arial" w:hAnsi="Arial" w:cs="Arial"/>
          <w:sz w:val="24"/>
          <w:szCs w:val="24"/>
          <w:shd w:val="clear" w:color="auto" w:fill="FFFFFF"/>
        </w:rPr>
        <w:t xml:space="preserve"> frente al aspecto económico del contrato.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Dentro de sus características, el aspecto extraordinario que debe tener la causa desequilibrante es tal vez el requisito más trascendente, la cual en el caso concreto, fue perdiendo su necesario nivel de anormalidad o de imprevisibilidad, a medida que sucedido en el tiempo, las partes no dejaban salvedades y daban su aceptación al suscribir los acuerdos correctivos, sin dejar anotaciones o salvedades y, continuar con la ejecución del contrato.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hAnsi="Arial" w:cs="Arial"/>
          <w:sz w:val="24"/>
          <w:szCs w:val="24"/>
          <w:shd w:val="clear" w:color="auto" w:fill="FFFFFF"/>
        </w:rPr>
      </w:pPr>
      <w:r w:rsidRPr="005E4A12">
        <w:rPr>
          <w:rFonts w:ascii="Arial" w:hAnsi="Arial" w:cs="Arial"/>
          <w:sz w:val="24"/>
          <w:szCs w:val="24"/>
          <w:shd w:val="clear" w:color="auto" w:fill="FFFFFF"/>
        </w:rPr>
        <w:t>No en vano, la jurisprudencia de la Sección Tercera</w:t>
      </w:r>
      <w:r w:rsidRPr="005E4A12">
        <w:rPr>
          <w:rStyle w:val="Refdenotaalpie"/>
          <w:rFonts w:ascii="Arial" w:hAnsi="Arial" w:cs="Arial"/>
          <w:sz w:val="24"/>
          <w:szCs w:val="24"/>
          <w:shd w:val="clear" w:color="auto" w:fill="FFFFFF"/>
        </w:rPr>
        <w:footnoteReference w:id="29"/>
      </w:r>
      <w:r w:rsidRPr="005E4A12">
        <w:rPr>
          <w:rFonts w:ascii="Arial" w:hAnsi="Arial" w:cs="Arial"/>
          <w:sz w:val="24"/>
          <w:szCs w:val="24"/>
          <w:shd w:val="clear" w:color="auto" w:fill="FFFFFF"/>
        </w:rPr>
        <w:t>, ha clasificado que el desequilibrio del contrato es ajeno a la etapa de celebración contractual o precontractual como podría ser la oferta, entre otras, es decir, solo se analiza dentro del contexto de la ejecución del contrato. Y ya en esta etapa [la de ejecución], para efectos, de predicar la teoría de la imprevisión, advierte la necesaria conducta diligente que deben desplegar las partes contractuales, al indicar:</w:t>
      </w:r>
    </w:p>
    <w:p w:rsidR="00133748" w:rsidRPr="005E4A12" w:rsidRDefault="00133748" w:rsidP="00133748">
      <w:pPr>
        <w:spacing w:line="276" w:lineRule="auto"/>
        <w:ind w:left="567"/>
        <w:jc w:val="both"/>
        <w:rPr>
          <w:rFonts w:ascii="Arial" w:hAnsi="Arial" w:cs="Arial"/>
          <w:sz w:val="24"/>
          <w:szCs w:val="24"/>
          <w:shd w:val="clear" w:color="auto" w:fill="FFFFFF"/>
        </w:rPr>
      </w:pPr>
    </w:p>
    <w:p w:rsidR="00133748" w:rsidRPr="005E4A12" w:rsidRDefault="00133748" w:rsidP="00133748">
      <w:pPr>
        <w:spacing w:line="276" w:lineRule="auto"/>
        <w:ind w:left="567"/>
        <w:jc w:val="both"/>
        <w:rPr>
          <w:rFonts w:ascii="Arial" w:hAnsi="Arial" w:cs="Arial"/>
          <w:sz w:val="24"/>
          <w:szCs w:val="24"/>
          <w:shd w:val="clear" w:color="auto" w:fill="FFFFFF"/>
        </w:rPr>
      </w:pPr>
      <w:r w:rsidRPr="005E4A12">
        <w:rPr>
          <w:rFonts w:ascii="Arial" w:hAnsi="Arial" w:cs="Arial"/>
          <w:sz w:val="24"/>
          <w:szCs w:val="24"/>
          <w:shd w:val="clear" w:color="auto" w:fill="FFFFFF"/>
        </w:rPr>
        <w:t xml:space="preserve">“i) Primer supuesto: sucede un </w:t>
      </w:r>
      <w:r w:rsidRPr="005E4A12">
        <w:rPr>
          <w:rFonts w:ascii="Arial" w:hAnsi="Arial" w:cs="Arial"/>
          <w:sz w:val="24"/>
          <w:szCs w:val="24"/>
          <w:u w:val="single"/>
          <w:shd w:val="clear" w:color="auto" w:fill="FFFFFF"/>
        </w:rPr>
        <w:t>hecho imprevisto, imprevisible o extraordinario que motiva la suscripción de un contrato adicional a un contrato principal</w:t>
      </w:r>
      <w:r w:rsidRPr="005E4A12">
        <w:rPr>
          <w:rFonts w:ascii="Arial" w:hAnsi="Arial" w:cs="Arial"/>
          <w:sz w:val="24"/>
          <w:szCs w:val="24"/>
          <w:shd w:val="clear" w:color="auto" w:fill="FFFFFF"/>
        </w:rPr>
        <w:t>. Vencidos los dos contratos el contratista reclama perjuicios por el hecho imprevisible, que le hizo onerosa la ejecución.</w:t>
      </w:r>
    </w:p>
    <w:p w:rsidR="00133748" w:rsidRPr="005E4A12" w:rsidRDefault="00133748" w:rsidP="00133748">
      <w:pPr>
        <w:spacing w:line="276" w:lineRule="auto"/>
        <w:ind w:left="567"/>
        <w:jc w:val="both"/>
        <w:rPr>
          <w:rFonts w:ascii="Arial" w:hAnsi="Arial" w:cs="Arial"/>
          <w:sz w:val="24"/>
          <w:szCs w:val="24"/>
          <w:shd w:val="clear" w:color="auto" w:fill="FFFFFF"/>
        </w:rPr>
      </w:pPr>
    </w:p>
    <w:p w:rsidR="00133748" w:rsidRPr="005E4A12" w:rsidRDefault="00133748" w:rsidP="00133748">
      <w:pPr>
        <w:spacing w:line="276" w:lineRule="auto"/>
        <w:ind w:left="567"/>
        <w:jc w:val="both"/>
        <w:rPr>
          <w:rFonts w:ascii="Arial" w:hAnsi="Arial" w:cs="Arial"/>
          <w:sz w:val="24"/>
          <w:szCs w:val="24"/>
          <w:shd w:val="clear" w:color="auto" w:fill="FFFFFF"/>
        </w:rPr>
      </w:pPr>
      <w:r w:rsidRPr="005E4A12">
        <w:rPr>
          <w:rFonts w:ascii="Arial" w:hAnsi="Arial" w:cs="Arial"/>
          <w:sz w:val="24"/>
          <w:szCs w:val="24"/>
          <w:shd w:val="clear" w:color="auto" w:fill="FFFFFF"/>
        </w:rPr>
        <w:t xml:space="preserve">(…) enfocados en el primer evento descrito en la </w:t>
      </w:r>
      <w:r w:rsidRPr="005E4A12">
        <w:rPr>
          <w:rFonts w:ascii="Arial" w:hAnsi="Arial" w:cs="Arial"/>
          <w:sz w:val="24"/>
          <w:szCs w:val="24"/>
          <w:u w:val="single"/>
          <w:shd w:val="clear" w:color="auto" w:fill="FFFFFF"/>
        </w:rPr>
        <w:t>teoría de la imprevisión, cuando las partes suscriben un contrato adicional a uno principal para corregir el hecho, suceso o circunstancia imprevisible que afectó el contrato principal, incluyendo en el acuerdo de voluntades los costos de ese suceso, la parte queda exenta de indemnizar, porque la otra conoció antes de suscribir el contrato adicional, la causa del mismo, el objeto, las condiciones y costos que su trabajo generaba, y debió valorarlos para suscribir el nuevo acuerdo. De hecho, el contrato adicional debe incorporar los costos de esa contingencia</w:t>
      </w:r>
      <w:r w:rsidRPr="005E4A12">
        <w:rPr>
          <w:rFonts w:ascii="Arial" w:hAnsi="Arial" w:cs="Arial"/>
          <w:sz w:val="24"/>
          <w:szCs w:val="24"/>
          <w:shd w:val="clear" w:color="auto" w:fill="FFFFFF"/>
        </w:rPr>
        <w:t>, pues constituye la causa del negocio (…).</w:t>
      </w:r>
    </w:p>
    <w:p w:rsidR="00133748" w:rsidRPr="005E4A12" w:rsidRDefault="00133748" w:rsidP="00133748">
      <w:pPr>
        <w:spacing w:line="276" w:lineRule="auto"/>
        <w:ind w:left="567"/>
        <w:jc w:val="both"/>
        <w:rPr>
          <w:rFonts w:ascii="Arial" w:hAnsi="Arial" w:cs="Arial"/>
          <w:sz w:val="24"/>
          <w:szCs w:val="24"/>
          <w:shd w:val="clear" w:color="auto" w:fill="FFFFFF"/>
        </w:rPr>
      </w:pPr>
    </w:p>
    <w:p w:rsidR="00133748" w:rsidRPr="005E4A12" w:rsidRDefault="00133748" w:rsidP="00133748">
      <w:pPr>
        <w:spacing w:line="276" w:lineRule="auto"/>
        <w:ind w:left="567"/>
        <w:jc w:val="both"/>
        <w:rPr>
          <w:rFonts w:ascii="Arial" w:hAnsi="Arial" w:cs="Arial"/>
          <w:sz w:val="24"/>
          <w:szCs w:val="24"/>
          <w:shd w:val="clear" w:color="auto" w:fill="FFFFFF"/>
        </w:rPr>
      </w:pPr>
      <w:r w:rsidRPr="005E4A12">
        <w:rPr>
          <w:rFonts w:ascii="Arial" w:hAnsi="Arial" w:cs="Arial"/>
          <w:sz w:val="24"/>
          <w:szCs w:val="24"/>
          <w:shd w:val="clear" w:color="auto" w:fill="FFFFFF"/>
        </w:rPr>
        <w:t xml:space="preserve">ii) Segundo supuesto: una </w:t>
      </w:r>
      <w:r w:rsidRPr="005E4A12">
        <w:rPr>
          <w:rFonts w:ascii="Arial" w:hAnsi="Arial" w:cs="Arial"/>
          <w:b/>
          <w:sz w:val="24"/>
          <w:szCs w:val="24"/>
          <w:u w:val="single"/>
          <w:shd w:val="clear" w:color="auto" w:fill="FFFFFF"/>
        </w:rPr>
        <w:t>parte incumple sus obligaciones contractuales, y para corregir las consecuencias de sus actos u omisiones se suscribe un contrato adicional, sin que la otra parte deje la salvedad u objeción sobre el impacto que le produjo esa conducta</w:t>
      </w:r>
      <w:r w:rsidRPr="005E4A12">
        <w:rPr>
          <w:rFonts w:ascii="Arial" w:hAnsi="Arial" w:cs="Arial"/>
          <w:sz w:val="24"/>
          <w:szCs w:val="24"/>
          <w:shd w:val="clear" w:color="auto" w:fill="FFFFFF"/>
        </w:rPr>
        <w:t>.</w:t>
      </w:r>
    </w:p>
    <w:p w:rsidR="00133748" w:rsidRPr="005E4A12" w:rsidRDefault="00133748" w:rsidP="00133748">
      <w:pPr>
        <w:spacing w:line="276" w:lineRule="auto"/>
        <w:ind w:left="567"/>
        <w:jc w:val="both"/>
        <w:rPr>
          <w:rFonts w:ascii="Arial" w:hAnsi="Arial" w:cs="Arial"/>
          <w:sz w:val="24"/>
          <w:szCs w:val="24"/>
          <w:shd w:val="clear" w:color="auto" w:fill="FFFFFF"/>
        </w:rPr>
      </w:pPr>
    </w:p>
    <w:p w:rsidR="00133748" w:rsidRPr="005E4A12" w:rsidRDefault="00133748" w:rsidP="00133748">
      <w:pPr>
        <w:spacing w:line="276" w:lineRule="auto"/>
        <w:ind w:left="567"/>
        <w:jc w:val="both"/>
        <w:rPr>
          <w:rFonts w:ascii="Arial" w:hAnsi="Arial" w:cs="Arial"/>
          <w:sz w:val="24"/>
          <w:szCs w:val="24"/>
          <w:shd w:val="clear" w:color="auto" w:fill="FFFFFF"/>
        </w:rPr>
      </w:pPr>
      <w:r w:rsidRPr="005E4A12">
        <w:rPr>
          <w:rFonts w:ascii="Arial" w:hAnsi="Arial" w:cs="Arial"/>
          <w:sz w:val="24"/>
          <w:szCs w:val="24"/>
          <w:shd w:val="clear" w:color="auto" w:fill="FFFFFF"/>
        </w:rPr>
        <w:t xml:space="preserve">En este supuesto </w:t>
      </w:r>
      <w:r w:rsidRPr="005E4A12">
        <w:rPr>
          <w:rFonts w:ascii="Arial" w:hAnsi="Arial" w:cs="Arial"/>
          <w:b/>
          <w:sz w:val="24"/>
          <w:szCs w:val="24"/>
          <w:u w:val="single"/>
          <w:shd w:val="clear" w:color="auto" w:fill="FFFFFF"/>
        </w:rPr>
        <w:t>tampoco procede la indemnización, porque de conformidad con los principios señalados, y en forma concordante con la solución que ofrece la teoría de la imprevisión, la obligación del contratista consiste en informarle al contratante el costo de sus servicios adicionales</w:t>
      </w:r>
      <w:r w:rsidRPr="005E4A12">
        <w:rPr>
          <w:rFonts w:ascii="Arial" w:hAnsi="Arial" w:cs="Arial"/>
          <w:sz w:val="24"/>
          <w:szCs w:val="24"/>
          <w:shd w:val="clear" w:color="auto" w:fill="FFFFFF"/>
        </w:rPr>
        <w:t xml:space="preserve">, de ahí que para cumplir ese deber debe incluir todo concepto que </w:t>
      </w:r>
      <w:r w:rsidRPr="005E4A12">
        <w:rPr>
          <w:rFonts w:ascii="Arial" w:hAnsi="Arial" w:cs="Arial"/>
          <w:sz w:val="24"/>
          <w:szCs w:val="24"/>
          <w:shd w:val="clear" w:color="auto" w:fill="FFFFFF"/>
        </w:rPr>
        <w:lastRenderedPageBreak/>
        <w:t>genere algún costo, porque en eso consiste la previsibilidad exigible en los negocios jurídicos” (destacados fuera de texto).</w:t>
      </w:r>
    </w:p>
    <w:p w:rsidR="00133748" w:rsidRPr="005E4A12" w:rsidRDefault="00133748" w:rsidP="00133748">
      <w:pPr>
        <w:spacing w:line="276" w:lineRule="auto"/>
        <w:jc w:val="both"/>
        <w:rPr>
          <w:rFonts w:ascii="Arial" w:hAnsi="Arial" w:cs="Arial"/>
          <w:sz w:val="24"/>
          <w:szCs w:val="24"/>
          <w:shd w:val="clear" w:color="auto" w:fill="FFFFFF"/>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En el caso, que ocupa la atención de la Sección Quinta, como juez </w:t>
      </w:r>
      <w:r w:rsidRPr="005E4A12">
        <w:rPr>
          <w:rFonts w:ascii="Arial" w:eastAsia="Times New Roman" w:hAnsi="Arial" w:cs="Arial"/>
          <w:i/>
          <w:sz w:val="24"/>
          <w:szCs w:val="24"/>
          <w:lang w:eastAsia="es-ES"/>
        </w:rPr>
        <w:t xml:space="preserve">ad quem </w:t>
      </w:r>
      <w:r w:rsidRPr="005E4A12">
        <w:rPr>
          <w:rFonts w:ascii="Arial" w:eastAsia="Times New Roman" w:hAnsi="Arial" w:cs="Arial"/>
          <w:sz w:val="24"/>
          <w:szCs w:val="24"/>
          <w:lang w:eastAsia="es-ES"/>
        </w:rPr>
        <w:t xml:space="preserve">de tutela, la Sección Tercera, por lo que se lee en la providencia impugnada, no desconoce que se hayan presentado las situaciones que acusa el demandante, pues su </w:t>
      </w:r>
      <w:r w:rsidRPr="005E4A12">
        <w:rPr>
          <w:rFonts w:ascii="Arial" w:eastAsia="Times New Roman" w:hAnsi="Arial" w:cs="Arial"/>
          <w:i/>
          <w:sz w:val="24"/>
          <w:szCs w:val="24"/>
          <w:lang w:eastAsia="es-ES"/>
        </w:rPr>
        <w:t>ratio</w:t>
      </w:r>
      <w:r w:rsidRPr="005E4A12">
        <w:rPr>
          <w:rFonts w:ascii="Arial" w:eastAsia="Times New Roman" w:hAnsi="Arial" w:cs="Arial"/>
          <w:sz w:val="24"/>
          <w:szCs w:val="24"/>
          <w:lang w:eastAsia="es-ES"/>
        </w:rPr>
        <w:t xml:space="preserve"> jurídica se focaliza en que era deber de las partes haberlo dejado consignado en el momento oportuno, que a su juicio, era en el texto de los otro sí o de los demás acuerdos que le permitieron a las partes contractuales continuar con el contrato.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Adentrarse en si las solicitudes presentadas, pero que no quedaron en los acuerdos contractuales de las partes, lejos de ingresar el estudio al cuestionamiento del defecto fáctico por indebida y/o caprichosa valoración de las pruebas, llevaría a que el juez del amparo ingresara </w:t>
      </w:r>
      <w:r w:rsidRPr="005E4A12">
        <w:rPr>
          <w:rFonts w:ascii="Arial" w:eastAsia="Times New Roman" w:hAnsi="Arial" w:cs="Arial"/>
          <w:i/>
          <w:sz w:val="24"/>
          <w:szCs w:val="24"/>
          <w:lang w:eastAsia="es-ES"/>
        </w:rPr>
        <w:t>in judicando</w:t>
      </w:r>
      <w:r w:rsidRPr="005E4A12">
        <w:rPr>
          <w:rFonts w:ascii="Arial" w:eastAsia="Times New Roman" w:hAnsi="Arial" w:cs="Arial"/>
          <w:sz w:val="24"/>
          <w:szCs w:val="24"/>
          <w:lang w:eastAsia="es-ES"/>
        </w:rPr>
        <w:t xml:space="preserve"> o como si se tratara de una instancia a la hermenéutica que utilizó el juez del contrato.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No es alejado de la realidad probatoria, conforme se ha comparado en los medios de convicción específico, que en efecto según lo visto, ni en los “otros sí” ni en los acuerdos correctivos de las irregularidades en la ejecución del contrato, se hizo manifestación alguna, por el contrario sí se guardó silencio y, con ello, las partes reflejaron la conformidad con las circunstancias.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hAnsi="Arial" w:cs="Arial"/>
          <w:sz w:val="24"/>
          <w:szCs w:val="24"/>
          <w:shd w:val="clear" w:color="auto" w:fill="FFFFFF"/>
        </w:rPr>
      </w:pPr>
      <w:r w:rsidRPr="005E4A12">
        <w:rPr>
          <w:rFonts w:ascii="Arial" w:eastAsia="Times New Roman" w:hAnsi="Arial" w:cs="Arial"/>
          <w:sz w:val="24"/>
          <w:szCs w:val="24"/>
          <w:lang w:eastAsia="es-ES"/>
        </w:rPr>
        <w:t xml:space="preserve">Validar el peso que tengan otras solicitudes diferentes a los otros sí y acuerdos correctivos o contratos adicionales sin salvedades, en los términos del requerimiento previo para que la </w:t>
      </w:r>
      <w:r w:rsidRPr="005E4A12">
        <w:rPr>
          <w:rFonts w:ascii="Arial" w:hAnsi="Arial" w:cs="Arial"/>
          <w:sz w:val="24"/>
          <w:szCs w:val="24"/>
          <w:shd w:val="clear" w:color="auto" w:fill="FFFFFF"/>
        </w:rPr>
        <w:t>administración restablezca el equilibrio de la ecuación económica del contrato, excede los límites del operador del amparo, porque la censura en la impugnación se centró en el defecto fáctico soportado en la indebida valoración probatoria y no en el defecto sustantivo devenido de la violación por inaplicación o aplicación indebida de la norma. Aunado a que el convenio asociativo carece de cláusula que hubiera previsto le forma de restablecer la ecuación financiera o económica del convenio.</w:t>
      </w:r>
    </w:p>
    <w:p w:rsidR="00133748" w:rsidRPr="005E4A12" w:rsidRDefault="00133748" w:rsidP="00133748">
      <w:pPr>
        <w:spacing w:line="276" w:lineRule="auto"/>
        <w:jc w:val="both"/>
        <w:rPr>
          <w:rFonts w:ascii="Arial" w:hAnsi="Arial" w:cs="Arial"/>
          <w:sz w:val="24"/>
          <w:szCs w:val="24"/>
          <w:shd w:val="clear" w:color="auto" w:fill="FFFFFF"/>
        </w:rPr>
      </w:pPr>
    </w:p>
    <w:p w:rsidR="00133748" w:rsidRPr="005E4A12" w:rsidRDefault="00133748" w:rsidP="00133748">
      <w:pPr>
        <w:spacing w:line="276" w:lineRule="auto"/>
        <w:jc w:val="both"/>
        <w:rPr>
          <w:rFonts w:ascii="Arial" w:hAnsi="Arial" w:cs="Arial"/>
          <w:sz w:val="24"/>
          <w:szCs w:val="24"/>
          <w:shd w:val="clear" w:color="auto" w:fill="FFFFFF"/>
        </w:rPr>
      </w:pPr>
      <w:r w:rsidRPr="005E4A12">
        <w:rPr>
          <w:rFonts w:ascii="Arial" w:hAnsi="Arial" w:cs="Arial"/>
          <w:sz w:val="24"/>
          <w:szCs w:val="24"/>
          <w:shd w:val="clear" w:color="auto" w:fill="FFFFFF"/>
        </w:rPr>
        <w:t>En este punto se hace claridad en que la experticia tuvo como finalidad establecer el quantum de la posible indemnización, pero el perito no es el llamado a determinar si hubo o no desequilibrio, pues ello es potestad del juez de la causa contractual, que como se indicó consideró que un aspecto sustancial, materializado en la falta de manifestación de salvedades, impedía reputar el desequilibrio económico por situaciones imprevisibles, anormales o extraordinarias. Es decir, que ante la carencia de presupuestos sustanciales para la reclamación del desequilibrio financiero del contrato, es inane la evaluación del quantum, pues este cobra toda validez, siempre y cuando, se tenga el derecho a la decisión declarativa, en este caso, el rompimiento del equilibrio del acuerdo de voluntades.</w:t>
      </w:r>
    </w:p>
    <w:p w:rsidR="00133748" w:rsidRPr="005E4A12" w:rsidRDefault="00133748" w:rsidP="00133748">
      <w:pPr>
        <w:spacing w:line="276" w:lineRule="auto"/>
        <w:jc w:val="both"/>
        <w:rPr>
          <w:rFonts w:ascii="Arial" w:hAnsi="Arial" w:cs="Arial"/>
          <w:sz w:val="24"/>
          <w:szCs w:val="24"/>
          <w:shd w:val="clear" w:color="auto" w:fill="FFFFFF"/>
        </w:rPr>
      </w:pPr>
    </w:p>
    <w:p w:rsidR="00133748" w:rsidRPr="005E4A12" w:rsidRDefault="00133748" w:rsidP="00133748">
      <w:pPr>
        <w:spacing w:line="276" w:lineRule="auto"/>
        <w:jc w:val="both"/>
        <w:rPr>
          <w:rFonts w:ascii="Arial" w:hAnsi="Arial" w:cs="Arial"/>
          <w:sz w:val="24"/>
          <w:szCs w:val="24"/>
          <w:shd w:val="clear" w:color="auto" w:fill="FFFFFF"/>
        </w:rPr>
      </w:pPr>
      <w:r w:rsidRPr="005E4A12">
        <w:rPr>
          <w:rFonts w:ascii="Arial" w:hAnsi="Arial" w:cs="Arial"/>
          <w:sz w:val="24"/>
          <w:szCs w:val="24"/>
          <w:shd w:val="clear" w:color="auto" w:fill="FFFFFF"/>
        </w:rPr>
        <w:t xml:space="preserve">Finalmente, en cuanto a los sobrecostos, situación similar bajo la égida del desequilibrio económico del contrato se reputa ante la reclamación inoportuna. A más que conforme con las fechas del convenio y su prórroga del plazo, este abarcó la vigencia inicial de 24 meses (cláusula 9) contados desde la firma -7 de febrero de </w:t>
      </w:r>
      <w:r w:rsidRPr="005E4A12">
        <w:rPr>
          <w:rFonts w:ascii="Arial" w:hAnsi="Arial" w:cs="Arial"/>
          <w:sz w:val="24"/>
          <w:szCs w:val="24"/>
          <w:shd w:val="clear" w:color="auto" w:fill="FFFFFF"/>
        </w:rPr>
        <w:lastRenderedPageBreak/>
        <w:t xml:space="preserve">2007- y la aprobación de las de las pólizas a cargo del contratista (cláusula 11) y que fue ampliada por 12 meses más el 1º de febrero de 2009, es decir, iría hasta febrero de 2010, con lo cual las obras debían continuar, por lo menos a febrero, pues se estaba en vigencia del contrato.  </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FF25DE">
      <w:pPr>
        <w:spacing w:line="276" w:lineRule="auto"/>
        <w:ind w:left="708" w:hanging="708"/>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Emerge la realidad del análisis probatorio del juez contractual y es que al concatenarlas cronológicamente, se advierte que en efecto, el contratista no dejó en los momentos oportunos las salvedades contractuales sobre las situaciones que consideraban iban en desmedro suyo.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Se limitó a firmar otros sí de plazo y de obras adicionales, sin considerar o por lo menos dejar constancia de su disconformidad con los aspectos de la ejecución. Lo cierto es que manifestarlo por peticiones o solicitudes, sin que ello conste en el acuerdo inter partes, lo desdibuja de la posibilidad de ingresar en el contenido de la figura del desequilibrio del contrato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Como claramente lo encontró corroborado con el sinnúmero de pruebas la Sección Tercera del Consejo de Estado. A diferencia de la acusación del error de hecho por el tutelante, la </w:t>
      </w:r>
      <w:r w:rsidRPr="005E4A12">
        <w:rPr>
          <w:rFonts w:ascii="Arial" w:eastAsia="Times New Roman" w:hAnsi="Arial" w:cs="Arial"/>
          <w:i/>
          <w:sz w:val="24"/>
          <w:szCs w:val="24"/>
          <w:lang w:eastAsia="es-ES"/>
        </w:rPr>
        <w:t xml:space="preserve">ratio </w:t>
      </w:r>
      <w:r w:rsidRPr="005E4A12">
        <w:rPr>
          <w:rFonts w:ascii="Arial" w:eastAsia="Times New Roman" w:hAnsi="Arial" w:cs="Arial"/>
          <w:sz w:val="24"/>
          <w:szCs w:val="24"/>
          <w:lang w:eastAsia="es-ES"/>
        </w:rPr>
        <w:t>que tuvo el operador de la controversia contractual fue el panorama amplio del acervo probatorio. Nótese que la denegatoria de la pretensión atinente al rompimiento de la ecuación financiera del contrato recae únicamente en la extemporaneidad de las glosas o disconformidades que el contratista dejó pasar en el momento exacto donde debían quedar plasmadas.</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 xml:space="preserve">De tal suerte que la finalidad del juez </w:t>
      </w:r>
      <w:r w:rsidRPr="005E4A12">
        <w:rPr>
          <w:rFonts w:ascii="Arial" w:eastAsia="Times New Roman" w:hAnsi="Arial" w:cs="Arial"/>
          <w:i/>
          <w:sz w:val="24"/>
          <w:szCs w:val="24"/>
          <w:lang w:eastAsia="es-ES"/>
        </w:rPr>
        <w:t>ad quem</w:t>
      </w:r>
      <w:r w:rsidRPr="005E4A12">
        <w:rPr>
          <w:rFonts w:ascii="Arial" w:eastAsia="Times New Roman" w:hAnsi="Arial" w:cs="Arial"/>
          <w:sz w:val="24"/>
          <w:szCs w:val="24"/>
          <w:lang w:eastAsia="es-ES"/>
        </w:rPr>
        <w:t xml:space="preserve"> de esta tutela es hacerle notar al tutelante que ni la Sección Cuarta como juez de primera instancia del amparo ni la Sección Tercera como juez de la controversia contractual fueron arbitrarios o no tuvieron en cuenta las probanzas que el tutelante hubiera querido fueran la prueba fundamental de la decisión, pero los jueces fallan con toda la comunidad probatoria, a fin de que la verdad jurídica emerja y, en esta oportunidad, no fueron observados los presupuestos que hacen viable el logro de poder lograr el restablecimiento financiero o económico del contrato.</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numPr>
          <w:ilvl w:val="0"/>
          <w:numId w:val="15"/>
        </w:numPr>
        <w:spacing w:line="276" w:lineRule="auto"/>
        <w:jc w:val="both"/>
        <w:rPr>
          <w:rFonts w:ascii="Arial" w:eastAsia="Times New Roman" w:hAnsi="Arial" w:cs="Arial"/>
          <w:b/>
          <w:sz w:val="24"/>
          <w:szCs w:val="24"/>
          <w:lang w:eastAsia="es-ES"/>
        </w:rPr>
      </w:pPr>
      <w:r w:rsidRPr="005E4A12">
        <w:rPr>
          <w:rFonts w:ascii="Arial" w:eastAsia="Times New Roman" w:hAnsi="Arial" w:cs="Arial"/>
          <w:b/>
          <w:sz w:val="24"/>
          <w:szCs w:val="24"/>
          <w:lang w:eastAsia="es-ES"/>
        </w:rPr>
        <w:t>Reajuste del precio contrato por incremento de los subsidios de vivienda en razón al incremento del s.m.m.l.v.</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La Sección Quinta observa que dentro de las decisiones que fueron favorables al contratista, con cargo al incumplimiento contractual de la entidad contratante, la sentencia accionada e impugnada por error fáctico, tuvo en cuenta el subsidio familiar previsto en el contrato (véase cláusula 6ª “Recursos de los proyectos”) y se rigió por la pretensión del actor, valor que luego indexó mediante la fórmula empleada tradicionalmente por la jurisprudencia mediante aplicación del IPC.</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sz w:val="24"/>
          <w:szCs w:val="24"/>
          <w:lang w:eastAsia="es-ES"/>
        </w:rPr>
        <w:t>Así las cosas, no se advierte la indebida valoración probatoria que acusa el actor.</w:t>
      </w:r>
    </w:p>
    <w:p w:rsidR="00133748" w:rsidRPr="005E4A12" w:rsidRDefault="00133748" w:rsidP="00133748">
      <w:pPr>
        <w:spacing w:line="276" w:lineRule="auto"/>
        <w:jc w:val="both"/>
        <w:rPr>
          <w:rFonts w:ascii="Arial" w:eastAsia="Times New Roman" w:hAnsi="Arial" w:cs="Arial"/>
          <w:sz w:val="24"/>
          <w:szCs w:val="24"/>
          <w:lang w:eastAsia="es-ES"/>
        </w:rPr>
      </w:pPr>
    </w:p>
    <w:p w:rsidR="00133748" w:rsidRPr="005E4A12" w:rsidRDefault="00133748" w:rsidP="00133748">
      <w:pPr>
        <w:numPr>
          <w:ilvl w:val="0"/>
          <w:numId w:val="15"/>
        </w:num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_tradnl" w:eastAsia="es-ES"/>
        </w:rPr>
        <w:t>Reconocimiento de la expectativa de utilidad sobre las 280 viviendas que faltaron por construir</w:t>
      </w:r>
      <w:r w:rsidRPr="005E4A12">
        <w:rPr>
          <w:rFonts w:ascii="Arial" w:eastAsia="Times New Roman" w:hAnsi="Arial" w:cs="Arial"/>
          <w:sz w:val="24"/>
          <w:szCs w:val="24"/>
          <w:lang w:val="es-ES_tradnl" w:eastAsia="es-ES"/>
        </w:rPr>
        <w:t xml:space="preserve"> debido al incumplimiento atribuible a la </w:t>
      </w:r>
      <w:r w:rsidRPr="005E4A12">
        <w:rPr>
          <w:rFonts w:ascii="Arial" w:eastAsia="Times New Roman" w:hAnsi="Arial" w:cs="Arial"/>
          <w:sz w:val="24"/>
          <w:szCs w:val="24"/>
          <w:lang w:val="es-ES_tradnl" w:eastAsia="es-ES"/>
        </w:rPr>
        <w:lastRenderedPageBreak/>
        <w:t xml:space="preserve">GESTORA URBANA y al MUNICIPIO DE IBAGUÉ quienes no legalizaron ni entregaros al contratista los lotes para las construcciones contratadas. </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Tradicionalmente el A.I.U o índice de administración, imprevistos o utilidad debe ser pactado en el contrato, frente al cual se está predicando su aplicación, pero la Sección Quinta no advierte que tal cláusula o determinación contractual esté presente en el convenio asociativo 002 de 2007 -independientemente de su posibilidad de estar incluida en convenios asociativos, que como se explicó antes, no es tema de discusión para el juez de la impugnación de la negativa del amparo- lo cual impide asumir dentro del espectro del defecto fáctico, la valoración indebida de las probanzas de cara a esta pretensión.</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sz w:val="24"/>
          <w:szCs w:val="24"/>
          <w:lang w:val="es-ES_tradnl" w:eastAsia="es-ES"/>
        </w:rPr>
        <w:t>Si bien es claro que en el contrato se pactó la construcción de 2.026 casas, finalmente se construyeron 1.746, no se observa que en alguna de las piezas probatorias, el índice A.I.U haya sido acordado por las partes contractuales. Y siendo el aspecto fáctico, el yerro contra el cual es censura la sentencia impugnada, mal podría el juez de tutela, afirmar un aspecto que es propio de la instancia.</w:t>
      </w:r>
    </w:p>
    <w:p w:rsidR="00133748" w:rsidRPr="005E4A12" w:rsidRDefault="00133748" w:rsidP="00133748">
      <w:pPr>
        <w:spacing w:line="276" w:lineRule="auto"/>
        <w:jc w:val="both"/>
        <w:rPr>
          <w:rFonts w:ascii="Arial" w:eastAsia="Times New Roman" w:hAnsi="Arial" w:cs="Arial"/>
          <w:sz w:val="24"/>
          <w:szCs w:val="24"/>
          <w:lang w:val="es-ES_tradnl" w:eastAsia="es-ES"/>
        </w:rPr>
      </w:pPr>
    </w:p>
    <w:p w:rsidR="00133748" w:rsidRPr="005E4A12" w:rsidRDefault="00133748" w:rsidP="00133748">
      <w:pPr>
        <w:spacing w:line="276" w:lineRule="auto"/>
        <w:jc w:val="both"/>
        <w:rPr>
          <w:rFonts w:ascii="Arial" w:eastAsia="Times New Roman" w:hAnsi="Arial" w:cs="Arial"/>
          <w:sz w:val="24"/>
          <w:szCs w:val="24"/>
          <w:lang w:val="es-MX" w:eastAsia="es-ES"/>
        </w:rPr>
      </w:pPr>
      <w:r w:rsidRPr="005E4A12">
        <w:rPr>
          <w:rFonts w:ascii="Arial" w:eastAsia="Times New Roman" w:hAnsi="Arial" w:cs="Arial"/>
          <w:sz w:val="24"/>
          <w:szCs w:val="24"/>
          <w:lang w:val="es-MX" w:eastAsia="es-ES"/>
        </w:rPr>
        <w:t xml:space="preserve">Por todo lo anterior, la Sección Quinta, no encuentra que la decisión de la Sección Cuarta, como juez </w:t>
      </w:r>
      <w:r w:rsidRPr="005E4A12">
        <w:rPr>
          <w:rFonts w:ascii="Arial" w:eastAsia="Times New Roman" w:hAnsi="Arial" w:cs="Arial"/>
          <w:i/>
          <w:sz w:val="24"/>
          <w:szCs w:val="24"/>
          <w:lang w:val="es-MX" w:eastAsia="es-ES"/>
        </w:rPr>
        <w:t xml:space="preserve">a quo </w:t>
      </w:r>
      <w:r w:rsidRPr="005E4A12">
        <w:rPr>
          <w:rFonts w:ascii="Arial" w:eastAsia="Times New Roman" w:hAnsi="Arial" w:cs="Arial"/>
          <w:sz w:val="24"/>
          <w:szCs w:val="24"/>
          <w:lang w:val="es-MX" w:eastAsia="es-ES"/>
        </w:rPr>
        <w:t>del amparo haya sido carente de motivación o caprichosa en su decisión, y tampoco que la Sección Tercera haya incurrido en los defectos sustantivos y fácticos atribuidos por el tutelante a la decisión que dirimió la controversia contractual, razón por la cual la sentencia apelada se confirmará.</w:t>
      </w:r>
    </w:p>
    <w:p w:rsidR="00133748" w:rsidRPr="005E4A12" w:rsidRDefault="00133748" w:rsidP="00133748">
      <w:pPr>
        <w:spacing w:line="276" w:lineRule="auto"/>
        <w:jc w:val="both"/>
        <w:rPr>
          <w:rFonts w:ascii="Arial" w:eastAsia="Times New Roman" w:hAnsi="Arial" w:cs="Arial"/>
          <w:sz w:val="24"/>
          <w:szCs w:val="24"/>
          <w:lang w:val="es-MX" w:eastAsia="es-ES"/>
        </w:rPr>
      </w:pPr>
    </w:p>
    <w:p w:rsidR="00133748" w:rsidRPr="005E4A12" w:rsidRDefault="00133748" w:rsidP="00133748">
      <w:pPr>
        <w:spacing w:line="276" w:lineRule="auto"/>
        <w:jc w:val="both"/>
        <w:rPr>
          <w:rFonts w:ascii="Arial" w:eastAsia="Times New Roman" w:hAnsi="Arial" w:cs="Arial"/>
          <w:sz w:val="24"/>
          <w:szCs w:val="24"/>
          <w:lang w:val="es-MX" w:eastAsia="es-ES"/>
        </w:rPr>
      </w:pPr>
      <w:r w:rsidRPr="005E4A12">
        <w:rPr>
          <w:rFonts w:ascii="Arial" w:eastAsia="Times New Roman" w:hAnsi="Arial" w:cs="Arial"/>
          <w:sz w:val="24"/>
          <w:szCs w:val="24"/>
          <w:lang w:val="es-MX" w:eastAsia="es-ES"/>
        </w:rPr>
        <w:t>En mérito de lo expuesto, el Consejo de Estado, Sala de lo Contencioso Administrativo, Sección Quinta, administrando justicia en nombre de la República y por autoridad de la Ley,</w:t>
      </w:r>
    </w:p>
    <w:p w:rsidR="00133748" w:rsidRPr="005E4A12" w:rsidRDefault="00133748" w:rsidP="00133748">
      <w:pPr>
        <w:spacing w:line="276" w:lineRule="auto"/>
        <w:jc w:val="center"/>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FALLA:</w:t>
      </w:r>
    </w:p>
    <w:p w:rsidR="00133748" w:rsidRPr="005E4A12" w:rsidRDefault="00133748" w:rsidP="00133748">
      <w:pPr>
        <w:spacing w:line="276" w:lineRule="auto"/>
        <w:jc w:val="center"/>
        <w:rPr>
          <w:rFonts w:ascii="Arial" w:eastAsia="Times New Roman" w:hAnsi="Arial" w:cs="Arial"/>
          <w:b/>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eastAsia="es-ES"/>
        </w:rPr>
      </w:pPr>
      <w:r w:rsidRPr="005E4A12">
        <w:rPr>
          <w:rFonts w:ascii="Arial" w:eastAsia="Times New Roman" w:hAnsi="Arial" w:cs="Arial"/>
          <w:b/>
          <w:sz w:val="24"/>
          <w:szCs w:val="24"/>
          <w:lang w:val="es-ES" w:eastAsia="es-ES"/>
        </w:rPr>
        <w:t xml:space="preserve">PRIMERO: CONFIRMAR </w:t>
      </w:r>
      <w:r w:rsidRPr="005E4A12">
        <w:rPr>
          <w:rFonts w:ascii="Arial" w:eastAsia="Times New Roman" w:hAnsi="Arial" w:cs="Arial"/>
          <w:sz w:val="24"/>
          <w:szCs w:val="24"/>
          <w:lang w:val="es-ES_tradnl" w:eastAsia="es-ES"/>
        </w:rPr>
        <w:t>la sentencia proferida el de 3 de octubre de 2016 por la Sección Cuarta del Consejo del Estado, de conformidad con la parte motiva de la presente decisión.</w:t>
      </w:r>
    </w:p>
    <w:p w:rsidR="00133748" w:rsidRPr="005E4A12" w:rsidRDefault="00133748" w:rsidP="00133748">
      <w:pPr>
        <w:spacing w:line="276" w:lineRule="auto"/>
        <w:jc w:val="both"/>
        <w:rPr>
          <w:rFonts w:ascii="Arial" w:eastAsia="Times New Roman" w:hAnsi="Arial" w:cs="Arial"/>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 w:eastAsia="es-ES"/>
        </w:rPr>
      </w:pPr>
      <w:r w:rsidRPr="005E4A12">
        <w:rPr>
          <w:rFonts w:ascii="Arial" w:eastAsia="Times New Roman" w:hAnsi="Arial" w:cs="Arial"/>
          <w:b/>
          <w:sz w:val="24"/>
          <w:szCs w:val="24"/>
          <w:lang w:val="es-ES" w:eastAsia="es-ES"/>
        </w:rPr>
        <w:t xml:space="preserve">SEGUNDO: Devolver </w:t>
      </w:r>
      <w:r w:rsidRPr="005E4A12">
        <w:rPr>
          <w:rFonts w:ascii="Arial" w:eastAsia="Times New Roman" w:hAnsi="Arial" w:cs="Arial"/>
          <w:sz w:val="24"/>
          <w:szCs w:val="24"/>
          <w:lang w:val="es-ES" w:eastAsia="es-ES"/>
        </w:rPr>
        <w:t>el expediente allegado en calidad de préstamo.</w:t>
      </w:r>
    </w:p>
    <w:p w:rsidR="00133748" w:rsidRPr="005E4A12" w:rsidRDefault="00133748" w:rsidP="00133748">
      <w:pPr>
        <w:spacing w:line="276" w:lineRule="auto"/>
        <w:jc w:val="both"/>
        <w:rPr>
          <w:rFonts w:ascii="Arial" w:eastAsia="Times New Roman" w:hAnsi="Arial" w:cs="Arial"/>
          <w:b/>
          <w:sz w:val="24"/>
          <w:szCs w:val="24"/>
          <w:lang w:val="es-ES" w:eastAsia="es-ES"/>
        </w:rPr>
      </w:pPr>
    </w:p>
    <w:p w:rsidR="00133748" w:rsidRPr="005E4A12" w:rsidRDefault="00133748" w:rsidP="00133748">
      <w:pPr>
        <w:spacing w:line="276" w:lineRule="auto"/>
        <w:jc w:val="both"/>
        <w:rPr>
          <w:rFonts w:ascii="Arial" w:eastAsia="Times New Roman" w:hAnsi="Arial" w:cs="Arial"/>
          <w:sz w:val="24"/>
          <w:szCs w:val="24"/>
          <w:lang w:val="es-ES_tradnl" w:eastAsia="es-ES"/>
        </w:rPr>
      </w:pPr>
      <w:r w:rsidRPr="005E4A12">
        <w:rPr>
          <w:rFonts w:ascii="Arial" w:eastAsia="Times New Roman" w:hAnsi="Arial" w:cs="Arial"/>
          <w:b/>
          <w:sz w:val="24"/>
          <w:szCs w:val="24"/>
          <w:lang w:val="es-ES" w:eastAsia="es-ES"/>
        </w:rPr>
        <w:t xml:space="preserve">TERCERO: </w:t>
      </w:r>
      <w:r w:rsidRPr="005E4A12">
        <w:rPr>
          <w:rFonts w:ascii="Arial" w:eastAsia="Times New Roman" w:hAnsi="Arial" w:cs="Arial"/>
          <w:b/>
          <w:sz w:val="24"/>
          <w:szCs w:val="24"/>
          <w:lang w:val="es-ES_tradnl" w:eastAsia="es-ES"/>
        </w:rPr>
        <w:t>Enviar</w:t>
      </w:r>
      <w:r w:rsidRPr="005E4A12">
        <w:rPr>
          <w:rFonts w:ascii="Arial" w:eastAsia="Times New Roman" w:hAnsi="Arial" w:cs="Arial"/>
          <w:sz w:val="24"/>
          <w:szCs w:val="24"/>
          <w:lang w:val="es-ES_tradnl" w:eastAsia="es-ES"/>
        </w:rPr>
        <w:t xml:space="preserve"> el expediente a la Corte Constitucional para su eventual revisión, de conformidad con lo establecido por el artículo 32 del Decreto No. 2591 de 1991.</w:t>
      </w:r>
    </w:p>
    <w:p w:rsidR="00133748" w:rsidRPr="005E4A12" w:rsidRDefault="00133748" w:rsidP="00133748">
      <w:pPr>
        <w:spacing w:line="276" w:lineRule="auto"/>
        <w:jc w:val="both"/>
        <w:rPr>
          <w:rFonts w:ascii="Arial" w:eastAsia="Times New Roman" w:hAnsi="Arial" w:cs="Arial"/>
          <w:b/>
          <w:sz w:val="24"/>
          <w:szCs w:val="24"/>
          <w:lang w:val="es-ES" w:eastAsia="es-ES"/>
        </w:rPr>
      </w:pPr>
    </w:p>
    <w:p w:rsidR="00133748" w:rsidRPr="005E4A12" w:rsidRDefault="00133748" w:rsidP="00133748">
      <w:pPr>
        <w:spacing w:line="276" w:lineRule="auto"/>
        <w:jc w:val="both"/>
        <w:rPr>
          <w:rFonts w:ascii="Arial" w:eastAsia="Times New Roman" w:hAnsi="Arial" w:cs="Arial"/>
          <w:b/>
          <w:sz w:val="24"/>
          <w:szCs w:val="24"/>
          <w:lang w:val="es-ES" w:eastAsia="es-ES"/>
        </w:rPr>
      </w:pPr>
      <w:r w:rsidRPr="005E4A12">
        <w:rPr>
          <w:rFonts w:ascii="Arial" w:eastAsia="Times New Roman" w:hAnsi="Arial" w:cs="Arial"/>
          <w:b/>
          <w:sz w:val="24"/>
          <w:szCs w:val="24"/>
          <w:lang w:val="es-ES" w:eastAsia="es-ES"/>
        </w:rPr>
        <w:t>NOTIFÍQUESE Y CÚMPLASE.</w:t>
      </w:r>
    </w:p>
    <w:p w:rsidR="00133748" w:rsidRPr="005E4A12" w:rsidRDefault="00133748" w:rsidP="003D2150">
      <w:pPr>
        <w:jc w:val="center"/>
        <w:rPr>
          <w:rFonts w:ascii="Arial" w:eastAsia="Times New Roman" w:hAnsi="Arial" w:cs="Arial"/>
          <w:b/>
          <w:sz w:val="24"/>
          <w:szCs w:val="24"/>
          <w:lang w:val="es-ES" w:eastAsia="es-ES"/>
        </w:rPr>
      </w:pPr>
    </w:p>
    <w:p w:rsidR="00133748" w:rsidRPr="005E4A12" w:rsidRDefault="00133748" w:rsidP="003D2150">
      <w:pPr>
        <w:jc w:val="center"/>
        <w:rPr>
          <w:rFonts w:ascii="Arial" w:eastAsia="Times New Roman" w:hAnsi="Arial" w:cs="Arial"/>
          <w:b/>
          <w:sz w:val="24"/>
          <w:szCs w:val="24"/>
          <w:lang w:val="es-ES" w:eastAsia="es-ES"/>
        </w:rPr>
      </w:pPr>
    </w:p>
    <w:p w:rsidR="00133748" w:rsidRPr="005E4A12" w:rsidRDefault="00133748" w:rsidP="003D2150">
      <w:pPr>
        <w:jc w:val="center"/>
        <w:rPr>
          <w:rFonts w:ascii="Arial" w:eastAsia="Times New Roman" w:hAnsi="Arial" w:cs="Arial"/>
          <w:b/>
          <w:bCs/>
          <w:sz w:val="24"/>
          <w:szCs w:val="24"/>
          <w:lang w:eastAsia="es-ES"/>
        </w:rPr>
      </w:pPr>
    </w:p>
    <w:p w:rsidR="00133748" w:rsidRPr="005E4A12" w:rsidRDefault="00133748" w:rsidP="003D2150">
      <w:pPr>
        <w:jc w:val="center"/>
        <w:rPr>
          <w:rFonts w:ascii="Arial" w:eastAsia="Times New Roman" w:hAnsi="Arial" w:cs="Arial"/>
          <w:b/>
          <w:bCs/>
          <w:sz w:val="24"/>
          <w:szCs w:val="24"/>
          <w:lang w:eastAsia="es-ES"/>
        </w:rPr>
      </w:pPr>
      <w:r w:rsidRPr="005E4A12">
        <w:rPr>
          <w:rFonts w:ascii="Arial" w:eastAsia="Times New Roman" w:hAnsi="Arial" w:cs="Arial"/>
          <w:b/>
          <w:bCs/>
          <w:sz w:val="24"/>
          <w:szCs w:val="24"/>
          <w:lang w:eastAsia="es-ES"/>
        </w:rPr>
        <w:t>CARLOS ENRIQUE MORENO RUBIO</w:t>
      </w:r>
    </w:p>
    <w:p w:rsidR="00133748" w:rsidRPr="005E4A12" w:rsidRDefault="00133748" w:rsidP="003D2150">
      <w:pPr>
        <w:jc w:val="center"/>
        <w:rPr>
          <w:rFonts w:ascii="Arial" w:eastAsia="Times New Roman" w:hAnsi="Arial" w:cs="Arial"/>
          <w:b/>
          <w:bCs/>
          <w:sz w:val="24"/>
          <w:szCs w:val="24"/>
          <w:lang w:eastAsia="es-ES"/>
        </w:rPr>
      </w:pPr>
      <w:r w:rsidRPr="005E4A12">
        <w:rPr>
          <w:rFonts w:ascii="Arial" w:eastAsia="Times New Roman" w:hAnsi="Arial" w:cs="Arial"/>
          <w:b/>
          <w:bCs/>
          <w:sz w:val="24"/>
          <w:szCs w:val="24"/>
          <w:lang w:eastAsia="es-ES"/>
        </w:rPr>
        <w:t>Presidente</w:t>
      </w:r>
    </w:p>
    <w:p w:rsidR="00133748" w:rsidRPr="005E4A12" w:rsidRDefault="00133748" w:rsidP="003D2150">
      <w:pPr>
        <w:jc w:val="center"/>
        <w:rPr>
          <w:rFonts w:ascii="Arial" w:eastAsia="Times New Roman" w:hAnsi="Arial" w:cs="Arial"/>
          <w:b/>
          <w:bCs/>
          <w:sz w:val="24"/>
          <w:szCs w:val="24"/>
          <w:lang w:eastAsia="es-ES"/>
        </w:rPr>
      </w:pPr>
    </w:p>
    <w:p w:rsidR="00133748" w:rsidRPr="005E4A12" w:rsidRDefault="00133748" w:rsidP="003D2150">
      <w:pPr>
        <w:jc w:val="center"/>
        <w:rPr>
          <w:rFonts w:ascii="Arial" w:eastAsia="Times New Roman" w:hAnsi="Arial" w:cs="Arial"/>
          <w:b/>
          <w:bCs/>
          <w:sz w:val="24"/>
          <w:szCs w:val="24"/>
          <w:lang w:eastAsia="es-ES"/>
        </w:rPr>
      </w:pPr>
    </w:p>
    <w:p w:rsidR="00133748" w:rsidRPr="005E4A12" w:rsidRDefault="00133748" w:rsidP="003D2150">
      <w:pPr>
        <w:jc w:val="center"/>
        <w:rPr>
          <w:rFonts w:ascii="Arial" w:eastAsia="Times New Roman" w:hAnsi="Arial" w:cs="Arial"/>
          <w:b/>
          <w:bCs/>
          <w:sz w:val="24"/>
          <w:szCs w:val="24"/>
          <w:lang w:eastAsia="es-ES"/>
        </w:rPr>
      </w:pPr>
    </w:p>
    <w:p w:rsidR="00133748" w:rsidRPr="005E4A12" w:rsidRDefault="00133748" w:rsidP="003D2150">
      <w:pPr>
        <w:jc w:val="center"/>
        <w:rPr>
          <w:rFonts w:ascii="Arial" w:eastAsia="Times New Roman" w:hAnsi="Arial" w:cs="Arial"/>
          <w:b/>
          <w:bCs/>
          <w:sz w:val="24"/>
          <w:szCs w:val="24"/>
          <w:lang w:eastAsia="es-ES"/>
        </w:rPr>
      </w:pPr>
      <w:r w:rsidRPr="005E4A12">
        <w:rPr>
          <w:rFonts w:ascii="Arial" w:eastAsia="Times New Roman" w:hAnsi="Arial" w:cs="Arial"/>
          <w:b/>
          <w:bCs/>
          <w:sz w:val="24"/>
          <w:szCs w:val="24"/>
          <w:lang w:eastAsia="es-ES"/>
        </w:rPr>
        <w:t>ROCÍO ARAUJO OÑATE</w:t>
      </w:r>
    </w:p>
    <w:p w:rsidR="00133748" w:rsidRPr="005E4A12" w:rsidRDefault="00133748" w:rsidP="003D2150">
      <w:pPr>
        <w:jc w:val="center"/>
        <w:rPr>
          <w:rFonts w:ascii="Arial" w:eastAsia="Times New Roman" w:hAnsi="Arial" w:cs="Arial"/>
          <w:b/>
          <w:bCs/>
          <w:sz w:val="24"/>
          <w:szCs w:val="24"/>
          <w:lang w:eastAsia="es-ES"/>
        </w:rPr>
      </w:pPr>
      <w:r w:rsidRPr="005E4A12">
        <w:rPr>
          <w:rFonts w:ascii="Arial" w:eastAsia="Times New Roman" w:hAnsi="Arial" w:cs="Arial"/>
          <w:b/>
          <w:bCs/>
          <w:sz w:val="24"/>
          <w:szCs w:val="24"/>
          <w:lang w:eastAsia="es-ES"/>
        </w:rPr>
        <w:lastRenderedPageBreak/>
        <w:t>Consejera</w:t>
      </w:r>
    </w:p>
    <w:p w:rsidR="00133748" w:rsidRPr="005E4A12" w:rsidRDefault="00133748" w:rsidP="003D2150">
      <w:pPr>
        <w:jc w:val="center"/>
        <w:rPr>
          <w:rFonts w:ascii="Arial" w:eastAsia="Times New Roman" w:hAnsi="Arial" w:cs="Arial"/>
          <w:bCs/>
          <w:sz w:val="24"/>
          <w:szCs w:val="24"/>
          <w:lang w:eastAsia="es-ES"/>
        </w:rPr>
      </w:pPr>
    </w:p>
    <w:p w:rsidR="00133748" w:rsidRPr="005E4A12" w:rsidRDefault="00133748" w:rsidP="003D2150">
      <w:pPr>
        <w:jc w:val="center"/>
        <w:rPr>
          <w:rFonts w:ascii="Arial" w:eastAsia="Times New Roman" w:hAnsi="Arial" w:cs="Arial"/>
          <w:bCs/>
          <w:sz w:val="24"/>
          <w:szCs w:val="24"/>
          <w:lang w:eastAsia="es-ES"/>
        </w:rPr>
      </w:pPr>
    </w:p>
    <w:p w:rsidR="00133748" w:rsidRPr="005E4A12" w:rsidRDefault="00133748" w:rsidP="003D2150">
      <w:pPr>
        <w:jc w:val="center"/>
        <w:rPr>
          <w:rFonts w:ascii="Arial" w:eastAsia="Times New Roman" w:hAnsi="Arial" w:cs="Arial"/>
          <w:b/>
          <w:bCs/>
          <w:sz w:val="24"/>
          <w:szCs w:val="24"/>
          <w:lang w:eastAsia="es-ES"/>
        </w:rPr>
      </w:pPr>
    </w:p>
    <w:p w:rsidR="00133748" w:rsidRPr="005E4A12" w:rsidRDefault="00133748" w:rsidP="003D2150">
      <w:pPr>
        <w:jc w:val="center"/>
        <w:rPr>
          <w:rFonts w:ascii="Arial" w:eastAsia="Times New Roman" w:hAnsi="Arial" w:cs="Arial"/>
          <w:b/>
          <w:bCs/>
          <w:sz w:val="24"/>
          <w:szCs w:val="24"/>
          <w:lang w:eastAsia="es-ES"/>
        </w:rPr>
      </w:pPr>
      <w:r w:rsidRPr="005E4A12">
        <w:rPr>
          <w:rFonts w:ascii="Arial" w:eastAsia="Times New Roman" w:hAnsi="Arial" w:cs="Arial"/>
          <w:b/>
          <w:bCs/>
          <w:sz w:val="24"/>
          <w:szCs w:val="24"/>
          <w:lang w:eastAsia="es-ES"/>
        </w:rPr>
        <w:t>LUCY JEANNETTE BERMÚDEZ BERMÚDEZ</w:t>
      </w:r>
    </w:p>
    <w:p w:rsidR="00133748" w:rsidRPr="005266A2" w:rsidRDefault="00133748" w:rsidP="003D2150">
      <w:pPr>
        <w:jc w:val="center"/>
        <w:rPr>
          <w:rFonts w:ascii="Arial" w:hAnsi="Arial" w:cs="Arial"/>
          <w:b/>
          <w:sz w:val="24"/>
          <w:szCs w:val="24"/>
        </w:rPr>
      </w:pPr>
      <w:r w:rsidRPr="005E4A12">
        <w:rPr>
          <w:rFonts w:ascii="Arial" w:eastAsia="Times New Roman" w:hAnsi="Arial" w:cs="Arial"/>
          <w:b/>
          <w:bCs/>
          <w:sz w:val="24"/>
          <w:szCs w:val="24"/>
          <w:lang w:eastAsia="es-ES"/>
        </w:rPr>
        <w:t>Consejera</w:t>
      </w:r>
    </w:p>
    <w:sectPr w:rsidR="00133748" w:rsidRPr="005266A2" w:rsidSect="0004067F">
      <w:pgSz w:w="12240" w:h="18720" w:code="14"/>
      <w:pgMar w:top="1701" w:right="1701" w:bottom="1701" w:left="1701" w:header="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6C0A" w:rsidRDefault="00316C0A" w:rsidP="00133748">
      <w:r>
        <w:separator/>
      </w:r>
    </w:p>
  </w:endnote>
  <w:endnote w:type="continuationSeparator" w:id="0">
    <w:p w:rsidR="00316C0A" w:rsidRDefault="00316C0A" w:rsidP="00133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6C0A" w:rsidRDefault="00316C0A" w:rsidP="00133748">
      <w:r>
        <w:separator/>
      </w:r>
    </w:p>
  </w:footnote>
  <w:footnote w:type="continuationSeparator" w:id="0">
    <w:p w:rsidR="00316C0A" w:rsidRDefault="00316C0A" w:rsidP="00133748">
      <w:r>
        <w:continuationSeparator/>
      </w:r>
    </w:p>
  </w:footnote>
  <w:footnote w:id="1">
    <w:p w:rsidR="00133748" w:rsidRPr="00026F8A" w:rsidRDefault="00133748" w:rsidP="003D2150">
      <w:pPr>
        <w:pStyle w:val="Textonotapie"/>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Fl</w:t>
      </w:r>
      <w:r w:rsidRPr="00026F8A">
        <w:rPr>
          <w:rFonts w:ascii="Arial" w:hAnsi="Arial" w:cs="Arial"/>
          <w:color w:val="000000"/>
          <w:lang w:val="es-CO"/>
        </w:rPr>
        <w:t>s</w:t>
      </w:r>
      <w:r w:rsidRPr="00026F8A">
        <w:rPr>
          <w:rFonts w:ascii="Arial" w:hAnsi="Arial" w:cs="Arial"/>
          <w:color w:val="000000"/>
        </w:rPr>
        <w:t xml:space="preserve">. </w:t>
      </w:r>
      <w:r w:rsidRPr="00026F8A">
        <w:rPr>
          <w:rFonts w:ascii="Arial" w:hAnsi="Arial" w:cs="Arial"/>
          <w:color w:val="000000"/>
          <w:lang w:val="es-CO"/>
        </w:rPr>
        <w:t>202 a 227 del cuaderno principal</w:t>
      </w:r>
      <w:r w:rsidRPr="00026F8A">
        <w:rPr>
          <w:rFonts w:ascii="Arial" w:hAnsi="Arial" w:cs="Arial"/>
          <w:color w:val="000000"/>
        </w:rPr>
        <w:t>.</w:t>
      </w:r>
    </w:p>
  </w:footnote>
  <w:footnote w:id="2">
    <w:p w:rsidR="00133748" w:rsidRPr="00026F8A" w:rsidRDefault="00133748" w:rsidP="003D2150">
      <w:pPr>
        <w:pStyle w:val="Textonotapie"/>
        <w:tabs>
          <w:tab w:val="left" w:pos="2010"/>
        </w:tabs>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Fls. </w:t>
      </w:r>
      <w:r w:rsidRPr="00026F8A">
        <w:rPr>
          <w:rFonts w:ascii="Arial" w:hAnsi="Arial" w:cs="Arial"/>
          <w:color w:val="000000"/>
          <w:lang w:val="es-CO"/>
        </w:rPr>
        <w:t>2 a 115 del cuaderno principal.</w:t>
      </w:r>
    </w:p>
  </w:footnote>
  <w:footnote w:id="3">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Fls. 1 a 86 del cuaderno “</w:t>
      </w:r>
      <w:r w:rsidRPr="00026F8A">
        <w:rPr>
          <w:rFonts w:ascii="Arial" w:hAnsi="Arial" w:cs="Arial"/>
          <w:i/>
          <w:lang w:val="es-CO"/>
        </w:rPr>
        <w:t>anexo memorial</w:t>
      </w:r>
      <w:r w:rsidRPr="00026F8A">
        <w:rPr>
          <w:rFonts w:ascii="Arial" w:hAnsi="Arial" w:cs="Arial"/>
          <w:lang w:val="es-CO"/>
        </w:rPr>
        <w:t>”.</w:t>
      </w:r>
    </w:p>
  </w:footnote>
  <w:footnote w:id="4">
    <w:p w:rsidR="00133748" w:rsidRPr="00026F8A" w:rsidRDefault="00453C1D" w:rsidP="003D2150">
      <w:pPr>
        <w:pStyle w:val="Textonotapie"/>
        <w:jc w:val="both"/>
        <w:rPr>
          <w:rFonts w:ascii="Arial" w:hAnsi="Arial" w:cs="Arial"/>
          <w:i/>
          <w:lang w:val="es-CO"/>
        </w:rPr>
      </w:pPr>
      <w:r>
        <w:rPr>
          <w:rFonts w:ascii="Arial" w:hAnsi="Arial" w:cs="Arial"/>
          <w:lang w:val="es-ES"/>
        </w:rPr>
        <w:t xml:space="preserve"> </w:t>
      </w:r>
      <w:r w:rsidR="00133748" w:rsidRPr="00026F8A">
        <w:rPr>
          <w:rStyle w:val="Refdenotaalpie"/>
          <w:rFonts w:ascii="Arial" w:hAnsi="Arial" w:cs="Arial"/>
        </w:rPr>
        <w:footnoteRef/>
      </w:r>
      <w:r w:rsidR="00133748" w:rsidRPr="00026F8A">
        <w:rPr>
          <w:rFonts w:ascii="Arial" w:hAnsi="Arial" w:cs="Arial"/>
        </w:rPr>
        <w:t xml:space="preserve"> </w:t>
      </w:r>
      <w:r w:rsidR="00133748" w:rsidRPr="00026F8A">
        <w:rPr>
          <w:rFonts w:ascii="Arial" w:hAnsi="Arial" w:cs="Arial"/>
          <w:i/>
          <w:lang w:val="es-CO"/>
        </w:rPr>
        <w:t>“1. Debe la parte demandante acreditar exactamente, cuáles son las 89 unidades de vivienda en las que se adeuda el pago del 20% del subsidio de vivienda familiar.</w:t>
      </w:r>
    </w:p>
    <w:p w:rsidR="00133748" w:rsidRPr="00026F8A" w:rsidRDefault="00133748" w:rsidP="003D2150">
      <w:pPr>
        <w:pStyle w:val="Textonotapie"/>
        <w:jc w:val="both"/>
        <w:rPr>
          <w:rFonts w:ascii="Arial" w:hAnsi="Arial" w:cs="Arial"/>
          <w:i/>
          <w:lang w:val="es-CO"/>
        </w:rPr>
      </w:pPr>
      <w:r w:rsidRPr="00026F8A">
        <w:rPr>
          <w:rFonts w:ascii="Arial" w:hAnsi="Arial" w:cs="Arial"/>
          <w:i/>
          <w:lang w:val="es-CO"/>
        </w:rPr>
        <w:t>2. Frente a cada unidad de vivienda debe acreditarse la entrega o recibo de la obra a satisfacción por parte del interventor de la obra o el Acta de recibo del inmueble por parte del beneficiario del subsidio familiar de vivienda.</w:t>
      </w:r>
    </w:p>
    <w:p w:rsidR="00133748" w:rsidRPr="00026F8A" w:rsidRDefault="00133748" w:rsidP="003D2150">
      <w:pPr>
        <w:pStyle w:val="Textonotapie"/>
        <w:jc w:val="both"/>
        <w:rPr>
          <w:rFonts w:ascii="Arial" w:hAnsi="Arial" w:cs="Arial"/>
          <w:i/>
          <w:lang w:val="es-CO"/>
        </w:rPr>
      </w:pPr>
      <w:r w:rsidRPr="00026F8A">
        <w:rPr>
          <w:rFonts w:ascii="Arial" w:hAnsi="Arial" w:cs="Arial"/>
          <w:i/>
          <w:lang w:val="es-CO"/>
        </w:rPr>
        <w:t>3. Deben acreditarse los siguientes documentos de cada una de las unidades de vivienda: a) copia de la escritura pública de compraventa, a favor del beneficiario del subsidio familiar de vivienda; b) certificado de libertad y tradición del inmueble objeto del contrato en el cual conste debidamente registrada la correspondiente escritura pública; c) certificado de existencia de la solución de la vivienda, expedida por quien designe.</w:t>
      </w:r>
    </w:p>
    <w:p w:rsidR="00133748" w:rsidRPr="00026F8A" w:rsidRDefault="00133748" w:rsidP="003D2150">
      <w:pPr>
        <w:pStyle w:val="Textonotapie"/>
        <w:jc w:val="both"/>
        <w:rPr>
          <w:rFonts w:ascii="Arial" w:hAnsi="Arial" w:cs="Arial"/>
          <w:i/>
          <w:lang w:val="es-CO"/>
        </w:rPr>
      </w:pPr>
      <w:r w:rsidRPr="00026F8A">
        <w:rPr>
          <w:rFonts w:ascii="Arial" w:hAnsi="Arial" w:cs="Arial"/>
          <w:i/>
          <w:lang w:val="es-CO"/>
        </w:rPr>
        <w:t>4. Pese a que la Sala encuentra que el valor del subsidio es de $8.568.000,oo y que el 20% adeudado al contratista equivale a la suma de $1.713.600,oo. En el incidente de liquidación el valor adeudado se reconocerá en la suma de $1.662.192,oo por cuanto así lo solicitó el escrito de la demanda.</w:t>
      </w:r>
    </w:p>
    <w:p w:rsidR="00133748" w:rsidRPr="00026F8A" w:rsidRDefault="00133748" w:rsidP="003D2150">
      <w:pPr>
        <w:pStyle w:val="Textonotapie"/>
        <w:jc w:val="both"/>
        <w:rPr>
          <w:rFonts w:ascii="Arial" w:hAnsi="Arial" w:cs="Arial"/>
          <w:i/>
          <w:lang w:val="es-CO"/>
        </w:rPr>
      </w:pPr>
      <w:r w:rsidRPr="00026F8A">
        <w:rPr>
          <w:rFonts w:ascii="Arial" w:hAnsi="Arial" w:cs="Arial"/>
          <w:i/>
          <w:lang w:val="es-CO"/>
        </w:rPr>
        <w:t>5. El valor adeudado se reconocerá en un máximo de 89 unidades de vivienda.</w:t>
      </w:r>
    </w:p>
    <w:p w:rsidR="00133748" w:rsidRPr="00026F8A" w:rsidRDefault="00133748" w:rsidP="003D2150">
      <w:pPr>
        <w:pStyle w:val="Textonotapie"/>
        <w:jc w:val="both"/>
        <w:rPr>
          <w:rFonts w:ascii="Arial" w:hAnsi="Arial" w:cs="Arial"/>
          <w:i/>
          <w:lang w:val="es-CO"/>
        </w:rPr>
      </w:pPr>
      <w:r w:rsidRPr="00026F8A">
        <w:rPr>
          <w:rFonts w:ascii="Arial" w:hAnsi="Arial" w:cs="Arial"/>
          <w:i/>
          <w:lang w:val="es-CO"/>
        </w:rPr>
        <w:t xml:space="preserve">6. En cada una de las unidades de vivienda en las que se acrediten los requisitos exigidos, se reconocerá la suma de $1.662.192,oo, debidamente indexados con aplicación de la fórmula acogida por el Consejo de Estado, esto es: Ra = Rh x IPC final/ IPC inicial…”.  </w:t>
      </w:r>
    </w:p>
  </w:footnote>
  <w:footnote w:id="5">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Fls. 118.</w:t>
      </w:r>
    </w:p>
  </w:footnote>
  <w:footnote w:id="6">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Fls. 1 a 86 cuaderno anexo memorial.</w:t>
      </w:r>
    </w:p>
  </w:footnote>
  <w:footnote w:id="7">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Fl</w:t>
      </w:r>
      <w:r w:rsidR="00695840">
        <w:rPr>
          <w:rFonts w:ascii="Arial" w:hAnsi="Arial" w:cs="Arial"/>
          <w:lang w:val="es-CO"/>
        </w:rPr>
        <w:t>s. 123 a 124 cuaderno principal</w:t>
      </w:r>
    </w:p>
  </w:footnote>
  <w:footnote w:id="8">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Fls. 187 a 196 cuaderno principal.</w:t>
      </w:r>
    </w:p>
  </w:footnote>
  <w:footnote w:id="9">
    <w:p w:rsidR="00133748" w:rsidRPr="00026F8A" w:rsidRDefault="00133748" w:rsidP="003D2150">
      <w:pPr>
        <w:pStyle w:val="Textonotapie"/>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«P</w:t>
      </w:r>
      <w:r w:rsidRPr="00026F8A">
        <w:rPr>
          <w:rFonts w:ascii="Arial" w:hAnsi="Arial" w:cs="Arial"/>
          <w:bCs/>
          <w:i/>
          <w:color w:val="000000"/>
        </w:rPr>
        <w:t>or el cual se reglamenta la acción de tutela consagrada en el artículo 86 de la Constitución Política</w:t>
      </w:r>
      <w:r w:rsidRPr="00026F8A">
        <w:rPr>
          <w:rFonts w:ascii="Arial" w:hAnsi="Arial" w:cs="Arial"/>
          <w:color w:val="000000"/>
        </w:rPr>
        <w:t>».</w:t>
      </w:r>
    </w:p>
  </w:footnote>
  <w:footnote w:id="10">
    <w:p w:rsidR="00133748" w:rsidRPr="00026F8A" w:rsidRDefault="00133748" w:rsidP="003D2150">
      <w:pPr>
        <w:pStyle w:val="Textonotapie"/>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«P</w:t>
      </w:r>
      <w:r w:rsidRPr="00026F8A">
        <w:rPr>
          <w:rFonts w:ascii="Arial" w:hAnsi="Arial" w:cs="Arial"/>
          <w:bCs/>
          <w:i/>
          <w:color w:val="000000"/>
        </w:rPr>
        <w:t>or medio del cual se expide el Decreto Único Reglamentario del Sector Justicia y del Derecho</w:t>
      </w:r>
      <w:r w:rsidRPr="00026F8A">
        <w:rPr>
          <w:rFonts w:ascii="Arial" w:hAnsi="Arial" w:cs="Arial"/>
          <w:color w:val="000000"/>
        </w:rPr>
        <w:t>».</w:t>
      </w:r>
    </w:p>
  </w:footnote>
  <w:footnote w:id="11">
    <w:p w:rsidR="00133748" w:rsidRPr="00026F8A" w:rsidRDefault="00133748" w:rsidP="003D2150">
      <w:pPr>
        <w:pStyle w:val="Textonotapie"/>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w:t>
      </w:r>
      <w:r w:rsidRPr="00026F8A">
        <w:rPr>
          <w:rFonts w:ascii="Arial" w:hAnsi="Arial" w:cs="Arial"/>
          <w:bCs/>
          <w:color w:val="000000"/>
        </w:rPr>
        <w:t>«</w:t>
      </w:r>
      <w:r w:rsidRPr="00026F8A">
        <w:rPr>
          <w:rFonts w:ascii="Arial" w:hAnsi="Arial" w:cs="Arial"/>
          <w:bCs/>
          <w:i/>
          <w:color w:val="000000"/>
        </w:rPr>
        <w:t>Por medio del cual se modifica el reglamento del Consejo de Estado</w:t>
      </w:r>
      <w:r w:rsidRPr="00026F8A">
        <w:rPr>
          <w:rFonts w:ascii="Arial" w:hAnsi="Arial" w:cs="Arial"/>
          <w:bCs/>
          <w:color w:val="000000"/>
        </w:rPr>
        <w:t>»</w:t>
      </w:r>
      <w:r w:rsidRPr="00026F8A">
        <w:rPr>
          <w:rFonts w:ascii="Arial" w:hAnsi="Arial" w:cs="Arial"/>
          <w:b/>
          <w:bCs/>
          <w:color w:val="000000"/>
        </w:rPr>
        <w:t>.</w:t>
      </w:r>
    </w:p>
  </w:footnote>
  <w:footnote w:id="12">
    <w:p w:rsidR="00133748" w:rsidRPr="00026F8A" w:rsidRDefault="00133748" w:rsidP="003D2150">
      <w:pPr>
        <w:jc w:val="both"/>
        <w:rPr>
          <w:rFonts w:ascii="Arial" w:hAnsi="Arial" w:cs="Arial"/>
          <w:color w:val="000000"/>
          <w:sz w:val="20"/>
          <w:szCs w:val="20"/>
        </w:rPr>
      </w:pPr>
      <w:r w:rsidRPr="00026F8A">
        <w:rPr>
          <w:rStyle w:val="Refdenotaalpie"/>
          <w:rFonts w:ascii="Arial" w:hAnsi="Arial" w:cs="Arial"/>
          <w:color w:val="000000"/>
          <w:sz w:val="20"/>
          <w:szCs w:val="20"/>
        </w:rPr>
        <w:footnoteRef/>
      </w:r>
      <w:r w:rsidRPr="00026F8A">
        <w:rPr>
          <w:rFonts w:ascii="Arial" w:hAnsi="Arial" w:cs="Arial"/>
          <w:color w:val="000000"/>
          <w:sz w:val="20"/>
          <w:szCs w:val="20"/>
        </w:rPr>
        <w:t xml:space="preserve"> Sala Plena. Consejo de Estado. Expediente 11001-03-15-000-2009-01328-01. Acción de tutela (importancia jurídica). Actora: NERY GERMANIA ÁLVAREZ BELLO. Consejera ponente: MARÍA ELIZABETH GARCÍA GONZÁLEZ.</w:t>
      </w:r>
    </w:p>
  </w:footnote>
  <w:footnote w:id="13">
    <w:p w:rsidR="00133748" w:rsidRPr="00026F8A" w:rsidRDefault="00133748" w:rsidP="003D2150">
      <w:pPr>
        <w:pStyle w:val="Textonotapie"/>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El recuento de esos criterios se encuentra en las páginas 13 a 50 del fallo de la Sala Plena antes reseñado.</w:t>
      </w:r>
    </w:p>
  </w:footnote>
  <w:footnote w:id="14">
    <w:p w:rsidR="00133748" w:rsidRPr="00026F8A" w:rsidRDefault="00133748" w:rsidP="003D2150">
      <w:pPr>
        <w:pStyle w:val="Textonotapie"/>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w:t>
      </w:r>
      <w:r w:rsidRPr="00026F8A">
        <w:rPr>
          <w:rFonts w:ascii="Arial" w:hAnsi="Arial" w:cs="Arial"/>
          <w:color w:val="000000"/>
          <w:lang w:val="es-ES"/>
        </w:rPr>
        <w:t>Negrilla con subrayado fuera de texto.</w:t>
      </w:r>
    </w:p>
  </w:footnote>
  <w:footnote w:id="15">
    <w:p w:rsidR="00133748" w:rsidRPr="00026F8A" w:rsidRDefault="00133748" w:rsidP="003D2150">
      <w:pPr>
        <w:pStyle w:val="Textonotapie"/>
        <w:jc w:val="both"/>
        <w:rPr>
          <w:rFonts w:ascii="Arial" w:hAnsi="Arial" w:cs="Arial"/>
          <w:color w:val="000000"/>
        </w:rPr>
      </w:pPr>
      <w:r w:rsidRPr="00026F8A">
        <w:rPr>
          <w:rStyle w:val="Refdenotaalpie"/>
          <w:rFonts w:ascii="Arial" w:hAnsi="Arial" w:cs="Arial"/>
          <w:color w:val="000000"/>
        </w:rPr>
        <w:footnoteRef/>
      </w:r>
      <w:r w:rsidRPr="00026F8A">
        <w:rPr>
          <w:rFonts w:ascii="Arial" w:hAnsi="Arial" w:cs="Arial"/>
          <w:color w:val="000000"/>
        </w:rPr>
        <w:t xml:space="preserve"> Entre otras en las sentencias T-949 del 16 de octubre de 2003; T-774 del 13 de agosto de 2004 y C-590 de 2005.</w:t>
      </w:r>
    </w:p>
  </w:footnote>
  <w:footnote w:id="16">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Fls. 163 - 169. Cuaderno expediente en préstamo.</w:t>
      </w:r>
    </w:p>
  </w:footnote>
  <w:footnote w:id="17">
    <w:p w:rsidR="00133748" w:rsidRPr="003D2150" w:rsidRDefault="00133748" w:rsidP="003D2150">
      <w:pPr>
        <w:pStyle w:val="NormalWeb"/>
        <w:shd w:val="clear" w:color="auto" w:fill="FFFFFF"/>
        <w:jc w:val="both"/>
        <w:rPr>
          <w:rFonts w:ascii="Arial" w:hAnsi="Arial" w:cs="Arial"/>
          <w:i/>
          <w:color w:val="000000"/>
          <w:sz w:val="20"/>
          <w:szCs w:val="20"/>
        </w:rPr>
      </w:pPr>
      <w:r w:rsidRPr="003D2150">
        <w:rPr>
          <w:rStyle w:val="Refdenotaalpie"/>
          <w:rFonts w:ascii="Arial" w:hAnsi="Arial" w:cs="Arial"/>
          <w:i/>
          <w:sz w:val="20"/>
          <w:szCs w:val="20"/>
        </w:rPr>
        <w:footnoteRef/>
      </w:r>
      <w:r w:rsidRPr="003D2150">
        <w:rPr>
          <w:rFonts w:ascii="Arial" w:hAnsi="Arial" w:cs="Arial"/>
          <w:i/>
          <w:sz w:val="20"/>
          <w:szCs w:val="20"/>
        </w:rPr>
        <w:t xml:space="preserve"> “</w:t>
      </w:r>
      <w:r w:rsidRPr="003D2150">
        <w:rPr>
          <w:rFonts w:ascii="Arial" w:hAnsi="Arial" w:cs="Arial"/>
          <w:b/>
          <w:bCs/>
          <w:i/>
          <w:color w:val="000000"/>
          <w:sz w:val="20"/>
          <w:szCs w:val="20"/>
        </w:rPr>
        <w:t>Artículo</w:t>
      </w:r>
      <w:r w:rsidRPr="003D2150">
        <w:rPr>
          <w:rFonts w:ascii="Arial" w:hAnsi="Arial" w:cs="Arial"/>
          <w:i/>
          <w:color w:val="000000"/>
          <w:sz w:val="20"/>
          <w:szCs w:val="20"/>
        </w:rPr>
        <w:t> </w:t>
      </w:r>
      <w:r w:rsidRPr="003D2150">
        <w:rPr>
          <w:rFonts w:ascii="Arial" w:hAnsi="Arial" w:cs="Arial"/>
          <w:b/>
          <w:bCs/>
          <w:i/>
          <w:color w:val="000000"/>
          <w:sz w:val="20"/>
          <w:szCs w:val="20"/>
        </w:rPr>
        <w:t>87.</w:t>
      </w:r>
      <w:r w:rsidRPr="003D2150">
        <w:rPr>
          <w:rStyle w:val="apple-converted-space"/>
          <w:rFonts w:ascii="Arial" w:hAnsi="Arial" w:cs="Arial"/>
          <w:b/>
          <w:bCs/>
          <w:i/>
          <w:color w:val="000000"/>
          <w:sz w:val="20"/>
          <w:szCs w:val="20"/>
        </w:rPr>
        <w:t xml:space="preserve"> </w:t>
      </w:r>
      <w:hyperlink r:id="rId1" w:anchor="1" w:history="1">
        <w:r w:rsidRPr="003D2150">
          <w:rPr>
            <w:rStyle w:val="Hipervnculo"/>
            <w:rFonts w:ascii="Arial" w:hAnsi="Arial" w:cs="Arial"/>
            <w:i/>
            <w:sz w:val="20"/>
            <w:szCs w:val="20"/>
          </w:rPr>
          <w:t>Modificado por el art. 32, Ley 446 de 1998</w:t>
        </w:r>
      </w:hyperlink>
      <w:r w:rsidRPr="003D2150">
        <w:rPr>
          <w:rFonts w:ascii="Arial" w:hAnsi="Arial" w:cs="Arial"/>
          <w:i/>
          <w:sz w:val="20"/>
          <w:szCs w:val="20"/>
        </w:rPr>
        <w:t>.</w:t>
      </w:r>
      <w:r w:rsidRPr="003D2150">
        <w:rPr>
          <w:rStyle w:val="apple-converted-space"/>
          <w:rFonts w:ascii="Arial" w:hAnsi="Arial" w:cs="Arial"/>
          <w:i/>
          <w:color w:val="000000"/>
          <w:sz w:val="20"/>
          <w:szCs w:val="20"/>
        </w:rPr>
        <w:t> </w:t>
      </w:r>
      <w:r w:rsidRPr="003D2150">
        <w:rPr>
          <w:rFonts w:ascii="Arial" w:hAnsi="Arial" w:cs="Arial"/>
          <w:i/>
          <w:sz w:val="20"/>
          <w:szCs w:val="20"/>
        </w:rPr>
        <w:t>De</w:t>
      </w:r>
      <w:r w:rsidRPr="003D2150">
        <w:rPr>
          <w:rFonts w:ascii="Arial" w:hAnsi="Arial" w:cs="Arial"/>
          <w:i/>
          <w:color w:val="000000"/>
          <w:sz w:val="20"/>
          <w:szCs w:val="20"/>
        </w:rPr>
        <w:t xml:space="preserve"> las controversias contractuales. Cualquiera de las partes de un contrato estatal podrá pedir que se declare su existencia o su nulidad y que se hagan las declaraciones, condenas o restituciones consecuenciales, que se ordene su revisión, que se declare su incumplimiento y que se condene al responsable a indemnizar los perjuicios y que se hagan otras declaraciones y condenas.</w:t>
      </w:r>
    </w:p>
    <w:p w:rsidR="00133748" w:rsidRPr="003D2150" w:rsidRDefault="00133748" w:rsidP="003D2150">
      <w:pPr>
        <w:pStyle w:val="NormalWeb"/>
        <w:jc w:val="both"/>
        <w:rPr>
          <w:rStyle w:val="apple-converted-space"/>
          <w:rFonts w:ascii="Arial" w:hAnsi="Arial" w:cs="Arial"/>
          <w:i/>
          <w:color w:val="000000"/>
          <w:sz w:val="20"/>
          <w:szCs w:val="20"/>
          <w:shd w:val="clear" w:color="auto" w:fill="FFFFFF"/>
        </w:rPr>
      </w:pPr>
      <w:r w:rsidRPr="003D2150">
        <w:rPr>
          <w:rFonts w:ascii="Arial" w:hAnsi="Arial" w:cs="Arial"/>
          <w:i/>
          <w:color w:val="000000"/>
          <w:sz w:val="20"/>
          <w:szCs w:val="20"/>
          <w:shd w:val="clear" w:color="auto" w:fill="FFFFFF"/>
        </w:rPr>
        <w:t>Los actos proferidos antes de la celebración del contrato, con ocasión de la actividad contractual, serán demandables mediante las acciones de nulidad y de nulidad y restablecimiento del derecho, según el caso, dentro de los treinta (30) días siguientes a su comunicación, notificación o publicación. La interposición de estas acciones no interrumpirá el proceso licitatorio, ni la celebración y ejecución del contrato.</w:t>
      </w:r>
      <w:r w:rsidRPr="003D2150">
        <w:rPr>
          <w:rStyle w:val="apple-converted-space"/>
          <w:rFonts w:ascii="Arial" w:hAnsi="Arial" w:cs="Arial"/>
          <w:i/>
          <w:color w:val="000000"/>
          <w:sz w:val="20"/>
          <w:szCs w:val="20"/>
          <w:shd w:val="clear" w:color="auto" w:fill="FFFFFF"/>
        </w:rPr>
        <w:t> </w:t>
      </w:r>
      <w:r w:rsidRPr="003D2150">
        <w:rPr>
          <w:rFonts w:ascii="Arial" w:hAnsi="Arial" w:cs="Arial"/>
          <w:i/>
          <w:color w:val="000000"/>
          <w:sz w:val="20"/>
          <w:szCs w:val="20"/>
          <w:shd w:val="clear" w:color="auto" w:fill="FFFFFF"/>
        </w:rPr>
        <w:t>Una vez celebrado éste, la ilegalidad de los actos previos</w:t>
      </w:r>
      <w:r w:rsidRPr="003D2150">
        <w:rPr>
          <w:rStyle w:val="apple-converted-space"/>
          <w:rFonts w:ascii="Arial" w:hAnsi="Arial" w:cs="Arial"/>
          <w:i/>
          <w:color w:val="000000"/>
          <w:sz w:val="20"/>
          <w:szCs w:val="20"/>
          <w:shd w:val="clear" w:color="auto" w:fill="FFFFFF"/>
        </w:rPr>
        <w:t> </w:t>
      </w:r>
      <w:r w:rsidRPr="003D2150">
        <w:rPr>
          <w:rFonts w:ascii="Arial" w:hAnsi="Arial" w:cs="Arial"/>
          <w:i/>
          <w:color w:val="000000"/>
          <w:sz w:val="20"/>
          <w:szCs w:val="20"/>
          <w:shd w:val="clear" w:color="auto" w:fill="FFFFFF"/>
        </w:rPr>
        <w:t>solamente</w:t>
      </w:r>
      <w:r w:rsidRPr="003D2150">
        <w:rPr>
          <w:rStyle w:val="apple-converted-space"/>
          <w:rFonts w:ascii="Arial" w:hAnsi="Arial" w:cs="Arial"/>
          <w:i/>
          <w:color w:val="000000"/>
          <w:sz w:val="20"/>
          <w:szCs w:val="20"/>
          <w:shd w:val="clear" w:color="auto" w:fill="FFFFFF"/>
        </w:rPr>
        <w:t> </w:t>
      </w:r>
      <w:r w:rsidRPr="003D2150">
        <w:rPr>
          <w:rFonts w:ascii="Arial" w:hAnsi="Arial" w:cs="Arial"/>
          <w:i/>
          <w:color w:val="000000"/>
          <w:sz w:val="20"/>
          <w:szCs w:val="20"/>
          <w:shd w:val="clear" w:color="auto" w:fill="FFFFFF"/>
        </w:rPr>
        <w:t>podrá invocarse como fundamento de nulidad absoluta del contrato.</w:t>
      </w:r>
      <w:r w:rsidRPr="003D2150">
        <w:rPr>
          <w:rStyle w:val="apple-converted-space"/>
          <w:rFonts w:ascii="Arial" w:hAnsi="Arial" w:cs="Arial"/>
          <w:i/>
          <w:color w:val="000000"/>
          <w:sz w:val="20"/>
          <w:szCs w:val="20"/>
          <w:shd w:val="clear" w:color="auto" w:fill="FFFFFF"/>
        </w:rPr>
        <w:t> </w:t>
      </w:r>
    </w:p>
    <w:p w:rsidR="00133748" w:rsidRPr="003D2150" w:rsidRDefault="00133748" w:rsidP="003D2150">
      <w:pPr>
        <w:pStyle w:val="NormalWeb"/>
        <w:jc w:val="both"/>
        <w:rPr>
          <w:rFonts w:ascii="Arial" w:hAnsi="Arial" w:cs="Arial"/>
          <w:i/>
          <w:color w:val="000000"/>
          <w:sz w:val="20"/>
          <w:szCs w:val="20"/>
          <w:shd w:val="clear" w:color="auto" w:fill="FFFFFF"/>
        </w:rPr>
      </w:pPr>
      <w:r w:rsidRPr="003D2150">
        <w:rPr>
          <w:rFonts w:ascii="Arial" w:hAnsi="Arial" w:cs="Arial"/>
          <w:i/>
          <w:color w:val="000000"/>
          <w:sz w:val="20"/>
          <w:szCs w:val="20"/>
          <w:shd w:val="clear" w:color="auto" w:fill="FFFFFF"/>
        </w:rPr>
        <w:t>El Ministerio Público o cualquier tercero que acredite un interés directo podrá pedir que se declare su nulidad absoluta. El juez administrativo queda facultado para declararla de oficio cuando esté plenamente demostrada en el proceso. En todo caso, dicha declaración sólo podrá hacerse siempre que en él intervengan las partes contratantes o sus causahabientes.</w:t>
      </w:r>
    </w:p>
    <w:p w:rsidR="00133748" w:rsidRPr="003D2150" w:rsidRDefault="00133748" w:rsidP="003D2150">
      <w:pPr>
        <w:pStyle w:val="NormalWeb"/>
        <w:jc w:val="both"/>
        <w:rPr>
          <w:rFonts w:ascii="Arial" w:hAnsi="Arial" w:cs="Arial"/>
          <w:i/>
          <w:color w:val="000000"/>
          <w:sz w:val="20"/>
          <w:szCs w:val="20"/>
          <w:shd w:val="clear" w:color="auto" w:fill="FFFFFF"/>
        </w:rPr>
      </w:pPr>
      <w:r w:rsidRPr="003D2150">
        <w:rPr>
          <w:rFonts w:ascii="Arial" w:hAnsi="Arial" w:cs="Arial"/>
          <w:i/>
          <w:color w:val="000000"/>
          <w:sz w:val="20"/>
          <w:szCs w:val="20"/>
          <w:shd w:val="clear" w:color="auto" w:fill="FFFFFF"/>
        </w:rPr>
        <w:t>En los procesos ejecutivos derivados de condenas impuestas por la jurisdicción contencioso administrativa se aplicará la regulación del proceso ejecutivo singular de mayor cuantía contenida en el Código de Procedimiento Civil.”.</w:t>
      </w:r>
    </w:p>
    <w:p w:rsidR="00133748" w:rsidRPr="003D2150" w:rsidRDefault="00133748" w:rsidP="003D2150">
      <w:pPr>
        <w:pStyle w:val="Textonotapie"/>
        <w:jc w:val="both"/>
        <w:rPr>
          <w:rFonts w:ascii="Arial" w:hAnsi="Arial" w:cs="Arial"/>
          <w:i/>
          <w:lang w:val="es-CO"/>
        </w:rPr>
      </w:pPr>
    </w:p>
  </w:footnote>
  <w:footnote w:id="18">
    <w:p w:rsidR="00133748" w:rsidRPr="00026F8A" w:rsidRDefault="00133748" w:rsidP="003D2150">
      <w:pPr>
        <w:pStyle w:val="NormalWeb"/>
        <w:shd w:val="clear" w:color="auto" w:fill="FFFFFF"/>
        <w:jc w:val="both"/>
        <w:rPr>
          <w:rFonts w:ascii="Arial" w:eastAsia="Times New Roman" w:hAnsi="Arial" w:cs="Arial"/>
          <w:i/>
          <w:color w:val="000000"/>
          <w:sz w:val="20"/>
          <w:szCs w:val="20"/>
          <w:lang w:eastAsia="es-CO"/>
        </w:rPr>
      </w:pPr>
      <w:r w:rsidRPr="00026F8A">
        <w:rPr>
          <w:rStyle w:val="Refdenotaalpie"/>
          <w:rFonts w:ascii="Arial" w:hAnsi="Arial" w:cs="Arial"/>
          <w:sz w:val="20"/>
          <w:szCs w:val="20"/>
        </w:rPr>
        <w:footnoteRef/>
      </w:r>
      <w:r w:rsidRPr="00026F8A">
        <w:rPr>
          <w:rFonts w:ascii="Arial" w:hAnsi="Arial" w:cs="Arial"/>
          <w:sz w:val="20"/>
          <w:szCs w:val="20"/>
        </w:rPr>
        <w:t xml:space="preserve"> </w:t>
      </w:r>
      <w:r w:rsidRPr="00026F8A">
        <w:rPr>
          <w:rFonts w:ascii="Arial" w:hAnsi="Arial" w:cs="Arial"/>
          <w:b/>
          <w:sz w:val="20"/>
          <w:szCs w:val="20"/>
        </w:rPr>
        <w:t>“</w:t>
      </w:r>
      <w:r w:rsidRPr="00026F8A">
        <w:rPr>
          <w:rFonts w:ascii="Arial" w:eastAsia="Times New Roman" w:hAnsi="Arial" w:cs="Arial"/>
          <w:b/>
          <w:bCs/>
          <w:i/>
          <w:color w:val="000000"/>
          <w:sz w:val="20"/>
          <w:szCs w:val="20"/>
          <w:lang w:eastAsia="es-CO"/>
        </w:rPr>
        <w:t>Artículo </w:t>
      </w:r>
      <w:bookmarkStart w:id="1" w:name="BM209"/>
      <w:r w:rsidRPr="00026F8A">
        <w:rPr>
          <w:rFonts w:ascii="Arial" w:eastAsia="Times New Roman" w:hAnsi="Arial" w:cs="Arial"/>
          <w:b/>
          <w:bCs/>
          <w:i/>
          <w:color w:val="000000"/>
          <w:sz w:val="20"/>
          <w:szCs w:val="20"/>
          <w:lang w:eastAsia="es-CO"/>
        </w:rPr>
        <w:t> </w:t>
      </w:r>
      <w:bookmarkStart w:id="2" w:name="209"/>
      <w:bookmarkEnd w:id="1"/>
      <w:r w:rsidRPr="00026F8A">
        <w:rPr>
          <w:rFonts w:ascii="Arial" w:eastAsia="Times New Roman" w:hAnsi="Arial" w:cs="Arial"/>
          <w:b/>
          <w:bCs/>
          <w:i/>
          <w:color w:val="000000"/>
          <w:sz w:val="20"/>
          <w:szCs w:val="20"/>
          <w:lang w:eastAsia="es-CO"/>
        </w:rPr>
        <w:t> </w:t>
      </w:r>
      <w:bookmarkEnd w:id="2"/>
      <w:r w:rsidRPr="00026F8A">
        <w:rPr>
          <w:rFonts w:ascii="Arial" w:eastAsia="Times New Roman" w:hAnsi="Arial" w:cs="Arial"/>
          <w:b/>
          <w:bCs/>
          <w:i/>
          <w:color w:val="000000"/>
          <w:sz w:val="20"/>
          <w:szCs w:val="20"/>
          <w:lang w:eastAsia="es-CO"/>
        </w:rPr>
        <w:t>209. </w:t>
      </w:r>
      <w:bookmarkStart w:id="3" w:name="209.1"/>
      <w:r w:rsidRPr="00026F8A">
        <w:rPr>
          <w:rFonts w:ascii="Arial" w:eastAsia="Times New Roman" w:hAnsi="Arial" w:cs="Arial"/>
          <w:i/>
          <w:color w:val="000000"/>
          <w:sz w:val="20"/>
          <w:szCs w:val="20"/>
          <w:lang w:eastAsia="es-CO"/>
        </w:rPr>
        <w:t> </w:t>
      </w:r>
      <w:bookmarkEnd w:id="3"/>
      <w:r w:rsidRPr="00026F8A">
        <w:rPr>
          <w:rFonts w:ascii="Arial" w:eastAsia="Times New Roman" w:hAnsi="Arial" w:cs="Arial"/>
          <w:i/>
          <w:color w:val="000000"/>
          <w:sz w:val="20"/>
          <w:szCs w:val="20"/>
          <w:lang w:eastAsia="es-CO"/>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w:t>
      </w:r>
    </w:p>
    <w:p w:rsidR="00133748" w:rsidRPr="00026F8A" w:rsidRDefault="00133748" w:rsidP="003D2150">
      <w:pPr>
        <w:pStyle w:val="NormalWeb"/>
        <w:shd w:val="clear" w:color="auto" w:fill="FFFFFF"/>
        <w:jc w:val="both"/>
        <w:rPr>
          <w:rFonts w:ascii="Arial" w:hAnsi="Arial" w:cs="Arial"/>
          <w:sz w:val="20"/>
          <w:szCs w:val="20"/>
        </w:rPr>
      </w:pPr>
      <w:bookmarkStart w:id="4" w:name="209.i.2"/>
      <w:r w:rsidRPr="00026F8A">
        <w:rPr>
          <w:rFonts w:ascii="Arial" w:eastAsia="Times New Roman" w:hAnsi="Arial" w:cs="Arial"/>
          <w:i/>
          <w:color w:val="000000"/>
          <w:sz w:val="20"/>
          <w:szCs w:val="20"/>
          <w:lang w:eastAsia="es-CO"/>
        </w:rPr>
        <w:t>Las </w:t>
      </w:r>
      <w:bookmarkEnd w:id="4"/>
      <w:r w:rsidRPr="00026F8A">
        <w:rPr>
          <w:rFonts w:ascii="Arial" w:eastAsia="Times New Roman" w:hAnsi="Arial" w:cs="Arial"/>
          <w:i/>
          <w:color w:val="000000"/>
          <w:sz w:val="20"/>
          <w:szCs w:val="20"/>
          <w:lang w:eastAsia="es-CO"/>
        </w:rPr>
        <w:t>autoridades administrativas deben coordinar sus actuaciones para el adecuado cumplimiento de los fines del Estado. La administración pública, en todos sus órdenes, tendrá un control interno que se ejercerá en los términos que señale la ley.</w:t>
      </w:r>
      <w:r w:rsidRPr="00026F8A">
        <w:rPr>
          <w:rFonts w:ascii="Arial" w:eastAsia="Times New Roman" w:hAnsi="Arial" w:cs="Arial"/>
          <w:color w:val="000000"/>
          <w:sz w:val="20"/>
          <w:szCs w:val="20"/>
          <w:lang w:eastAsia="es-CO"/>
        </w:rPr>
        <w:t>”.</w:t>
      </w:r>
    </w:p>
  </w:footnote>
  <w:footnote w:id="19">
    <w:p w:rsidR="00133748" w:rsidRPr="00026F8A" w:rsidRDefault="00133748" w:rsidP="003D2150">
      <w:pPr>
        <w:pStyle w:val="Textonotapie"/>
        <w:jc w:val="both"/>
        <w:rPr>
          <w:rFonts w:ascii="Arial" w:hAnsi="Arial" w:cs="Arial"/>
          <w:i/>
        </w:rPr>
      </w:pPr>
      <w:r w:rsidRPr="00026F8A">
        <w:rPr>
          <w:rStyle w:val="Refdenotaalpie"/>
          <w:rFonts w:ascii="Arial" w:hAnsi="Arial" w:cs="Arial"/>
        </w:rPr>
        <w:footnoteRef/>
      </w:r>
      <w:r w:rsidRPr="00026F8A">
        <w:rPr>
          <w:rFonts w:ascii="Arial" w:hAnsi="Arial" w:cs="Arial"/>
        </w:rPr>
        <w:t xml:space="preserve"> </w:t>
      </w:r>
      <w:bookmarkStart w:id="5" w:name="23"/>
      <w:r w:rsidRPr="00026F8A">
        <w:rPr>
          <w:rFonts w:ascii="Arial" w:hAnsi="Arial" w:cs="Arial"/>
          <w:i/>
          <w:lang w:val="es-CO"/>
        </w:rPr>
        <w:t>“</w:t>
      </w:r>
      <w:r w:rsidRPr="00026F8A">
        <w:rPr>
          <w:rFonts w:ascii="Arial" w:hAnsi="Arial" w:cs="Arial"/>
          <w:b/>
          <w:i/>
          <w:lang w:val="es-CO"/>
        </w:rPr>
        <w:t xml:space="preserve">Artículo </w:t>
      </w:r>
      <w:r w:rsidRPr="00026F8A">
        <w:rPr>
          <w:rFonts w:ascii="Arial" w:hAnsi="Arial" w:cs="Arial"/>
          <w:b/>
          <w:bCs/>
          <w:i/>
        </w:rPr>
        <w:t>23. de los principios en las actuaciones contractuales de las entidades estatales.</w:t>
      </w:r>
      <w:bookmarkEnd w:id="5"/>
      <w:r w:rsidRPr="00026F8A">
        <w:rPr>
          <w:rStyle w:val="apple-converted-space"/>
          <w:rFonts w:ascii="Arial" w:hAnsi="Arial" w:cs="Arial"/>
          <w:i/>
        </w:rPr>
        <w:t> </w:t>
      </w:r>
      <w:r w:rsidRPr="00026F8A">
        <w:rPr>
          <w:rFonts w:ascii="Arial" w:hAnsi="Arial" w:cs="Arial"/>
          <w:i/>
        </w:rPr>
        <w:t>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 w:id="20">
    <w:p w:rsidR="00133748" w:rsidRPr="00026F8A" w:rsidRDefault="00133748" w:rsidP="003D2150">
      <w:pPr>
        <w:pStyle w:val="NormalWeb"/>
        <w:shd w:val="clear" w:color="auto" w:fill="FFFFFF"/>
        <w:jc w:val="both"/>
        <w:rPr>
          <w:rFonts w:ascii="Arial" w:hAnsi="Arial" w:cs="Arial"/>
          <w:i/>
          <w:color w:val="000000"/>
          <w:sz w:val="20"/>
          <w:szCs w:val="20"/>
          <w:lang w:eastAsia="es-CO"/>
        </w:rPr>
      </w:pPr>
      <w:r w:rsidRPr="00026F8A">
        <w:rPr>
          <w:rStyle w:val="Refdenotaalpie"/>
          <w:rFonts w:ascii="Arial" w:hAnsi="Arial" w:cs="Arial"/>
          <w:sz w:val="20"/>
          <w:szCs w:val="20"/>
        </w:rPr>
        <w:footnoteRef/>
      </w:r>
      <w:r w:rsidRPr="00026F8A">
        <w:rPr>
          <w:rFonts w:ascii="Arial" w:hAnsi="Arial" w:cs="Arial"/>
          <w:sz w:val="20"/>
          <w:szCs w:val="20"/>
        </w:rPr>
        <w:t xml:space="preserve"> </w:t>
      </w:r>
      <w:r w:rsidRPr="00026F8A">
        <w:rPr>
          <w:rFonts w:ascii="Arial" w:hAnsi="Arial" w:cs="Arial"/>
          <w:i/>
          <w:sz w:val="20"/>
          <w:szCs w:val="20"/>
        </w:rPr>
        <w:t>“</w:t>
      </w:r>
      <w:r w:rsidRPr="00026F8A">
        <w:rPr>
          <w:rFonts w:ascii="Arial" w:hAnsi="Arial" w:cs="Arial"/>
          <w:b/>
          <w:bCs/>
          <w:i/>
          <w:color w:val="000000"/>
          <w:sz w:val="20"/>
          <w:szCs w:val="20"/>
        </w:rPr>
        <w:t>Artículo 3.2.6.1.</w:t>
      </w:r>
      <w:r w:rsidRPr="00026F8A">
        <w:rPr>
          <w:rStyle w:val="apple-converted-space"/>
          <w:rFonts w:ascii="Arial" w:hAnsi="Arial" w:cs="Arial"/>
          <w:b/>
          <w:bCs/>
          <w:i/>
          <w:color w:val="000000"/>
          <w:sz w:val="20"/>
          <w:szCs w:val="20"/>
        </w:rPr>
        <w:t> </w:t>
      </w:r>
      <w:r w:rsidRPr="00026F8A">
        <w:rPr>
          <w:rFonts w:ascii="Arial" w:hAnsi="Arial" w:cs="Arial"/>
          <w:b/>
          <w:bCs/>
          <w:i/>
          <w:iCs/>
          <w:color w:val="000000"/>
          <w:sz w:val="20"/>
          <w:szCs w:val="20"/>
        </w:rPr>
        <w:t>Actos y contratos de las EICE y las SEM.</w:t>
      </w:r>
      <w:r w:rsidRPr="00026F8A">
        <w:rPr>
          <w:rStyle w:val="apple-converted-space"/>
          <w:rFonts w:ascii="Arial" w:hAnsi="Arial" w:cs="Arial"/>
          <w:i/>
          <w:iCs/>
          <w:color w:val="000000"/>
          <w:sz w:val="20"/>
          <w:szCs w:val="20"/>
        </w:rPr>
        <w:t> </w:t>
      </w:r>
      <w:r w:rsidRPr="00026F8A">
        <w:rPr>
          <w:rFonts w:ascii="Arial" w:hAnsi="Arial" w:cs="Arial"/>
          <w:i/>
          <w:color w:val="000000"/>
          <w:sz w:val="20"/>
          <w:szCs w:val="20"/>
        </w:rPr>
        <w:t>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que se encuentren en competencia con el sector privado nacional o internacional o desarrollen su actividad en mercados regulados, así como aquellas a las que se refiere el artículo</w:t>
      </w:r>
      <w:r w:rsidRPr="00026F8A">
        <w:rPr>
          <w:rStyle w:val="apple-converted-space"/>
          <w:rFonts w:ascii="Arial" w:hAnsi="Arial" w:cs="Arial"/>
          <w:i/>
          <w:color w:val="000000"/>
          <w:sz w:val="20"/>
          <w:szCs w:val="20"/>
        </w:rPr>
        <w:t> 16 </w:t>
      </w:r>
      <w:r w:rsidRPr="00026F8A">
        <w:rPr>
          <w:rFonts w:ascii="Arial" w:hAnsi="Arial" w:cs="Arial"/>
          <w:i/>
          <w:color w:val="000000"/>
          <w:sz w:val="20"/>
          <w:szCs w:val="20"/>
        </w:rPr>
        <w:t>de la Ley 1150 de 2007, se regirán para su contratación por las disposiciones legales y reglamentarias aplicables a su actividad económica y comercial, sin desconocer los principios de la función pública a que se refiere el artículo 209 de la Constitución Política y el régimen de inhabilidades e incompatibilidades del Estatuto General de Contratación de la Administración Pública.</w:t>
      </w:r>
    </w:p>
    <w:p w:rsidR="00133748" w:rsidRPr="00026F8A" w:rsidRDefault="00133748" w:rsidP="003D2150">
      <w:pPr>
        <w:pStyle w:val="NormalWeb"/>
        <w:shd w:val="clear" w:color="auto" w:fill="FFFFFF"/>
        <w:jc w:val="both"/>
        <w:rPr>
          <w:rFonts w:ascii="Arial" w:hAnsi="Arial" w:cs="Arial"/>
          <w:i/>
          <w:color w:val="000000"/>
          <w:sz w:val="20"/>
          <w:szCs w:val="20"/>
        </w:rPr>
      </w:pPr>
      <w:r w:rsidRPr="00026F8A">
        <w:rPr>
          <w:rFonts w:ascii="Arial" w:hAnsi="Arial" w:cs="Arial"/>
          <w:i/>
          <w:color w:val="000000"/>
          <w:sz w:val="20"/>
          <w:szCs w:val="20"/>
        </w:rPr>
        <w:t>Las demás entidades de esa misma naturaleza jurídica aplicarán lo previsto en el literal g)</w:t>
      </w:r>
      <w:r w:rsidRPr="00026F8A">
        <w:rPr>
          <w:rStyle w:val="apple-converted-space"/>
          <w:rFonts w:ascii="Arial" w:hAnsi="Arial" w:cs="Arial"/>
          <w:i/>
          <w:color w:val="000000"/>
          <w:sz w:val="20"/>
          <w:szCs w:val="20"/>
        </w:rPr>
        <w:t> </w:t>
      </w:r>
      <w:r w:rsidRPr="00026F8A">
        <w:rPr>
          <w:rFonts w:ascii="Arial" w:hAnsi="Arial" w:cs="Arial"/>
          <w:i/>
          <w:color w:val="000000"/>
          <w:sz w:val="20"/>
          <w:szCs w:val="20"/>
        </w:rPr>
        <w:t>del numeral 2 del artículo 2° de la Ley 1150 de 2007 en cuyo caso se dará aplicación al procedimiento de selección abreviada de menor cuantía, con excepción de los contratos que a título enunciativo identifica el artículo 32</w:t>
      </w:r>
      <w:r w:rsidRPr="00026F8A">
        <w:rPr>
          <w:rStyle w:val="apple-converted-space"/>
          <w:rFonts w:ascii="Arial" w:hAnsi="Arial" w:cs="Arial"/>
          <w:i/>
          <w:color w:val="000000"/>
          <w:sz w:val="20"/>
          <w:szCs w:val="20"/>
        </w:rPr>
        <w:t> </w:t>
      </w:r>
      <w:r w:rsidRPr="00026F8A">
        <w:rPr>
          <w:rFonts w:ascii="Arial" w:hAnsi="Arial" w:cs="Arial"/>
          <w:i/>
          <w:color w:val="000000"/>
          <w:sz w:val="20"/>
          <w:szCs w:val="20"/>
        </w:rPr>
        <w:t>de la Ley 80 de 1993.</w:t>
      </w:r>
    </w:p>
    <w:p w:rsidR="00133748" w:rsidRPr="00026F8A" w:rsidRDefault="00133748" w:rsidP="003D2150">
      <w:pPr>
        <w:pStyle w:val="NormalWeb"/>
        <w:shd w:val="clear" w:color="auto" w:fill="FFFFFF"/>
        <w:jc w:val="both"/>
        <w:rPr>
          <w:rFonts w:ascii="Arial" w:hAnsi="Arial" w:cs="Arial"/>
          <w:i/>
          <w:color w:val="000000"/>
          <w:sz w:val="20"/>
          <w:szCs w:val="20"/>
        </w:rPr>
      </w:pPr>
      <w:r w:rsidRPr="00026F8A">
        <w:rPr>
          <w:rFonts w:ascii="Arial" w:hAnsi="Arial" w:cs="Arial"/>
          <w:i/>
          <w:color w:val="000000"/>
          <w:sz w:val="20"/>
          <w:szCs w:val="20"/>
        </w:rPr>
        <w:t>Lo anterior sin perjuicio de lo establecido en la Ley 29</w:t>
      </w:r>
      <w:r w:rsidRPr="00026F8A">
        <w:rPr>
          <w:rStyle w:val="apple-converted-space"/>
          <w:rFonts w:ascii="Arial" w:hAnsi="Arial" w:cs="Arial"/>
          <w:i/>
          <w:color w:val="000000"/>
          <w:sz w:val="20"/>
          <w:szCs w:val="20"/>
        </w:rPr>
        <w:t> </w:t>
      </w:r>
      <w:r w:rsidRPr="00026F8A">
        <w:rPr>
          <w:rFonts w:ascii="Arial" w:hAnsi="Arial" w:cs="Arial"/>
          <w:i/>
          <w:color w:val="000000"/>
          <w:sz w:val="20"/>
          <w:szCs w:val="20"/>
        </w:rPr>
        <w:t>de 1990 en materia de contratos de ciencia y tecnología y demás normas pertinentes.”.</w:t>
      </w:r>
    </w:p>
    <w:p w:rsidR="00133748" w:rsidRPr="00026F8A" w:rsidRDefault="00133748" w:rsidP="003D2150">
      <w:pPr>
        <w:pStyle w:val="Textonotapie"/>
        <w:jc w:val="both"/>
        <w:rPr>
          <w:rFonts w:ascii="Arial" w:hAnsi="Arial" w:cs="Arial"/>
          <w:lang w:val="es-CO"/>
        </w:rPr>
      </w:pPr>
    </w:p>
  </w:footnote>
  <w:footnote w:id="21">
    <w:p w:rsidR="00133748" w:rsidRPr="00026F8A" w:rsidRDefault="00133748" w:rsidP="003D2150">
      <w:pPr>
        <w:jc w:val="both"/>
        <w:rPr>
          <w:rFonts w:ascii="Arial" w:hAnsi="Arial" w:cs="Arial"/>
          <w:sz w:val="20"/>
          <w:szCs w:val="20"/>
        </w:rPr>
      </w:pPr>
      <w:r w:rsidRPr="00026F8A">
        <w:rPr>
          <w:rStyle w:val="Refdenotaalpie"/>
          <w:rFonts w:ascii="Arial" w:hAnsi="Arial" w:cs="Arial"/>
          <w:i/>
          <w:sz w:val="20"/>
          <w:szCs w:val="20"/>
        </w:rPr>
        <w:footnoteRef/>
      </w:r>
      <w:r w:rsidRPr="00026F8A">
        <w:rPr>
          <w:rFonts w:ascii="Arial" w:hAnsi="Arial" w:cs="Arial"/>
          <w:i/>
          <w:sz w:val="20"/>
          <w:szCs w:val="20"/>
        </w:rPr>
        <w:t xml:space="preserve"> «Radicación No. 11001-03-15-000-2015-01471-01, Accionante: Jaime Rodríguez Forero; Accionado: Consejo de Estado, Sección Segunda, Subsección “A”. </w:t>
      </w:r>
      <w:r w:rsidRPr="00026F8A">
        <w:rPr>
          <w:rFonts w:ascii="Arial" w:hAnsi="Arial" w:cs="Arial"/>
          <w:b/>
          <w:i/>
          <w:sz w:val="20"/>
          <w:szCs w:val="20"/>
        </w:rPr>
        <w:t>Consejera Ponente: Lucy Jeannette Bermúdez Bermúdez</w:t>
      </w:r>
      <w:r w:rsidRPr="00026F8A">
        <w:rPr>
          <w:rFonts w:ascii="Arial" w:hAnsi="Arial" w:cs="Arial"/>
          <w:i/>
          <w:sz w:val="20"/>
          <w:szCs w:val="20"/>
        </w:rPr>
        <w:t>»</w:t>
      </w:r>
      <w:r w:rsidRPr="00026F8A">
        <w:rPr>
          <w:rFonts w:ascii="Arial" w:hAnsi="Arial" w:cs="Arial"/>
          <w:sz w:val="20"/>
          <w:szCs w:val="20"/>
        </w:rPr>
        <w:t>. Negrilla es del original.</w:t>
      </w:r>
    </w:p>
  </w:footnote>
  <w:footnote w:id="22">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Para esta disertación se fundamenta en los artículos 16 y 27 de la Ley 80 de 1993 que prevén que en los casos de alteración del equilibrio económico del contrato, las partes pueden convenir lo necesario para restablecerlo, suscribiendo “</w:t>
      </w:r>
      <w:r w:rsidRPr="00026F8A">
        <w:rPr>
          <w:rFonts w:ascii="Arial" w:hAnsi="Arial" w:cs="Arial"/>
          <w:i/>
          <w:lang w:val="es-CO"/>
        </w:rPr>
        <w:t>los acuerdos y pactos necesarios sobre cuantía, condiciones y forma de pago de gastos adicionales, reconocimiento de costos financieros e intereses, si a ello hubiere lugar…</w:t>
      </w:r>
      <w:r w:rsidRPr="00026F8A">
        <w:rPr>
          <w:rFonts w:ascii="Arial" w:hAnsi="Arial" w:cs="Arial"/>
          <w:lang w:val="es-CO"/>
        </w:rPr>
        <w:t>”.</w:t>
      </w:r>
    </w:p>
  </w:footnote>
  <w:footnote w:id="23">
    <w:p w:rsidR="00133748" w:rsidRPr="00026F8A" w:rsidRDefault="00133748" w:rsidP="003D2150">
      <w:pPr>
        <w:pStyle w:val="NormalWeb"/>
        <w:shd w:val="clear" w:color="auto" w:fill="FFFFFF"/>
        <w:jc w:val="both"/>
        <w:rPr>
          <w:rFonts w:ascii="Arial" w:eastAsia="Times New Roman" w:hAnsi="Arial" w:cs="Arial"/>
          <w:i/>
          <w:color w:val="000000"/>
          <w:sz w:val="20"/>
          <w:szCs w:val="20"/>
          <w:lang w:eastAsia="es-CO"/>
        </w:rPr>
      </w:pPr>
      <w:r w:rsidRPr="00026F8A">
        <w:rPr>
          <w:rStyle w:val="Refdenotaalpie"/>
          <w:rFonts w:ascii="Arial" w:hAnsi="Arial" w:cs="Arial"/>
          <w:i/>
          <w:sz w:val="20"/>
          <w:szCs w:val="20"/>
        </w:rPr>
        <w:footnoteRef/>
      </w:r>
      <w:r w:rsidRPr="00026F8A">
        <w:rPr>
          <w:rFonts w:ascii="Arial" w:hAnsi="Arial" w:cs="Arial"/>
          <w:i/>
          <w:sz w:val="20"/>
          <w:szCs w:val="20"/>
        </w:rPr>
        <w:t xml:space="preserve"> </w:t>
      </w:r>
      <w:r w:rsidRPr="00026F8A">
        <w:rPr>
          <w:rFonts w:ascii="Arial" w:hAnsi="Arial" w:cs="Arial"/>
          <w:b/>
          <w:i/>
          <w:sz w:val="20"/>
          <w:szCs w:val="20"/>
        </w:rPr>
        <w:t>“</w:t>
      </w:r>
      <w:r w:rsidRPr="00026F8A">
        <w:rPr>
          <w:rFonts w:ascii="Arial" w:eastAsia="Times New Roman" w:hAnsi="Arial" w:cs="Arial"/>
          <w:b/>
          <w:bCs/>
          <w:i/>
          <w:color w:val="000000"/>
          <w:sz w:val="20"/>
          <w:szCs w:val="20"/>
          <w:lang w:eastAsia="es-CO"/>
        </w:rPr>
        <w:t>Artículo 16.- </w:t>
      </w:r>
      <w:r w:rsidRPr="00026F8A">
        <w:rPr>
          <w:rFonts w:ascii="Arial" w:eastAsia="Times New Roman" w:hAnsi="Arial" w:cs="Arial"/>
          <w:b/>
          <w:i/>
          <w:iCs/>
          <w:color w:val="000000"/>
          <w:sz w:val="20"/>
          <w:szCs w:val="20"/>
          <w:lang w:eastAsia="es-CO"/>
        </w:rPr>
        <w:t>De la Modificación Unilateral</w:t>
      </w:r>
      <w:r w:rsidRPr="00026F8A">
        <w:rPr>
          <w:rFonts w:ascii="Arial" w:eastAsia="Times New Roman" w:hAnsi="Arial" w:cs="Arial"/>
          <w:i/>
          <w:iCs/>
          <w:color w:val="000000"/>
          <w:sz w:val="20"/>
          <w:szCs w:val="20"/>
          <w:lang w:eastAsia="es-CO"/>
        </w:rPr>
        <w:t>.</w:t>
      </w:r>
      <w:r w:rsidRPr="00026F8A">
        <w:rPr>
          <w:rFonts w:ascii="Arial" w:eastAsia="Times New Roman" w:hAnsi="Arial" w:cs="Arial"/>
          <w:i/>
          <w:color w:val="000000"/>
          <w:sz w:val="20"/>
          <w:szCs w:val="20"/>
          <w:lang w:eastAsia="es-CO"/>
        </w:rPr>
        <w:t xml:space="preserve"> Si durante la ejecución del contrato y para evitar la paralización o la afectación grave del servicio público que se deba satisfacer con él, </w:t>
      </w:r>
      <w:r w:rsidRPr="00026F8A">
        <w:rPr>
          <w:rFonts w:ascii="Arial" w:eastAsia="Times New Roman" w:hAnsi="Arial" w:cs="Arial"/>
          <w:b/>
          <w:i/>
          <w:color w:val="000000"/>
          <w:sz w:val="20"/>
          <w:szCs w:val="20"/>
          <w:u w:val="single"/>
          <w:lang w:eastAsia="es-CO"/>
        </w:rPr>
        <w:t>fuere necesario introducir variaciones en el contrato y previamente las partes no llegan al acuerdo respectivo, la entidad en acto administrativo debidamente motivado, lo modificará mediante la supresión o adición de obras, trabajos, suministros o servicios</w:t>
      </w:r>
      <w:r w:rsidRPr="00026F8A">
        <w:rPr>
          <w:rFonts w:ascii="Arial" w:eastAsia="Times New Roman" w:hAnsi="Arial" w:cs="Arial"/>
          <w:i/>
          <w:color w:val="000000"/>
          <w:sz w:val="20"/>
          <w:szCs w:val="20"/>
          <w:lang w:eastAsia="es-CO"/>
        </w:rPr>
        <w:t>.</w:t>
      </w:r>
    </w:p>
    <w:p w:rsidR="00133748" w:rsidRPr="00026F8A" w:rsidRDefault="00133748" w:rsidP="003D2150">
      <w:pPr>
        <w:shd w:val="clear" w:color="auto" w:fill="FFFFFF"/>
        <w:jc w:val="both"/>
        <w:rPr>
          <w:rFonts w:ascii="Arial" w:hAnsi="Arial" w:cs="Arial"/>
          <w:i/>
          <w:sz w:val="20"/>
          <w:szCs w:val="20"/>
        </w:rPr>
      </w:pPr>
      <w:r w:rsidRPr="00026F8A">
        <w:rPr>
          <w:rFonts w:ascii="Arial" w:eastAsia="Times New Roman" w:hAnsi="Arial" w:cs="Arial"/>
          <w:b/>
          <w:i/>
          <w:color w:val="000000"/>
          <w:sz w:val="20"/>
          <w:szCs w:val="20"/>
          <w:u w:val="single"/>
          <w:lang w:eastAsia="es-CO"/>
        </w:rPr>
        <w:t>Si las modificaciones alteran el valor del contrato en veinte por ciento (20%) o más del valor inicial, el contratista podrá renunciar a la continuación de la ejecución</w:t>
      </w:r>
      <w:r w:rsidRPr="00026F8A">
        <w:rPr>
          <w:rFonts w:ascii="Arial" w:eastAsia="Times New Roman" w:hAnsi="Arial" w:cs="Arial"/>
          <w:i/>
          <w:color w:val="000000"/>
          <w:sz w:val="20"/>
          <w:szCs w:val="20"/>
          <w:lang w:eastAsia="es-CO"/>
        </w:rPr>
        <w:t>. En este evento, se ordenará la liquidación del contrato y la entidad adoptará de manera inmediata las medidas que fueren necesarias para garantizar la terminación del objeto del mismo”.</w:t>
      </w:r>
    </w:p>
  </w:footnote>
  <w:footnote w:id="24">
    <w:p w:rsidR="00133748" w:rsidRPr="00026F8A" w:rsidRDefault="00133748" w:rsidP="003D2150">
      <w:pPr>
        <w:pStyle w:val="NormalWeb"/>
        <w:shd w:val="clear" w:color="auto" w:fill="FFFFFF"/>
        <w:jc w:val="both"/>
        <w:rPr>
          <w:rFonts w:ascii="Arial" w:eastAsia="Times New Roman" w:hAnsi="Arial" w:cs="Arial"/>
          <w:i/>
          <w:color w:val="000000"/>
          <w:sz w:val="20"/>
          <w:szCs w:val="20"/>
          <w:lang w:eastAsia="es-CO"/>
        </w:rPr>
      </w:pPr>
      <w:r w:rsidRPr="00026F8A">
        <w:rPr>
          <w:rStyle w:val="Refdenotaalpie"/>
          <w:rFonts w:ascii="Arial" w:hAnsi="Arial" w:cs="Arial"/>
          <w:i/>
          <w:sz w:val="20"/>
          <w:szCs w:val="20"/>
        </w:rPr>
        <w:footnoteRef/>
      </w:r>
      <w:r w:rsidRPr="00026F8A">
        <w:rPr>
          <w:rFonts w:ascii="Arial" w:hAnsi="Arial" w:cs="Arial"/>
          <w:i/>
          <w:sz w:val="20"/>
          <w:szCs w:val="20"/>
        </w:rPr>
        <w:t xml:space="preserve"> </w:t>
      </w:r>
      <w:r w:rsidRPr="00026F8A">
        <w:rPr>
          <w:rFonts w:ascii="Arial" w:eastAsia="Times New Roman" w:hAnsi="Arial" w:cs="Arial"/>
          <w:b/>
          <w:bCs/>
          <w:i/>
          <w:color w:val="000000"/>
          <w:sz w:val="20"/>
          <w:szCs w:val="20"/>
          <w:lang w:eastAsia="es-CO"/>
        </w:rPr>
        <w:t> </w:t>
      </w:r>
      <w:r w:rsidRPr="00026F8A">
        <w:rPr>
          <w:rFonts w:ascii="Arial" w:eastAsia="Times New Roman" w:hAnsi="Arial" w:cs="Arial"/>
          <w:bCs/>
          <w:i/>
          <w:color w:val="000000"/>
          <w:sz w:val="20"/>
          <w:szCs w:val="20"/>
          <w:lang w:eastAsia="es-CO"/>
        </w:rPr>
        <w:t>“</w:t>
      </w:r>
      <w:r w:rsidRPr="00026F8A">
        <w:rPr>
          <w:rFonts w:ascii="Arial" w:eastAsia="Times New Roman" w:hAnsi="Arial" w:cs="Arial"/>
          <w:b/>
          <w:bCs/>
          <w:i/>
          <w:color w:val="000000"/>
          <w:sz w:val="20"/>
          <w:szCs w:val="20"/>
          <w:lang w:eastAsia="es-CO"/>
        </w:rPr>
        <w:t>Artículo 27.- </w:t>
      </w:r>
      <w:r w:rsidRPr="00026F8A">
        <w:rPr>
          <w:rFonts w:ascii="Arial" w:eastAsia="Times New Roman" w:hAnsi="Arial" w:cs="Arial"/>
          <w:b/>
          <w:i/>
          <w:iCs/>
          <w:color w:val="000000"/>
          <w:sz w:val="20"/>
          <w:szCs w:val="20"/>
          <w:lang w:eastAsia="es-CO"/>
        </w:rPr>
        <w:t>De la Ecuación Contractual</w:t>
      </w:r>
      <w:r w:rsidRPr="00026F8A">
        <w:rPr>
          <w:rFonts w:ascii="Arial" w:eastAsia="Times New Roman" w:hAnsi="Arial" w:cs="Arial"/>
          <w:i/>
          <w:color w:val="000000"/>
          <w:sz w:val="20"/>
          <w:szCs w:val="20"/>
          <w:lang w:eastAsia="es-CO"/>
        </w:rPr>
        <w:t xml:space="preserve">. En los contratos estatales se mantendrá la igualdad o equivalencia entre derechos y obligaciones surgidos al momento de proponer o de contratar, según el caso. </w:t>
      </w:r>
      <w:r w:rsidRPr="00026F8A">
        <w:rPr>
          <w:rFonts w:ascii="Arial" w:eastAsia="Times New Roman" w:hAnsi="Arial" w:cs="Arial"/>
          <w:b/>
          <w:i/>
          <w:color w:val="000000"/>
          <w:sz w:val="20"/>
          <w:szCs w:val="20"/>
          <w:u w:val="single"/>
          <w:lang w:eastAsia="es-CO"/>
        </w:rPr>
        <w:t>Si dicha igualdad o equivalencia se rompe por causas no imputables a quien resulte afectado, las partes adoptarán en el menor tiempo posible las medidas necesarias para su restablecimiento</w:t>
      </w:r>
      <w:r w:rsidRPr="00026F8A">
        <w:rPr>
          <w:rFonts w:ascii="Arial" w:eastAsia="Times New Roman" w:hAnsi="Arial" w:cs="Arial"/>
          <w:i/>
          <w:color w:val="000000"/>
          <w:sz w:val="20"/>
          <w:szCs w:val="20"/>
          <w:lang w:eastAsia="es-CO"/>
        </w:rPr>
        <w:t>.</w:t>
      </w:r>
    </w:p>
    <w:p w:rsidR="00133748" w:rsidRPr="00026F8A" w:rsidRDefault="00133748" w:rsidP="003D2150">
      <w:pPr>
        <w:shd w:val="clear" w:color="auto" w:fill="FFFFFF"/>
        <w:jc w:val="both"/>
        <w:rPr>
          <w:rFonts w:ascii="Arial" w:eastAsia="Times New Roman" w:hAnsi="Arial" w:cs="Arial"/>
          <w:i/>
          <w:color w:val="000000"/>
          <w:sz w:val="20"/>
          <w:szCs w:val="20"/>
          <w:lang w:eastAsia="es-CO"/>
        </w:rPr>
      </w:pPr>
      <w:r w:rsidRPr="00026F8A">
        <w:rPr>
          <w:rFonts w:ascii="Arial" w:eastAsia="Times New Roman" w:hAnsi="Arial" w:cs="Arial"/>
          <w:i/>
          <w:color w:val="000000"/>
          <w:sz w:val="20"/>
          <w:szCs w:val="20"/>
          <w:lang w:eastAsia="es-CO"/>
        </w:rPr>
        <w:t xml:space="preserve">Para tales efectos, las </w:t>
      </w:r>
      <w:r w:rsidRPr="00026F8A">
        <w:rPr>
          <w:rFonts w:ascii="Arial" w:eastAsia="Times New Roman" w:hAnsi="Arial" w:cs="Arial"/>
          <w:b/>
          <w:i/>
          <w:color w:val="000000"/>
          <w:sz w:val="20"/>
          <w:szCs w:val="20"/>
          <w:u w:val="single"/>
          <w:lang w:eastAsia="es-CO"/>
        </w:rPr>
        <w:t>partes suscribirán los acuerdos y pactos necesarios sobre cuantías, condiciones y forma de pago de gastos adicionales, reconocimiento de costos financieros e intereses, si a ello hubiere lugar</w:t>
      </w:r>
      <w:r w:rsidRPr="00026F8A">
        <w:rPr>
          <w:rFonts w:ascii="Arial" w:eastAsia="Times New Roman" w:hAnsi="Arial" w:cs="Arial"/>
          <w:i/>
          <w:color w:val="000000"/>
          <w:sz w:val="20"/>
          <w:szCs w:val="20"/>
          <w:lang w:eastAsia="es-CO"/>
        </w:rPr>
        <w:t>, ajustando la cancelación a las disponibilidades de la apropiación de que trata el numeral 14 del artículo 25. En todo caso, las entidades deberán adoptar las medidas necesarias que aseguren la efectividad de estos pagos y reconocimientos al contratista en la misma o en la siguiente vigencia de que se trate</w:t>
      </w:r>
      <w:r w:rsidRPr="00026F8A">
        <w:rPr>
          <w:rFonts w:ascii="Arial" w:eastAsia="Times New Roman" w:hAnsi="Arial" w:cs="Arial"/>
          <w:b/>
          <w:bCs/>
          <w:i/>
          <w:color w:val="000000"/>
          <w:sz w:val="20"/>
          <w:szCs w:val="20"/>
          <w:lang w:eastAsia="es-CO"/>
        </w:rPr>
        <w:t>.”.</w:t>
      </w:r>
    </w:p>
    <w:p w:rsidR="00133748" w:rsidRPr="00026F8A" w:rsidRDefault="00133748" w:rsidP="003D2150">
      <w:pPr>
        <w:pStyle w:val="Textonotapie"/>
        <w:jc w:val="both"/>
        <w:rPr>
          <w:rFonts w:ascii="Arial" w:hAnsi="Arial" w:cs="Arial"/>
          <w:lang w:val="es-CO"/>
        </w:rPr>
      </w:pPr>
    </w:p>
  </w:footnote>
  <w:footnote w:id="25">
    <w:p w:rsidR="00133748" w:rsidRPr="00026F8A" w:rsidRDefault="00133748" w:rsidP="003D2150">
      <w:pPr>
        <w:pStyle w:val="Textonotapie"/>
        <w:jc w:val="both"/>
        <w:rPr>
          <w:rFonts w:ascii="Arial" w:hAnsi="Arial" w:cs="Arial"/>
          <w:i/>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La CLÁUSULA 8ª contiene el tema de las garantías. “</w:t>
      </w:r>
      <w:r w:rsidRPr="00026F8A">
        <w:rPr>
          <w:rFonts w:ascii="Arial" w:hAnsi="Arial" w:cs="Arial"/>
          <w:i/>
          <w:lang w:val="es-CO"/>
        </w:rPr>
        <w:t>El Constructor, se obliga a presentar a la GESTORA URBANA DEL MUNICIPIO DE IBAGUÉ, a través de una compañía de seguros legalmente establecida en Colombia, a otorgar la Póliza Única de Cumplimiento que cubre los siguientes riesgos o amparos (…) 3. Calidad y cantidad de la obra – Garantiza la correcta ejecución del proyecto de vivienda conforme a las cantidades y calidades de los materiales utilizados en la construcción de las viviendas y según las especificaciones técnicas contenidas en la propuesta y el proyecto para la construcción y respalda las reclamaciones posteriores que realicen sus adjudicatarios, en cuantía igual al 20% del valor del convenio por el término de este y tres años más”.</w:t>
      </w:r>
    </w:p>
  </w:footnote>
  <w:footnote w:id="26">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 xml:space="preserve">Esa cláusula 9 del Contrato 002 de febrero de 2007, dice: </w:t>
      </w:r>
      <w:r w:rsidRPr="00026F8A">
        <w:rPr>
          <w:rFonts w:ascii="Arial" w:hAnsi="Arial" w:cs="Arial"/>
          <w:i/>
          <w:lang w:val="es-CO"/>
        </w:rPr>
        <w:t>“PLAZO DE VIGENCIA DEL CONVENIO. El presente convenio tendrá un plazo de VEINTICUATRO MESES (24) contados a partir de la firma del presente convenio y aprobación de sus pólizas. La vigencia del convenio se podrá extender o reducir de común acuerdo con la ejecución y desarrollo del mismo y se entenderá vigente hasta la firma del acta de liquidación final y la entrega total de las viviendas a los hogares beneficiados a entera satisfacción”</w:t>
      </w:r>
      <w:r w:rsidRPr="00026F8A">
        <w:rPr>
          <w:rFonts w:ascii="Arial" w:hAnsi="Arial" w:cs="Arial"/>
          <w:lang w:val="es-CO"/>
        </w:rPr>
        <w:t>.</w:t>
      </w:r>
    </w:p>
  </w:footnote>
  <w:footnote w:id="27">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 xml:space="preserve">Esta cláusula en su literalidad contiene las OBLIGACIONES DE LAS PARTES y frente al CONSTRUCTOR., en el contrato inicial llegan al numeral 10. </w:t>
      </w:r>
    </w:p>
  </w:footnote>
  <w:footnote w:id="28">
    <w:p w:rsidR="00133748" w:rsidRPr="00026F8A" w:rsidRDefault="00133748" w:rsidP="003D2150">
      <w:pPr>
        <w:jc w:val="both"/>
        <w:rPr>
          <w:rFonts w:ascii="Arial" w:hAnsi="Arial" w:cs="Arial"/>
          <w:sz w:val="20"/>
          <w:szCs w:val="20"/>
        </w:rPr>
      </w:pPr>
      <w:r w:rsidRPr="00026F8A">
        <w:rPr>
          <w:rStyle w:val="Refdenotaalpie"/>
          <w:rFonts w:ascii="Arial" w:hAnsi="Arial" w:cs="Arial"/>
          <w:sz w:val="20"/>
          <w:szCs w:val="20"/>
        </w:rPr>
        <w:footnoteRef/>
      </w:r>
      <w:r w:rsidRPr="00026F8A">
        <w:rPr>
          <w:rFonts w:ascii="Arial" w:hAnsi="Arial" w:cs="Arial"/>
          <w:sz w:val="20"/>
          <w:szCs w:val="20"/>
        </w:rPr>
        <w:t xml:space="preserve"> </w:t>
      </w:r>
      <w:r w:rsidRPr="00026F8A">
        <w:rPr>
          <w:rFonts w:ascii="Arial" w:hAnsi="Arial" w:cs="Arial"/>
          <w:color w:val="000000"/>
          <w:sz w:val="20"/>
          <w:szCs w:val="20"/>
          <w:shd w:val="clear" w:color="auto" w:fill="FFFFFF"/>
        </w:rPr>
        <w:t xml:space="preserve">Sobre el punto se recuerda que el Consejo de Estado ha sido unívoco en considerar que el convenio asociativo es un contrato estatal regido por las leyes propias de los contratos estatales, en este caso la Ley 80 de 1993. </w:t>
      </w:r>
      <w:r w:rsidRPr="00026F8A">
        <w:rPr>
          <w:rFonts w:ascii="Arial" w:hAnsi="Arial" w:cs="Arial"/>
          <w:sz w:val="20"/>
          <w:szCs w:val="20"/>
        </w:rPr>
        <w:t xml:space="preserve">Sección Tercera. Sentencia de 28 de mayo de 2015. Radicación número: 76001-23-31-000-2005-04718-01(36881). Actor: INSTITUTO MUNICIPAL DE REFORMA URBANA Y DE VIVIENDA – IMVIYUMBO. Demandado: RUIZ AREVALO CONSTRUCTORA S.A. Y OTRA. C.P. Jaime Orlando Santofimio. SECCIÓN QUINTA, sentencia de 15 de julio de 2004. Radicación numero: 76001-23-31-000-2003-4288-01(3379). Actor: JESÚS HERNÁN POSSO CASTRO. Demandado: CONCEJAL DEL MUNICIPIO DE PRADERA. C.P. Dra. María Nohemí Hernández Pinzón. </w:t>
      </w:r>
    </w:p>
    <w:p w:rsidR="00133748" w:rsidRPr="00026F8A" w:rsidRDefault="00133748" w:rsidP="003D2150">
      <w:pPr>
        <w:pStyle w:val="Textonotapie"/>
        <w:jc w:val="both"/>
        <w:rPr>
          <w:rFonts w:ascii="Arial" w:hAnsi="Arial" w:cs="Arial"/>
          <w:lang w:val="es-CO"/>
        </w:rPr>
      </w:pPr>
    </w:p>
  </w:footnote>
  <w:footnote w:id="29">
    <w:p w:rsidR="00133748" w:rsidRPr="00026F8A" w:rsidRDefault="00133748" w:rsidP="003D2150">
      <w:pPr>
        <w:pStyle w:val="Textonotapie"/>
        <w:jc w:val="both"/>
        <w:rPr>
          <w:rFonts w:ascii="Arial" w:hAnsi="Arial" w:cs="Arial"/>
          <w:lang w:val="es-CO"/>
        </w:rPr>
      </w:pPr>
      <w:r w:rsidRPr="00026F8A">
        <w:rPr>
          <w:rStyle w:val="Refdenotaalpie"/>
          <w:rFonts w:ascii="Arial" w:hAnsi="Arial" w:cs="Arial"/>
        </w:rPr>
        <w:footnoteRef/>
      </w:r>
      <w:r w:rsidRPr="00026F8A">
        <w:rPr>
          <w:rFonts w:ascii="Arial" w:hAnsi="Arial" w:cs="Arial"/>
        </w:rPr>
        <w:t xml:space="preserve"> </w:t>
      </w:r>
      <w:r w:rsidRPr="00026F8A">
        <w:rPr>
          <w:rFonts w:ascii="Arial" w:hAnsi="Arial" w:cs="Arial"/>
          <w:lang w:val="es-CO"/>
        </w:rPr>
        <w:t>Sentencia de 14 de septiembre de 2014. Exp. 27.648. C.P. Dr. Enrique Gil Botero.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70FEB"/>
    <w:multiLevelType w:val="hybridMultilevel"/>
    <w:tmpl w:val="6F06D9EE"/>
    <w:lvl w:ilvl="0" w:tplc="217AA960">
      <w:start w:val="2"/>
      <w:numFmt w:val="bullet"/>
      <w:lvlText w:val="-"/>
      <w:lvlJc w:val="left"/>
      <w:pPr>
        <w:ind w:left="927" w:hanging="360"/>
      </w:pPr>
      <w:rPr>
        <w:rFonts w:ascii="Arial" w:eastAsia="Times New Roman" w:hAnsi="Arial" w:cs="Arial" w:hint="default"/>
      </w:rPr>
    </w:lvl>
    <w:lvl w:ilvl="1" w:tplc="240A0003" w:tentative="1">
      <w:start w:val="1"/>
      <w:numFmt w:val="bullet"/>
      <w:lvlText w:val="o"/>
      <w:lvlJc w:val="left"/>
      <w:pPr>
        <w:ind w:left="1647" w:hanging="360"/>
      </w:pPr>
      <w:rPr>
        <w:rFonts w:ascii="Courier New" w:hAnsi="Courier New" w:cs="Courier New" w:hint="default"/>
      </w:rPr>
    </w:lvl>
    <w:lvl w:ilvl="2" w:tplc="240A0005" w:tentative="1">
      <w:start w:val="1"/>
      <w:numFmt w:val="bullet"/>
      <w:lvlText w:val=""/>
      <w:lvlJc w:val="left"/>
      <w:pPr>
        <w:ind w:left="2367" w:hanging="360"/>
      </w:pPr>
      <w:rPr>
        <w:rFonts w:ascii="Wingdings" w:hAnsi="Wingdings" w:hint="default"/>
      </w:rPr>
    </w:lvl>
    <w:lvl w:ilvl="3" w:tplc="240A0001" w:tentative="1">
      <w:start w:val="1"/>
      <w:numFmt w:val="bullet"/>
      <w:lvlText w:val=""/>
      <w:lvlJc w:val="left"/>
      <w:pPr>
        <w:ind w:left="3087" w:hanging="360"/>
      </w:pPr>
      <w:rPr>
        <w:rFonts w:ascii="Symbol" w:hAnsi="Symbol" w:hint="default"/>
      </w:rPr>
    </w:lvl>
    <w:lvl w:ilvl="4" w:tplc="240A0003" w:tentative="1">
      <w:start w:val="1"/>
      <w:numFmt w:val="bullet"/>
      <w:lvlText w:val="o"/>
      <w:lvlJc w:val="left"/>
      <w:pPr>
        <w:ind w:left="3807" w:hanging="360"/>
      </w:pPr>
      <w:rPr>
        <w:rFonts w:ascii="Courier New" w:hAnsi="Courier New" w:cs="Courier New" w:hint="default"/>
      </w:rPr>
    </w:lvl>
    <w:lvl w:ilvl="5" w:tplc="240A0005" w:tentative="1">
      <w:start w:val="1"/>
      <w:numFmt w:val="bullet"/>
      <w:lvlText w:val=""/>
      <w:lvlJc w:val="left"/>
      <w:pPr>
        <w:ind w:left="4527" w:hanging="360"/>
      </w:pPr>
      <w:rPr>
        <w:rFonts w:ascii="Wingdings" w:hAnsi="Wingdings" w:hint="default"/>
      </w:rPr>
    </w:lvl>
    <w:lvl w:ilvl="6" w:tplc="240A0001" w:tentative="1">
      <w:start w:val="1"/>
      <w:numFmt w:val="bullet"/>
      <w:lvlText w:val=""/>
      <w:lvlJc w:val="left"/>
      <w:pPr>
        <w:ind w:left="5247" w:hanging="360"/>
      </w:pPr>
      <w:rPr>
        <w:rFonts w:ascii="Symbol" w:hAnsi="Symbol" w:hint="default"/>
      </w:rPr>
    </w:lvl>
    <w:lvl w:ilvl="7" w:tplc="240A0003" w:tentative="1">
      <w:start w:val="1"/>
      <w:numFmt w:val="bullet"/>
      <w:lvlText w:val="o"/>
      <w:lvlJc w:val="left"/>
      <w:pPr>
        <w:ind w:left="5967" w:hanging="360"/>
      </w:pPr>
      <w:rPr>
        <w:rFonts w:ascii="Courier New" w:hAnsi="Courier New" w:cs="Courier New" w:hint="default"/>
      </w:rPr>
    </w:lvl>
    <w:lvl w:ilvl="8" w:tplc="240A0005" w:tentative="1">
      <w:start w:val="1"/>
      <w:numFmt w:val="bullet"/>
      <w:lvlText w:val=""/>
      <w:lvlJc w:val="left"/>
      <w:pPr>
        <w:ind w:left="6687" w:hanging="360"/>
      </w:pPr>
      <w:rPr>
        <w:rFonts w:ascii="Wingdings" w:hAnsi="Wingdings" w:hint="default"/>
      </w:rPr>
    </w:lvl>
  </w:abstractNum>
  <w:abstractNum w:abstractNumId="1" w15:restartNumberingAfterBreak="0">
    <w:nsid w:val="1F332F72"/>
    <w:multiLevelType w:val="multilevel"/>
    <w:tmpl w:val="A2AE71D8"/>
    <w:lvl w:ilvl="0">
      <w:start w:val="1"/>
      <w:numFmt w:val="upperRoman"/>
      <w:lvlText w:val="%1."/>
      <w:lvlJc w:val="left"/>
      <w:pPr>
        <w:ind w:left="1080" w:hanging="720"/>
      </w:pPr>
      <w:rPr>
        <w:rFonts w:cs="Times New Roman" w:hint="default"/>
      </w:rPr>
    </w:lvl>
    <w:lvl w:ilvl="1">
      <w:start w:val="1"/>
      <w:numFmt w:val="decimal"/>
      <w:isLgl/>
      <w:lvlText w:val="%1.%2."/>
      <w:lvlJc w:val="left"/>
      <w:pPr>
        <w:ind w:left="143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346F39CB"/>
    <w:multiLevelType w:val="hybridMultilevel"/>
    <w:tmpl w:val="78722542"/>
    <w:lvl w:ilvl="0" w:tplc="605E7066">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44B04416"/>
    <w:multiLevelType w:val="hybridMultilevel"/>
    <w:tmpl w:val="DF5C461A"/>
    <w:lvl w:ilvl="0" w:tplc="A10AA704">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459F3811"/>
    <w:multiLevelType w:val="hybridMultilevel"/>
    <w:tmpl w:val="6246A0F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466E2E83"/>
    <w:multiLevelType w:val="hybridMultilevel"/>
    <w:tmpl w:val="07CA0D20"/>
    <w:lvl w:ilvl="0" w:tplc="8C1CAF20">
      <w:start w:val="1"/>
      <w:numFmt w:val="lowerRoman"/>
      <w:lvlText w:val="(%1)"/>
      <w:lvlJc w:val="left"/>
      <w:pPr>
        <w:ind w:left="720" w:hanging="72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6" w15:restartNumberingAfterBreak="0">
    <w:nsid w:val="50481444"/>
    <w:multiLevelType w:val="hybridMultilevel"/>
    <w:tmpl w:val="78722542"/>
    <w:lvl w:ilvl="0" w:tplc="605E7066">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7" w15:restartNumberingAfterBreak="0">
    <w:nsid w:val="52652D99"/>
    <w:multiLevelType w:val="hybridMultilevel"/>
    <w:tmpl w:val="08ACE904"/>
    <w:lvl w:ilvl="0" w:tplc="AD064B5A">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15:restartNumberingAfterBreak="0">
    <w:nsid w:val="574244DF"/>
    <w:multiLevelType w:val="hybridMultilevel"/>
    <w:tmpl w:val="08BC7AA6"/>
    <w:lvl w:ilvl="0" w:tplc="B9DC9DA4">
      <w:start w:val="1"/>
      <w:numFmt w:val="lowerRoman"/>
      <w:lvlText w:val="(%1)"/>
      <w:lvlJc w:val="left"/>
      <w:pPr>
        <w:ind w:left="720" w:hanging="720"/>
      </w:pPr>
      <w:rPr>
        <w:i w:val="0"/>
        <w:sz w:val="24"/>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9" w15:restartNumberingAfterBreak="0">
    <w:nsid w:val="5880637C"/>
    <w:multiLevelType w:val="hybridMultilevel"/>
    <w:tmpl w:val="B10E0A0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E656C2C"/>
    <w:multiLevelType w:val="multilevel"/>
    <w:tmpl w:val="A2E8390E"/>
    <w:lvl w:ilvl="0">
      <w:start w:val="1"/>
      <w:numFmt w:val="upperRoman"/>
      <w:lvlText w:val="%1."/>
      <w:lvlJc w:val="left"/>
      <w:pPr>
        <w:ind w:left="1080" w:hanging="720"/>
      </w:pPr>
      <w:rPr>
        <w:b/>
      </w:rPr>
    </w:lvl>
    <w:lvl w:ilvl="1">
      <w:start w:val="5"/>
      <w:numFmt w:val="decimal"/>
      <w:isLgl/>
      <w:lvlText w:val="%1.%2."/>
      <w:lvlJc w:val="left"/>
      <w:pPr>
        <w:ind w:left="1080" w:hanging="720"/>
      </w:pPr>
    </w:lvl>
    <w:lvl w:ilvl="2">
      <w:start w:val="1"/>
      <w:numFmt w:val="decimal"/>
      <w:isLgl/>
      <w:lvlText w:val="%1.%2.%3."/>
      <w:lvlJc w:val="left"/>
      <w:pPr>
        <w:ind w:left="1080" w:hanging="720"/>
      </w:pPr>
      <w:rPr>
        <w:b/>
      </w:r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1" w15:restartNumberingAfterBreak="0">
    <w:nsid w:val="73FA0BF6"/>
    <w:multiLevelType w:val="hybridMultilevel"/>
    <w:tmpl w:val="740C6F6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2" w15:restartNumberingAfterBreak="0">
    <w:nsid w:val="7AA96727"/>
    <w:multiLevelType w:val="multilevel"/>
    <w:tmpl w:val="7316ADC8"/>
    <w:lvl w:ilvl="0">
      <w:start w:val="1"/>
      <w:numFmt w:val="decimal"/>
      <w:lvlText w:val="%1."/>
      <w:lvlJc w:val="left"/>
      <w:pPr>
        <w:ind w:left="390" w:hanging="390"/>
      </w:pPr>
      <w:rPr>
        <w:rFonts w:eastAsia="Times New Roman"/>
        <w:b w:val="0"/>
      </w:rPr>
    </w:lvl>
    <w:lvl w:ilvl="1">
      <w:start w:val="1"/>
      <w:numFmt w:val="decimal"/>
      <w:lvlText w:val="%1.%2."/>
      <w:lvlJc w:val="left"/>
      <w:pPr>
        <w:ind w:left="720" w:hanging="720"/>
      </w:pPr>
      <w:rPr>
        <w:rFonts w:eastAsia="Times New Roman"/>
        <w:b/>
      </w:rPr>
    </w:lvl>
    <w:lvl w:ilvl="2">
      <w:start w:val="1"/>
      <w:numFmt w:val="decimal"/>
      <w:lvlText w:val="%1.%2.%3."/>
      <w:lvlJc w:val="left"/>
      <w:pPr>
        <w:ind w:left="720" w:hanging="720"/>
      </w:pPr>
      <w:rPr>
        <w:rFonts w:eastAsia="Times New Roman"/>
        <w:b w:val="0"/>
      </w:rPr>
    </w:lvl>
    <w:lvl w:ilvl="3">
      <w:start w:val="1"/>
      <w:numFmt w:val="decimal"/>
      <w:lvlText w:val="%1.%2.%3.%4."/>
      <w:lvlJc w:val="left"/>
      <w:pPr>
        <w:ind w:left="1080" w:hanging="1080"/>
      </w:pPr>
      <w:rPr>
        <w:rFonts w:eastAsia="Times New Roman"/>
        <w:b w:val="0"/>
      </w:rPr>
    </w:lvl>
    <w:lvl w:ilvl="4">
      <w:start w:val="1"/>
      <w:numFmt w:val="decimal"/>
      <w:lvlText w:val="%1.%2.%3.%4.%5."/>
      <w:lvlJc w:val="left"/>
      <w:pPr>
        <w:ind w:left="1080" w:hanging="1080"/>
      </w:pPr>
      <w:rPr>
        <w:rFonts w:eastAsia="Times New Roman"/>
        <w:b w:val="0"/>
      </w:rPr>
    </w:lvl>
    <w:lvl w:ilvl="5">
      <w:start w:val="1"/>
      <w:numFmt w:val="decimal"/>
      <w:lvlText w:val="%1.%2.%3.%4.%5.%6."/>
      <w:lvlJc w:val="left"/>
      <w:pPr>
        <w:ind w:left="1440" w:hanging="1440"/>
      </w:pPr>
      <w:rPr>
        <w:rFonts w:eastAsia="Times New Roman"/>
        <w:b w:val="0"/>
      </w:rPr>
    </w:lvl>
    <w:lvl w:ilvl="6">
      <w:start w:val="1"/>
      <w:numFmt w:val="decimal"/>
      <w:lvlText w:val="%1.%2.%3.%4.%5.%6.%7."/>
      <w:lvlJc w:val="left"/>
      <w:pPr>
        <w:ind w:left="1440" w:hanging="1440"/>
      </w:pPr>
      <w:rPr>
        <w:rFonts w:eastAsia="Times New Roman"/>
        <w:b w:val="0"/>
      </w:rPr>
    </w:lvl>
    <w:lvl w:ilvl="7">
      <w:start w:val="1"/>
      <w:numFmt w:val="decimal"/>
      <w:lvlText w:val="%1.%2.%3.%4.%5.%6.%7.%8."/>
      <w:lvlJc w:val="left"/>
      <w:pPr>
        <w:ind w:left="1800" w:hanging="1800"/>
      </w:pPr>
      <w:rPr>
        <w:rFonts w:eastAsia="Times New Roman"/>
        <w:b w:val="0"/>
      </w:rPr>
    </w:lvl>
    <w:lvl w:ilvl="8">
      <w:start w:val="1"/>
      <w:numFmt w:val="decimal"/>
      <w:lvlText w:val="%1.%2.%3.%4.%5.%6.%7.%8.%9."/>
      <w:lvlJc w:val="left"/>
      <w:pPr>
        <w:ind w:left="2160" w:hanging="2160"/>
      </w:pPr>
      <w:rPr>
        <w:rFonts w:eastAsia="Times New Roman"/>
        <w:b w:val="0"/>
      </w:rPr>
    </w:lvl>
  </w:abstractNum>
  <w:abstractNum w:abstractNumId="13" w15:restartNumberingAfterBreak="0">
    <w:nsid w:val="7AE731FE"/>
    <w:multiLevelType w:val="hybridMultilevel"/>
    <w:tmpl w:val="5CDCD318"/>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B055123"/>
    <w:multiLevelType w:val="hybridMultilevel"/>
    <w:tmpl w:val="2460F9A2"/>
    <w:lvl w:ilvl="0" w:tplc="240A0017">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abstractNumId w:val="10"/>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7"/>
  </w:num>
  <w:num w:numId="8">
    <w:abstractNumId w:val="3"/>
  </w:num>
  <w:num w:numId="9">
    <w:abstractNumId w:val="2"/>
  </w:num>
  <w:num w:numId="10">
    <w:abstractNumId w:val="14"/>
  </w:num>
  <w:num w:numId="11">
    <w:abstractNumId w:val="9"/>
  </w:num>
  <w:num w:numId="12">
    <w:abstractNumId w:val="6"/>
  </w:num>
  <w:num w:numId="13">
    <w:abstractNumId w:val="0"/>
  </w:num>
  <w:num w:numId="14">
    <w:abstractNumId w:val="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82C"/>
    <w:rsid w:val="000261C4"/>
    <w:rsid w:val="00026F8A"/>
    <w:rsid w:val="0004067F"/>
    <w:rsid w:val="000730B7"/>
    <w:rsid w:val="000733D1"/>
    <w:rsid w:val="000856BD"/>
    <w:rsid w:val="00096844"/>
    <w:rsid w:val="00096A41"/>
    <w:rsid w:val="000C2933"/>
    <w:rsid w:val="000E015B"/>
    <w:rsid w:val="000F0D34"/>
    <w:rsid w:val="000F61D8"/>
    <w:rsid w:val="00112D73"/>
    <w:rsid w:val="00120FF4"/>
    <w:rsid w:val="00133748"/>
    <w:rsid w:val="00153261"/>
    <w:rsid w:val="001A1BD8"/>
    <w:rsid w:val="001B72EB"/>
    <w:rsid w:val="001C1D6C"/>
    <w:rsid w:val="001E6D20"/>
    <w:rsid w:val="001F6BC6"/>
    <w:rsid w:val="00236F4D"/>
    <w:rsid w:val="002A6ADC"/>
    <w:rsid w:val="002C0DB6"/>
    <w:rsid w:val="002D1690"/>
    <w:rsid w:val="002D392A"/>
    <w:rsid w:val="002F7965"/>
    <w:rsid w:val="00312B4C"/>
    <w:rsid w:val="00316C0A"/>
    <w:rsid w:val="0035146E"/>
    <w:rsid w:val="003672C4"/>
    <w:rsid w:val="003844CA"/>
    <w:rsid w:val="003D1EA8"/>
    <w:rsid w:val="003D2150"/>
    <w:rsid w:val="003F11B1"/>
    <w:rsid w:val="003F4D29"/>
    <w:rsid w:val="0040647E"/>
    <w:rsid w:val="00427E14"/>
    <w:rsid w:val="00433DDF"/>
    <w:rsid w:val="00442DC5"/>
    <w:rsid w:val="00453C1D"/>
    <w:rsid w:val="00464458"/>
    <w:rsid w:val="004947E5"/>
    <w:rsid w:val="004A060C"/>
    <w:rsid w:val="004E17F3"/>
    <w:rsid w:val="0051281C"/>
    <w:rsid w:val="00514390"/>
    <w:rsid w:val="0051682C"/>
    <w:rsid w:val="005266A2"/>
    <w:rsid w:val="00581868"/>
    <w:rsid w:val="005958FE"/>
    <w:rsid w:val="005E4A12"/>
    <w:rsid w:val="005F7B88"/>
    <w:rsid w:val="00604838"/>
    <w:rsid w:val="006149FD"/>
    <w:rsid w:val="00635720"/>
    <w:rsid w:val="00645C89"/>
    <w:rsid w:val="00653280"/>
    <w:rsid w:val="006722C6"/>
    <w:rsid w:val="00695840"/>
    <w:rsid w:val="006A2957"/>
    <w:rsid w:val="006C3766"/>
    <w:rsid w:val="00715ADB"/>
    <w:rsid w:val="00726AA3"/>
    <w:rsid w:val="00745F44"/>
    <w:rsid w:val="00754506"/>
    <w:rsid w:val="00770D59"/>
    <w:rsid w:val="00773D3A"/>
    <w:rsid w:val="007C0E2A"/>
    <w:rsid w:val="008026A8"/>
    <w:rsid w:val="0081698B"/>
    <w:rsid w:val="008876D1"/>
    <w:rsid w:val="008959E9"/>
    <w:rsid w:val="008E336F"/>
    <w:rsid w:val="008F5F7D"/>
    <w:rsid w:val="00903038"/>
    <w:rsid w:val="009124DC"/>
    <w:rsid w:val="00914E38"/>
    <w:rsid w:val="0091575A"/>
    <w:rsid w:val="00915D8C"/>
    <w:rsid w:val="00924081"/>
    <w:rsid w:val="00976ADE"/>
    <w:rsid w:val="009B436C"/>
    <w:rsid w:val="009B48C7"/>
    <w:rsid w:val="00A1060A"/>
    <w:rsid w:val="00A4358B"/>
    <w:rsid w:val="00A71978"/>
    <w:rsid w:val="00A73612"/>
    <w:rsid w:val="00A80360"/>
    <w:rsid w:val="00A8280C"/>
    <w:rsid w:val="00A84CFF"/>
    <w:rsid w:val="00AA3A37"/>
    <w:rsid w:val="00B113BB"/>
    <w:rsid w:val="00B33B34"/>
    <w:rsid w:val="00B35152"/>
    <w:rsid w:val="00B42771"/>
    <w:rsid w:val="00BA1180"/>
    <w:rsid w:val="00BA48C5"/>
    <w:rsid w:val="00BB461D"/>
    <w:rsid w:val="00BD2F5D"/>
    <w:rsid w:val="00BE113F"/>
    <w:rsid w:val="00C36FD4"/>
    <w:rsid w:val="00CA3C08"/>
    <w:rsid w:val="00CB27F3"/>
    <w:rsid w:val="00CD2D2D"/>
    <w:rsid w:val="00D0717C"/>
    <w:rsid w:val="00D418C1"/>
    <w:rsid w:val="00D475BC"/>
    <w:rsid w:val="00D8568E"/>
    <w:rsid w:val="00D9176E"/>
    <w:rsid w:val="00D92E46"/>
    <w:rsid w:val="00D9734A"/>
    <w:rsid w:val="00DB2145"/>
    <w:rsid w:val="00DC0DDE"/>
    <w:rsid w:val="00DE55A2"/>
    <w:rsid w:val="00DF6745"/>
    <w:rsid w:val="00E0528C"/>
    <w:rsid w:val="00E378D4"/>
    <w:rsid w:val="00E524A8"/>
    <w:rsid w:val="00E767E5"/>
    <w:rsid w:val="00EA07EF"/>
    <w:rsid w:val="00EA0DC5"/>
    <w:rsid w:val="00EA114C"/>
    <w:rsid w:val="00EB5031"/>
    <w:rsid w:val="00ED4B92"/>
    <w:rsid w:val="00EE612E"/>
    <w:rsid w:val="00F04C76"/>
    <w:rsid w:val="00F828E8"/>
    <w:rsid w:val="00F95D6A"/>
    <w:rsid w:val="00FB5304"/>
    <w:rsid w:val="00FE4B67"/>
    <w:rsid w:val="00FF2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9A7389-D15D-4BF1-915A-FBE245EC0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rPr>
  </w:style>
  <w:style w:type="paragraph" w:styleId="Ttulo1">
    <w:name w:val="heading 1"/>
    <w:basedOn w:val="Normal"/>
    <w:next w:val="Normal"/>
    <w:link w:val="Ttulo1Car"/>
    <w:qFormat/>
    <w:rsid w:val="00133748"/>
    <w:pPr>
      <w:keepNext/>
      <w:overflowPunct w:val="0"/>
      <w:autoSpaceDE w:val="0"/>
      <w:autoSpaceDN w:val="0"/>
      <w:adjustRightInd w:val="0"/>
      <w:spacing w:line="360" w:lineRule="auto"/>
      <w:outlineLvl w:val="0"/>
    </w:pPr>
    <w:rPr>
      <w:rFonts w:ascii="Arial" w:eastAsia="Times New Roman" w:hAnsi="Arial"/>
      <w:sz w:val="20"/>
      <w:szCs w:val="20"/>
      <w:lang w:val="en-US" w:eastAsia="es-CO"/>
    </w:rPr>
  </w:style>
  <w:style w:type="paragraph" w:styleId="Ttulo2">
    <w:name w:val="heading 2"/>
    <w:basedOn w:val="Normal"/>
    <w:next w:val="Normal"/>
    <w:link w:val="Ttulo2Car"/>
    <w:qFormat/>
    <w:rsid w:val="00133748"/>
    <w:pPr>
      <w:keepNext/>
      <w:overflowPunct w:val="0"/>
      <w:autoSpaceDE w:val="0"/>
      <w:autoSpaceDN w:val="0"/>
      <w:adjustRightInd w:val="0"/>
      <w:spacing w:line="360" w:lineRule="auto"/>
      <w:jc w:val="center"/>
      <w:outlineLvl w:val="1"/>
    </w:pPr>
    <w:rPr>
      <w:rFonts w:ascii="Arial" w:eastAsia="Times New Roman" w:hAnsi="Arial"/>
      <w:b/>
      <w:bCs/>
      <w:sz w:val="20"/>
      <w:szCs w:val="20"/>
      <w:lang w:val="x-none"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133748"/>
    <w:rPr>
      <w:rFonts w:ascii="Arial" w:eastAsia="Times New Roman" w:hAnsi="Arial"/>
      <w:lang w:val="en-US"/>
    </w:rPr>
  </w:style>
  <w:style w:type="character" w:customStyle="1" w:styleId="Ttulo2Car">
    <w:name w:val="Título 2 Car"/>
    <w:link w:val="Ttulo2"/>
    <w:rsid w:val="00133748"/>
    <w:rPr>
      <w:rFonts w:ascii="Arial" w:eastAsia="Times New Roman" w:hAnsi="Arial"/>
      <w:b/>
      <w:bCs/>
      <w:lang w:val="x-none"/>
    </w:rPr>
  </w:style>
  <w:style w:type="character" w:customStyle="1" w:styleId="Cuadrculamedia11">
    <w:name w:val="Cuadrícula media 11"/>
    <w:uiPriority w:val="99"/>
    <w:semiHidden/>
    <w:rsid w:val="00133748"/>
    <w:rPr>
      <w:color w:val="808080"/>
    </w:rPr>
  </w:style>
  <w:style w:type="character" w:customStyle="1" w:styleId="formato">
    <w:name w:val="formato"/>
    <w:uiPriority w:val="1"/>
    <w:rsid w:val="00133748"/>
    <w:rPr>
      <w:rFonts w:ascii="Arial" w:hAnsi="Arial"/>
      <w:b/>
      <w:sz w:val="24"/>
    </w:rPr>
  </w:style>
  <w:style w:type="character" w:customStyle="1" w:styleId="ponente">
    <w:name w:val="ponente"/>
    <w:uiPriority w:val="1"/>
    <w:rsid w:val="00133748"/>
    <w:rPr>
      <w:rFonts w:ascii="Arial" w:hAnsi="Arial"/>
      <w:b/>
      <w:sz w:val="24"/>
    </w:rPr>
  </w:style>
  <w:style w:type="character" w:customStyle="1" w:styleId="Fechasen">
    <w:name w:val="Fechasen"/>
    <w:uiPriority w:val="1"/>
    <w:rsid w:val="00133748"/>
    <w:rPr>
      <w:rFonts w:ascii="Arial" w:hAnsi="Arial"/>
      <w:sz w:val="24"/>
    </w:rPr>
  </w:style>
  <w:style w:type="character" w:customStyle="1" w:styleId="diasen">
    <w:name w:val="diasen"/>
    <w:uiPriority w:val="1"/>
    <w:rsid w:val="00133748"/>
    <w:rPr>
      <w:rFonts w:ascii="Arial" w:hAnsi="Arial"/>
      <w:sz w:val="24"/>
    </w:rPr>
  </w:style>
  <w:style w:type="character" w:customStyle="1" w:styleId="Estilo1">
    <w:name w:val="Estilo1"/>
    <w:uiPriority w:val="1"/>
    <w:rsid w:val="00133748"/>
    <w:rPr>
      <w:rFonts w:ascii="Arial" w:hAnsi="Arial"/>
      <w:sz w:val="24"/>
    </w:rPr>
  </w:style>
  <w:style w:type="table" w:styleId="Tablaconcuadrcula">
    <w:name w:val="Table Grid"/>
    <w:basedOn w:val="Tablanormal"/>
    <w:uiPriority w:val="39"/>
    <w:rsid w:val="00133748"/>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s">
    <w:name w:val="Mes"/>
    <w:uiPriority w:val="1"/>
    <w:rsid w:val="00133748"/>
    <w:rPr>
      <w:rFonts w:ascii="Arial" w:hAnsi="Arial"/>
      <w:sz w:val="24"/>
    </w:rPr>
  </w:style>
  <w:style w:type="character" w:customStyle="1" w:styleId="Ao">
    <w:name w:val="Año"/>
    <w:uiPriority w:val="1"/>
    <w:rsid w:val="00133748"/>
    <w:rPr>
      <w:rFonts w:ascii="Arial" w:hAnsi="Arial"/>
      <w:sz w:val="24"/>
    </w:rPr>
  </w:style>
  <w:style w:type="character" w:customStyle="1" w:styleId="proceso">
    <w:name w:val="proceso"/>
    <w:uiPriority w:val="1"/>
    <w:rsid w:val="00133748"/>
    <w:rPr>
      <w:rFonts w:ascii="Arial" w:hAnsi="Arial"/>
      <w:b/>
      <w:sz w:val="24"/>
    </w:rPr>
  </w:style>
  <w:style w:type="paragraph" w:styleId="Encabezado">
    <w:name w:val="header"/>
    <w:basedOn w:val="Normal"/>
    <w:link w:val="EncabezadoCar"/>
    <w:uiPriority w:val="99"/>
    <w:unhideWhenUsed/>
    <w:rsid w:val="00133748"/>
    <w:pPr>
      <w:tabs>
        <w:tab w:val="center" w:pos="4252"/>
        <w:tab w:val="right" w:pos="8504"/>
      </w:tabs>
    </w:pPr>
    <w:rPr>
      <w:lang w:eastAsia="x-none"/>
    </w:rPr>
  </w:style>
  <w:style w:type="character" w:customStyle="1" w:styleId="EncabezadoCar">
    <w:name w:val="Encabezado Car"/>
    <w:link w:val="Encabezado"/>
    <w:uiPriority w:val="99"/>
    <w:rsid w:val="00133748"/>
    <w:rPr>
      <w:sz w:val="22"/>
      <w:szCs w:val="22"/>
      <w:lang w:eastAsia="x-none"/>
    </w:rPr>
  </w:style>
  <w:style w:type="paragraph" w:styleId="Piedepgina">
    <w:name w:val="footer"/>
    <w:basedOn w:val="Normal"/>
    <w:link w:val="PiedepginaCar"/>
    <w:uiPriority w:val="99"/>
    <w:unhideWhenUsed/>
    <w:rsid w:val="00133748"/>
    <w:pPr>
      <w:tabs>
        <w:tab w:val="center" w:pos="4252"/>
        <w:tab w:val="right" w:pos="8504"/>
      </w:tabs>
    </w:pPr>
    <w:rPr>
      <w:lang w:eastAsia="x-none"/>
    </w:rPr>
  </w:style>
  <w:style w:type="character" w:customStyle="1" w:styleId="PiedepginaCar">
    <w:name w:val="Pie de página Car"/>
    <w:link w:val="Piedepgina"/>
    <w:uiPriority w:val="99"/>
    <w:rsid w:val="00133748"/>
    <w:rPr>
      <w:sz w:val="22"/>
      <w:szCs w:val="22"/>
      <w:lang w:eastAsia="x-none"/>
    </w:rPr>
  </w:style>
  <w:style w:type="character" w:customStyle="1" w:styleId="Actor">
    <w:name w:val="Actor"/>
    <w:uiPriority w:val="1"/>
    <w:rsid w:val="00133748"/>
    <w:rPr>
      <w:rFonts w:ascii="Arial" w:hAnsi="Arial"/>
      <w:sz w:val="24"/>
    </w:rPr>
  </w:style>
  <w:style w:type="character" w:customStyle="1" w:styleId="Estilo2">
    <w:name w:val="Estilo2"/>
    <w:uiPriority w:val="1"/>
    <w:rsid w:val="00133748"/>
    <w:rPr>
      <w:rFonts w:ascii="Arial" w:hAnsi="Arial"/>
      <w:b/>
      <w:sz w:val="24"/>
    </w:rPr>
  </w:style>
  <w:style w:type="character" w:customStyle="1" w:styleId="Estilo3">
    <w:name w:val="Estilo3"/>
    <w:uiPriority w:val="1"/>
    <w:rsid w:val="00133748"/>
    <w:rPr>
      <w:rFonts w:ascii="Arial" w:hAnsi="Arial"/>
      <w:b/>
      <w:sz w:val="24"/>
    </w:rPr>
  </w:style>
  <w:style w:type="character" w:customStyle="1" w:styleId="Estilo4">
    <w:name w:val="Estilo4"/>
    <w:uiPriority w:val="1"/>
    <w:rsid w:val="00133748"/>
    <w:rPr>
      <w:rFonts w:ascii="Arial" w:hAnsi="Arial"/>
      <w:b/>
      <w:sz w:val="24"/>
    </w:rPr>
  </w:style>
  <w:style w:type="character" w:customStyle="1" w:styleId="Estilo5">
    <w:name w:val="Estilo5"/>
    <w:uiPriority w:val="1"/>
    <w:rsid w:val="00133748"/>
    <w:rPr>
      <w:rFonts w:ascii="Arial" w:hAnsi="Arial"/>
      <w:sz w:val="24"/>
    </w:rPr>
  </w:style>
  <w:style w:type="character" w:customStyle="1" w:styleId="TextonotapieCar1">
    <w:name w:val="Texto nota pie Car1"/>
    <w:aliases w:val="Footnote Text Char Char Char Char Char Car,Footnote Text Char Char Char Char Car,Footnote reference Car,FA Fu Car,Footnote Text Char Char Char Car1,Footnote Text Char Char Char Car Car,ft Car,texto de nota al pie Car,Car1 Car"/>
    <w:link w:val="Textonotapie"/>
    <w:uiPriority w:val="99"/>
    <w:locked/>
    <w:rsid w:val="00133748"/>
    <w:rPr>
      <w:lang w:val="x-none"/>
    </w:rPr>
  </w:style>
  <w:style w:type="paragraph" w:styleId="Textonotapie">
    <w:name w:val="footnote text"/>
    <w:aliases w:val="Footnote Text Char Char Char Char Char,Footnote Text Char Char Char Char,Footnote reference,FA Fu,Footnote Text Char Char Char,Footnote Text Char Char Char Car,ft,texto de nota al pie,FA Fußnotentext,FA Fuﬂnotentext,Footnote Text Cha,Car1"/>
    <w:basedOn w:val="Normal"/>
    <w:link w:val="TextonotapieCar1"/>
    <w:uiPriority w:val="99"/>
    <w:unhideWhenUsed/>
    <w:qFormat/>
    <w:rsid w:val="00133748"/>
    <w:rPr>
      <w:sz w:val="20"/>
      <w:szCs w:val="20"/>
      <w:lang w:val="x-none" w:eastAsia="es-CO"/>
    </w:rPr>
  </w:style>
  <w:style w:type="character" w:customStyle="1" w:styleId="TextonotapieCar">
    <w:name w:val="Texto nota pie Car"/>
    <w:aliases w:val="Footnote Text Car,Footnote Text Char Char Char Car Car Car"/>
    <w:rsid w:val="00133748"/>
    <w:rPr>
      <w:lang w:eastAsia="en-US"/>
    </w:rPr>
  </w:style>
  <w:style w:type="character" w:styleId="Refdenotaalpie">
    <w:name w:val="footnote reference"/>
    <w:aliases w:val="Texto de nota al pie,referencia nota al pie,Ref. de nota al pie 2,Pie de Página,FC,Appel note de bas de page,Texto nota pie Car1 Car,Texto nota pie Car2 Car Car,Texto nota pie Car1 Car Car Car,Footnote reference Car Car Car Car,BVI f"/>
    <w:uiPriority w:val="99"/>
    <w:unhideWhenUsed/>
    <w:qFormat/>
    <w:rsid w:val="00133748"/>
    <w:rPr>
      <w:vertAlign w:val="superscript"/>
    </w:rPr>
  </w:style>
  <w:style w:type="character" w:styleId="Refdecomentario">
    <w:name w:val="annotation reference"/>
    <w:uiPriority w:val="99"/>
    <w:semiHidden/>
    <w:unhideWhenUsed/>
    <w:rsid w:val="00133748"/>
    <w:rPr>
      <w:sz w:val="16"/>
      <w:szCs w:val="16"/>
    </w:rPr>
  </w:style>
  <w:style w:type="paragraph" w:styleId="Textocomentario">
    <w:name w:val="annotation text"/>
    <w:basedOn w:val="Normal"/>
    <w:link w:val="TextocomentarioCar"/>
    <w:uiPriority w:val="99"/>
    <w:semiHidden/>
    <w:unhideWhenUsed/>
    <w:rsid w:val="00133748"/>
    <w:rPr>
      <w:sz w:val="20"/>
      <w:szCs w:val="20"/>
      <w:lang w:eastAsia="x-none"/>
    </w:rPr>
  </w:style>
  <w:style w:type="character" w:customStyle="1" w:styleId="TextocomentarioCar">
    <w:name w:val="Texto comentario Car"/>
    <w:link w:val="Textocomentario"/>
    <w:uiPriority w:val="99"/>
    <w:semiHidden/>
    <w:rsid w:val="00133748"/>
    <w:rPr>
      <w:lang w:eastAsia="x-none"/>
    </w:rPr>
  </w:style>
  <w:style w:type="paragraph" w:styleId="Asuntodelcomentario">
    <w:name w:val="annotation subject"/>
    <w:basedOn w:val="Textocomentario"/>
    <w:next w:val="Textocomentario"/>
    <w:link w:val="AsuntodelcomentarioCar"/>
    <w:uiPriority w:val="99"/>
    <w:semiHidden/>
    <w:unhideWhenUsed/>
    <w:rsid w:val="00133748"/>
    <w:rPr>
      <w:b/>
      <w:bCs/>
    </w:rPr>
  </w:style>
  <w:style w:type="character" w:customStyle="1" w:styleId="AsuntodelcomentarioCar">
    <w:name w:val="Asunto del comentario Car"/>
    <w:link w:val="Asuntodelcomentario"/>
    <w:uiPriority w:val="99"/>
    <w:semiHidden/>
    <w:rsid w:val="00133748"/>
    <w:rPr>
      <w:b/>
      <w:bCs/>
      <w:lang w:eastAsia="x-none"/>
    </w:rPr>
  </w:style>
  <w:style w:type="paragraph" w:styleId="Textodeglobo">
    <w:name w:val="Balloon Text"/>
    <w:basedOn w:val="Normal"/>
    <w:link w:val="TextodegloboCar"/>
    <w:uiPriority w:val="99"/>
    <w:semiHidden/>
    <w:unhideWhenUsed/>
    <w:rsid w:val="00133748"/>
    <w:rPr>
      <w:rFonts w:ascii="Segoe UI" w:hAnsi="Segoe UI"/>
      <w:sz w:val="18"/>
      <w:szCs w:val="18"/>
      <w:lang w:eastAsia="x-none"/>
    </w:rPr>
  </w:style>
  <w:style w:type="character" w:customStyle="1" w:styleId="TextodegloboCar">
    <w:name w:val="Texto de globo Car"/>
    <w:link w:val="Textodeglobo"/>
    <w:uiPriority w:val="99"/>
    <w:semiHidden/>
    <w:rsid w:val="00133748"/>
    <w:rPr>
      <w:rFonts w:ascii="Segoe UI" w:hAnsi="Segoe UI"/>
      <w:sz w:val="18"/>
      <w:szCs w:val="18"/>
      <w:lang w:eastAsia="x-none"/>
    </w:rPr>
  </w:style>
  <w:style w:type="character" w:customStyle="1" w:styleId="fecha">
    <w:name w:val="fecha"/>
    <w:uiPriority w:val="1"/>
    <w:rsid w:val="00133748"/>
    <w:rPr>
      <w:rFonts w:ascii="Arial" w:hAnsi="Arial"/>
      <w:sz w:val="24"/>
    </w:rPr>
  </w:style>
  <w:style w:type="character" w:customStyle="1" w:styleId="Estilo6">
    <w:name w:val="Estilo6"/>
    <w:uiPriority w:val="1"/>
    <w:rsid w:val="00133748"/>
    <w:rPr>
      <w:rFonts w:ascii="Arial" w:hAnsi="Arial"/>
      <w:b/>
      <w:sz w:val="24"/>
    </w:rPr>
  </w:style>
  <w:style w:type="character" w:customStyle="1" w:styleId="5">
    <w:name w:val="5"/>
    <w:uiPriority w:val="1"/>
    <w:rsid w:val="00133748"/>
    <w:rPr>
      <w:rFonts w:ascii="Arial" w:hAnsi="Arial"/>
      <w:b/>
      <w:sz w:val="24"/>
    </w:rPr>
  </w:style>
  <w:style w:type="table" w:customStyle="1" w:styleId="Tablaconcuadrcula1">
    <w:name w:val="Tabla con cuadrícula1"/>
    <w:basedOn w:val="Tablanormal"/>
    <w:next w:val="Tablaconcuadrcula"/>
    <w:uiPriority w:val="39"/>
    <w:rsid w:val="00133748"/>
    <w:rPr>
      <w:sz w:val="22"/>
      <w:szCs w:val="22"/>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33748"/>
    <w:rPr>
      <w:rFonts w:ascii="Times New Roman" w:hAnsi="Times New Roman"/>
      <w:sz w:val="24"/>
      <w:szCs w:val="24"/>
    </w:rPr>
  </w:style>
  <w:style w:type="character" w:styleId="Hipervnculo">
    <w:name w:val="Hyperlink"/>
    <w:uiPriority w:val="99"/>
    <w:unhideWhenUsed/>
    <w:rsid w:val="00133748"/>
    <w:rPr>
      <w:color w:val="0563C1"/>
      <w:u w:val="single"/>
    </w:rPr>
  </w:style>
  <w:style w:type="paragraph" w:styleId="Textoindependiente">
    <w:name w:val="Body Text"/>
    <w:basedOn w:val="Normal"/>
    <w:link w:val="TextoindependienteCar"/>
    <w:uiPriority w:val="99"/>
    <w:semiHidden/>
    <w:unhideWhenUsed/>
    <w:rsid w:val="00133748"/>
    <w:pPr>
      <w:spacing w:after="120"/>
    </w:pPr>
    <w:rPr>
      <w:lang w:val="x-none"/>
    </w:rPr>
  </w:style>
  <w:style w:type="character" w:customStyle="1" w:styleId="TextoindependienteCar">
    <w:name w:val="Texto independiente Car"/>
    <w:link w:val="Textoindependiente"/>
    <w:uiPriority w:val="99"/>
    <w:semiHidden/>
    <w:rsid w:val="00133748"/>
    <w:rPr>
      <w:sz w:val="22"/>
      <w:szCs w:val="22"/>
      <w:lang w:val="x-none" w:eastAsia="en-US"/>
    </w:rPr>
  </w:style>
  <w:style w:type="table" w:customStyle="1" w:styleId="Tablaconcuadrcula2">
    <w:name w:val="Tabla con cuadrícula2"/>
    <w:basedOn w:val="Tablanormal"/>
    <w:next w:val="Tablaconcuadrcula"/>
    <w:uiPriority w:val="39"/>
    <w:rsid w:val="00133748"/>
    <w:rPr>
      <w:sz w:val="22"/>
      <w:szCs w:val="22"/>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133748"/>
    <w:rPr>
      <w:sz w:val="22"/>
      <w:szCs w:val="22"/>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133748"/>
  </w:style>
  <w:style w:type="character" w:styleId="Textoennegrita">
    <w:name w:val="Strong"/>
    <w:uiPriority w:val="22"/>
    <w:qFormat/>
    <w:rsid w:val="00133748"/>
    <w:rPr>
      <w:b/>
      <w:bCs/>
    </w:rPr>
  </w:style>
  <w:style w:type="paragraph" w:customStyle="1" w:styleId="Puesto1">
    <w:name w:val="Puesto1"/>
    <w:basedOn w:val="Normal"/>
    <w:link w:val="PuestoCar"/>
    <w:qFormat/>
    <w:rsid w:val="00133748"/>
    <w:pPr>
      <w:spacing w:line="360" w:lineRule="auto"/>
      <w:jc w:val="center"/>
    </w:pPr>
    <w:rPr>
      <w:rFonts w:ascii="Arial" w:eastAsia="Times New Roman" w:hAnsi="Arial"/>
      <w:b/>
      <w:sz w:val="24"/>
      <w:szCs w:val="20"/>
      <w:lang w:val="es-MX" w:eastAsia="es-ES"/>
    </w:rPr>
  </w:style>
  <w:style w:type="character" w:customStyle="1" w:styleId="PuestoCar">
    <w:name w:val="Puesto Car"/>
    <w:link w:val="Puesto1"/>
    <w:rsid w:val="00133748"/>
    <w:rPr>
      <w:rFonts w:ascii="Arial" w:eastAsia="Times New Roman" w:hAnsi="Arial"/>
      <w:b/>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958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alcaldiabogota.gov.co/sisjur/normas/Norma1.jsp?i=399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007629-3A79-48D2-930C-F6F5BA9D0EF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0D8191E-FBB4-40E9-903A-98A9CAC44F1F}">
  <ds:schemaRefs>
    <ds:schemaRef ds:uri="http://schemas.microsoft.com/sharepoint/v3/contenttype/forms"/>
  </ds:schemaRefs>
</ds:datastoreItem>
</file>

<file path=customXml/itemProps3.xml><?xml version="1.0" encoding="utf-8"?>
<ds:datastoreItem xmlns:ds="http://schemas.openxmlformats.org/officeDocument/2006/customXml" ds:itemID="{C32A3687-DC5F-4CA7-8B70-BE2FC2C2D7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24787</Words>
  <Characters>136332</Characters>
  <Application>Microsoft Office Word</Application>
  <DocSecurity>0</DocSecurity>
  <Lines>1136</Lines>
  <Paragraphs>321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160798</CharactersWithSpaces>
  <SharedDoc>false</SharedDoc>
  <HLinks>
    <vt:vector size="6" baseType="variant">
      <vt:variant>
        <vt:i4>6225980</vt:i4>
      </vt:variant>
      <vt:variant>
        <vt:i4>0</vt:i4>
      </vt:variant>
      <vt:variant>
        <vt:i4>0</vt:i4>
      </vt:variant>
      <vt:variant>
        <vt:i4>5</vt:i4>
      </vt:variant>
      <vt:variant>
        <vt:lpwstr>http://www.alcaldiabogota.gov.co/sisjur/normas/Norma1.jsp?i=3992</vt:lpwstr>
      </vt:variant>
      <vt:variant>
        <vt:lpwstr>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PATRICIA MOLANO MONCADA</dc:creator>
  <cp:keywords/>
  <dc:description/>
  <cp:lastModifiedBy>Andres Urrego</cp:lastModifiedBy>
  <cp:revision>2</cp:revision>
  <dcterms:created xsi:type="dcterms:W3CDTF">2020-06-25T16:41:00Z</dcterms:created>
  <dcterms:modified xsi:type="dcterms:W3CDTF">2020-06-25T16:41:00Z</dcterms:modified>
</cp:coreProperties>
</file>