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6987" w:rsidRPr="00B13E44" w:rsidRDefault="00B26987" w:rsidP="00B13E44">
      <w:pPr>
        <w:jc w:val="both"/>
        <w:rPr>
          <w:rFonts w:ascii="Arial" w:hAnsi="Arial" w:cs="Arial"/>
        </w:rPr>
      </w:pPr>
    </w:p>
    <w:p w:rsidR="00D1681E" w:rsidRPr="00FD00A0" w:rsidRDefault="00D26EF1" w:rsidP="00B13E44">
      <w:pPr>
        <w:jc w:val="both"/>
        <w:rPr>
          <w:rFonts w:ascii="Arial" w:hAnsi="Arial" w:cs="Arial"/>
          <w:b/>
        </w:rPr>
      </w:pPr>
      <w:r w:rsidRPr="00B13E44">
        <w:rPr>
          <w:rFonts w:ascii="Arial" w:hAnsi="Arial" w:cs="Arial"/>
          <w:b/>
        </w:rPr>
        <w:t>ACCIÓN DE TUTELA</w:t>
      </w:r>
      <w:r w:rsidR="00B26987">
        <w:rPr>
          <w:rFonts w:ascii="Arial" w:hAnsi="Arial" w:cs="Arial"/>
          <w:b/>
        </w:rPr>
        <w:t xml:space="preserve"> –</w:t>
      </w:r>
      <w:r w:rsidR="00D1681E" w:rsidRPr="00B13E44">
        <w:rPr>
          <w:rFonts w:ascii="Arial" w:hAnsi="Arial" w:cs="Arial"/>
          <w:b/>
        </w:rPr>
        <w:t xml:space="preserve"> </w:t>
      </w:r>
      <w:r w:rsidRPr="00FD00A0">
        <w:rPr>
          <w:rFonts w:ascii="Arial" w:hAnsi="Arial" w:cs="Arial"/>
          <w:b/>
        </w:rPr>
        <w:t>Generalidades</w:t>
      </w:r>
    </w:p>
    <w:p w:rsidR="00D1681E" w:rsidRPr="00B13E44" w:rsidRDefault="00D1681E" w:rsidP="00B13E44">
      <w:pPr>
        <w:jc w:val="both"/>
        <w:rPr>
          <w:rFonts w:ascii="Arial" w:hAnsi="Arial" w:cs="Arial"/>
        </w:rPr>
      </w:pPr>
    </w:p>
    <w:p w:rsidR="00D26EF1" w:rsidRPr="00B13E44" w:rsidRDefault="00D26EF1" w:rsidP="00B13E44">
      <w:pPr>
        <w:jc w:val="both"/>
        <w:rPr>
          <w:rFonts w:ascii="Arial" w:hAnsi="Arial" w:cs="Arial"/>
        </w:rPr>
      </w:pPr>
      <w:r w:rsidRPr="00B13E44">
        <w:rPr>
          <w:rFonts w:ascii="Arial" w:hAnsi="Arial" w:cs="Arial"/>
        </w:rPr>
        <w:t>La acción de tutela ha sido instituida como un instrumento preferente y sumario, destinado a proteger de manera efectiva e inmediata los derechos constitucionales fundamentales, cuando hayan sido violados o amenazados por las autoridades públicas, o por los particulares, en los casos expresamente indicados. Procede, a falta de otro medio de defensa judicial, a menos que se utilice como mecanismo transitorio, para prevenir un perjuicio irremediable.</w:t>
      </w:r>
      <w:r w:rsidR="00DB24BC" w:rsidRPr="00B13E44">
        <w:rPr>
          <w:rFonts w:ascii="Arial" w:hAnsi="Arial" w:cs="Arial"/>
        </w:rPr>
        <w:t xml:space="preserve"> (…) Esta </w:t>
      </w:r>
      <w:r w:rsidR="00D54B9F" w:rsidRPr="00B13E44">
        <w:rPr>
          <w:rFonts w:ascii="Arial" w:hAnsi="Arial" w:cs="Arial"/>
        </w:rPr>
        <w:t>Sección adoptó</w:t>
      </w:r>
      <w:r w:rsidR="00DB24BC" w:rsidRPr="00B13E44">
        <w:rPr>
          <w:rFonts w:ascii="Arial" w:hAnsi="Arial" w:cs="Arial"/>
        </w:rPr>
        <w:t xml:space="preserve"> como parámetros a seguir los indicados en la sentencia C-590 de 8 de junio de 2005, proferida por la Corte Constitucional, sin perjuicio de los demás pronunciamientos que esta Corporación elabore sobre el tema.</w:t>
      </w:r>
    </w:p>
    <w:p w:rsidR="00D26EF1" w:rsidRPr="00B13E44" w:rsidRDefault="00D26EF1" w:rsidP="00B13E44">
      <w:pPr>
        <w:jc w:val="both"/>
        <w:rPr>
          <w:rFonts w:ascii="Arial" w:hAnsi="Arial" w:cs="Arial"/>
        </w:rPr>
      </w:pPr>
    </w:p>
    <w:p w:rsidR="00D1681E" w:rsidRPr="00B13E44" w:rsidRDefault="00B26987" w:rsidP="00B13E44">
      <w:pPr>
        <w:jc w:val="both"/>
        <w:rPr>
          <w:rFonts w:ascii="Arial" w:hAnsi="Arial" w:cs="Arial"/>
        </w:rPr>
      </w:pPr>
      <w:r>
        <w:rPr>
          <w:rFonts w:ascii="Arial" w:hAnsi="Arial" w:cs="Arial"/>
          <w:b/>
        </w:rPr>
        <w:t>ACCIÓN DE TUTELA – Providencia judicial –</w:t>
      </w:r>
      <w:r w:rsidR="00D1681E" w:rsidRPr="00B13E44">
        <w:rPr>
          <w:rFonts w:ascii="Arial" w:hAnsi="Arial" w:cs="Arial"/>
          <w:b/>
        </w:rPr>
        <w:t xml:space="preserve"> </w:t>
      </w:r>
      <w:r w:rsidR="00D1681E" w:rsidRPr="00FD00A0">
        <w:rPr>
          <w:rFonts w:ascii="Arial" w:hAnsi="Arial" w:cs="Arial"/>
          <w:b/>
        </w:rPr>
        <w:t>Requisitos generales de procedencia</w:t>
      </w:r>
      <w:r w:rsidR="00D1681E" w:rsidRPr="00B13E44">
        <w:rPr>
          <w:rFonts w:ascii="Arial" w:hAnsi="Arial" w:cs="Arial"/>
        </w:rPr>
        <w:t xml:space="preserve"> </w:t>
      </w:r>
    </w:p>
    <w:p w:rsidR="00B21FEB" w:rsidRPr="00B13E44" w:rsidRDefault="00B21FEB" w:rsidP="00B13E44">
      <w:pPr>
        <w:jc w:val="both"/>
        <w:rPr>
          <w:rFonts w:ascii="Arial" w:hAnsi="Arial" w:cs="Arial"/>
        </w:rPr>
      </w:pPr>
    </w:p>
    <w:p w:rsidR="00161BBB" w:rsidRPr="00B13E44" w:rsidRDefault="00DB24BC" w:rsidP="00B13E44">
      <w:pPr>
        <w:jc w:val="both"/>
        <w:rPr>
          <w:rFonts w:ascii="Arial" w:hAnsi="Arial" w:cs="Arial"/>
          <w:bCs/>
          <w:lang w:eastAsia="es-ES"/>
        </w:rPr>
      </w:pPr>
      <w:r w:rsidRPr="00B13E44">
        <w:rPr>
          <w:rFonts w:ascii="Arial" w:hAnsi="Arial" w:cs="Arial"/>
          <w:bCs/>
          <w:lang w:eastAsia="es-ES"/>
        </w:rPr>
        <w:t>i) la relevancia constitucional del asunto; ii) el uso de todos los medios de defensa judiciales salvo la existencia de un perjuicio irremediable; iii) el cumplimiento del principio de inmediatez; iv) la existencia de una irregularidad procesal con efecto decisivo en la providencia objeto de inconformidad; v) la identificación clara de los hechos causantes de la vulneración y su alegación en el proceso, y vi) que no se trate de tutela contra tutela.</w:t>
      </w:r>
      <w:r w:rsidR="00B26987">
        <w:rPr>
          <w:rFonts w:ascii="Arial" w:hAnsi="Arial" w:cs="Arial"/>
          <w:bCs/>
          <w:lang w:eastAsia="es-ES"/>
        </w:rPr>
        <w:t xml:space="preserve"> </w:t>
      </w:r>
      <w:r w:rsidR="00161BBB" w:rsidRPr="00B13E44">
        <w:rPr>
          <w:rFonts w:ascii="Arial" w:hAnsi="Arial" w:cs="Arial"/>
          <w:bCs/>
          <w:lang w:eastAsia="es-ES"/>
        </w:rPr>
        <w:t>La Sala advierte que, cuando el juez constitucional conoce una demanda impetrada en ejercicio de la acción de tutela y en la que se alega la vulneración de derechos fundamentales con ocasión de la expedición de una providencia judicial: en primer lugar, debe verificar la presencia de los requisitos generales y, en segundo término, le corresponde examinar si en el caso objeto de análisis se configura uno de los defectos especiales ya explicados, permitiéndole de esta manera “dejar sin efecto o modular la decisión”  que encaje en dichos parámetros.</w:t>
      </w:r>
    </w:p>
    <w:p w:rsidR="00161BBB" w:rsidRPr="00B13E44" w:rsidRDefault="00161BBB" w:rsidP="00B13E44">
      <w:pPr>
        <w:jc w:val="both"/>
        <w:rPr>
          <w:rFonts w:ascii="Arial" w:hAnsi="Arial" w:cs="Arial"/>
          <w:b/>
          <w:bCs/>
          <w:lang w:eastAsia="es-ES"/>
        </w:rPr>
      </w:pPr>
    </w:p>
    <w:p w:rsidR="00440687" w:rsidRPr="00FD00A0" w:rsidRDefault="000B62FB" w:rsidP="00B13E44">
      <w:pPr>
        <w:jc w:val="both"/>
        <w:rPr>
          <w:rFonts w:ascii="Arial" w:hAnsi="Arial" w:cs="Arial"/>
          <w:b/>
          <w:lang w:val="es-ES"/>
        </w:rPr>
      </w:pPr>
      <w:r w:rsidRPr="00B13E44">
        <w:rPr>
          <w:rFonts w:ascii="Arial" w:hAnsi="Arial" w:cs="Arial"/>
          <w:b/>
          <w:lang w:val="es-ES"/>
        </w:rPr>
        <w:t xml:space="preserve">PRINCIPIO DE SUBSIDIARIEDAD </w:t>
      </w:r>
      <w:r w:rsidR="00B26987">
        <w:rPr>
          <w:rFonts w:ascii="Arial" w:hAnsi="Arial" w:cs="Arial"/>
          <w:b/>
          <w:lang w:val="es-ES"/>
        </w:rPr>
        <w:t>–</w:t>
      </w:r>
      <w:r w:rsidRPr="00B13E44">
        <w:rPr>
          <w:rFonts w:ascii="Arial" w:hAnsi="Arial" w:cs="Arial"/>
          <w:b/>
          <w:lang w:val="es-ES"/>
        </w:rPr>
        <w:t xml:space="preserve"> </w:t>
      </w:r>
      <w:r w:rsidR="00B26987">
        <w:rPr>
          <w:rFonts w:ascii="Arial" w:hAnsi="Arial" w:cs="Arial"/>
          <w:b/>
          <w:lang w:val="es-ES"/>
        </w:rPr>
        <w:t>Subsidiariedad</w:t>
      </w:r>
    </w:p>
    <w:p w:rsidR="000B62FB" w:rsidRPr="00B13E44" w:rsidRDefault="000B62FB" w:rsidP="00B13E44">
      <w:pPr>
        <w:jc w:val="both"/>
        <w:rPr>
          <w:rFonts w:ascii="Arial" w:hAnsi="Arial" w:cs="Arial"/>
          <w:lang w:val="es-ES"/>
        </w:rPr>
      </w:pPr>
    </w:p>
    <w:p w:rsidR="000B62FB" w:rsidRDefault="000B62FB" w:rsidP="00B13E44">
      <w:pPr>
        <w:jc w:val="both"/>
        <w:rPr>
          <w:rFonts w:ascii="Arial" w:hAnsi="Arial" w:cs="Arial"/>
        </w:rPr>
      </w:pPr>
      <w:r w:rsidRPr="00B13E44">
        <w:rPr>
          <w:rFonts w:ascii="Arial" w:hAnsi="Arial" w:cs="Arial"/>
        </w:rPr>
        <w:t>En relación con el requisito de subsidiariedad, el artículo 86 de la Constitución Política de Colombia concibe la acción de tutela como un medio de defensa subsidiario de derechos fundamentales, lo que impone el necesario agotamiento de los medios ordinarios de defensa judicial, salvo su ejercicio como mecanismo transitorio para evitar la ocurrencia de un perjuicio irremediable, o cuando dicho mecanismo legal idóneo no ofrece la virtualidad de brindar la protección inmediata y eficaz que requiere o amerita el caso concreto.</w:t>
      </w:r>
      <w:r w:rsidR="00F96064" w:rsidRPr="00B13E44">
        <w:rPr>
          <w:rFonts w:ascii="Arial" w:hAnsi="Arial" w:cs="Arial"/>
        </w:rPr>
        <w:t xml:space="preserve"> (…) Esta </w:t>
      </w:r>
      <w:r w:rsidR="00B13E44" w:rsidRPr="00B13E44">
        <w:rPr>
          <w:rFonts w:ascii="Arial" w:hAnsi="Arial" w:cs="Arial"/>
        </w:rPr>
        <w:t>Sección ha</w:t>
      </w:r>
      <w:r w:rsidR="00F96064" w:rsidRPr="00B13E44">
        <w:rPr>
          <w:rFonts w:ascii="Arial" w:hAnsi="Arial" w:cs="Arial"/>
        </w:rPr>
        <w:t xml:space="preserve"> considerado que para determinar si el mecanismo legal idóneo, previsto originalmente para el estudio y solución del caso bajo estudio, es efectivo en el caso concreto deben alegarse y acreditarse las situaciones extraordinarias a partir de las cuales la acción de tutela sea la indicada para la salvaguarda idónea de los derechos fundamentales comprometidos.</w:t>
      </w:r>
    </w:p>
    <w:p w:rsidR="00B26987" w:rsidRPr="00B13E44" w:rsidRDefault="00B26987" w:rsidP="00B13E44">
      <w:pPr>
        <w:jc w:val="both"/>
        <w:rPr>
          <w:rFonts w:ascii="Arial" w:hAnsi="Arial" w:cs="Arial"/>
        </w:rPr>
      </w:pPr>
    </w:p>
    <w:p w:rsidR="00F87E23" w:rsidRPr="00FD00A0" w:rsidRDefault="00787EAA" w:rsidP="00B13E44">
      <w:pPr>
        <w:jc w:val="both"/>
        <w:rPr>
          <w:rFonts w:ascii="Arial" w:hAnsi="Arial" w:cs="Arial"/>
          <w:b/>
        </w:rPr>
      </w:pPr>
      <w:r w:rsidRPr="00B13E44">
        <w:rPr>
          <w:rFonts w:ascii="Arial" w:hAnsi="Arial" w:cs="Arial"/>
          <w:b/>
        </w:rPr>
        <w:t xml:space="preserve">DOCUMENTOS </w:t>
      </w:r>
      <w:r w:rsidR="00B26987">
        <w:rPr>
          <w:rFonts w:ascii="Arial" w:hAnsi="Arial" w:cs="Arial"/>
          <w:b/>
        </w:rPr>
        <w:t>PÚBLICOS – Reservados –</w:t>
      </w:r>
      <w:r w:rsidR="004C05F2" w:rsidRPr="00B13E44">
        <w:rPr>
          <w:rFonts w:ascii="Arial" w:hAnsi="Arial" w:cs="Arial"/>
          <w:b/>
        </w:rPr>
        <w:t xml:space="preserve"> </w:t>
      </w:r>
      <w:r w:rsidR="004C05F2" w:rsidRPr="00FD00A0">
        <w:rPr>
          <w:rFonts w:ascii="Arial" w:hAnsi="Arial" w:cs="Arial"/>
          <w:b/>
        </w:rPr>
        <w:t xml:space="preserve">Relación laboral </w:t>
      </w:r>
      <w:r w:rsidR="00B26987">
        <w:rPr>
          <w:rFonts w:ascii="Arial" w:hAnsi="Arial" w:cs="Arial"/>
          <w:b/>
        </w:rPr>
        <w:t>– Servidores público</w:t>
      </w:r>
      <w:r w:rsidR="005D606B">
        <w:rPr>
          <w:rFonts w:ascii="Arial" w:hAnsi="Arial" w:cs="Arial"/>
          <w:b/>
        </w:rPr>
        <w:t>s</w:t>
      </w:r>
      <w:r w:rsidR="00B26987">
        <w:rPr>
          <w:rFonts w:ascii="Arial" w:hAnsi="Arial" w:cs="Arial"/>
          <w:b/>
        </w:rPr>
        <w:t xml:space="preserve"> – Contratista </w:t>
      </w:r>
      <w:r w:rsidR="004C05F2" w:rsidRPr="00FD00A0">
        <w:rPr>
          <w:rFonts w:ascii="Arial" w:hAnsi="Arial" w:cs="Arial"/>
          <w:b/>
        </w:rPr>
        <w:t xml:space="preserve"> </w:t>
      </w:r>
    </w:p>
    <w:p w:rsidR="00F87E23" w:rsidRPr="00B13E44" w:rsidRDefault="00F87E23" w:rsidP="00B13E44">
      <w:pPr>
        <w:jc w:val="both"/>
        <w:rPr>
          <w:rFonts w:ascii="Arial" w:hAnsi="Arial" w:cs="Arial"/>
          <w:b/>
        </w:rPr>
      </w:pPr>
    </w:p>
    <w:p w:rsidR="004268EC" w:rsidRPr="00B13E44" w:rsidRDefault="004268EC" w:rsidP="00B13E44">
      <w:pPr>
        <w:jc w:val="both"/>
        <w:rPr>
          <w:rFonts w:ascii="Arial" w:hAnsi="Arial" w:cs="Arial"/>
        </w:rPr>
      </w:pPr>
      <w:r w:rsidRPr="00B13E44">
        <w:rPr>
          <w:rFonts w:ascii="Arial" w:hAnsi="Arial" w:cs="Arial"/>
        </w:rPr>
        <w:t xml:space="preserve">El Tribunal finalmente da respuesta al problema jurídico planteando, en el sentido de afirmar que la administración no puede negar la expedición de copias al particular que en uso de su derecho fundamental de petición solicita documentos sobre la relación laboral de sus servidores, fundamentándose en que los mismos tiene carácter de reservados según el artículo 24 del C.P.A.C.A., sin embargo debe previamente clasificar la información contenida en dichos documentos, realizando una confrontación con la norma, especificando con precisión y exactitud frente a qué información procede la entrega por no tener el carácter de reserva. </w:t>
      </w:r>
      <w:r w:rsidR="000C3C64" w:rsidRPr="00B13E44">
        <w:rPr>
          <w:rFonts w:ascii="Arial" w:hAnsi="Arial" w:cs="Arial"/>
        </w:rPr>
        <w:t>De esta manera se concluye que la propia universidad, tuvo la capacidad de determinar, de conformidad con los lineamientos expuestos por la ley, qué documentos, de los incluidos en las hojas de vida y los contratos del personal del área administrativa de la Universidad, tenían el carácter de reservados y cuáles no, por lo que no puede la accionante manifestar, como así lo hizo, que la entrega de los documentos que ella misma ha calificado como públicos y sin reserva, violen los derechos fundamentales al debido proceso y la intimidad -Buen nombre- en conexidad con el derecho a la dignidad humana, la honra y el derecho a no auto incriminarse y al habeas data del personal de la Universidad.</w:t>
      </w:r>
    </w:p>
    <w:p w:rsidR="00A952C6" w:rsidRPr="00B13E44" w:rsidRDefault="00A952C6" w:rsidP="00B13E44">
      <w:pPr>
        <w:jc w:val="both"/>
        <w:rPr>
          <w:rFonts w:ascii="Arial" w:hAnsi="Arial" w:cs="Arial"/>
        </w:rPr>
      </w:pPr>
    </w:p>
    <w:p w:rsidR="00D61D00" w:rsidRPr="00761681" w:rsidRDefault="00D61D00" w:rsidP="00AD4C53">
      <w:pPr>
        <w:jc w:val="center"/>
        <w:rPr>
          <w:rFonts w:ascii="Arial" w:hAnsi="Arial" w:cs="Arial"/>
          <w:b/>
          <w:sz w:val="24"/>
          <w:szCs w:val="24"/>
        </w:rPr>
      </w:pPr>
      <w:r w:rsidRPr="00761681">
        <w:rPr>
          <w:rFonts w:ascii="Arial" w:hAnsi="Arial" w:cs="Arial"/>
          <w:b/>
          <w:sz w:val="24"/>
          <w:szCs w:val="24"/>
        </w:rPr>
        <w:t>CONSEJO DE ESTADO</w:t>
      </w:r>
    </w:p>
    <w:p w:rsidR="00D61D00" w:rsidRPr="00761681" w:rsidRDefault="00D61D00" w:rsidP="00AD4C53">
      <w:pPr>
        <w:jc w:val="center"/>
        <w:rPr>
          <w:rFonts w:ascii="Arial" w:hAnsi="Arial" w:cs="Arial"/>
          <w:b/>
          <w:sz w:val="24"/>
          <w:szCs w:val="24"/>
        </w:rPr>
      </w:pPr>
    </w:p>
    <w:p w:rsidR="00D61D00" w:rsidRPr="00761681" w:rsidRDefault="00D61D00" w:rsidP="00AD4C53">
      <w:pPr>
        <w:jc w:val="center"/>
        <w:rPr>
          <w:rFonts w:ascii="Arial" w:hAnsi="Arial" w:cs="Arial"/>
          <w:b/>
          <w:sz w:val="24"/>
          <w:szCs w:val="24"/>
        </w:rPr>
      </w:pPr>
      <w:r w:rsidRPr="00761681">
        <w:rPr>
          <w:rFonts w:ascii="Arial" w:hAnsi="Arial" w:cs="Arial"/>
          <w:b/>
          <w:sz w:val="24"/>
          <w:szCs w:val="24"/>
        </w:rPr>
        <w:t>SALA DE LO CONTENCIOSO ADMINISTRATIVO</w:t>
      </w:r>
    </w:p>
    <w:p w:rsidR="00D61D00" w:rsidRPr="00761681" w:rsidRDefault="00D61D00" w:rsidP="00AD4C53">
      <w:pPr>
        <w:jc w:val="center"/>
        <w:rPr>
          <w:rFonts w:ascii="Arial" w:hAnsi="Arial" w:cs="Arial"/>
          <w:b/>
          <w:sz w:val="24"/>
          <w:szCs w:val="24"/>
        </w:rPr>
      </w:pPr>
    </w:p>
    <w:p w:rsidR="00D61D00" w:rsidRPr="00761681" w:rsidRDefault="00D61D00" w:rsidP="00AD4C53">
      <w:pPr>
        <w:jc w:val="center"/>
        <w:rPr>
          <w:rFonts w:ascii="Arial" w:hAnsi="Arial" w:cs="Arial"/>
          <w:b/>
          <w:sz w:val="24"/>
          <w:szCs w:val="24"/>
        </w:rPr>
      </w:pPr>
      <w:r w:rsidRPr="00761681">
        <w:rPr>
          <w:rFonts w:ascii="Arial" w:hAnsi="Arial" w:cs="Arial"/>
          <w:b/>
          <w:sz w:val="24"/>
          <w:szCs w:val="24"/>
        </w:rPr>
        <w:t>SECCION PRIMERA</w:t>
      </w:r>
    </w:p>
    <w:p w:rsidR="00D61D00" w:rsidRPr="00761681" w:rsidRDefault="00D61D00" w:rsidP="00AD4C53">
      <w:pPr>
        <w:jc w:val="center"/>
        <w:rPr>
          <w:rFonts w:ascii="Arial" w:hAnsi="Arial" w:cs="Arial"/>
          <w:b/>
          <w:sz w:val="24"/>
          <w:szCs w:val="24"/>
        </w:rPr>
      </w:pPr>
    </w:p>
    <w:p w:rsidR="00D61D00" w:rsidRPr="00761681" w:rsidRDefault="00AD4C53" w:rsidP="00AD4C53">
      <w:pPr>
        <w:jc w:val="center"/>
        <w:rPr>
          <w:rFonts w:ascii="Arial" w:hAnsi="Arial" w:cs="Arial"/>
          <w:b/>
          <w:sz w:val="24"/>
          <w:szCs w:val="24"/>
        </w:rPr>
      </w:pPr>
      <w:r w:rsidRPr="00761681">
        <w:rPr>
          <w:rFonts w:ascii="Arial" w:hAnsi="Arial" w:cs="Arial"/>
          <w:b/>
          <w:sz w:val="24"/>
          <w:szCs w:val="24"/>
        </w:rPr>
        <w:t>Consejero p</w:t>
      </w:r>
      <w:r w:rsidR="00D61D00" w:rsidRPr="00761681">
        <w:rPr>
          <w:rFonts w:ascii="Arial" w:hAnsi="Arial" w:cs="Arial"/>
          <w:b/>
          <w:sz w:val="24"/>
          <w:szCs w:val="24"/>
        </w:rPr>
        <w:t>onente: HERNANDO SÁNCHEZ SÁNCHEZ</w:t>
      </w:r>
    </w:p>
    <w:p w:rsidR="00D61D00" w:rsidRPr="00761681" w:rsidRDefault="00D61D00" w:rsidP="00AD4C53">
      <w:pPr>
        <w:jc w:val="both"/>
        <w:rPr>
          <w:rFonts w:ascii="Arial" w:hAnsi="Arial" w:cs="Arial"/>
          <w:sz w:val="24"/>
          <w:szCs w:val="24"/>
        </w:rPr>
      </w:pPr>
    </w:p>
    <w:p w:rsidR="00D61D00" w:rsidRPr="00761681" w:rsidRDefault="00D61D00" w:rsidP="00AD4C53">
      <w:pPr>
        <w:jc w:val="both"/>
        <w:rPr>
          <w:rFonts w:ascii="Arial" w:hAnsi="Arial" w:cs="Arial"/>
          <w:sz w:val="24"/>
          <w:szCs w:val="24"/>
        </w:rPr>
      </w:pPr>
      <w:r w:rsidRPr="00761681">
        <w:rPr>
          <w:rFonts w:ascii="Arial" w:hAnsi="Arial" w:cs="Arial"/>
          <w:sz w:val="24"/>
          <w:szCs w:val="24"/>
        </w:rPr>
        <w:t>Bogotá, D.C., dieciocho (18) de mayo de dos mil diecisiete (2017)</w:t>
      </w:r>
    </w:p>
    <w:p w:rsidR="00D61D00" w:rsidRPr="00761681" w:rsidRDefault="00D61D00" w:rsidP="00AD4C53">
      <w:pPr>
        <w:jc w:val="both"/>
        <w:rPr>
          <w:rFonts w:ascii="Arial" w:hAnsi="Arial" w:cs="Arial"/>
          <w:b/>
          <w:sz w:val="24"/>
          <w:szCs w:val="24"/>
        </w:rPr>
      </w:pPr>
    </w:p>
    <w:p w:rsidR="00D61D00" w:rsidRPr="00761681" w:rsidRDefault="00D61D00" w:rsidP="00AD4C53">
      <w:pPr>
        <w:jc w:val="both"/>
        <w:rPr>
          <w:rFonts w:ascii="Arial" w:hAnsi="Arial" w:cs="Arial"/>
          <w:b/>
          <w:sz w:val="24"/>
          <w:szCs w:val="24"/>
        </w:rPr>
      </w:pPr>
      <w:r w:rsidRPr="00761681">
        <w:rPr>
          <w:rFonts w:ascii="Arial" w:hAnsi="Arial" w:cs="Arial"/>
          <w:b/>
          <w:sz w:val="24"/>
          <w:szCs w:val="24"/>
        </w:rPr>
        <w:t xml:space="preserve">Radicación número: </w:t>
      </w:r>
      <w:bookmarkStart w:id="0" w:name="_GoBack"/>
      <w:r w:rsidRPr="00761681">
        <w:rPr>
          <w:rFonts w:ascii="Arial" w:hAnsi="Arial" w:cs="Arial"/>
          <w:b/>
          <w:sz w:val="24"/>
          <w:szCs w:val="24"/>
        </w:rPr>
        <w:t>11001-03-15-000-2016-02216-01</w:t>
      </w:r>
      <w:r w:rsidR="0094119F" w:rsidRPr="00761681">
        <w:rPr>
          <w:rFonts w:ascii="Arial" w:hAnsi="Arial" w:cs="Arial"/>
          <w:b/>
          <w:sz w:val="24"/>
          <w:szCs w:val="24"/>
        </w:rPr>
        <w:t>(AC)</w:t>
      </w:r>
    </w:p>
    <w:bookmarkEnd w:id="0"/>
    <w:p w:rsidR="00D61D00" w:rsidRPr="00761681" w:rsidRDefault="00D61D00" w:rsidP="00AD4C53">
      <w:pPr>
        <w:jc w:val="both"/>
        <w:rPr>
          <w:rFonts w:ascii="Arial" w:hAnsi="Arial" w:cs="Arial"/>
          <w:b/>
          <w:sz w:val="24"/>
          <w:szCs w:val="24"/>
        </w:rPr>
      </w:pPr>
    </w:p>
    <w:p w:rsidR="00D61D00" w:rsidRPr="00761681" w:rsidRDefault="00D61D00" w:rsidP="00AD4C53">
      <w:pPr>
        <w:jc w:val="both"/>
        <w:rPr>
          <w:rFonts w:ascii="Arial" w:hAnsi="Arial" w:cs="Arial"/>
          <w:b/>
          <w:sz w:val="24"/>
          <w:szCs w:val="24"/>
        </w:rPr>
      </w:pPr>
      <w:r w:rsidRPr="00761681">
        <w:rPr>
          <w:rFonts w:ascii="Arial" w:hAnsi="Arial" w:cs="Arial"/>
          <w:b/>
          <w:sz w:val="24"/>
          <w:szCs w:val="24"/>
        </w:rPr>
        <w:t>Ac</w:t>
      </w:r>
      <w:r w:rsidR="00AD4C53" w:rsidRPr="00761681">
        <w:rPr>
          <w:rFonts w:ascii="Arial" w:hAnsi="Arial" w:cs="Arial"/>
          <w:b/>
          <w:sz w:val="24"/>
          <w:szCs w:val="24"/>
        </w:rPr>
        <w:t>tor</w:t>
      </w:r>
      <w:r w:rsidRPr="00761681">
        <w:rPr>
          <w:rFonts w:ascii="Arial" w:hAnsi="Arial" w:cs="Arial"/>
          <w:b/>
          <w:sz w:val="24"/>
          <w:szCs w:val="24"/>
        </w:rPr>
        <w:t xml:space="preserve">: </w:t>
      </w:r>
      <w:r w:rsidR="00AD4C53" w:rsidRPr="00761681">
        <w:rPr>
          <w:rFonts w:ascii="Arial" w:hAnsi="Arial" w:cs="Arial"/>
          <w:b/>
          <w:sz w:val="24"/>
          <w:szCs w:val="24"/>
        </w:rPr>
        <w:t>UNIVERSIDAD DEL QUINDÍO</w:t>
      </w:r>
    </w:p>
    <w:p w:rsidR="00D61D00" w:rsidRPr="00761681" w:rsidRDefault="00D61D00" w:rsidP="00AD4C53">
      <w:pPr>
        <w:jc w:val="both"/>
        <w:rPr>
          <w:rFonts w:ascii="Arial" w:hAnsi="Arial" w:cs="Arial"/>
          <w:b/>
          <w:sz w:val="24"/>
          <w:szCs w:val="24"/>
        </w:rPr>
      </w:pPr>
    </w:p>
    <w:p w:rsidR="00D61D00" w:rsidRPr="00761681" w:rsidRDefault="00D61D00" w:rsidP="00AD4C53">
      <w:pPr>
        <w:jc w:val="both"/>
        <w:rPr>
          <w:rFonts w:ascii="Arial" w:hAnsi="Arial" w:cs="Arial"/>
          <w:b/>
          <w:sz w:val="24"/>
          <w:szCs w:val="24"/>
        </w:rPr>
      </w:pPr>
      <w:r w:rsidRPr="00761681">
        <w:rPr>
          <w:rFonts w:ascii="Arial" w:hAnsi="Arial" w:cs="Arial"/>
          <w:b/>
          <w:sz w:val="24"/>
          <w:szCs w:val="24"/>
        </w:rPr>
        <w:t>Demandado: TRIBUNAL ADMINISTRATIVO DEL QUINDÍO</w:t>
      </w:r>
    </w:p>
    <w:p w:rsidR="00D61D00" w:rsidRPr="00761681" w:rsidRDefault="00D61D00" w:rsidP="00AD4C53">
      <w:pPr>
        <w:jc w:val="both"/>
        <w:rPr>
          <w:rFonts w:ascii="Arial" w:hAnsi="Arial" w:cs="Arial"/>
          <w:sz w:val="24"/>
          <w:szCs w:val="24"/>
        </w:rPr>
      </w:pPr>
    </w:p>
    <w:p w:rsidR="00D61D00" w:rsidRPr="00761681" w:rsidRDefault="00D61D00" w:rsidP="00AD4C53">
      <w:pPr>
        <w:jc w:val="both"/>
        <w:rPr>
          <w:rFonts w:ascii="Arial" w:hAnsi="Arial" w:cs="Arial"/>
          <w:sz w:val="24"/>
          <w:szCs w:val="24"/>
        </w:rPr>
      </w:pPr>
    </w:p>
    <w:p w:rsidR="00AD4C53" w:rsidRPr="00761681" w:rsidRDefault="00AD4C53" w:rsidP="00AD4C53">
      <w:pPr>
        <w:jc w:val="both"/>
        <w:rPr>
          <w:rFonts w:ascii="Arial" w:hAnsi="Arial" w:cs="Arial"/>
          <w:sz w:val="24"/>
          <w:szCs w:val="24"/>
        </w:rPr>
      </w:pPr>
    </w:p>
    <w:p w:rsidR="00D61D00" w:rsidRPr="00761681" w:rsidRDefault="00D61D00" w:rsidP="00D61D00">
      <w:pPr>
        <w:widowControl w:val="0"/>
        <w:spacing w:line="360" w:lineRule="auto"/>
        <w:jc w:val="both"/>
        <w:rPr>
          <w:rFonts w:ascii="Arial" w:hAnsi="Arial" w:cs="Arial"/>
          <w:i/>
          <w:sz w:val="24"/>
          <w:szCs w:val="24"/>
          <w:lang w:val="es-ES"/>
        </w:rPr>
      </w:pPr>
      <w:r w:rsidRPr="00761681">
        <w:rPr>
          <w:rFonts w:ascii="Arial" w:hAnsi="Arial" w:cs="Arial"/>
          <w:sz w:val="24"/>
          <w:szCs w:val="24"/>
          <w:lang w:val="es-ES"/>
        </w:rPr>
        <w:t xml:space="preserve">La Sala decide la impugnación interpuesta por la </w:t>
      </w:r>
      <w:r w:rsidRPr="00761681">
        <w:rPr>
          <w:rFonts w:ascii="Arial" w:hAnsi="Arial" w:cs="Arial"/>
          <w:b/>
          <w:sz w:val="24"/>
          <w:szCs w:val="24"/>
        </w:rPr>
        <w:t>Universidad del Quindío</w:t>
      </w:r>
      <w:r w:rsidRPr="00761681">
        <w:rPr>
          <w:rFonts w:ascii="Arial" w:hAnsi="Arial" w:cs="Arial"/>
          <w:sz w:val="24"/>
          <w:szCs w:val="24"/>
          <w:lang w:val="es-ES"/>
        </w:rPr>
        <w:t>, contra del fallo de tutela proferido el 3 de noviembre de 2016 por la Sección Quinta del Consejo de Estado, que negó el amparo deprecado.</w:t>
      </w:r>
    </w:p>
    <w:p w:rsidR="00D61D00" w:rsidRPr="00761681" w:rsidRDefault="00D61D00" w:rsidP="00D61D00">
      <w:pPr>
        <w:spacing w:line="360" w:lineRule="auto"/>
        <w:contextualSpacing/>
        <w:rPr>
          <w:rFonts w:ascii="Arial" w:hAnsi="Arial" w:cs="Arial"/>
          <w:b/>
          <w:sz w:val="24"/>
          <w:szCs w:val="24"/>
          <w:lang w:val="es-ES"/>
        </w:rPr>
      </w:pPr>
    </w:p>
    <w:p w:rsidR="00D61D00" w:rsidRPr="00761681" w:rsidRDefault="00D61D00" w:rsidP="00D61D00">
      <w:pPr>
        <w:spacing w:line="360" w:lineRule="auto"/>
        <w:contextualSpacing/>
        <w:jc w:val="center"/>
        <w:rPr>
          <w:rFonts w:ascii="Arial" w:hAnsi="Arial" w:cs="Arial"/>
          <w:b/>
          <w:sz w:val="24"/>
          <w:szCs w:val="24"/>
          <w:lang w:val="es-ES"/>
        </w:rPr>
      </w:pPr>
      <w:r w:rsidRPr="00761681">
        <w:rPr>
          <w:rFonts w:ascii="Arial" w:hAnsi="Arial" w:cs="Arial"/>
          <w:b/>
          <w:sz w:val="24"/>
          <w:szCs w:val="24"/>
          <w:lang w:val="es-ES"/>
        </w:rPr>
        <w:t>1. ANTECEDENTES</w:t>
      </w:r>
    </w:p>
    <w:p w:rsidR="00D61D00" w:rsidRPr="00761681" w:rsidRDefault="00D61D00" w:rsidP="00D61D00">
      <w:pPr>
        <w:spacing w:line="360" w:lineRule="auto"/>
        <w:contextualSpacing/>
        <w:rPr>
          <w:rFonts w:ascii="Arial" w:hAnsi="Arial" w:cs="Arial"/>
          <w:b/>
          <w:sz w:val="24"/>
          <w:szCs w:val="24"/>
          <w:lang w:val="es-ES"/>
        </w:rPr>
      </w:pPr>
    </w:p>
    <w:p w:rsidR="00D61D00" w:rsidRPr="00761681" w:rsidRDefault="00D61D00" w:rsidP="00D61D00">
      <w:pPr>
        <w:spacing w:line="360" w:lineRule="auto"/>
        <w:contextualSpacing/>
        <w:rPr>
          <w:rFonts w:ascii="Arial" w:hAnsi="Arial" w:cs="Arial"/>
          <w:b/>
          <w:sz w:val="24"/>
          <w:szCs w:val="24"/>
          <w:lang w:val="es-ES"/>
        </w:rPr>
      </w:pPr>
      <w:r w:rsidRPr="00761681">
        <w:rPr>
          <w:rFonts w:ascii="Arial" w:hAnsi="Arial" w:cs="Arial"/>
          <w:b/>
          <w:sz w:val="24"/>
          <w:szCs w:val="24"/>
          <w:lang w:val="es-ES"/>
        </w:rPr>
        <w:t>1.1. La solicitud</w:t>
      </w:r>
    </w:p>
    <w:p w:rsidR="00D61D00" w:rsidRPr="00761681" w:rsidRDefault="00D61D00" w:rsidP="00D61D00">
      <w:pPr>
        <w:spacing w:line="360" w:lineRule="auto"/>
        <w:contextualSpacing/>
        <w:rPr>
          <w:rFonts w:ascii="Arial" w:hAnsi="Arial" w:cs="Arial"/>
          <w:b/>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El señor José Fernando Echeverry Murillo, en su calidad de rector y representante legal de la Universidad del Quindío (institución de educación superior oficial</w:t>
      </w:r>
      <w:r w:rsidRPr="00761681">
        <w:rPr>
          <w:rStyle w:val="Refdenotaalpie"/>
          <w:rFonts w:ascii="Arial" w:hAnsi="Arial" w:cs="Arial"/>
          <w:sz w:val="24"/>
          <w:szCs w:val="24"/>
          <w:lang w:val="es-ES"/>
        </w:rPr>
        <w:footnoteReference w:id="1"/>
      </w:r>
      <w:r w:rsidRPr="00761681">
        <w:rPr>
          <w:rFonts w:ascii="Arial" w:hAnsi="Arial" w:cs="Arial"/>
          <w:sz w:val="24"/>
          <w:szCs w:val="24"/>
          <w:lang w:val="es-ES"/>
        </w:rPr>
        <w:t xml:space="preserve">) y, a la vez, como agente oficioso del personal administrativo y contratista (activo e inactivo) de la Universidad, formuló acción de tutela por la presunta vulneración de los derechos fundamentales </w:t>
      </w:r>
      <w:r w:rsidRPr="00761681">
        <w:rPr>
          <w:rFonts w:ascii="Arial" w:hAnsi="Arial" w:cs="Arial"/>
          <w:b/>
          <w:sz w:val="24"/>
          <w:szCs w:val="24"/>
        </w:rPr>
        <w:t>“al debido proceso y la intimidad -Buen nombre- en conexidad con el derecho a la dignidad humana, la honra y el derecho a no auto incriminarse y el habeas data”</w:t>
      </w:r>
      <w:r w:rsidRPr="00761681">
        <w:rPr>
          <w:rFonts w:ascii="Arial" w:hAnsi="Arial" w:cs="Arial"/>
          <w:sz w:val="24"/>
          <w:szCs w:val="24"/>
          <w:lang w:val="es-ES"/>
        </w:rPr>
        <w:t>, en que, a su juicio, incurrió la Sala Primera de Decisión Oral del Tribunal Administrativo del Quindío al proferir la sentencia de 22 de julio de 2016, dentro del recurso de insistencia radicado con el número 63-001-23-33-000-2016-00263-00 elevado ante dicho despacho judicial, como consecuencia de la negativa la Universidad del Quindío a la petición de información presentada por el ciudadano Sabel Reinero Arévalo Arévalo.</w:t>
      </w:r>
    </w:p>
    <w:p w:rsidR="00D61D00" w:rsidRPr="00761681" w:rsidRDefault="00D61D00" w:rsidP="00D61D00">
      <w:pPr>
        <w:widowControl w:val="0"/>
        <w:spacing w:line="360" w:lineRule="auto"/>
        <w:rPr>
          <w:rFonts w:ascii="Arial" w:hAnsi="Arial" w:cs="Arial"/>
          <w:b/>
          <w:bCs/>
          <w:sz w:val="24"/>
          <w:szCs w:val="24"/>
          <w:lang w:val="es-ES"/>
        </w:rPr>
      </w:pPr>
    </w:p>
    <w:p w:rsidR="00D61D00" w:rsidRPr="00761681" w:rsidRDefault="00D61D00" w:rsidP="00D61D00">
      <w:pPr>
        <w:widowControl w:val="0"/>
        <w:spacing w:line="360" w:lineRule="auto"/>
        <w:rPr>
          <w:rFonts w:ascii="Arial" w:hAnsi="Arial" w:cs="Arial"/>
          <w:b/>
          <w:bCs/>
          <w:sz w:val="24"/>
          <w:szCs w:val="24"/>
          <w:lang w:val="es-ES"/>
        </w:rPr>
      </w:pPr>
      <w:r w:rsidRPr="00761681">
        <w:rPr>
          <w:rFonts w:ascii="Arial" w:hAnsi="Arial" w:cs="Arial"/>
          <w:b/>
          <w:bCs/>
          <w:sz w:val="24"/>
          <w:szCs w:val="24"/>
          <w:lang w:val="es-ES"/>
        </w:rPr>
        <w:t>1.2. Hechos</w:t>
      </w:r>
    </w:p>
    <w:p w:rsidR="00D61D00" w:rsidRPr="00761681" w:rsidRDefault="00D61D00" w:rsidP="00D61D00">
      <w:pPr>
        <w:widowControl w:val="0"/>
        <w:spacing w:line="360" w:lineRule="auto"/>
        <w:jc w:val="both"/>
        <w:rPr>
          <w:rFonts w:ascii="Arial" w:hAnsi="Arial" w:cs="Arial"/>
          <w:bCs/>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El señor Rector de la Universidad del Quindío indica que el 10 de mayo de 2016 el abogado Sabel Reinero Arévalo Arévalo presentó petición ante la Universidad del Quindío para que se expidieran copias de algunos documentos; específicamente, solicito lo siguiente: </w:t>
      </w:r>
      <w:r w:rsidRPr="00761681">
        <w:rPr>
          <w:rFonts w:ascii="Arial" w:hAnsi="Arial" w:cs="Arial"/>
          <w:i/>
          <w:sz w:val="24"/>
          <w:szCs w:val="24"/>
          <w:lang w:val="es-ES"/>
        </w:rPr>
        <w:t>“… se me expida copia de los actos administrativos de nombramiento, traslado, ascensos, contratos de prestación de servicios, inherentes al personal de la parte administrativa de la Universidad del Quindío, a partir del mes de junio de dos mil catorce y hasta la fecha”.</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Manifiesta el señor Rector que el 23 de mayo de 2016 la petición fue respondida por la Universidad al peticionario de manera negativa, considerando </w:t>
      </w:r>
      <w:proofErr w:type="gramStart"/>
      <w:r w:rsidRPr="00761681">
        <w:rPr>
          <w:rFonts w:ascii="Arial" w:hAnsi="Arial" w:cs="Arial"/>
          <w:sz w:val="24"/>
          <w:szCs w:val="24"/>
          <w:lang w:val="es-ES"/>
        </w:rPr>
        <w:t>que  la</w:t>
      </w:r>
      <w:proofErr w:type="gramEnd"/>
      <w:r w:rsidRPr="00761681">
        <w:rPr>
          <w:rFonts w:ascii="Arial" w:hAnsi="Arial" w:cs="Arial"/>
          <w:sz w:val="24"/>
          <w:szCs w:val="24"/>
          <w:lang w:val="es-ES"/>
        </w:rPr>
        <w:t xml:space="preserve"> información solicitada tenía carácter de reservada, debido a que los datos personales hacían parte de la historia laboral de los empleados y contratistas.  </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Relata que el señor Arévalo presentó recurso de insistencia ante el Tribunal Administrativo del Quindío, en el que reitero la petición de entrega de información solicitada a la Universidad del Quindío.</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Refiere que el recurso de insistencia fue resuelto mediante providencia de 22 de julio de 2016, en la que se decidió declarar mal negada la petición de información formulada por Sabel Reinero Arévalo Arévalo y como consecuencia, dispuso </w:t>
      </w:r>
      <w:r w:rsidRPr="00761681">
        <w:rPr>
          <w:rFonts w:ascii="Arial" w:hAnsi="Arial" w:cs="Arial"/>
          <w:i/>
          <w:sz w:val="24"/>
          <w:szCs w:val="24"/>
          <w:lang w:val="es-ES"/>
        </w:rPr>
        <w:t>“… ORDÉNASE  a la UNIVERSIDAD DEL QUINDÍO que expida de forma inmediata a favor de SABEL REINERO ARÉVALO ARÉVALO, las copias de los actos administrativos de nombramientos, traslados, ascensos y contratos de prestación de servicios, del personal administrativo de la Universidad del Quindío, a que hace referencia su petición 10 de mayo de 2016”</w:t>
      </w:r>
      <w:r w:rsidRPr="00761681">
        <w:rPr>
          <w:rFonts w:ascii="Arial" w:hAnsi="Arial" w:cs="Arial"/>
          <w:sz w:val="24"/>
          <w:szCs w:val="24"/>
          <w:lang w:val="es-ES"/>
        </w:rPr>
        <w:t xml:space="preserve"> .</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A juicio de la accionante el Tribunal Administrativo del Quindío incurrió en una “vía de hecho”, debido a que la sentencia proferida por el Tribunal es ambigua y contraria al principio de congruencia, porque mientras en la parte resolutiva de la providencia ordena la entrega de la información solicitada, en la parte motiva le da la responsabilidad a la  Universidad de clasificar los documentos que se deben entregar, lo que conlleva necesariamente a redundar en el mismo punto del litigio, pues para la Universidad todos los documentos del personal adscrito (activo o inactivo) de la parte administrativa gozan de reserva.</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Igualmente considera que el </w:t>
      </w:r>
      <w:r w:rsidR="00440687" w:rsidRPr="00761681">
        <w:rPr>
          <w:rFonts w:ascii="Arial" w:hAnsi="Arial" w:cs="Arial"/>
          <w:sz w:val="24"/>
          <w:szCs w:val="24"/>
          <w:lang w:val="es-ES"/>
        </w:rPr>
        <w:t>Tribunal incurrió</w:t>
      </w:r>
      <w:r w:rsidRPr="00761681">
        <w:rPr>
          <w:rFonts w:ascii="Arial" w:hAnsi="Arial" w:cs="Arial"/>
          <w:sz w:val="24"/>
          <w:szCs w:val="24"/>
          <w:lang w:val="es-ES"/>
        </w:rPr>
        <w:t xml:space="preserve"> en “vía de hecho” en la medida en que </w:t>
      </w:r>
      <w:r w:rsidRPr="00761681">
        <w:rPr>
          <w:rFonts w:ascii="Arial" w:hAnsi="Arial" w:cs="Arial"/>
          <w:sz w:val="24"/>
          <w:szCs w:val="24"/>
          <w:lang w:val="es-ES"/>
        </w:rPr>
        <w:lastRenderedPageBreak/>
        <w:t>limitó sus consideraciones a velar por el interés del abogado Sabel Reinero Arévalo Arévalo, olvidando tener en cuenta el concepto del personal administrativo y de los contratistas de la Universidad, máxime cuando se desconoce la finalidad o la intención que persigue el peticionario de la información.</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Advierte que el abogado Sabel Reinero Arévalo Arévalo manifestó, faltando a la verdad, que la información requerida serviría para allegarla al expediente contentivo de una acción de cumplimiento que cursaba en el Juzgado Segundo Administrativo del Circuito de Armenia; afirmación fue desvirtuada de manera tajante por certificación expedida por la </w:t>
      </w:r>
      <w:proofErr w:type="gramStart"/>
      <w:r w:rsidRPr="00761681">
        <w:rPr>
          <w:rFonts w:ascii="Arial" w:hAnsi="Arial" w:cs="Arial"/>
          <w:sz w:val="24"/>
          <w:szCs w:val="24"/>
          <w:lang w:val="es-ES"/>
        </w:rPr>
        <w:t>Secretaria</w:t>
      </w:r>
      <w:proofErr w:type="gramEnd"/>
      <w:r w:rsidRPr="00761681">
        <w:rPr>
          <w:rFonts w:ascii="Arial" w:hAnsi="Arial" w:cs="Arial"/>
          <w:sz w:val="24"/>
          <w:szCs w:val="24"/>
          <w:lang w:val="es-ES"/>
        </w:rPr>
        <w:t xml:space="preserve"> del citado despacho judicial.</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De la misma forma, indica que fueron vulnerados los derechos de contradicción y defensa del personal administrativo y contratista de la Universidad debido a que no fueron vinculados al recurso de insistencia adelantado ante el Tribunal, siendo </w:t>
      </w:r>
      <w:proofErr w:type="gramStart"/>
      <w:r w:rsidRPr="00761681">
        <w:rPr>
          <w:rFonts w:ascii="Arial" w:hAnsi="Arial" w:cs="Arial"/>
          <w:sz w:val="24"/>
          <w:szCs w:val="24"/>
          <w:lang w:val="es-ES"/>
        </w:rPr>
        <w:t>éstas</w:t>
      </w:r>
      <w:proofErr w:type="gramEnd"/>
      <w:r w:rsidRPr="00761681">
        <w:rPr>
          <w:rFonts w:ascii="Arial" w:hAnsi="Arial" w:cs="Arial"/>
          <w:sz w:val="24"/>
          <w:szCs w:val="24"/>
          <w:lang w:val="es-ES"/>
        </w:rPr>
        <w:t xml:space="preserve"> personas las más interesadas en que la información suministrada no se hiciera pública.</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Manifiesta que el entregar la información solicitada permite a personas inescrupulosas, en un momento determinado, abusar de dicha situación y poner en peligro inminente a las personas a quienes pertenece dicha información.</w:t>
      </w:r>
    </w:p>
    <w:p w:rsidR="00D61D00" w:rsidRPr="00761681" w:rsidRDefault="00D61D00" w:rsidP="00D61D00">
      <w:pPr>
        <w:widowControl w:val="0"/>
        <w:spacing w:line="360" w:lineRule="auto"/>
        <w:jc w:val="both"/>
        <w:rPr>
          <w:rFonts w:ascii="Arial" w:hAnsi="Arial" w:cs="Arial"/>
          <w:sz w:val="24"/>
          <w:szCs w:val="24"/>
          <w:lang w:val="es-ES"/>
        </w:rPr>
      </w:pPr>
    </w:p>
    <w:p w:rsidR="00D61D00" w:rsidRPr="00761681" w:rsidRDefault="00D61D00" w:rsidP="00D61D00">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Consideró que la decisión del Tribunal también vulnera los derechos fundamentales de los directivos de la Universidad </w:t>
      </w:r>
      <w:r w:rsidRPr="00761681">
        <w:rPr>
          <w:rFonts w:ascii="Arial" w:hAnsi="Arial" w:cs="Arial"/>
          <w:i/>
          <w:sz w:val="24"/>
          <w:szCs w:val="24"/>
          <w:lang w:val="es-ES"/>
        </w:rPr>
        <w:t>“al debido proceso y a la intimidad – Buen nombre- en conexidad con el derecho a la dignidad humana, la honra y el derecho a no auto incriminarse y el Habeas data”</w:t>
      </w:r>
      <w:r w:rsidRPr="00761681">
        <w:rPr>
          <w:rFonts w:ascii="Arial" w:hAnsi="Arial" w:cs="Arial"/>
          <w:sz w:val="24"/>
          <w:szCs w:val="24"/>
          <w:lang w:val="es-ES"/>
        </w:rPr>
        <w:t xml:space="preserve"> por cuanto los obliga </w:t>
      </w:r>
      <w:r w:rsidRPr="00761681">
        <w:rPr>
          <w:rFonts w:ascii="Arial" w:hAnsi="Arial" w:cs="Arial"/>
          <w:i/>
          <w:sz w:val="24"/>
          <w:szCs w:val="24"/>
          <w:lang w:val="es-ES"/>
        </w:rPr>
        <w:t>“de manera acomodada mediante esta decisión a transgredir los derechos fundamentales de terceros al entregar la información reservada a personas que carecen de fundamentos para obtener las mismas, desconociendo además su finalidad, exponiéndolos de manera indolente a riesgos disciplinarios y hasta de índole penal, por catalogar y entregar información de terceros sin su autorización, previa orden judicial acomodada y libre de responsabilidad.”</w:t>
      </w:r>
    </w:p>
    <w:p w:rsidR="00D61D00" w:rsidRPr="00761681" w:rsidRDefault="00D61D00" w:rsidP="00D61D00">
      <w:pPr>
        <w:spacing w:line="360" w:lineRule="auto"/>
        <w:rPr>
          <w:rFonts w:ascii="Arial" w:eastAsia="ヒラギノ角ゴ Pro W3" w:hAnsi="Arial" w:cs="Arial"/>
          <w:b/>
          <w:sz w:val="24"/>
          <w:szCs w:val="24"/>
        </w:rPr>
      </w:pPr>
    </w:p>
    <w:p w:rsidR="00D61D00" w:rsidRPr="00761681" w:rsidRDefault="00D61D00" w:rsidP="00D61D00">
      <w:pPr>
        <w:spacing w:line="360" w:lineRule="auto"/>
        <w:rPr>
          <w:rFonts w:ascii="Arial" w:hAnsi="Arial" w:cs="Arial"/>
          <w:b/>
          <w:sz w:val="24"/>
          <w:szCs w:val="24"/>
        </w:rPr>
      </w:pPr>
      <w:r w:rsidRPr="00761681">
        <w:rPr>
          <w:rFonts w:ascii="Arial" w:eastAsia="ヒラギノ角ゴ Pro W3" w:hAnsi="Arial" w:cs="Arial"/>
          <w:b/>
          <w:sz w:val="24"/>
          <w:szCs w:val="24"/>
        </w:rPr>
        <w:t>1.3. Pretensiones</w:t>
      </w:r>
    </w:p>
    <w:p w:rsidR="00D61D00" w:rsidRPr="00761681" w:rsidRDefault="00D61D00" w:rsidP="00D61D00">
      <w:pPr>
        <w:spacing w:line="360" w:lineRule="auto"/>
        <w:jc w:val="both"/>
        <w:rPr>
          <w:rFonts w:ascii="Arial" w:hAnsi="Arial" w:cs="Arial"/>
          <w:b/>
          <w:sz w:val="24"/>
          <w:szCs w:val="24"/>
          <w:lang w:val="es-ES"/>
        </w:rPr>
      </w:pPr>
    </w:p>
    <w:p w:rsidR="00D61D00" w:rsidRPr="00761681" w:rsidRDefault="00D61D00" w:rsidP="008B403D">
      <w:pPr>
        <w:spacing w:line="360" w:lineRule="auto"/>
        <w:jc w:val="both"/>
        <w:rPr>
          <w:rFonts w:ascii="Arial" w:hAnsi="Arial" w:cs="Arial"/>
          <w:sz w:val="24"/>
          <w:szCs w:val="24"/>
          <w:lang w:val="es-ES"/>
        </w:rPr>
      </w:pPr>
      <w:r w:rsidRPr="00761681">
        <w:rPr>
          <w:rFonts w:ascii="Arial" w:hAnsi="Arial" w:cs="Arial"/>
          <w:sz w:val="24"/>
          <w:szCs w:val="24"/>
          <w:lang w:val="es-ES"/>
        </w:rPr>
        <w:t>Con fundamento en los hechos expuestos, el accionante solicitó</w:t>
      </w:r>
      <w:r w:rsidRPr="00761681">
        <w:rPr>
          <w:rStyle w:val="Refdenotaalpie"/>
          <w:rFonts w:ascii="Arial" w:hAnsi="Arial" w:cs="Arial"/>
          <w:sz w:val="24"/>
          <w:szCs w:val="24"/>
          <w:lang w:val="es-ES"/>
        </w:rPr>
        <w:footnoteReference w:id="2"/>
      </w:r>
      <w:r w:rsidRPr="00761681">
        <w:rPr>
          <w:rFonts w:ascii="Arial" w:hAnsi="Arial" w:cs="Arial"/>
          <w:sz w:val="24"/>
          <w:szCs w:val="24"/>
          <w:lang w:val="es-ES"/>
        </w:rPr>
        <w:t>:</w:t>
      </w:r>
    </w:p>
    <w:p w:rsidR="008B403D" w:rsidRPr="00761681" w:rsidRDefault="008B403D"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i/>
          <w:sz w:val="24"/>
          <w:szCs w:val="24"/>
        </w:rPr>
      </w:pPr>
      <w:r w:rsidRPr="00761681">
        <w:rPr>
          <w:rFonts w:ascii="Arial" w:hAnsi="Arial" w:cs="Arial"/>
          <w:i/>
          <w:sz w:val="24"/>
          <w:szCs w:val="24"/>
          <w:lang w:val="es-ES"/>
        </w:rPr>
        <w:t>“</w:t>
      </w:r>
      <w:r w:rsidRPr="00761681">
        <w:rPr>
          <w:rFonts w:ascii="Arial" w:hAnsi="Arial" w:cs="Arial"/>
          <w:bCs/>
          <w:i/>
          <w:sz w:val="24"/>
          <w:szCs w:val="24"/>
        </w:rPr>
        <w:t xml:space="preserve">PRIMERO: </w:t>
      </w:r>
      <w:r w:rsidRPr="00761681">
        <w:rPr>
          <w:rFonts w:ascii="Arial" w:hAnsi="Arial" w:cs="Arial"/>
          <w:i/>
          <w:sz w:val="24"/>
          <w:szCs w:val="24"/>
        </w:rPr>
        <w:t xml:space="preserve">Tutelar, a favor de la Universidad del Quindío, en cabeza de su Rector José Fernando Echeverri Murillo y en calidad de </w:t>
      </w:r>
      <w:r w:rsidRPr="00761681">
        <w:rPr>
          <w:rFonts w:ascii="Arial" w:hAnsi="Arial" w:cs="Arial"/>
          <w:bCs/>
          <w:i/>
          <w:sz w:val="24"/>
          <w:szCs w:val="24"/>
        </w:rPr>
        <w:t xml:space="preserve">AGENTE OFICIOSO DEL PERSONAL ADMINISTRATIVO Y CONTRATISTAS </w:t>
      </w:r>
      <w:r w:rsidRPr="00761681">
        <w:rPr>
          <w:rFonts w:ascii="Arial" w:hAnsi="Arial" w:cs="Arial"/>
          <w:i/>
          <w:sz w:val="24"/>
          <w:szCs w:val="24"/>
        </w:rPr>
        <w:t>(Activos e inactivos) del Alma Matter, los derechos fundamentales al debido proceso y la intimidad -Buen nombre- en conexidad con el derecho a la dignidad humana, la honra y el derecho a no auto incriminarse y el habeas data, vulnerados por la Sala Primera de Decisión Oral del Tribunal Administrativo del Quindío.</w:t>
      </w:r>
    </w:p>
    <w:p w:rsidR="00D61D00" w:rsidRPr="00761681" w:rsidRDefault="00D61D00" w:rsidP="008B403D">
      <w:pPr>
        <w:spacing w:line="360" w:lineRule="auto"/>
        <w:jc w:val="both"/>
        <w:rPr>
          <w:rFonts w:ascii="Arial" w:hAnsi="Arial" w:cs="Arial"/>
          <w:i/>
          <w:sz w:val="24"/>
          <w:szCs w:val="24"/>
        </w:rPr>
      </w:pPr>
      <w:r w:rsidRPr="00761681">
        <w:rPr>
          <w:rFonts w:ascii="Arial" w:hAnsi="Arial" w:cs="Arial"/>
          <w:bCs/>
          <w:i/>
          <w:sz w:val="24"/>
          <w:szCs w:val="24"/>
        </w:rPr>
        <w:t xml:space="preserve">SEGUNDO: </w:t>
      </w:r>
      <w:r w:rsidRPr="00761681">
        <w:rPr>
          <w:rFonts w:ascii="Arial" w:hAnsi="Arial" w:cs="Arial"/>
          <w:i/>
          <w:sz w:val="24"/>
          <w:szCs w:val="24"/>
        </w:rPr>
        <w:t>Declarar la nulidad de la sentencia Nro.138, de julio 22 de 2016, emanada de la Sala Primera de Decisión Oral del Tribunal Administrativo del Quindío, con ponencia del Magistrado. Dr. Luis Carlos Álzate Ríos y aprobada por los Magistrados Juan Carlos Botina Gómez y Rigoberto Reyes Gómez, como integrantes de dicha Sala de decisión, por no haber vinculado a la decisión al personal determinado que puede verse afectado por el alcance jurídico y legal de esta decisión.</w:t>
      </w:r>
    </w:p>
    <w:p w:rsidR="00D61D00" w:rsidRPr="00761681" w:rsidRDefault="00D61D00" w:rsidP="008B403D">
      <w:pPr>
        <w:spacing w:line="360" w:lineRule="auto"/>
        <w:jc w:val="both"/>
        <w:rPr>
          <w:rFonts w:ascii="Arial" w:hAnsi="Arial" w:cs="Arial"/>
          <w:i/>
          <w:sz w:val="24"/>
          <w:szCs w:val="24"/>
          <w:lang w:val="es-ES"/>
        </w:rPr>
      </w:pPr>
      <w:r w:rsidRPr="00761681">
        <w:rPr>
          <w:rFonts w:ascii="Arial" w:hAnsi="Arial" w:cs="Arial"/>
          <w:bCs/>
          <w:i/>
          <w:sz w:val="24"/>
          <w:szCs w:val="24"/>
        </w:rPr>
        <w:t xml:space="preserve">TERCERO: </w:t>
      </w:r>
      <w:r w:rsidRPr="00761681">
        <w:rPr>
          <w:rFonts w:ascii="Arial" w:hAnsi="Arial" w:cs="Arial"/>
          <w:i/>
          <w:sz w:val="24"/>
          <w:szCs w:val="24"/>
        </w:rPr>
        <w:t>Declarar que el señor SABEL REINEIRO ARÉVALO ARÉVALO, no tiene derecho a acceder a la información en custodia de terceros reservada que solicita, máxime por cuanto no se demuestra que su finalidad sea legal, además por no contar con autorización de cada una de las personas que tienen información privilegiada reposando en el archivo de la Universidad del Quindío.</w:t>
      </w:r>
      <w:r w:rsidRPr="00761681">
        <w:rPr>
          <w:rFonts w:ascii="Arial" w:hAnsi="Arial" w:cs="Arial"/>
          <w:i/>
          <w:sz w:val="24"/>
          <w:szCs w:val="24"/>
          <w:lang w:val="es-ES"/>
        </w:rPr>
        <w:t>”</w:t>
      </w:r>
    </w:p>
    <w:p w:rsidR="00D61D00" w:rsidRPr="00761681" w:rsidRDefault="00D61D00" w:rsidP="008B403D">
      <w:pPr>
        <w:pStyle w:val="Prrafodelista"/>
        <w:overflowPunct/>
        <w:autoSpaceDE/>
        <w:autoSpaceDN/>
        <w:adjustRightInd/>
        <w:spacing w:line="360" w:lineRule="auto"/>
        <w:ind w:left="0"/>
        <w:textAlignment w:val="auto"/>
        <w:rPr>
          <w:rFonts w:ascii="Arial" w:hAnsi="Arial" w:cs="Arial"/>
          <w:i/>
          <w:sz w:val="24"/>
          <w:szCs w:val="24"/>
          <w:lang w:val="es-ES"/>
        </w:rPr>
      </w:pPr>
    </w:p>
    <w:p w:rsidR="00D61D00" w:rsidRPr="00761681" w:rsidRDefault="00D61D00" w:rsidP="008B403D">
      <w:pPr>
        <w:pStyle w:val="Prrafodelista"/>
        <w:overflowPunct/>
        <w:autoSpaceDE/>
        <w:autoSpaceDN/>
        <w:adjustRightInd/>
        <w:spacing w:line="360" w:lineRule="auto"/>
        <w:ind w:left="0"/>
        <w:textAlignment w:val="auto"/>
        <w:rPr>
          <w:rFonts w:ascii="Arial" w:hAnsi="Arial" w:cs="Arial"/>
          <w:b/>
          <w:sz w:val="24"/>
          <w:szCs w:val="24"/>
          <w:lang w:val="es-ES"/>
        </w:rPr>
      </w:pPr>
      <w:r w:rsidRPr="00761681">
        <w:rPr>
          <w:rFonts w:ascii="Arial" w:hAnsi="Arial" w:cs="Arial"/>
          <w:b/>
          <w:sz w:val="24"/>
          <w:szCs w:val="24"/>
          <w:lang w:val="es-ES"/>
        </w:rPr>
        <w:t>1.4. Admisión de la demanda</w:t>
      </w:r>
    </w:p>
    <w:p w:rsidR="008B403D" w:rsidRPr="00761681" w:rsidRDefault="008B403D" w:rsidP="008B403D">
      <w:pPr>
        <w:pStyle w:val="Prrafodelista"/>
        <w:overflowPunct/>
        <w:autoSpaceDE/>
        <w:autoSpaceDN/>
        <w:adjustRightInd/>
        <w:spacing w:line="360" w:lineRule="auto"/>
        <w:ind w:left="0"/>
        <w:textAlignment w:val="auto"/>
        <w:rPr>
          <w:rFonts w:ascii="Arial" w:hAnsi="Arial" w:cs="Arial"/>
          <w:b/>
          <w:sz w:val="24"/>
          <w:szCs w:val="24"/>
          <w:lang w:val="es-ES"/>
        </w:rPr>
      </w:pPr>
    </w:p>
    <w:p w:rsidR="00D61D00" w:rsidRPr="00761681" w:rsidRDefault="00D61D00" w:rsidP="008B403D">
      <w:pPr>
        <w:spacing w:line="360" w:lineRule="auto"/>
        <w:jc w:val="both"/>
        <w:rPr>
          <w:rFonts w:ascii="Arial" w:hAnsi="Arial" w:cs="Arial"/>
          <w:sz w:val="24"/>
          <w:szCs w:val="24"/>
        </w:rPr>
      </w:pPr>
      <w:r w:rsidRPr="00761681">
        <w:rPr>
          <w:rFonts w:ascii="Arial" w:hAnsi="Arial" w:cs="Arial"/>
          <w:sz w:val="24"/>
          <w:szCs w:val="24"/>
        </w:rPr>
        <w:t>Mediante auto de 10 de agosto de 2016</w:t>
      </w:r>
      <w:r w:rsidRPr="00761681">
        <w:rPr>
          <w:rStyle w:val="Refdenotaalpie"/>
          <w:rFonts w:ascii="Arial" w:hAnsi="Arial" w:cs="Arial"/>
          <w:sz w:val="24"/>
          <w:szCs w:val="24"/>
        </w:rPr>
        <w:footnoteReference w:id="3"/>
      </w:r>
      <w:r w:rsidRPr="00761681">
        <w:rPr>
          <w:rFonts w:ascii="Arial" w:hAnsi="Arial" w:cs="Arial"/>
          <w:sz w:val="24"/>
          <w:szCs w:val="24"/>
        </w:rPr>
        <w:t xml:space="preserve">, la Sección Quinta del Consejo de Estado: (i) admitió la demanda de tutela interpuesta por el representante legal de la Universidad del Quindío, ingeniero José Fernando Echeverry Murillo; (ii) inadmitió la solicitud de tutela presentada por el señor José Fernando Echeverry Murillo, como agente oficioso, del </w:t>
      </w:r>
      <w:r w:rsidRPr="00761681">
        <w:rPr>
          <w:rFonts w:ascii="Arial" w:hAnsi="Arial" w:cs="Arial"/>
          <w:i/>
          <w:sz w:val="24"/>
          <w:szCs w:val="24"/>
        </w:rPr>
        <w:t>“personal Administrativo y contratistas (activo e inactivo) de la Universidad del  Quindío”;</w:t>
      </w:r>
      <w:r w:rsidRPr="00761681">
        <w:rPr>
          <w:rFonts w:ascii="Arial" w:hAnsi="Arial" w:cs="Arial"/>
          <w:sz w:val="24"/>
          <w:szCs w:val="24"/>
        </w:rPr>
        <w:t xml:space="preserve"> (iii) concedió un término de 3 días para identificar e individualizar a las personas afectadas, además de acreditar una razón válida que le permita obrar como agente oficioso; (iv) denegó la medida provisional solicitada; (v) ordenó notificar a los Magistrados del Tribunal Administrativo del Quindío y, (vi) dispuso comunicar al abogado Sabel Reinero Arévalo Arévalo por tener interés en la presente actuación.</w:t>
      </w:r>
    </w:p>
    <w:p w:rsidR="008B403D" w:rsidRPr="00761681" w:rsidRDefault="008B403D" w:rsidP="008B403D">
      <w:pPr>
        <w:spacing w:line="360" w:lineRule="auto"/>
        <w:jc w:val="both"/>
        <w:rPr>
          <w:rFonts w:ascii="Arial" w:hAnsi="Arial" w:cs="Arial"/>
          <w:sz w:val="24"/>
          <w:szCs w:val="24"/>
        </w:rPr>
      </w:pPr>
    </w:p>
    <w:p w:rsidR="00D61D00" w:rsidRPr="00761681" w:rsidRDefault="00D61D00" w:rsidP="008B403D">
      <w:pPr>
        <w:spacing w:line="360" w:lineRule="auto"/>
        <w:jc w:val="both"/>
        <w:rPr>
          <w:rFonts w:ascii="Arial" w:hAnsi="Arial" w:cs="Arial"/>
          <w:b/>
          <w:sz w:val="24"/>
          <w:szCs w:val="24"/>
        </w:rPr>
      </w:pPr>
      <w:r w:rsidRPr="00761681">
        <w:rPr>
          <w:rFonts w:ascii="Arial" w:hAnsi="Arial" w:cs="Arial"/>
          <w:b/>
          <w:sz w:val="24"/>
          <w:szCs w:val="24"/>
        </w:rPr>
        <w:lastRenderedPageBreak/>
        <w:t>1.5. Las contestaciones</w:t>
      </w:r>
    </w:p>
    <w:p w:rsidR="008B403D" w:rsidRPr="00761681" w:rsidRDefault="008B403D" w:rsidP="008B403D">
      <w:pPr>
        <w:spacing w:line="360" w:lineRule="auto"/>
        <w:jc w:val="both"/>
        <w:rPr>
          <w:rFonts w:ascii="Arial" w:hAnsi="Arial" w:cs="Arial"/>
          <w:b/>
          <w:sz w:val="24"/>
          <w:szCs w:val="24"/>
        </w:rPr>
      </w:pPr>
    </w:p>
    <w:p w:rsidR="00D61D00" w:rsidRPr="00761681" w:rsidRDefault="00D61D00" w:rsidP="008B403D">
      <w:pPr>
        <w:spacing w:line="360" w:lineRule="auto"/>
        <w:jc w:val="both"/>
        <w:rPr>
          <w:rFonts w:ascii="Arial" w:hAnsi="Arial" w:cs="Arial"/>
          <w:sz w:val="24"/>
          <w:szCs w:val="24"/>
        </w:rPr>
      </w:pPr>
      <w:r w:rsidRPr="00761681">
        <w:rPr>
          <w:rFonts w:ascii="Arial" w:hAnsi="Arial" w:cs="Arial"/>
          <w:sz w:val="24"/>
          <w:szCs w:val="24"/>
        </w:rPr>
        <w:t xml:space="preserve">1.5.1. </w:t>
      </w:r>
      <w:r w:rsidRPr="00761681">
        <w:rPr>
          <w:rFonts w:ascii="Arial" w:hAnsi="Arial" w:cs="Arial"/>
          <w:sz w:val="24"/>
          <w:szCs w:val="24"/>
          <w:lang w:val="es-ES"/>
        </w:rPr>
        <w:t>El doctor Luis Carlos Alzate Ríos, Magistrado del Tribunal Administrativo del Quindío, ponente de la providencia impugnada con la presente solicitud de tutela, pidió</w:t>
      </w:r>
      <w:r w:rsidRPr="00761681">
        <w:rPr>
          <w:rStyle w:val="Refdenotaalpie"/>
          <w:rFonts w:ascii="Arial" w:hAnsi="Arial" w:cs="Arial"/>
          <w:sz w:val="24"/>
          <w:szCs w:val="24"/>
          <w:lang w:val="es-ES"/>
        </w:rPr>
        <w:footnoteReference w:id="4"/>
      </w:r>
      <w:r w:rsidRPr="00761681">
        <w:rPr>
          <w:rFonts w:ascii="Arial" w:hAnsi="Arial" w:cs="Arial"/>
          <w:sz w:val="24"/>
          <w:szCs w:val="24"/>
          <w:lang w:val="es-ES"/>
        </w:rPr>
        <w:t xml:space="preserve"> declarar improcedente el amparo solicitado, argumentando que </w:t>
      </w:r>
      <w:proofErr w:type="gramStart"/>
      <w:r w:rsidRPr="00761681">
        <w:rPr>
          <w:rFonts w:ascii="Arial" w:hAnsi="Arial" w:cs="Arial"/>
          <w:sz w:val="24"/>
          <w:szCs w:val="24"/>
          <w:lang w:val="es-ES"/>
        </w:rPr>
        <w:t xml:space="preserve">la  </w:t>
      </w:r>
      <w:r w:rsidRPr="00761681">
        <w:rPr>
          <w:rFonts w:ascii="Arial" w:hAnsi="Arial" w:cs="Arial"/>
          <w:sz w:val="24"/>
          <w:szCs w:val="24"/>
        </w:rPr>
        <w:t>accionante</w:t>
      </w:r>
      <w:proofErr w:type="gramEnd"/>
      <w:r w:rsidRPr="00761681">
        <w:rPr>
          <w:rFonts w:ascii="Arial" w:hAnsi="Arial" w:cs="Arial"/>
          <w:sz w:val="24"/>
          <w:szCs w:val="24"/>
        </w:rPr>
        <w:t>, Universidad del Quindío, solo pretende proseguir con la discusión zanjada en el recurso de instancia, respecto el carácter de reservado de unos documentos evidentemente públicos. Sostiene que esos documentos, no solo por ser expedidos por órganos pertenecientes al Estado, sino por materializar decisiones (nombramientos, traslados y ascensos) y obligaciones suscritas con recursos públicos (contratos),  en nada comportan o interfieren en la vida íntima de los empleados y contratistas de la Universidad, y por el contrario, la negativa en suministrarlos al interesado perpetua la violación al derecho al acceso a la información y documentos públicos consagrados en el artículo 74 de la C.P.</w:t>
      </w:r>
    </w:p>
    <w:p w:rsidR="00FE4484" w:rsidRPr="00761681" w:rsidRDefault="00FE4484" w:rsidP="008B403D">
      <w:pPr>
        <w:spacing w:line="360" w:lineRule="auto"/>
        <w:jc w:val="both"/>
        <w:rPr>
          <w:rFonts w:ascii="Arial" w:hAnsi="Arial" w:cs="Arial"/>
          <w:sz w:val="24"/>
          <w:szCs w:val="24"/>
        </w:rPr>
      </w:pPr>
    </w:p>
    <w:p w:rsidR="00D61D00" w:rsidRPr="00761681" w:rsidRDefault="00D61D00" w:rsidP="008B403D">
      <w:pPr>
        <w:spacing w:line="360" w:lineRule="auto"/>
        <w:jc w:val="both"/>
        <w:rPr>
          <w:rFonts w:ascii="Arial" w:hAnsi="Arial" w:cs="Arial"/>
          <w:sz w:val="24"/>
          <w:szCs w:val="24"/>
        </w:rPr>
      </w:pPr>
      <w:r w:rsidRPr="00761681">
        <w:rPr>
          <w:rFonts w:ascii="Arial" w:hAnsi="Arial" w:cs="Arial"/>
          <w:sz w:val="24"/>
          <w:szCs w:val="24"/>
        </w:rPr>
        <w:t>Manifiesta que el Tribunal, ejerciendo una competencia otorgada por la Constitución y la ley, determinó que los documentos solicitados por el peticionario</w:t>
      </w:r>
      <w:r w:rsidRPr="00761681">
        <w:rPr>
          <w:rFonts w:ascii="Arial" w:eastAsia="Times New Roman" w:hAnsi="Arial" w:cs="Arial"/>
          <w:kern w:val="1"/>
          <w:sz w:val="24"/>
          <w:szCs w:val="24"/>
          <w:lang w:eastAsia="es-CO"/>
        </w:rPr>
        <w:t xml:space="preserve"> </w:t>
      </w:r>
      <w:r w:rsidRPr="00761681">
        <w:rPr>
          <w:rFonts w:ascii="Arial" w:hAnsi="Arial" w:cs="Arial"/>
          <w:sz w:val="24"/>
          <w:szCs w:val="24"/>
        </w:rPr>
        <w:t xml:space="preserve">eran claramente de acceso público, por lo que se ordenó su entrega; en consecuencia, la discusión planteada en esta tutela no posee en ningún </w:t>
      </w:r>
      <w:r w:rsidRPr="00761681">
        <w:rPr>
          <w:rFonts w:ascii="Arial" w:hAnsi="Arial" w:cs="Arial"/>
          <w:bCs/>
          <w:sz w:val="24"/>
          <w:szCs w:val="24"/>
        </w:rPr>
        <w:t xml:space="preserve">caso relevancia constitucional, </w:t>
      </w:r>
      <w:r w:rsidRPr="00761681">
        <w:rPr>
          <w:rFonts w:ascii="Arial" w:hAnsi="Arial" w:cs="Arial"/>
          <w:sz w:val="24"/>
          <w:szCs w:val="24"/>
        </w:rPr>
        <w:t>dado que la decisión adoptada, si bien, no satisfizo los intereses del ahora tutelante, no hizo cosa diferente que darle aplicación a las fuentes formales legales y acorde a la jurisprudencia fijada por el máximo órgano tanto de las jurisdicción contencioso administrativa y como de la constitucional.</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1.5.2. El abogado Sabel Reinero Arévalo Arévalo, tercero interesado en las resultas de presente proceso y peticionario ante la Universidad del Quindío, intervino</w:t>
      </w:r>
      <w:r w:rsidRPr="00761681">
        <w:rPr>
          <w:rStyle w:val="Refdenotaalpie"/>
          <w:rFonts w:ascii="Arial" w:hAnsi="Arial" w:cs="Arial"/>
          <w:sz w:val="24"/>
          <w:szCs w:val="24"/>
        </w:rPr>
        <w:footnoteReference w:id="5"/>
      </w:r>
      <w:r w:rsidRPr="00761681">
        <w:rPr>
          <w:rFonts w:ascii="Arial" w:hAnsi="Arial" w:cs="Arial"/>
          <w:sz w:val="24"/>
          <w:szCs w:val="24"/>
        </w:rPr>
        <w:t xml:space="preserve"> para solicitar la denegación de amparo y manifiesta lo siguiente:</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El Juzgado Segundo Administrativo del Circuito de Armenia Quindío, en decisión de primera instancia proferida el 21 de julio de 2013, dentro de la acción de cumplimiento radicada con el número 2013 – 411, ordenó a la Universidad del Quindío implementar la carrera administrativa para los empleados de la parte administrativa de dicho ente educativo, decisión que fue confirmada por el Tribunal Administrativo del Quindío el 22 de julio de 2013.</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lastRenderedPageBreak/>
        <w:t>Dado el incumplimiento de fallo anteriormente descrito, inició incidente de desacato y como prueba para allegar a dicha actuación, solicito a la Universidad del Quindío la expedición de copias de los actos administrativos de nombramiento, traslado, ascensos, contratos de prestación de servicios, inherentes al personal de la parte administrativa de la Universidad del Quindío a partir de junio de 2014 hasta la fecha de la presentación de la solicitud de copias; petición que fue negada por la Universidad, por lo que acudió al recurso de insistencia, el cual fue decidido por el Tribunal Administrativo del Quindío en la providencia que aquí se cuestiona y que ordena la expedición de las copias.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Refiere que el ingeniero José Fernando Murillo, como Rector de la Universidad del Quindío, a la fecha en que se contesta la demanda de tutela</w:t>
      </w:r>
      <w:r w:rsidRPr="00761681">
        <w:rPr>
          <w:rFonts w:ascii="Arial" w:hAnsi="Arial" w:cs="Arial"/>
          <w:i/>
          <w:sz w:val="24"/>
          <w:szCs w:val="24"/>
        </w:rPr>
        <w:t>, “se encuentra en flagrancia de un eventual delito penal y de una eventual acción disciplinaria, por no acatar el fallo…”</w:t>
      </w:r>
      <w:r w:rsidRPr="00761681">
        <w:rPr>
          <w:rFonts w:ascii="Arial" w:hAnsi="Arial" w:cs="Arial"/>
          <w:sz w:val="24"/>
          <w:szCs w:val="24"/>
        </w:rPr>
        <w:t xml:space="preserve">. </w:t>
      </w:r>
      <w:r w:rsidRPr="00761681">
        <w:rPr>
          <w:rFonts w:ascii="Arial" w:hAnsi="Arial" w:cs="Arial"/>
          <w:kern w:val="1"/>
          <w:sz w:val="24"/>
          <w:szCs w:val="24"/>
          <w:lang w:eastAsia="es-CO"/>
        </w:rPr>
        <w:t>Considera que la tutela promovida se está usando para eludir el fallo proferido por el Tribunal Administrativo del Quindío y eludir el acatamiento del derecho fundamental de petición, respecto de la solicitud presentada el 10 de mayo de 2016.</w:t>
      </w:r>
    </w:p>
    <w:p w:rsidR="00D61D00" w:rsidRPr="00761681" w:rsidRDefault="00D61D00" w:rsidP="008B403D">
      <w:pPr>
        <w:widowControl w:val="0"/>
        <w:spacing w:line="360" w:lineRule="auto"/>
        <w:jc w:val="both"/>
        <w:rPr>
          <w:rFonts w:ascii="Arial" w:hAnsi="Arial" w:cs="Arial"/>
          <w:kern w:val="1"/>
          <w:sz w:val="24"/>
          <w:szCs w:val="24"/>
          <w:lang w:eastAsia="es-CO"/>
        </w:rPr>
      </w:pPr>
    </w:p>
    <w:p w:rsidR="00D61D00" w:rsidRPr="00761681" w:rsidRDefault="00D61D00" w:rsidP="008B403D">
      <w:pPr>
        <w:widowControl w:val="0"/>
        <w:spacing w:line="360" w:lineRule="auto"/>
        <w:jc w:val="both"/>
        <w:rPr>
          <w:rFonts w:ascii="Arial" w:hAnsi="Arial" w:cs="Arial"/>
          <w:b/>
          <w:kern w:val="1"/>
          <w:sz w:val="24"/>
          <w:szCs w:val="24"/>
          <w:lang w:eastAsia="es-CO"/>
        </w:rPr>
      </w:pPr>
      <w:r w:rsidRPr="00761681">
        <w:rPr>
          <w:rFonts w:ascii="Arial" w:hAnsi="Arial" w:cs="Arial"/>
          <w:b/>
          <w:kern w:val="1"/>
          <w:sz w:val="24"/>
          <w:szCs w:val="24"/>
          <w:lang w:eastAsia="es-CO"/>
        </w:rPr>
        <w:t>1.6. Actuación procesal relevante en el trámite del proceso interpuesto en acción de tutela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En el trámite del presente proceso interpuesto en acción de tutela, el juez de primera instancia, Sección Quinta del Consejo de Estado, decidió proferir auto de 2 de septiembre de 2016</w:t>
      </w:r>
      <w:r w:rsidRPr="00761681">
        <w:rPr>
          <w:rStyle w:val="Refdenotaalpie"/>
          <w:rFonts w:ascii="Arial" w:hAnsi="Arial" w:cs="Arial"/>
          <w:sz w:val="24"/>
          <w:szCs w:val="24"/>
        </w:rPr>
        <w:footnoteReference w:id="6"/>
      </w:r>
      <w:r w:rsidRPr="00761681">
        <w:rPr>
          <w:rFonts w:ascii="Arial" w:hAnsi="Arial" w:cs="Arial"/>
          <w:sz w:val="24"/>
          <w:szCs w:val="24"/>
        </w:rPr>
        <w:t xml:space="preserve">, disponiendo: </w:t>
      </w:r>
    </w:p>
    <w:p w:rsidR="00FE4484" w:rsidRPr="00761681" w:rsidRDefault="00FE4484"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“Primero:</w:t>
      </w:r>
      <w:r w:rsidRPr="00761681">
        <w:rPr>
          <w:rFonts w:ascii="Arial" w:hAnsi="Arial" w:cs="Arial"/>
          <w:i/>
          <w:sz w:val="24"/>
          <w:szCs w:val="24"/>
        </w:rPr>
        <w:t xml:space="preserve"> ORDENAR a la oficina de Sistemas del Consejo de Estado, que realice la publicación ordenada en el numeral 5.1.del presente auto. Del contenido de esta publicación se deberá enviar copia a la Presidencia del Tribunal Administrativo del Quindío para que sea divulgado en esta Corporación que garanticen el conocimiento del público.</w:t>
      </w:r>
    </w:p>
    <w:p w:rsidR="00FE4484" w:rsidRPr="00761681" w:rsidRDefault="00FE4484"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Segundo:</w:t>
      </w:r>
      <w:r w:rsidRPr="00761681">
        <w:rPr>
          <w:rFonts w:ascii="Arial" w:hAnsi="Arial" w:cs="Arial"/>
          <w:i/>
          <w:sz w:val="24"/>
          <w:szCs w:val="24"/>
        </w:rPr>
        <w:t xml:space="preserve"> ORDENAR que a través de la Universidad del Quindío se efectúe la publicación del presente auto y de la tutela en los canales de difusión interna que posea la Universidad por el término de 3 días, plazo dentro del cual cualquier interesado podrá presentar escritos de intervención ante la rectoría de la </w:t>
      </w:r>
      <w:r w:rsidRPr="00761681">
        <w:rPr>
          <w:rFonts w:ascii="Arial" w:hAnsi="Arial" w:cs="Arial"/>
          <w:i/>
          <w:sz w:val="24"/>
          <w:szCs w:val="24"/>
        </w:rPr>
        <w:lastRenderedPageBreak/>
        <w:t>Universidad. Una vez vencido el plazo indicado, la Universidad deberá allegar por el medio más expedito constancia de la publicación y los escritos que hubiesen sido radicados.</w:t>
      </w:r>
    </w:p>
    <w:p w:rsidR="00FE4484" w:rsidRPr="00761681" w:rsidRDefault="00FE4484"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Tercero:</w:t>
      </w:r>
      <w:r w:rsidRPr="00761681">
        <w:rPr>
          <w:rFonts w:ascii="Arial" w:hAnsi="Arial" w:cs="Arial"/>
          <w:i/>
          <w:sz w:val="24"/>
          <w:szCs w:val="24"/>
        </w:rPr>
        <w:t xml:space="preserve"> DISPONER la publicación inmediata en el periódico regional, a cargo de la Universidad del Quindío, de una breve síntesis del presente auto y de la tutela, por una sola vez, para que aquellos que tengan algún interés en el presente proceso presenten los argumentos que consideren pertinentes en el término de 3 días, la Universidad deberá aportar constancia del cumplimiento de este mandato.</w:t>
      </w:r>
    </w:p>
    <w:p w:rsidR="00FE4484" w:rsidRPr="00761681" w:rsidRDefault="00FE4484"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 xml:space="preserve">Cuarto: </w:t>
      </w:r>
      <w:r w:rsidRPr="00761681">
        <w:rPr>
          <w:rFonts w:ascii="Arial" w:hAnsi="Arial" w:cs="Arial"/>
          <w:i/>
          <w:sz w:val="24"/>
          <w:szCs w:val="24"/>
        </w:rPr>
        <w:t>ORDENAR que en el término máximo de 3 días la Universidad del Quindío rinda un informe en el que tipifique de manera cuidadosa el tipo de datos que hacen parte de la petición elevada por el abogado Sabel Reinero Arévalo. Para este efecto, la Universidad deberá distinguir y agrupar los tipos de contenido que tienen los diferentes documentos que tendrán que ser suministrados, allegando para cada grupo un máximo de 5 ejemplos. Adicionalmente la Universidad deberá clasificar los datos que serían suministrados, identificando principalmente cuales deberían ser considerados como datos sensibles a entregar, en los términos del artículo 5º de la Ley Estatutaria  1581 de 2012 y la sentencia C-748-11.</w:t>
      </w:r>
    </w:p>
    <w:p w:rsidR="00FE4484" w:rsidRPr="00761681" w:rsidRDefault="00FE4484"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b/>
          <w:i/>
          <w:sz w:val="24"/>
          <w:szCs w:val="24"/>
        </w:rPr>
      </w:pPr>
      <w:r w:rsidRPr="00761681">
        <w:rPr>
          <w:rFonts w:ascii="Arial" w:hAnsi="Arial" w:cs="Arial"/>
          <w:b/>
          <w:i/>
          <w:sz w:val="24"/>
          <w:szCs w:val="24"/>
        </w:rPr>
        <w:t>Quinto:</w:t>
      </w:r>
      <w:r w:rsidRPr="00761681">
        <w:rPr>
          <w:rFonts w:ascii="Arial" w:hAnsi="Arial" w:cs="Arial"/>
          <w:i/>
          <w:sz w:val="24"/>
          <w:szCs w:val="24"/>
        </w:rPr>
        <w:t xml:space="preserve"> DECRETAR la suspensión provisional de la orden dictada el 22 de julio de 2016, dentro del recurso de insistencia resuelto por el Tribunal Administrativo del Quindío (sentencia número 138, radicado 63-001-23-33-000-2016-00263-00) </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Por auto de 14 de octubre de 2016</w:t>
      </w:r>
      <w:r w:rsidRPr="00761681">
        <w:rPr>
          <w:rStyle w:val="Refdenotaalpie"/>
          <w:rFonts w:ascii="Arial" w:hAnsi="Arial" w:cs="Arial"/>
          <w:sz w:val="24"/>
          <w:szCs w:val="24"/>
        </w:rPr>
        <w:footnoteReference w:id="7"/>
      </w:r>
      <w:r w:rsidRPr="00761681">
        <w:rPr>
          <w:rFonts w:ascii="Arial" w:hAnsi="Arial" w:cs="Arial"/>
          <w:sz w:val="24"/>
          <w:szCs w:val="24"/>
        </w:rPr>
        <w:t xml:space="preserve">, el juez de primera instancia, Sección Quinta del Consejo de Estado, dispuso: </w:t>
      </w:r>
      <w:r w:rsidRPr="00761681">
        <w:rPr>
          <w:rFonts w:ascii="Arial" w:hAnsi="Arial" w:cs="Arial"/>
          <w:i/>
          <w:sz w:val="24"/>
          <w:szCs w:val="24"/>
        </w:rPr>
        <w:t xml:space="preserve">“RECHAZAR la acción de tutela presentada por el ciudadano José Echeverry Murillo </w:t>
      </w:r>
      <w:r w:rsidRPr="00761681">
        <w:rPr>
          <w:rFonts w:ascii="Arial" w:hAnsi="Arial" w:cs="Arial"/>
          <w:b/>
          <w:i/>
          <w:sz w:val="24"/>
          <w:szCs w:val="24"/>
          <w:u w:val="single"/>
        </w:rPr>
        <w:t>como agente oficioso</w:t>
      </w:r>
      <w:r w:rsidRPr="00761681">
        <w:rPr>
          <w:rFonts w:ascii="Arial" w:hAnsi="Arial" w:cs="Arial"/>
          <w:i/>
          <w:sz w:val="24"/>
          <w:szCs w:val="24"/>
        </w:rPr>
        <w:t xml:space="preserve"> del personal administrativo y contratista activo e inactivo de la Universidad del Quindío”</w:t>
      </w:r>
      <w:r w:rsidRPr="00761681">
        <w:rPr>
          <w:rFonts w:ascii="Arial" w:hAnsi="Arial" w:cs="Arial"/>
          <w:sz w:val="24"/>
          <w:szCs w:val="24"/>
        </w:rPr>
        <w:t xml:space="preserve">, considerando que a pesar de haber transcurrido el término definido en auto de 10 de agosto de 2016, el actor no justificó en ninguna de sus intervenciones posteriores, alguna situación que legitime la procedencia de la tutela mediante la agencia oficiosa.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rPr>
          <w:rFonts w:ascii="Arial" w:hAnsi="Arial" w:cs="Arial"/>
          <w:b/>
          <w:sz w:val="24"/>
          <w:szCs w:val="24"/>
          <w:lang w:val="es-ES"/>
        </w:rPr>
      </w:pPr>
      <w:r w:rsidRPr="00761681">
        <w:rPr>
          <w:rFonts w:ascii="Arial" w:hAnsi="Arial" w:cs="Arial"/>
          <w:b/>
          <w:sz w:val="24"/>
          <w:szCs w:val="24"/>
          <w:lang w:val="es-ES"/>
        </w:rPr>
        <w:t>1.7. La sentencia impugnada</w:t>
      </w:r>
    </w:p>
    <w:p w:rsidR="00D61D00" w:rsidRPr="00761681" w:rsidRDefault="00D61D00" w:rsidP="008B403D">
      <w:pPr>
        <w:widowControl w:val="0"/>
        <w:spacing w:line="360" w:lineRule="auto"/>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Mediante fallo proferido el 3 de noviembre de 2016</w:t>
      </w:r>
      <w:r w:rsidRPr="00761681">
        <w:rPr>
          <w:rStyle w:val="Refdenotaalpie"/>
          <w:rFonts w:ascii="Arial" w:hAnsi="Arial" w:cs="Arial"/>
          <w:sz w:val="24"/>
          <w:szCs w:val="24"/>
          <w:lang w:val="es-ES"/>
        </w:rPr>
        <w:footnoteReference w:id="8"/>
      </w:r>
      <w:r w:rsidRPr="00761681">
        <w:rPr>
          <w:rFonts w:ascii="Arial" w:hAnsi="Arial" w:cs="Arial"/>
          <w:sz w:val="24"/>
          <w:szCs w:val="24"/>
          <w:lang w:val="es-ES"/>
        </w:rPr>
        <w:t>, la Sección Quinta del Consejo de Estado negó el amparo solicitado por el Rector de la Universidad del Quindío y revocó la medida de suspensión provisional adoptada mediante auto de 2 de septiembre de 2016</w:t>
      </w:r>
      <w:r w:rsidRPr="00761681">
        <w:rPr>
          <w:rStyle w:val="Refdenotaalpie"/>
          <w:rFonts w:ascii="Arial" w:hAnsi="Arial" w:cs="Arial"/>
          <w:sz w:val="24"/>
          <w:szCs w:val="24"/>
          <w:lang w:val="es-ES"/>
        </w:rPr>
        <w:footnoteReference w:id="9"/>
      </w:r>
      <w:r w:rsidRPr="00761681">
        <w:rPr>
          <w:rFonts w:ascii="Arial" w:hAnsi="Arial" w:cs="Arial"/>
          <w:sz w:val="24"/>
          <w:szCs w:val="24"/>
          <w:lang w:val="es-ES"/>
        </w:rPr>
        <w:t>.</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Dentro de la parte motiva de la providencia de primera instancia se realizó un examen de los requisitos de procedencia adjetiva de la tutela, concluyendo su procedencia debido a que no se trataba de una solicitud de tutela contra la decisión contenida en un fallo de tutela (</w:t>
      </w:r>
      <w:r w:rsidRPr="00761681">
        <w:rPr>
          <w:rFonts w:ascii="Arial" w:hAnsi="Arial" w:cs="Arial"/>
          <w:i/>
          <w:sz w:val="24"/>
          <w:szCs w:val="24"/>
          <w:lang w:val="es-ES"/>
        </w:rPr>
        <w:t>i. tutela contra tutela</w:t>
      </w:r>
      <w:r w:rsidRPr="00761681">
        <w:rPr>
          <w:rFonts w:ascii="Arial" w:hAnsi="Arial" w:cs="Arial"/>
          <w:sz w:val="24"/>
          <w:szCs w:val="24"/>
          <w:lang w:val="es-ES"/>
        </w:rPr>
        <w:t xml:space="preserve">); y, además, que la solicitud de protección constitucional fue presentada en un plazo razonable de tiempo </w:t>
      </w:r>
      <w:r w:rsidRPr="00761681">
        <w:rPr>
          <w:rFonts w:ascii="Arial" w:hAnsi="Arial" w:cs="Arial"/>
          <w:i/>
          <w:sz w:val="24"/>
          <w:szCs w:val="24"/>
          <w:lang w:val="es-ES"/>
        </w:rPr>
        <w:t>(ii. inmediatez)</w:t>
      </w:r>
      <w:r w:rsidRPr="00761681">
        <w:rPr>
          <w:rFonts w:ascii="Arial" w:hAnsi="Arial" w:cs="Arial"/>
          <w:sz w:val="24"/>
          <w:szCs w:val="24"/>
          <w:lang w:val="es-ES"/>
        </w:rPr>
        <w:t xml:space="preserve">; en tanto que, en lo que se refiere al requisito de </w:t>
      </w:r>
      <w:r w:rsidRPr="00761681">
        <w:rPr>
          <w:rFonts w:ascii="Arial" w:hAnsi="Arial" w:cs="Arial"/>
          <w:i/>
          <w:sz w:val="24"/>
          <w:szCs w:val="24"/>
          <w:lang w:val="es-ES"/>
        </w:rPr>
        <w:t>(iii. Subsidiariedad)</w:t>
      </w:r>
      <w:r w:rsidRPr="00761681">
        <w:rPr>
          <w:rFonts w:ascii="Arial" w:hAnsi="Arial" w:cs="Arial"/>
          <w:sz w:val="24"/>
          <w:szCs w:val="24"/>
          <w:lang w:val="es-ES"/>
        </w:rPr>
        <w:t xml:space="preserve"> determinó que se cumplía parcialmente debido a que dos de las cuatro censuras que hacen parte de la demanda de tutela contra providencia judicial, pudieron haberse satisfecho a través de las solicitudes de aclaración y/o adición de la decisión tomada por el Tribunal Administrativo del Quindío, establecidas en los artículos 285 y 287 del Código General del Proceso.</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lang w:val="es-ES"/>
        </w:rPr>
        <w:t xml:space="preserve">En efecto, la Sección Quinta del Consejo de Estado estableció que dos los argumentos aducidos por el Rector de la Universidad del Quindío en la demanda de tutela, indicaban </w:t>
      </w:r>
      <w:r w:rsidRPr="00761681">
        <w:rPr>
          <w:rFonts w:ascii="Arial" w:hAnsi="Arial" w:cs="Arial"/>
          <w:sz w:val="24"/>
          <w:szCs w:val="24"/>
        </w:rPr>
        <w:t>que la providencia dictada por el Tribunal Administrativo del Quindío era contradictoria, ambigua, desconocedora del principio de congruencia y vulneradora de los derechos de los directivos de la Universidad; y que lo anterior lo sustentó en el hecho de que el Tribunal dispuso la expedición de las copias solicitadas por el abogado Arévalo Arévalo y, sin embargo, en la parte considerativa se consignó que los datos debían ser clasificados por la propia Universidad para determinar su carácter de reservados de acuerdo con las normas correspondientes; en consecuencia el Rector de la Universidad del Quindío supuso que el cumplimiento de esa orden implicaba asumir responsabilidades de tipo patrimonial y disciplinario que podían ser impetradas por los titulares de la información.</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Así, la Sección Quinta del Consejo de Estado consideró que de conformidad con las disposiciones procesales antes citadas, era evidente que el Rector de la Universidad del Quindío pudo haber planteado ante el Tribunal, por medio de una solicitud de aclaración, las dudas surgidas como consecuencia de la decisión, y también pudo </w:t>
      </w:r>
      <w:r w:rsidRPr="00761681">
        <w:rPr>
          <w:rFonts w:ascii="Arial" w:hAnsi="Arial" w:cs="Arial"/>
          <w:sz w:val="24"/>
          <w:szCs w:val="24"/>
        </w:rPr>
        <w:lastRenderedPageBreak/>
        <w:t>haber solicitado la adición de la parte resolutiva para que se complementara determinado aspecto de la parte considerativa. Manifestó que si la clasificación de la información por parte de la Universidad era un elemento oscuro que afectaba el cumplimiento de la decisión, era una obligación proponerlo dentro del término de su ejecutoria para que el juez natural fuera quien esclareciera los interrogantes.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Concluyó que la dificultad anteriormente indicada, debió haber sido manifestada en el término de la ejecutoria de la providencia que decidió el recurso de insistencia, por lo que en virtud del principio de subsidiariedad de la acción de tutela no es posible reemplazar los mecanismos ordinarios que la Universidad del Quindío tenía la obligación de ejercer de manera cuidadosa, por lo que, respecto de esas censuras, el juez de primera instancia consideró que se incumplió el requisito de subsidiariedad y declaró improcedente la acción de tutela.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Ahora bien, respecto de los demás reparos consignados en la demanda, la Sección Quinta del Consejo de Estado consideró que cumplían con todos los requisitos adjetivos para la procedencia de la acción, en la medida en que se discute el alcance del derecho de petición respecto de la entrega de unos datos que podrían afectar el derecho a la intimidad de los servidores de la Universidad del Quindío, el cual habría sido vulnerado con la decisión tomada dentro del recurso de insistencia.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sz w:val="24"/>
          <w:szCs w:val="24"/>
        </w:rPr>
        <w:t>El juez de primera instancia determinó que los dos reparos restantes fueron calificados por el Rector de la Universidad del Quindío como vías de hecho y descritos de la siguiente manera</w:t>
      </w:r>
      <w:r w:rsidRPr="00761681">
        <w:rPr>
          <w:rFonts w:ascii="Arial" w:hAnsi="Arial" w:cs="Arial"/>
          <w:i/>
          <w:sz w:val="24"/>
          <w:szCs w:val="24"/>
        </w:rPr>
        <w:t>: “(i) la providencia sólo habría protegido el derecho de un tercero, respecto del cual se desconoce para qué quiere la información y (ii) dentro del recurso de insistencia no se vinculó a los terceros interesados en la información”.</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Para resolver, la Sección Quinta del Consejo de Estado, debido a que el actor no concretó de manera específica en qué tipos de defecto habría incurrido la providencia judicial, asumió que en los dos casos planteó un defecto de carácter procedimental absoluto.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iCs/>
          <w:sz w:val="24"/>
          <w:szCs w:val="24"/>
        </w:rPr>
      </w:pPr>
      <w:r w:rsidRPr="00761681">
        <w:rPr>
          <w:rFonts w:ascii="Arial" w:hAnsi="Arial" w:cs="Arial"/>
          <w:sz w:val="24"/>
          <w:szCs w:val="24"/>
        </w:rPr>
        <w:t xml:space="preserve">Respecto del primer reparo, el juez de primera instancia consideró que la decisión dictada por el Tribunal Administrativo del Quindío el 22 de julio de 2016, estaba soportada en una valoración normativa  y razonable de los argumentos que presentaron las partes, indicando que en ella se efectuó un estudio del </w:t>
      </w:r>
      <w:r w:rsidRPr="00761681">
        <w:rPr>
          <w:rFonts w:ascii="Arial" w:hAnsi="Arial" w:cs="Arial"/>
          <w:iCs/>
          <w:sz w:val="24"/>
          <w:szCs w:val="24"/>
        </w:rPr>
        <w:t xml:space="preserve">derecho de </w:t>
      </w:r>
      <w:r w:rsidRPr="00761681">
        <w:rPr>
          <w:rFonts w:ascii="Arial" w:hAnsi="Arial" w:cs="Arial"/>
          <w:iCs/>
          <w:sz w:val="24"/>
          <w:szCs w:val="24"/>
        </w:rPr>
        <w:lastRenderedPageBreak/>
        <w:t xml:space="preserve">petición </w:t>
      </w:r>
      <w:r w:rsidRPr="00761681">
        <w:rPr>
          <w:rFonts w:ascii="Arial" w:hAnsi="Arial" w:cs="Arial"/>
          <w:sz w:val="24"/>
          <w:szCs w:val="24"/>
        </w:rPr>
        <w:t xml:space="preserve">en el que se analizó la definición de los documentos reservados incluidos en el artículo  24 de  la Ley Estatutaria 1755 de 2015 y  las  normas pertinentes de la Ley 1712 de 2014  </w:t>
      </w:r>
      <w:r w:rsidRPr="00761681">
        <w:rPr>
          <w:rFonts w:ascii="Arial" w:hAnsi="Arial" w:cs="Arial"/>
          <w:i/>
          <w:iCs/>
          <w:sz w:val="24"/>
          <w:szCs w:val="24"/>
        </w:rPr>
        <w:t>"Por medio de la cual se crea la Ley de Transparencia y del Derecho de Acceso a la Información Pública y se dictan otras disposiciones"</w:t>
      </w:r>
      <w:r w:rsidRPr="00761681">
        <w:rPr>
          <w:rFonts w:ascii="Arial" w:hAnsi="Arial" w:cs="Arial"/>
          <w:iCs/>
          <w:sz w:val="24"/>
          <w:szCs w:val="24"/>
        </w:rPr>
        <w:t xml:space="preserve">. </w:t>
      </w:r>
    </w:p>
    <w:p w:rsidR="00D61D00" w:rsidRPr="00761681" w:rsidRDefault="00D61D00" w:rsidP="008B403D">
      <w:pPr>
        <w:widowControl w:val="0"/>
        <w:spacing w:line="360" w:lineRule="auto"/>
        <w:jc w:val="both"/>
        <w:rPr>
          <w:rFonts w:ascii="Arial" w:hAnsi="Arial" w:cs="Arial"/>
          <w:iCs/>
          <w:sz w:val="24"/>
          <w:szCs w:val="24"/>
        </w:rPr>
      </w:pPr>
    </w:p>
    <w:p w:rsidR="00D61D00" w:rsidRPr="00761681" w:rsidRDefault="00D61D00" w:rsidP="008B403D">
      <w:pPr>
        <w:widowControl w:val="0"/>
        <w:spacing w:line="360" w:lineRule="auto"/>
        <w:jc w:val="both"/>
        <w:rPr>
          <w:rFonts w:ascii="Arial" w:hAnsi="Arial" w:cs="Arial"/>
          <w:sz w:val="24"/>
          <w:szCs w:val="24"/>
          <w:lang w:eastAsia="es-CO"/>
        </w:rPr>
      </w:pPr>
      <w:r w:rsidRPr="00761681">
        <w:rPr>
          <w:rFonts w:ascii="Arial" w:hAnsi="Arial" w:cs="Arial"/>
          <w:sz w:val="24"/>
          <w:szCs w:val="24"/>
        </w:rPr>
        <w:t xml:space="preserve">También indica que se prestó especial atención al derecho a la intimidad y a los tipos de información de acuerdo con la jurisprudencia de la Corte Constitucional.  Además determinó que la sentencia impugnada, como consecuencia del estudio del marco normativo indicado anteriormente, le dio la razón a una parte de los argumentos de la Universidad, concluyendo que </w:t>
      </w:r>
      <w:r w:rsidRPr="00761681">
        <w:rPr>
          <w:rFonts w:ascii="Arial" w:hAnsi="Arial" w:cs="Arial"/>
          <w:i/>
          <w:iCs/>
          <w:sz w:val="24"/>
          <w:szCs w:val="24"/>
          <w:lang w:eastAsia="es-ES_tradnl"/>
        </w:rPr>
        <w:t xml:space="preserve">"De acuerdo con lo expuesto, los datos contenidos en el historia laboral corresponden a los que se denominan 'información reservada' y ello significa que, en principio, la administración no puede ponerlos en circulación sin previa autorización del datahabiente </w:t>
      </w:r>
      <w:r w:rsidRPr="00761681">
        <w:rPr>
          <w:rFonts w:ascii="Arial" w:hAnsi="Arial" w:cs="Arial"/>
          <w:sz w:val="24"/>
          <w:szCs w:val="24"/>
          <w:lang w:eastAsia="es-ES_tradnl"/>
        </w:rPr>
        <w:t xml:space="preserve">(sic) </w:t>
      </w:r>
      <w:r w:rsidRPr="00761681">
        <w:rPr>
          <w:rFonts w:ascii="Arial" w:hAnsi="Arial" w:cs="Arial"/>
          <w:i/>
          <w:iCs/>
          <w:sz w:val="24"/>
          <w:szCs w:val="24"/>
          <w:lang w:eastAsia="es-ES_tradnl"/>
        </w:rPr>
        <w:t>y sin que exista una norma que la autorice para ello, y sólo puede ser obtenida por voluntad de su titular o por orden de autoridad judicial en el cumplimiento de sus funciones; por lo que frente a terceros, la reserva sí es oponible. Sin embargo, no toda la información que hace parte de dicha historia laboral tiene ese carácter, porque su contenido no es de aquellos a los cuales se pueda calificar de datos sensibles por lo que su revelación o conocimiento no vulnera la honra, la privacidad o el derecho a la intimidad de las personas, debiendo la autoridad en cada caso analizar si le corresponde negar el acceso a la información solicitada".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Cs/>
          <w:sz w:val="24"/>
          <w:szCs w:val="24"/>
        </w:rPr>
      </w:pPr>
      <w:r w:rsidRPr="00761681">
        <w:rPr>
          <w:rFonts w:ascii="Arial" w:hAnsi="Arial" w:cs="Arial"/>
          <w:sz w:val="24"/>
          <w:szCs w:val="24"/>
        </w:rPr>
        <w:t xml:space="preserve">Determinó el juez de tutela, en primera instancia, que el Tribunal Administrativo del Quindío efectuó un juicio o test de ponderación en el caso concreto a partir del cual, luego de aclarar que la petición se refiere a la copia de unos actos administrativos, dedujo que los documentos cuya copia se solicita contienen datos con relevancia pública, no solo porque fueron generados por la misma administración sino también porque la misma Ley 1712 de 2014 artículo 9º  establece que aspectos como las escalas salariales de los servidores y contratistas, el objeto de los contratos y monto de honorarios deben ser publicados; a contrario </w:t>
      </w:r>
      <w:r w:rsidRPr="00761681">
        <w:rPr>
          <w:rFonts w:ascii="Arial" w:hAnsi="Arial" w:cs="Arial"/>
          <w:iCs/>
          <w:sz w:val="24"/>
          <w:szCs w:val="24"/>
        </w:rPr>
        <w:t>sensu, no se advierte que contengan datos considerados como sensibles y su conocimiento no amenaza el derecho fundamental a la privacidad e intimidad de dichos servidores públicos, pues se trata más bien de información general de cada administrativo - empleado y contratista- que no traspasan la esfera personal y privada de los servidores públicos.</w:t>
      </w:r>
    </w:p>
    <w:p w:rsidR="00D61D00" w:rsidRPr="00761681" w:rsidRDefault="00D61D00" w:rsidP="008B403D">
      <w:pPr>
        <w:widowControl w:val="0"/>
        <w:spacing w:line="360" w:lineRule="auto"/>
        <w:jc w:val="both"/>
        <w:rPr>
          <w:rFonts w:ascii="Arial" w:hAnsi="Arial" w:cs="Arial"/>
          <w:iCs/>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Para la Sección Quinta del Consejo de estado, el Tribunal diferenció de manera cuidadosa qué información podía considerarse de naturaleza pública y a partir de </w:t>
      </w:r>
      <w:r w:rsidRPr="00761681">
        <w:rPr>
          <w:rFonts w:ascii="Arial" w:hAnsi="Arial" w:cs="Arial"/>
          <w:sz w:val="24"/>
          <w:szCs w:val="24"/>
        </w:rPr>
        <w:lastRenderedPageBreak/>
        <w:t>esta premisa solamente ordenó la expedición de las copias de los actos administrativos y los contratos solicitados por el peticionario, excluyendo los soportes relacionados por el tutelante en su intervención, algunos de los cuales, como él mismo advirtió, contienen información privada o reservada. Por lo anterior para la Sección Quinta del Consejo de Estado el reparo formulado por el Rector de la Universidad del Quindío no tiene sustento, por lo que no encontró razón que lleve a proteger los derechos fundamentales invocados.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lang w:val="es-ES"/>
        </w:rPr>
        <w:t xml:space="preserve">En segundo reproche identificado por la Sección Quinta del Consejo de Estado, </w:t>
      </w:r>
      <w:r w:rsidRPr="00761681">
        <w:rPr>
          <w:rFonts w:ascii="Arial" w:hAnsi="Arial" w:cs="Arial"/>
          <w:sz w:val="24"/>
          <w:szCs w:val="24"/>
        </w:rPr>
        <w:t>el Rector de la Universidad del Quindío consideró que la decisión del Tribunal Administrativo del Quindío incurrió en una vía de hecho por cuanto no se vinculó a todas las personas que son titulares de la información y respecto de quienes es imperativo requerir su autorización.</w:t>
      </w:r>
    </w:p>
    <w:p w:rsidR="00D61D00" w:rsidRPr="00761681" w:rsidRDefault="00D61D00" w:rsidP="008B403D">
      <w:pPr>
        <w:widowControl w:val="0"/>
        <w:spacing w:line="360" w:lineRule="auto"/>
        <w:jc w:val="center"/>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Al respecto, el juez de primera instancia consideró que el trámite del recurso se encuentra regulado en el artículo 26 de la Ley Estatutaria 1755 de 2015 como un mecanismo breve (10 días para decidir) para verificar el acceso de una información que previamente ha sido negada por ser considerada como objeto de reserva, por lo que el Tribunal se ajustó al procedimiento legal para decidir el recurso</w:t>
      </w:r>
      <w:r w:rsidRPr="00761681">
        <w:rPr>
          <w:rFonts w:ascii="Arial" w:hAnsi="Arial" w:cs="Arial"/>
          <w:sz w:val="24"/>
          <w:szCs w:val="24"/>
          <w:vertAlign w:val="subscript"/>
        </w:rPr>
        <w:t xml:space="preserve">; </w:t>
      </w:r>
      <w:r w:rsidRPr="00761681">
        <w:rPr>
          <w:rFonts w:ascii="Arial" w:hAnsi="Arial" w:cs="Arial"/>
          <w:sz w:val="24"/>
          <w:szCs w:val="24"/>
        </w:rPr>
        <w:t>en la medida en que la providencia fue producto de la negativa de la Universidad de entregar la información requerida por el abogado Sabel Reineiro Arévalo Arévalo y fue decidido rápidamente por parte de la administración de justicia.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Así, se determinó que mediante el recurso de insistencia solamente se verifica qué datos tienen una connotación pública para que sean entregados de manera expedita al peticionario. En otras palabras, este recurso no es el medio para que un ciudadano acceda a los datos objeto de reserva sino solamente un medio para determinar judicialmente la naturaleza pública de los datos y, una vez definida esa condición, el acceso a la información es libre y debe ser garantizado por la administración pública bajo los principios de transparencia, facilitación, celeridad y de responsabilidad, en los términos del artículo 2</w:t>
      </w:r>
      <w:r w:rsidRPr="00761681">
        <w:rPr>
          <w:rFonts w:ascii="Arial" w:hAnsi="Arial" w:cs="Arial"/>
          <w:sz w:val="24"/>
          <w:szCs w:val="24"/>
          <w:vertAlign w:val="superscript"/>
        </w:rPr>
        <w:t>o</w:t>
      </w:r>
      <w:r w:rsidRPr="00761681">
        <w:rPr>
          <w:rFonts w:ascii="Arial" w:hAnsi="Arial" w:cs="Arial"/>
          <w:sz w:val="24"/>
          <w:szCs w:val="24"/>
        </w:rPr>
        <w:t xml:space="preserve"> de la Ley 1712 de 2014.</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El juez de primera instancia, además, estableció que ninguno de los servidores o ex servidores de la Universidad demostró que la información ordenada por el Tribunal (actos administrativos y contratos) afectaría un aspecto puntual o concreto de su intimidad.</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lastRenderedPageBreak/>
        <w:t>Concluyó que no es necesario vincular a todo aquel que tenga interés sobre determinado registro debido a que, además de no estar previsto en la norma, la comprobación que se realiza mediante este trámite es meramente objetiva, es decir, está referida a la naturaleza y el contenido de los documentos y no a la percepción que tengan los interesados sobre los datos.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Por todo lo anterior el Juez de Primera Instancia procedió a denegar la protección de los derechos.</w:t>
      </w:r>
    </w:p>
    <w:p w:rsidR="00D61D00" w:rsidRPr="00761681" w:rsidRDefault="00D61D00" w:rsidP="008B403D">
      <w:pPr>
        <w:pStyle w:val="Prrafodelista"/>
        <w:widowControl w:val="0"/>
        <w:overflowPunct/>
        <w:autoSpaceDE/>
        <w:autoSpaceDN/>
        <w:adjustRightInd/>
        <w:spacing w:line="360" w:lineRule="auto"/>
        <w:ind w:left="0"/>
        <w:textAlignment w:val="auto"/>
        <w:rPr>
          <w:rFonts w:ascii="Arial" w:eastAsia="Calibri" w:hAnsi="Arial" w:cs="Arial"/>
          <w:sz w:val="24"/>
          <w:szCs w:val="24"/>
          <w:lang w:val="es-CO" w:eastAsia="en-US"/>
        </w:rPr>
      </w:pPr>
    </w:p>
    <w:p w:rsidR="00D61D00" w:rsidRPr="00761681" w:rsidRDefault="00D61D00" w:rsidP="008B403D">
      <w:pPr>
        <w:pStyle w:val="Prrafodelista"/>
        <w:widowControl w:val="0"/>
        <w:overflowPunct/>
        <w:autoSpaceDE/>
        <w:autoSpaceDN/>
        <w:adjustRightInd/>
        <w:spacing w:line="360" w:lineRule="auto"/>
        <w:ind w:left="0"/>
        <w:textAlignment w:val="auto"/>
        <w:rPr>
          <w:rFonts w:ascii="Arial" w:hAnsi="Arial" w:cs="Arial"/>
          <w:b/>
          <w:sz w:val="24"/>
          <w:szCs w:val="24"/>
          <w:lang w:val="es-ES"/>
        </w:rPr>
      </w:pPr>
      <w:r w:rsidRPr="00761681">
        <w:rPr>
          <w:rFonts w:ascii="Arial" w:eastAsia="Calibri" w:hAnsi="Arial" w:cs="Arial"/>
          <w:b/>
          <w:sz w:val="24"/>
          <w:szCs w:val="24"/>
          <w:lang w:val="es-CO" w:eastAsia="en-US"/>
        </w:rPr>
        <w:t>1.7. La impugnación</w:t>
      </w:r>
    </w:p>
    <w:p w:rsidR="00D61D00" w:rsidRPr="00761681" w:rsidRDefault="00D61D00" w:rsidP="008B403D">
      <w:pPr>
        <w:pStyle w:val="Prrafodelista"/>
        <w:widowControl w:val="0"/>
        <w:overflowPunct/>
        <w:autoSpaceDE/>
        <w:autoSpaceDN/>
        <w:adjustRightInd/>
        <w:spacing w:line="360" w:lineRule="auto"/>
        <w:ind w:left="0"/>
        <w:textAlignment w:val="auto"/>
        <w:rPr>
          <w:rFonts w:ascii="Arial" w:hAnsi="Arial" w:cs="Arial"/>
          <w:b/>
          <w:sz w:val="24"/>
          <w:szCs w:val="24"/>
          <w:lang w:val="es-ES"/>
        </w:rPr>
      </w:pP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ES"/>
        </w:rPr>
      </w:pPr>
      <w:r w:rsidRPr="00761681">
        <w:rPr>
          <w:rFonts w:ascii="Arial" w:hAnsi="Arial" w:cs="Arial"/>
          <w:sz w:val="24"/>
          <w:szCs w:val="24"/>
          <w:lang w:val="es-ES"/>
        </w:rPr>
        <w:t>El Rector de la Universidad del Quindío impugnó el fallo proferido por la Sección Quinta del Consejo de Estado, con miras a lograr su revocatoria y a obtener el amparo de los derechos fundamentales supuestamente conculcados.</w:t>
      </w: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ES"/>
        </w:rPr>
      </w:pP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CO"/>
        </w:rPr>
      </w:pPr>
      <w:r w:rsidRPr="00761681">
        <w:rPr>
          <w:rFonts w:ascii="Arial" w:hAnsi="Arial" w:cs="Arial"/>
          <w:sz w:val="24"/>
          <w:szCs w:val="24"/>
          <w:lang w:val="es-CO"/>
        </w:rPr>
        <w:t>Asevera el Rector de la Universidad del Quindío que el principio de subsidiariedad en materia de acciones constitucionales, no pude interpretarse de manera tan exegética como se hace en la providencia objeto de alzada; esto, por cuanto la Corte Constitucional</w:t>
      </w:r>
      <w:r w:rsidRPr="00761681">
        <w:rPr>
          <w:rStyle w:val="Refdenotaalpie"/>
          <w:rFonts w:ascii="Arial" w:hAnsi="Arial" w:cs="Arial"/>
          <w:sz w:val="24"/>
          <w:szCs w:val="24"/>
          <w:lang w:val="es-CO"/>
        </w:rPr>
        <w:footnoteReference w:id="10"/>
      </w:r>
      <w:r w:rsidRPr="00761681">
        <w:rPr>
          <w:rFonts w:ascii="Arial" w:hAnsi="Arial" w:cs="Arial"/>
          <w:sz w:val="24"/>
          <w:szCs w:val="24"/>
          <w:lang w:val="es-CO"/>
        </w:rPr>
        <w:t xml:space="preserve"> precisó  </w:t>
      </w:r>
      <w:r w:rsidRPr="00761681">
        <w:rPr>
          <w:rFonts w:ascii="Arial" w:hAnsi="Arial" w:cs="Arial"/>
          <w:i/>
          <w:sz w:val="24"/>
          <w:szCs w:val="24"/>
          <w:lang w:val="es-CO"/>
        </w:rPr>
        <w:t xml:space="preserve">que “El principio de subsidiariedad de la acción de tutela envuelve tres características importantes que llevan a su improcedencia contra providencia judiciales, a saber: (i) el asunto está en trámite, (ii) no se han agotado los medios de defensa judicial ordinarios y extraordinarios; y (iii) se usa para revivir etapas procesales en donde se dejaron de emplear los recursos previstos en el ordenamiento jurídico…” </w:t>
      </w:r>
      <w:r w:rsidRPr="00761681">
        <w:rPr>
          <w:rFonts w:ascii="Arial" w:hAnsi="Arial" w:cs="Arial"/>
          <w:sz w:val="24"/>
          <w:szCs w:val="24"/>
          <w:lang w:val="es-CO"/>
        </w:rPr>
        <w:t>y, dado que la providencia del Tribunal Administrativo del Quindío, objeto de la presente tutela, es de única instancia, la misma no tiene recurso ordinario o extraordinario, por tanto no podría decirse que no se ejercieron cuidadosamente los mecanismos de impugnación de decisiones judiciales.</w:t>
      </w: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CO"/>
        </w:rPr>
      </w:pP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CO"/>
        </w:rPr>
      </w:pPr>
      <w:r w:rsidRPr="00761681">
        <w:rPr>
          <w:rFonts w:ascii="Arial" w:hAnsi="Arial" w:cs="Arial"/>
          <w:sz w:val="24"/>
          <w:szCs w:val="24"/>
          <w:lang w:val="es-CO"/>
        </w:rPr>
        <w:t>Indicó que si bien en el Código General del Proceso en sus artículos 285 y subsiguientes, se encuentran reguladas las figuras de la adición, aclaración y complementación de las decisiones judiciales, dichas figuras son meramente aclaratorias de la decisión, pero en ningún momento se constituyen como mecanismos de impugnación de las decisiones</w:t>
      </w:r>
      <w:r w:rsidRPr="00761681">
        <w:rPr>
          <w:rFonts w:ascii="Arial" w:hAnsi="Arial" w:cs="Arial"/>
          <w:sz w:val="24"/>
          <w:szCs w:val="24"/>
        </w:rPr>
        <w:t>, por tanto, no puede entenderse que las mismas pueden suplir los recursos de Ley y menos asumir que pueden llevar a agotar el principio de subsidiariedad.</w:t>
      </w: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CO"/>
        </w:rPr>
      </w:pPr>
    </w:p>
    <w:p w:rsidR="00D61D00" w:rsidRPr="00761681" w:rsidRDefault="00D61D00" w:rsidP="008B403D">
      <w:pPr>
        <w:pStyle w:val="Prrafodelista"/>
        <w:widowControl w:val="0"/>
        <w:overflowPunct/>
        <w:autoSpaceDE/>
        <w:autoSpaceDN/>
        <w:adjustRightInd/>
        <w:spacing w:line="360" w:lineRule="auto"/>
        <w:ind w:left="0"/>
        <w:jc w:val="both"/>
        <w:textAlignment w:val="auto"/>
        <w:rPr>
          <w:rFonts w:ascii="Arial" w:hAnsi="Arial" w:cs="Arial"/>
          <w:sz w:val="24"/>
          <w:szCs w:val="24"/>
          <w:lang w:val="es-CO"/>
        </w:rPr>
      </w:pPr>
      <w:r w:rsidRPr="00761681">
        <w:rPr>
          <w:rFonts w:ascii="Arial" w:hAnsi="Arial" w:cs="Arial"/>
          <w:sz w:val="24"/>
          <w:szCs w:val="24"/>
          <w:lang w:val="es-CO"/>
        </w:rPr>
        <w:t xml:space="preserve">Por otra parte, argumenta que la Sección Quinta del Consejo de Estado no integró al proceso a las personas que se pronunciaron frente al caso manifestando su inconformidad con la entrega de su documentación, </w:t>
      </w:r>
      <w:r w:rsidRPr="00761681">
        <w:rPr>
          <w:rFonts w:ascii="Arial" w:hAnsi="Arial" w:cs="Arial"/>
          <w:sz w:val="24"/>
          <w:szCs w:val="24"/>
        </w:rPr>
        <w:t>lo que se traduce en una flagrante vulneración de sus derechos.</w:t>
      </w: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p>
    <w:p w:rsidR="00D61D00" w:rsidRPr="00761681" w:rsidRDefault="00D61D00" w:rsidP="008B403D">
      <w:pPr>
        <w:pStyle w:val="Prrafodelista"/>
        <w:autoSpaceDE/>
        <w:autoSpaceDN/>
        <w:adjustRightInd/>
        <w:spacing w:line="360" w:lineRule="auto"/>
        <w:ind w:left="0"/>
        <w:jc w:val="both"/>
        <w:rPr>
          <w:rFonts w:ascii="Arial" w:hAnsi="Arial" w:cs="Arial"/>
          <w:sz w:val="24"/>
          <w:szCs w:val="24"/>
          <w:lang w:val="es-CO"/>
        </w:rPr>
      </w:pPr>
      <w:r w:rsidRPr="00761681">
        <w:rPr>
          <w:rFonts w:ascii="Arial" w:hAnsi="Arial" w:cs="Arial"/>
          <w:sz w:val="24"/>
          <w:szCs w:val="24"/>
        </w:rPr>
        <w:t>Argumenta que no es aceptable que cualquier persona conozca información del personal de la Universidad sobre el monto de sus salarios, sus obligaciones o gravámenes, sus declaraciones de renta, sus datos personales y familiares, sus bienes y pertenencias, etc., por lo que resulta razonable limitar el acceso de terceros a la información de otra persona.</w:t>
      </w:r>
    </w:p>
    <w:p w:rsidR="00D61D00" w:rsidRPr="00761681" w:rsidRDefault="00D61D00" w:rsidP="008B403D">
      <w:pPr>
        <w:pStyle w:val="Prrafodelista"/>
        <w:autoSpaceDE/>
        <w:autoSpaceDN/>
        <w:adjustRightInd/>
        <w:spacing w:line="360" w:lineRule="auto"/>
        <w:ind w:left="0"/>
        <w:rPr>
          <w:rFonts w:ascii="Arial" w:hAnsi="Arial" w:cs="Arial"/>
          <w:sz w:val="24"/>
          <w:szCs w:val="24"/>
        </w:rPr>
      </w:pP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r w:rsidRPr="00761681">
        <w:rPr>
          <w:rFonts w:ascii="Arial" w:hAnsi="Arial" w:cs="Arial"/>
          <w:sz w:val="24"/>
          <w:szCs w:val="24"/>
        </w:rPr>
        <w:t>En el plenario se demostró que el peticionario</w:t>
      </w:r>
      <w:r w:rsidRPr="00761681">
        <w:rPr>
          <w:rFonts w:ascii="Arial" w:hAnsi="Arial" w:cs="Arial"/>
          <w:sz w:val="24"/>
          <w:szCs w:val="24"/>
          <w:lang w:val="es-CO"/>
        </w:rPr>
        <w:t xml:space="preserve"> faltó a la verdad en su </w:t>
      </w:r>
      <w:proofErr w:type="gramStart"/>
      <w:r w:rsidRPr="00761681">
        <w:rPr>
          <w:rFonts w:ascii="Arial" w:hAnsi="Arial" w:cs="Arial"/>
          <w:sz w:val="24"/>
          <w:szCs w:val="24"/>
          <w:lang w:val="es-CO"/>
        </w:rPr>
        <w:t>solicitud,  por</w:t>
      </w:r>
      <w:proofErr w:type="gramEnd"/>
      <w:r w:rsidRPr="00761681">
        <w:rPr>
          <w:rFonts w:ascii="Arial" w:hAnsi="Arial" w:cs="Arial"/>
          <w:sz w:val="24"/>
          <w:szCs w:val="24"/>
          <w:lang w:val="es-CO"/>
        </w:rPr>
        <w:t xml:space="preserve"> cuanto argumentó que las copias solicitadas eran necesarias para que obraran como prueba en un proceso que se adelanta en el Juzgado Segundo Administrativo del Quindío, situación está que fue desvirtuada por el mismo juzgado en certificación, lo que conlleva a concluir que el peticionario faltó al principio de la legítima confianza y al principio de la buena fe.</w:t>
      </w: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r w:rsidRPr="00761681">
        <w:rPr>
          <w:rFonts w:ascii="Arial" w:hAnsi="Arial" w:cs="Arial"/>
          <w:sz w:val="24"/>
          <w:szCs w:val="24"/>
        </w:rPr>
        <w:t>Indica que se sigue dando prioridad a un derecho particular viciado de mala fe, sobre los derechos constitucionales de un gran número de personas que no están de acuerdo con que su información personal y privada se entregue a quien desconocen.</w:t>
      </w: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p>
    <w:p w:rsidR="00D61D00" w:rsidRPr="00761681" w:rsidRDefault="00D61D00" w:rsidP="008B403D">
      <w:pPr>
        <w:pStyle w:val="Prrafodelista"/>
        <w:autoSpaceDE/>
        <w:autoSpaceDN/>
        <w:adjustRightInd/>
        <w:spacing w:line="360" w:lineRule="auto"/>
        <w:ind w:left="0"/>
        <w:jc w:val="both"/>
        <w:rPr>
          <w:rFonts w:ascii="Arial" w:hAnsi="Arial" w:cs="Arial"/>
          <w:sz w:val="24"/>
          <w:szCs w:val="24"/>
        </w:rPr>
      </w:pPr>
      <w:r w:rsidRPr="00761681">
        <w:rPr>
          <w:rFonts w:ascii="Arial" w:hAnsi="Arial" w:cs="Arial"/>
          <w:sz w:val="24"/>
          <w:szCs w:val="24"/>
        </w:rPr>
        <w:t>Por todo lo anterior, solicita revocar la decisión de primera instancia para proteger los intereses de todas las personas que se oponen a que su información sea entregada y quede a merced de un tercero cuya intensión se desconoce y quien ha faltado al principio de la buena fe, y además poner a la Universidad en un riesgo legal y disciplinario eminente; en consecuencia pide indicar de manera clara, objetiva y concisa, que documentación debe entregar esta institución al peticionario, para efectos de salvar responsabilidades de la Universidad del Quindío.</w:t>
      </w:r>
    </w:p>
    <w:p w:rsidR="00FE4484" w:rsidRPr="00761681" w:rsidRDefault="00FE4484" w:rsidP="008B403D">
      <w:pPr>
        <w:pStyle w:val="Prrafodelista"/>
        <w:autoSpaceDE/>
        <w:autoSpaceDN/>
        <w:adjustRightInd/>
        <w:spacing w:line="360" w:lineRule="auto"/>
        <w:ind w:left="0"/>
        <w:jc w:val="both"/>
        <w:rPr>
          <w:rFonts w:ascii="Arial" w:hAnsi="Arial" w:cs="Arial"/>
          <w:sz w:val="24"/>
          <w:szCs w:val="24"/>
        </w:rPr>
      </w:pPr>
    </w:p>
    <w:p w:rsidR="00D61D00" w:rsidRPr="00761681" w:rsidRDefault="00D61D00" w:rsidP="008B403D">
      <w:pPr>
        <w:keepNext/>
        <w:suppressAutoHyphens/>
        <w:spacing w:line="360" w:lineRule="auto"/>
        <w:jc w:val="center"/>
        <w:outlineLvl w:val="0"/>
        <w:rPr>
          <w:rFonts w:ascii="Arial" w:hAnsi="Arial" w:cs="Arial"/>
          <w:b/>
          <w:sz w:val="24"/>
          <w:szCs w:val="24"/>
          <w:lang w:val="es-ES"/>
        </w:rPr>
      </w:pPr>
      <w:r w:rsidRPr="00761681">
        <w:rPr>
          <w:rFonts w:ascii="Arial" w:hAnsi="Arial" w:cs="Arial"/>
          <w:b/>
          <w:sz w:val="24"/>
          <w:szCs w:val="24"/>
          <w:lang w:val="es-ES"/>
        </w:rPr>
        <w:t>2. CONSIDERACIONES DE LA SALA</w:t>
      </w:r>
    </w:p>
    <w:p w:rsidR="00FE4484" w:rsidRPr="00761681" w:rsidRDefault="00FE4484" w:rsidP="008B403D">
      <w:pPr>
        <w:keepNext/>
        <w:suppressAutoHyphens/>
        <w:spacing w:line="360" w:lineRule="auto"/>
        <w:jc w:val="center"/>
        <w:outlineLvl w:val="0"/>
        <w:rPr>
          <w:rFonts w:ascii="Arial" w:hAnsi="Arial" w:cs="Arial"/>
          <w:b/>
          <w:sz w:val="24"/>
          <w:szCs w:val="24"/>
          <w:lang w:val="es-ES"/>
        </w:rPr>
      </w:pPr>
    </w:p>
    <w:p w:rsidR="00D61D00" w:rsidRPr="00761681" w:rsidRDefault="00D61D00" w:rsidP="008B403D">
      <w:pPr>
        <w:spacing w:line="360" w:lineRule="auto"/>
        <w:rPr>
          <w:rFonts w:ascii="Arial" w:hAnsi="Arial" w:cs="Arial"/>
          <w:b/>
          <w:sz w:val="24"/>
          <w:szCs w:val="24"/>
        </w:rPr>
      </w:pPr>
      <w:r w:rsidRPr="00761681">
        <w:rPr>
          <w:rFonts w:ascii="Arial" w:hAnsi="Arial" w:cs="Arial"/>
          <w:b/>
          <w:sz w:val="24"/>
          <w:szCs w:val="24"/>
        </w:rPr>
        <w:t>2.1. Competencia de la Sala</w:t>
      </w:r>
    </w:p>
    <w:p w:rsidR="00FE4484" w:rsidRPr="00761681" w:rsidRDefault="00FE4484" w:rsidP="008B403D">
      <w:pPr>
        <w:spacing w:line="360" w:lineRule="auto"/>
        <w:rPr>
          <w:rFonts w:ascii="Arial" w:hAnsi="Arial" w:cs="Arial"/>
          <w:b/>
          <w:sz w:val="24"/>
          <w:szCs w:val="24"/>
        </w:rPr>
      </w:pPr>
    </w:p>
    <w:p w:rsidR="00D61D00" w:rsidRPr="00761681" w:rsidRDefault="00D61D00" w:rsidP="008B403D">
      <w:pPr>
        <w:spacing w:line="360" w:lineRule="auto"/>
        <w:jc w:val="both"/>
        <w:rPr>
          <w:rFonts w:ascii="Arial" w:hAnsi="Arial" w:cs="Arial"/>
          <w:sz w:val="24"/>
          <w:szCs w:val="24"/>
        </w:rPr>
      </w:pPr>
      <w:bookmarkStart w:id="1" w:name="_Hlk26453741"/>
      <w:r w:rsidRPr="00761681">
        <w:rPr>
          <w:rFonts w:ascii="Arial" w:hAnsi="Arial" w:cs="Arial"/>
          <w:sz w:val="24"/>
          <w:szCs w:val="24"/>
        </w:rPr>
        <w:lastRenderedPageBreak/>
        <w:t xml:space="preserve">Esta Sección es competente para conocer de este proceso, de conformidad con el artículo 1º y 32 del Decreto 2591 de 1991, por el cual se reglamenta la acción de </w:t>
      </w:r>
      <w:r w:rsidR="009F156C" w:rsidRPr="00761681">
        <w:rPr>
          <w:rFonts w:ascii="Arial" w:hAnsi="Arial" w:cs="Arial"/>
          <w:sz w:val="24"/>
          <w:szCs w:val="24"/>
        </w:rPr>
        <w:t>tutela consagrada</w:t>
      </w:r>
      <w:r w:rsidRPr="00761681">
        <w:rPr>
          <w:rFonts w:ascii="Arial" w:hAnsi="Arial" w:cs="Arial"/>
          <w:sz w:val="24"/>
          <w:szCs w:val="24"/>
        </w:rPr>
        <w:t xml:space="preserve"> en el artículo 86 de la Constitución Política y el numeral 2° del artículo 1° del Decreto 1382 de 2000, por el cual se establecen reglas para el reparto de la acción de tutela.</w:t>
      </w:r>
    </w:p>
    <w:bookmarkEnd w:id="1"/>
    <w:p w:rsidR="00FE4484" w:rsidRPr="00761681" w:rsidRDefault="00FE4484" w:rsidP="008B403D">
      <w:pPr>
        <w:spacing w:line="360" w:lineRule="auto"/>
        <w:jc w:val="both"/>
        <w:rPr>
          <w:rFonts w:ascii="Arial" w:hAnsi="Arial" w:cs="Arial"/>
          <w:sz w:val="24"/>
          <w:szCs w:val="24"/>
        </w:rPr>
      </w:pPr>
    </w:p>
    <w:p w:rsidR="00D61D00" w:rsidRPr="00761681" w:rsidRDefault="00D61D00" w:rsidP="008B403D">
      <w:pPr>
        <w:suppressAutoHyphens/>
        <w:spacing w:line="360" w:lineRule="auto"/>
        <w:jc w:val="both"/>
        <w:rPr>
          <w:rFonts w:ascii="Arial" w:hAnsi="Arial" w:cs="Arial"/>
          <w:b/>
          <w:sz w:val="24"/>
          <w:szCs w:val="24"/>
        </w:rPr>
      </w:pPr>
      <w:r w:rsidRPr="00761681">
        <w:rPr>
          <w:rFonts w:ascii="Arial" w:hAnsi="Arial" w:cs="Arial"/>
          <w:b/>
          <w:sz w:val="24"/>
          <w:szCs w:val="24"/>
        </w:rPr>
        <w:t>2.2 Generalidades de la tutela</w:t>
      </w:r>
    </w:p>
    <w:p w:rsidR="00D61D00" w:rsidRPr="00761681" w:rsidRDefault="00D61D00" w:rsidP="008B403D">
      <w:pPr>
        <w:spacing w:line="360" w:lineRule="auto"/>
        <w:rPr>
          <w:rFonts w:ascii="Arial" w:hAnsi="Arial" w:cs="Arial"/>
          <w:b/>
          <w:sz w:val="24"/>
          <w:szCs w:val="24"/>
        </w:rPr>
      </w:pPr>
    </w:p>
    <w:p w:rsidR="00D61D00" w:rsidRPr="00761681" w:rsidRDefault="00D61D00" w:rsidP="008B403D">
      <w:pPr>
        <w:pStyle w:val="Sangra2detindependiente"/>
        <w:spacing w:after="0" w:line="360" w:lineRule="auto"/>
        <w:ind w:left="0"/>
        <w:jc w:val="both"/>
        <w:rPr>
          <w:rFonts w:ascii="Arial" w:hAnsi="Arial" w:cs="Arial"/>
          <w:sz w:val="24"/>
          <w:szCs w:val="24"/>
          <w:lang w:val="es-CO"/>
        </w:rPr>
      </w:pPr>
      <w:r w:rsidRPr="00761681">
        <w:rPr>
          <w:rFonts w:ascii="Arial" w:hAnsi="Arial" w:cs="Arial"/>
          <w:sz w:val="24"/>
          <w:szCs w:val="24"/>
          <w:lang w:val="es-CO"/>
        </w:rPr>
        <w:t>La acción de tutela ha sido instituida como un instrumento preferente y sumario, destinado a proteger de manera efectiva e inmediata los derechos constitucionales fundamentales, cuando hayan sido violados o amenazados por las autoridades públicas, o por los particulares, en los casos expresamente indicados. Procede, a falta de otro medio de defensa judicial, a menos que se utilice como mecanismo transitorio, para prevenir un perjuicio irremediable.</w:t>
      </w:r>
    </w:p>
    <w:p w:rsidR="00D61D00" w:rsidRPr="00761681" w:rsidRDefault="00D61D00" w:rsidP="008B403D">
      <w:pPr>
        <w:spacing w:line="360" w:lineRule="auto"/>
        <w:jc w:val="both"/>
        <w:rPr>
          <w:rFonts w:ascii="Arial" w:hAnsi="Arial" w:cs="Arial"/>
          <w:b/>
          <w:bCs/>
          <w:sz w:val="24"/>
          <w:szCs w:val="24"/>
        </w:rPr>
      </w:pPr>
    </w:p>
    <w:p w:rsidR="00D61D00" w:rsidRPr="00761681" w:rsidRDefault="00D61D00" w:rsidP="008B403D">
      <w:pPr>
        <w:pStyle w:val="Sinespaciado"/>
        <w:spacing w:line="360" w:lineRule="auto"/>
        <w:jc w:val="both"/>
        <w:rPr>
          <w:rStyle w:val="textonavy"/>
          <w:rFonts w:ascii="Arial" w:eastAsia="Arial" w:hAnsi="Arial" w:cs="Arial"/>
          <w:b/>
          <w:bCs/>
          <w:sz w:val="24"/>
          <w:szCs w:val="24"/>
          <w:u w:color="FF0000"/>
        </w:rPr>
      </w:pPr>
      <w:r w:rsidRPr="00761681">
        <w:rPr>
          <w:rStyle w:val="textonavy"/>
          <w:rFonts w:ascii="Arial" w:hAnsi="Arial" w:cs="Arial"/>
          <w:b/>
          <w:bCs/>
          <w:sz w:val="24"/>
          <w:szCs w:val="24"/>
          <w:u w:color="FF0000"/>
        </w:rPr>
        <w:t>2.3. Procedencia de la acción de tutela frente a providencias judiciales</w:t>
      </w: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 xml:space="preserve"> </w:t>
      </w: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Con ocasión de la acción de tutela instaurada por la señora Nery Germania Álvarez Bello (</w:t>
      </w:r>
      <w:r w:rsidRPr="00761681">
        <w:rPr>
          <w:rStyle w:val="textonavy"/>
          <w:rFonts w:ascii="Arial" w:hAnsi="Arial" w:cs="Arial"/>
          <w:i/>
          <w:iCs/>
          <w:sz w:val="24"/>
          <w:szCs w:val="24"/>
          <w:u w:color="FF0000"/>
        </w:rPr>
        <w:t>Rad.: 2009-01328, M.P. María Elizabeth García González</w:t>
      </w:r>
      <w:r w:rsidRPr="00761681">
        <w:rPr>
          <w:rStyle w:val="textonavy"/>
          <w:rFonts w:ascii="Arial" w:hAnsi="Arial" w:cs="Arial"/>
          <w:sz w:val="24"/>
          <w:szCs w:val="24"/>
          <w:u w:color="FF0000"/>
        </w:rPr>
        <w:t xml:space="preserve">), en un asunto que fue asumido por importancia jurídica por la Sala Plena, en sentencia del 31 de julio de 2012, consideró necesario admitir que debe acometerse el estudio de fondo de la acción de tutela cuando se esté en presencia de providencias judiciales – </w:t>
      </w:r>
      <w:r w:rsidRPr="00761681">
        <w:rPr>
          <w:rStyle w:val="textonavy"/>
          <w:rFonts w:ascii="Arial" w:hAnsi="Arial" w:cs="Arial"/>
          <w:i/>
          <w:iCs/>
          <w:sz w:val="24"/>
          <w:szCs w:val="24"/>
          <w:u w:color="FF0000"/>
        </w:rPr>
        <w:t xml:space="preserve">sin importar la instancia y el órgano que las profiera </w:t>
      </w:r>
      <w:r w:rsidRPr="00761681">
        <w:rPr>
          <w:rStyle w:val="textonavy"/>
          <w:rFonts w:ascii="Arial" w:hAnsi="Arial" w:cs="Arial"/>
          <w:sz w:val="24"/>
          <w:szCs w:val="24"/>
          <w:u w:color="FF0000"/>
        </w:rPr>
        <w:t>- que resulten violatorias de derecho fundamentales, observando al efecto los parámetros fijados hasta el momento jurisprudencialmente y los que en el futuro determine la Ley y la propia doctrina judicial.</w:t>
      </w:r>
    </w:p>
    <w:p w:rsidR="00FE4484" w:rsidRPr="00761681" w:rsidRDefault="00FE4484"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b/>
          <w:bCs/>
          <w:sz w:val="24"/>
          <w:szCs w:val="24"/>
          <w:u w:color="FF0000"/>
        </w:rPr>
      </w:pPr>
      <w:r w:rsidRPr="00761681">
        <w:rPr>
          <w:rFonts w:ascii="Arial" w:hAnsi="Arial" w:cs="Arial"/>
          <w:b/>
          <w:sz w:val="24"/>
          <w:szCs w:val="24"/>
        </w:rPr>
        <w:t xml:space="preserve">2.4. </w:t>
      </w:r>
      <w:r w:rsidRPr="00761681">
        <w:rPr>
          <w:rStyle w:val="textonavy"/>
          <w:rFonts w:ascii="Arial" w:hAnsi="Arial" w:cs="Arial"/>
          <w:b/>
          <w:bCs/>
          <w:sz w:val="24"/>
          <w:szCs w:val="24"/>
          <w:u w:color="FF0000"/>
        </w:rPr>
        <w:t>Requisitos generales y especiales de procedibilidad de la acción constitucional cuando se dirige contra decisiones judiciales</w:t>
      </w:r>
    </w:p>
    <w:p w:rsidR="00D61D00" w:rsidRPr="00761681" w:rsidRDefault="00D61D00" w:rsidP="008B403D">
      <w:pPr>
        <w:suppressAutoHyphens/>
        <w:spacing w:line="360" w:lineRule="auto"/>
        <w:jc w:val="both"/>
        <w:rPr>
          <w:rStyle w:val="textonavy"/>
          <w:rFonts w:ascii="Arial" w:hAnsi="Arial" w:cs="Arial"/>
          <w:sz w:val="24"/>
          <w:szCs w:val="24"/>
          <w:u w:color="FF0000"/>
        </w:rPr>
      </w:pPr>
    </w:p>
    <w:p w:rsidR="00D61D00" w:rsidRPr="00761681" w:rsidRDefault="00D61D00" w:rsidP="008B403D">
      <w:pPr>
        <w:suppressAutoHyphens/>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Esta Sección</w:t>
      </w:r>
      <w:r w:rsidRPr="00761681">
        <w:rPr>
          <w:rFonts w:ascii="Arial" w:eastAsia="Arial Unicode MS" w:hAnsi="Arial" w:cs="Arial"/>
          <w:sz w:val="24"/>
          <w:szCs w:val="24"/>
          <w:u w:color="FF0000"/>
          <w:bdr w:val="nil"/>
          <w:vertAlign w:val="superscript"/>
          <w:lang w:eastAsia="es-CO"/>
        </w:rPr>
        <w:footnoteReference w:id="11"/>
      </w:r>
      <w:r w:rsidRPr="00761681">
        <w:rPr>
          <w:rStyle w:val="textonavy"/>
          <w:rFonts w:ascii="Arial" w:hAnsi="Arial" w:cs="Arial"/>
          <w:sz w:val="24"/>
          <w:szCs w:val="24"/>
          <w:u w:color="FF0000"/>
        </w:rPr>
        <w:t xml:space="preserve"> adoptó como parámetros a seguir los indicados en la sentencia C-590 de 8 de junio de 2005, proferida por la Corte Constitucional, sin perjuicio de los demás pronunciamientos que esta Corporación elabore sobre el tema.</w:t>
      </w:r>
    </w:p>
    <w:p w:rsidR="00D61D00" w:rsidRPr="00761681" w:rsidRDefault="00D61D00"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lastRenderedPageBreak/>
        <w:t xml:space="preserve">Por lo anterior, y con el fin de hacer operante la nueva posición jurisprudencial, estableció como </w:t>
      </w:r>
      <w:r w:rsidRPr="00761681">
        <w:rPr>
          <w:rStyle w:val="textonavy"/>
          <w:rFonts w:ascii="Arial" w:hAnsi="Arial" w:cs="Arial"/>
          <w:bCs/>
          <w:sz w:val="24"/>
          <w:szCs w:val="24"/>
          <w:u w:color="FF0000"/>
        </w:rPr>
        <w:t>requisitos generales de procedibilidad</w:t>
      </w:r>
      <w:r w:rsidRPr="00761681">
        <w:rPr>
          <w:rStyle w:val="textonavy"/>
          <w:rFonts w:ascii="Arial" w:hAnsi="Arial" w:cs="Arial"/>
          <w:sz w:val="24"/>
          <w:szCs w:val="24"/>
          <w:u w:color="FF0000"/>
        </w:rPr>
        <w:t xml:space="preserve"> de esta acción constitucional, cuando se dirige contra decisiones judiciales:  </w:t>
      </w:r>
      <w:r w:rsidRPr="00761681">
        <w:rPr>
          <w:rStyle w:val="textonavy"/>
          <w:rFonts w:ascii="Arial" w:hAnsi="Arial" w:cs="Arial"/>
          <w:bCs/>
          <w:sz w:val="24"/>
          <w:szCs w:val="24"/>
          <w:u w:color="FF0000"/>
        </w:rPr>
        <w:t>i)</w:t>
      </w:r>
      <w:r w:rsidRPr="00761681">
        <w:rPr>
          <w:rStyle w:val="textonavy"/>
          <w:rFonts w:ascii="Arial" w:hAnsi="Arial" w:cs="Arial"/>
          <w:sz w:val="24"/>
          <w:szCs w:val="24"/>
          <w:u w:color="FF0000"/>
        </w:rPr>
        <w:t xml:space="preserve"> la relevancia constitucional del asunto; </w:t>
      </w:r>
      <w:r w:rsidRPr="00761681">
        <w:rPr>
          <w:rStyle w:val="textonavy"/>
          <w:rFonts w:ascii="Arial" w:hAnsi="Arial" w:cs="Arial"/>
          <w:bCs/>
          <w:sz w:val="24"/>
          <w:szCs w:val="24"/>
          <w:u w:color="FF0000"/>
        </w:rPr>
        <w:t>ii)</w:t>
      </w:r>
      <w:r w:rsidRPr="00761681">
        <w:rPr>
          <w:rStyle w:val="textonavy"/>
          <w:rFonts w:ascii="Arial" w:hAnsi="Arial" w:cs="Arial"/>
          <w:sz w:val="24"/>
          <w:szCs w:val="24"/>
          <w:u w:color="FF0000"/>
        </w:rPr>
        <w:t xml:space="preserve"> el uso de todos los medios de defensa judiciales salvo la existencia de un perjuicio irremediable; </w:t>
      </w:r>
      <w:r w:rsidRPr="00761681">
        <w:rPr>
          <w:rStyle w:val="textonavy"/>
          <w:rFonts w:ascii="Arial" w:hAnsi="Arial" w:cs="Arial"/>
          <w:bCs/>
          <w:sz w:val="24"/>
          <w:szCs w:val="24"/>
          <w:u w:color="FF0000"/>
        </w:rPr>
        <w:t>iii)</w:t>
      </w:r>
      <w:r w:rsidRPr="00761681">
        <w:rPr>
          <w:rStyle w:val="textonavy"/>
          <w:rFonts w:ascii="Arial" w:hAnsi="Arial" w:cs="Arial"/>
          <w:sz w:val="24"/>
          <w:szCs w:val="24"/>
          <w:u w:color="FF0000"/>
        </w:rPr>
        <w:t xml:space="preserve"> el cumplimiento del principio de inmediatez; </w:t>
      </w:r>
      <w:r w:rsidRPr="00761681">
        <w:rPr>
          <w:rStyle w:val="textonavy"/>
          <w:rFonts w:ascii="Arial" w:hAnsi="Arial" w:cs="Arial"/>
          <w:bCs/>
          <w:sz w:val="24"/>
          <w:szCs w:val="24"/>
          <w:u w:color="FF0000"/>
        </w:rPr>
        <w:t>iv)</w:t>
      </w:r>
      <w:r w:rsidRPr="00761681">
        <w:rPr>
          <w:rStyle w:val="textonavy"/>
          <w:rFonts w:ascii="Arial" w:hAnsi="Arial" w:cs="Arial"/>
          <w:sz w:val="24"/>
          <w:szCs w:val="24"/>
          <w:u w:color="FF0000"/>
        </w:rPr>
        <w:t xml:space="preserve"> la existencia de una irregularidad procesal con efecto decisivo en la providencia objeto de inconformidad; </w:t>
      </w:r>
      <w:r w:rsidRPr="00761681">
        <w:rPr>
          <w:rStyle w:val="textonavy"/>
          <w:rFonts w:ascii="Arial" w:hAnsi="Arial" w:cs="Arial"/>
          <w:bCs/>
          <w:sz w:val="24"/>
          <w:szCs w:val="24"/>
          <w:u w:color="FF0000"/>
        </w:rPr>
        <w:t>v)</w:t>
      </w:r>
      <w:r w:rsidRPr="00761681">
        <w:rPr>
          <w:rStyle w:val="textonavy"/>
          <w:rFonts w:ascii="Arial" w:hAnsi="Arial" w:cs="Arial"/>
          <w:sz w:val="24"/>
          <w:szCs w:val="24"/>
          <w:u w:color="FF0000"/>
        </w:rPr>
        <w:t xml:space="preserve"> la identificación clara de los hechos causantes de la vulneración y su alegación en el proceso, y </w:t>
      </w:r>
      <w:r w:rsidRPr="00761681">
        <w:rPr>
          <w:rStyle w:val="textonavy"/>
          <w:rFonts w:ascii="Arial" w:hAnsi="Arial" w:cs="Arial"/>
          <w:bCs/>
          <w:sz w:val="24"/>
          <w:szCs w:val="24"/>
          <w:u w:color="FF0000"/>
        </w:rPr>
        <w:t>vi)</w:t>
      </w:r>
      <w:r w:rsidRPr="00761681">
        <w:rPr>
          <w:rStyle w:val="textonavy"/>
          <w:rFonts w:ascii="Arial" w:hAnsi="Arial" w:cs="Arial"/>
          <w:sz w:val="24"/>
          <w:szCs w:val="24"/>
          <w:u w:color="FF0000"/>
        </w:rPr>
        <w:t xml:space="preserve"> que no se trate de tutela contra tutela.</w:t>
      </w:r>
    </w:p>
    <w:p w:rsidR="00D61D00" w:rsidRPr="00761681" w:rsidRDefault="00D61D00"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 xml:space="preserve">Además de estas exigencias, la Corte en la mencionada sentencia C–590 de 2005, precisó que era imperioso acreditar la existencia de unos </w:t>
      </w:r>
      <w:r w:rsidRPr="00761681">
        <w:rPr>
          <w:rStyle w:val="textonavy"/>
          <w:rFonts w:ascii="Arial" w:hAnsi="Arial" w:cs="Arial"/>
          <w:b/>
          <w:bCs/>
          <w:sz w:val="24"/>
          <w:szCs w:val="24"/>
          <w:u w:color="FF0000"/>
        </w:rPr>
        <w:t>requisitos especiales</w:t>
      </w:r>
      <w:r w:rsidRPr="00761681">
        <w:rPr>
          <w:rStyle w:val="textonavy"/>
          <w:rFonts w:ascii="Arial" w:hAnsi="Arial" w:cs="Arial"/>
          <w:sz w:val="24"/>
          <w:szCs w:val="24"/>
          <w:u w:color="FF0000"/>
        </w:rPr>
        <w:t xml:space="preserve"> de procedibilidad, que el propio Tribunal Constitucional los ha considerado como las causales concretas que “</w:t>
      </w:r>
      <w:r w:rsidRPr="00761681">
        <w:rPr>
          <w:rStyle w:val="textonavy"/>
          <w:rFonts w:ascii="Arial" w:hAnsi="Arial" w:cs="Arial"/>
          <w:i/>
          <w:iCs/>
          <w:sz w:val="24"/>
          <w:szCs w:val="24"/>
          <w:u w:color="FF0000"/>
        </w:rPr>
        <w:t>de verificarse su ocurrencia autorizan al juez de tutela a dejar sin efecto una providencia judicial</w:t>
      </w:r>
      <w:r w:rsidRPr="00761681">
        <w:rPr>
          <w:rStyle w:val="textonavy"/>
          <w:rFonts w:ascii="Arial" w:hAnsi="Arial" w:cs="Arial"/>
          <w:sz w:val="24"/>
          <w:szCs w:val="24"/>
          <w:u w:color="FF0000"/>
        </w:rPr>
        <w:t>”</w:t>
      </w:r>
      <w:r w:rsidRPr="00761681">
        <w:rPr>
          <w:rStyle w:val="textonavy"/>
          <w:rFonts w:ascii="Arial" w:hAnsi="Arial" w:cs="Arial"/>
          <w:sz w:val="24"/>
          <w:szCs w:val="24"/>
          <w:u w:color="FF0000"/>
          <w:vertAlign w:val="superscript"/>
        </w:rPr>
        <w:footnoteReference w:id="12"/>
      </w:r>
      <w:r w:rsidRPr="00761681">
        <w:rPr>
          <w:rStyle w:val="textonavy"/>
          <w:rFonts w:ascii="Arial" w:hAnsi="Arial" w:cs="Arial"/>
          <w:sz w:val="24"/>
          <w:szCs w:val="24"/>
          <w:u w:color="FF0000"/>
        </w:rPr>
        <w:t>.</w:t>
      </w:r>
    </w:p>
    <w:p w:rsidR="00D61D00" w:rsidRPr="00761681" w:rsidRDefault="00D61D00"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 xml:space="preserve">Así pues, el juez debe comprobar la ocurrencia de al menos uno de los siguientes defectos: </w:t>
      </w:r>
      <w:bookmarkStart w:id="2" w:name="_Hlk26454152"/>
      <w:r w:rsidRPr="00761681">
        <w:rPr>
          <w:rStyle w:val="textonavy"/>
          <w:rFonts w:ascii="Arial" w:hAnsi="Arial" w:cs="Arial"/>
          <w:bCs/>
          <w:sz w:val="24"/>
          <w:szCs w:val="24"/>
          <w:u w:color="FF0000"/>
        </w:rPr>
        <w:t>i)</w:t>
      </w:r>
      <w:r w:rsidRPr="00761681">
        <w:rPr>
          <w:rStyle w:val="textonavy"/>
          <w:rFonts w:ascii="Arial" w:hAnsi="Arial" w:cs="Arial"/>
          <w:sz w:val="24"/>
          <w:szCs w:val="24"/>
          <w:u w:color="FF0000"/>
        </w:rPr>
        <w:t xml:space="preserve"> orgánico; </w:t>
      </w:r>
      <w:r w:rsidRPr="00761681">
        <w:rPr>
          <w:rStyle w:val="textonavy"/>
          <w:rFonts w:ascii="Arial" w:hAnsi="Arial" w:cs="Arial"/>
          <w:bCs/>
          <w:sz w:val="24"/>
          <w:szCs w:val="24"/>
          <w:u w:color="FF0000"/>
        </w:rPr>
        <w:t>ii)</w:t>
      </w:r>
      <w:r w:rsidRPr="00761681">
        <w:rPr>
          <w:rStyle w:val="textonavy"/>
          <w:rFonts w:ascii="Arial" w:hAnsi="Arial" w:cs="Arial"/>
          <w:sz w:val="24"/>
          <w:szCs w:val="24"/>
          <w:u w:color="FF0000"/>
        </w:rPr>
        <w:t xml:space="preserve"> procedimental absoluto; </w:t>
      </w:r>
      <w:r w:rsidRPr="00761681">
        <w:rPr>
          <w:rStyle w:val="textonavy"/>
          <w:rFonts w:ascii="Arial" w:hAnsi="Arial" w:cs="Arial"/>
          <w:bCs/>
          <w:sz w:val="24"/>
          <w:szCs w:val="24"/>
          <w:u w:color="FF0000"/>
        </w:rPr>
        <w:t>iii)</w:t>
      </w:r>
      <w:r w:rsidRPr="00761681">
        <w:rPr>
          <w:rStyle w:val="textonavy"/>
          <w:rFonts w:ascii="Arial" w:hAnsi="Arial" w:cs="Arial"/>
          <w:sz w:val="24"/>
          <w:szCs w:val="24"/>
          <w:u w:color="FF0000"/>
        </w:rPr>
        <w:t xml:space="preserve"> fáctico; </w:t>
      </w:r>
      <w:r w:rsidRPr="00761681">
        <w:rPr>
          <w:rStyle w:val="textonavy"/>
          <w:rFonts w:ascii="Arial" w:hAnsi="Arial" w:cs="Arial"/>
          <w:bCs/>
          <w:sz w:val="24"/>
          <w:szCs w:val="24"/>
          <w:u w:color="FF0000"/>
        </w:rPr>
        <w:t>iv)</w:t>
      </w:r>
      <w:r w:rsidRPr="00761681">
        <w:rPr>
          <w:rStyle w:val="textonavy"/>
          <w:rFonts w:ascii="Arial" w:hAnsi="Arial" w:cs="Arial"/>
          <w:sz w:val="24"/>
          <w:szCs w:val="24"/>
          <w:u w:color="FF0000"/>
        </w:rPr>
        <w:t xml:space="preserve"> material o sustantivo; </w:t>
      </w:r>
      <w:r w:rsidRPr="00761681">
        <w:rPr>
          <w:rStyle w:val="textonavy"/>
          <w:rFonts w:ascii="Arial" w:hAnsi="Arial" w:cs="Arial"/>
          <w:bCs/>
          <w:sz w:val="24"/>
          <w:szCs w:val="24"/>
          <w:u w:color="FF0000"/>
        </w:rPr>
        <w:t>v)</w:t>
      </w:r>
      <w:r w:rsidRPr="00761681">
        <w:rPr>
          <w:rStyle w:val="textonavy"/>
          <w:rFonts w:ascii="Arial" w:hAnsi="Arial" w:cs="Arial"/>
          <w:sz w:val="24"/>
          <w:szCs w:val="24"/>
          <w:u w:color="FF0000"/>
        </w:rPr>
        <w:t xml:space="preserve"> error inducido; </w:t>
      </w:r>
      <w:r w:rsidRPr="00761681">
        <w:rPr>
          <w:rStyle w:val="textonavy"/>
          <w:rFonts w:ascii="Arial" w:hAnsi="Arial" w:cs="Arial"/>
          <w:bCs/>
          <w:sz w:val="24"/>
          <w:szCs w:val="24"/>
          <w:u w:color="FF0000"/>
        </w:rPr>
        <w:t>vi)</w:t>
      </w:r>
      <w:r w:rsidRPr="00761681">
        <w:rPr>
          <w:rStyle w:val="textonavy"/>
          <w:rFonts w:ascii="Arial" w:hAnsi="Arial" w:cs="Arial"/>
          <w:sz w:val="24"/>
          <w:szCs w:val="24"/>
          <w:u w:color="FF0000"/>
        </w:rPr>
        <w:t xml:space="preserve"> decisión sin motivación; </w:t>
      </w:r>
      <w:r w:rsidRPr="00761681">
        <w:rPr>
          <w:rStyle w:val="textonavy"/>
          <w:rFonts w:ascii="Arial" w:hAnsi="Arial" w:cs="Arial"/>
          <w:bCs/>
          <w:sz w:val="24"/>
          <w:szCs w:val="24"/>
          <w:u w:color="FF0000"/>
        </w:rPr>
        <w:t>vii)</w:t>
      </w:r>
      <w:r w:rsidRPr="00761681">
        <w:rPr>
          <w:rStyle w:val="textonavy"/>
          <w:rFonts w:ascii="Arial" w:hAnsi="Arial" w:cs="Arial"/>
          <w:sz w:val="24"/>
          <w:szCs w:val="24"/>
          <w:u w:color="FF0000"/>
        </w:rPr>
        <w:t xml:space="preserve"> desconocimiento del precedente; y </w:t>
      </w:r>
      <w:r w:rsidRPr="00761681">
        <w:rPr>
          <w:rStyle w:val="textonavy"/>
          <w:rFonts w:ascii="Arial" w:hAnsi="Arial" w:cs="Arial"/>
          <w:bCs/>
          <w:sz w:val="24"/>
          <w:szCs w:val="24"/>
          <w:u w:color="FF0000"/>
        </w:rPr>
        <w:t>viii)</w:t>
      </w:r>
      <w:r w:rsidRPr="00761681">
        <w:rPr>
          <w:rStyle w:val="textonavy"/>
          <w:rFonts w:ascii="Arial" w:hAnsi="Arial" w:cs="Arial"/>
          <w:sz w:val="24"/>
          <w:szCs w:val="24"/>
          <w:u w:color="FF0000"/>
        </w:rPr>
        <w:t xml:space="preserve"> violación directa de la Constitución.</w:t>
      </w:r>
    </w:p>
    <w:bookmarkEnd w:id="2"/>
    <w:p w:rsidR="00D61D00" w:rsidRPr="00761681" w:rsidRDefault="00D61D00"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 xml:space="preserve">De lo expuesto, la Sala advierte que, cuando el juez constitucional conoce una demanda impetrada en ejercicio de la acción de tutela y en la que se alega la vulneración de derechos fundamentales con ocasión de la expedición de una providencia judicial: en primer lugar, </w:t>
      </w:r>
      <w:r w:rsidRPr="00761681">
        <w:rPr>
          <w:rStyle w:val="textonavy"/>
          <w:rFonts w:ascii="Arial" w:hAnsi="Arial" w:cs="Arial"/>
          <w:bCs/>
          <w:sz w:val="24"/>
          <w:szCs w:val="24"/>
          <w:u w:color="FF0000"/>
        </w:rPr>
        <w:t>debe verificar la presencia de los requisitos generales y, en segundo término, le corresponde examinar si en el caso objeto de análisis se configura uno de los defectos especiales ya explicados</w:t>
      </w:r>
      <w:r w:rsidRPr="00761681">
        <w:rPr>
          <w:rStyle w:val="textonavy"/>
          <w:rFonts w:ascii="Arial" w:hAnsi="Arial" w:cs="Arial"/>
          <w:sz w:val="24"/>
          <w:szCs w:val="24"/>
          <w:u w:color="FF0000"/>
        </w:rPr>
        <w:t>, permitiéndole de esta manera “</w:t>
      </w:r>
      <w:r w:rsidRPr="00761681">
        <w:rPr>
          <w:rStyle w:val="textonavy"/>
          <w:rFonts w:ascii="Arial" w:hAnsi="Arial" w:cs="Arial"/>
          <w:i/>
          <w:iCs/>
          <w:sz w:val="24"/>
          <w:szCs w:val="24"/>
          <w:u w:color="FF0000"/>
        </w:rPr>
        <w:t>dejar sin efecto o modular la decisión</w:t>
      </w:r>
      <w:r w:rsidRPr="00761681">
        <w:rPr>
          <w:rStyle w:val="textonavy"/>
          <w:rFonts w:ascii="Arial" w:hAnsi="Arial" w:cs="Arial"/>
          <w:sz w:val="24"/>
          <w:szCs w:val="24"/>
          <w:u w:color="FF0000"/>
        </w:rPr>
        <w:t>”</w:t>
      </w:r>
      <w:r w:rsidRPr="00761681">
        <w:rPr>
          <w:rStyle w:val="textonavy"/>
          <w:rFonts w:ascii="Arial" w:hAnsi="Arial" w:cs="Arial"/>
          <w:sz w:val="24"/>
          <w:szCs w:val="24"/>
          <w:u w:color="FF0000"/>
          <w:vertAlign w:val="superscript"/>
        </w:rPr>
        <w:footnoteReference w:id="13"/>
      </w:r>
      <w:r w:rsidRPr="00761681">
        <w:rPr>
          <w:rStyle w:val="textonavy"/>
          <w:rFonts w:ascii="Arial" w:hAnsi="Arial" w:cs="Arial"/>
          <w:sz w:val="24"/>
          <w:szCs w:val="24"/>
          <w:u w:color="FF0000"/>
        </w:rPr>
        <w:t xml:space="preserve"> que encaje en dichos parámetros.</w:t>
      </w: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Se trata, entonces, de una rigurosa y cuidadosa constatación de los presupuestos de procedibilidad, por cuanto resulta a todas luces necesario evitar que éste instrumento excepcional se convierta en una manera de desconocer principios y valores constitucionales tales como los de cosa juzgada, debido proceso, seguridad jurídica e independencia judicial que gobiernan todo proceso jurisdiccional.</w:t>
      </w:r>
    </w:p>
    <w:p w:rsidR="00D61D00" w:rsidRPr="00761681" w:rsidRDefault="00D61D00" w:rsidP="008B403D">
      <w:pPr>
        <w:spacing w:line="360" w:lineRule="auto"/>
        <w:jc w:val="both"/>
        <w:rPr>
          <w:rStyle w:val="textonavy"/>
          <w:rFonts w:ascii="Arial" w:hAnsi="Arial" w:cs="Arial"/>
          <w:sz w:val="24"/>
          <w:szCs w:val="24"/>
          <w:u w:color="FF0000"/>
        </w:rPr>
      </w:pPr>
    </w:p>
    <w:p w:rsidR="00D61D00" w:rsidRPr="00761681" w:rsidRDefault="00D61D00" w:rsidP="008B403D">
      <w:pPr>
        <w:spacing w:line="360" w:lineRule="auto"/>
        <w:jc w:val="both"/>
        <w:rPr>
          <w:rStyle w:val="textonavy"/>
          <w:rFonts w:ascii="Arial" w:hAnsi="Arial" w:cs="Arial"/>
          <w:sz w:val="24"/>
          <w:szCs w:val="24"/>
          <w:u w:color="FF0000"/>
        </w:rPr>
      </w:pPr>
      <w:r w:rsidRPr="00761681">
        <w:rPr>
          <w:rStyle w:val="textonavy"/>
          <w:rFonts w:ascii="Arial" w:hAnsi="Arial" w:cs="Arial"/>
          <w:sz w:val="24"/>
          <w:szCs w:val="24"/>
          <w:u w:color="FF0000"/>
        </w:rPr>
        <w:t>El criterio expuesto fue reiterado en pronunciamiento de la Sala Plena de la Corporación, en sentencia de unificación de 5 de agosto de 2014, radicado: 11001031500020120220101 (M.P. Jorge Octavio Ramírez Ramírez).</w:t>
      </w:r>
    </w:p>
    <w:p w:rsidR="00D61D00" w:rsidRPr="00761681" w:rsidRDefault="00D61D00" w:rsidP="008B403D">
      <w:pPr>
        <w:spacing w:line="360" w:lineRule="auto"/>
        <w:jc w:val="both"/>
        <w:rPr>
          <w:rFonts w:ascii="Arial" w:hAnsi="Arial" w:cs="Arial"/>
          <w:b/>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En el caso bajo examen se advierte que la acción de tutela cumple con los requisitos generales que exige la sentencia C-590 del 2005 para la procedencia contra providencia judicial en cuanto a lo siguiente: i) es evidente que la cuestión que se discute reviste relevancia constitucional</w:t>
      </w:r>
      <w:r w:rsidRPr="00761681">
        <w:rPr>
          <w:rStyle w:val="Refdenotaalpie"/>
          <w:rFonts w:ascii="Arial" w:hAnsi="Arial" w:cs="Arial"/>
          <w:sz w:val="24"/>
          <w:szCs w:val="24"/>
        </w:rPr>
        <w:footnoteReference w:id="14"/>
      </w:r>
      <w:r w:rsidRPr="00761681">
        <w:rPr>
          <w:rFonts w:ascii="Arial" w:hAnsi="Arial" w:cs="Arial"/>
          <w:sz w:val="24"/>
          <w:szCs w:val="24"/>
        </w:rPr>
        <w:t>, como quiera que se controvierte la vulneración de varios derechos fundamentales; ii) cumplió con el requisito de inmediatez, teniendo en cuenta que la providencia que se ataca se profirió el 22 de julio de 2016 y la acción de tutela se interpuso el 29 de julio de 2016, esto es, con una diferencia de siete (7) días, tiempo que se encuentra dentro de los parámetros que esta Corporación ha entendido como razonables</w:t>
      </w:r>
      <w:r w:rsidRPr="00761681">
        <w:rPr>
          <w:rStyle w:val="Refdenotaalpie"/>
          <w:rFonts w:ascii="Arial" w:hAnsi="Arial" w:cs="Arial"/>
          <w:sz w:val="24"/>
          <w:szCs w:val="24"/>
        </w:rPr>
        <w:footnoteReference w:id="15"/>
      </w:r>
      <w:r w:rsidRPr="00761681">
        <w:rPr>
          <w:rFonts w:ascii="Arial" w:hAnsi="Arial" w:cs="Arial"/>
          <w:sz w:val="24"/>
          <w:szCs w:val="24"/>
        </w:rPr>
        <w:t>; iii) no se trata de una presunta irregularidad procesal que pueda resultar determinante en el proceso; iv) el actor identificó los hechos y los derechos cuya vulneración alega; y v) no se trata de una acción de tutela contra sentencia de tutela.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Sin embargo, en cuanto al requisito de la subsidiariedad como condición para la </w:t>
      </w:r>
      <w:r w:rsidRPr="00761681">
        <w:rPr>
          <w:rFonts w:ascii="Arial" w:hAnsi="Arial" w:cs="Arial"/>
          <w:sz w:val="24"/>
          <w:szCs w:val="24"/>
        </w:rPr>
        <w:lastRenderedPageBreak/>
        <w:t>procedencia de la acción de tutela, es decir, aquel que supone que el accionante no cuente o no haya contado con otros medios ordinarios y/o extraordinarios de defensa judicial eficaces y eficientes con los cuales pueda lograr la protección de los derechos invocados, será analizado dentro de las consideraciones de fondo de la presente providencia, debido a que el incumplimiento parcial de este requisito hizo parte de las consideraciones del fallo de primera instancia que ahora se impugna.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Además, en lo que toca con los requisitos específicos de procedibilidad, la Sala hará el análisis respectivo al estudiar el caso concreto.</w:t>
      </w:r>
    </w:p>
    <w:p w:rsidR="00D61D00" w:rsidRPr="00761681" w:rsidRDefault="00D61D00" w:rsidP="008B403D">
      <w:pPr>
        <w:spacing w:line="360" w:lineRule="auto"/>
        <w:jc w:val="both"/>
        <w:rPr>
          <w:rFonts w:ascii="Arial" w:hAnsi="Arial" w:cs="Arial"/>
          <w:b/>
          <w:bCs/>
          <w:sz w:val="24"/>
          <w:szCs w:val="24"/>
        </w:rPr>
      </w:pPr>
    </w:p>
    <w:p w:rsidR="00D61D00" w:rsidRPr="00761681" w:rsidRDefault="00D61D00" w:rsidP="008B403D">
      <w:pPr>
        <w:widowControl w:val="0"/>
        <w:spacing w:line="360" w:lineRule="auto"/>
        <w:jc w:val="both"/>
        <w:rPr>
          <w:rFonts w:ascii="Arial" w:hAnsi="Arial" w:cs="Arial"/>
          <w:b/>
          <w:sz w:val="24"/>
          <w:szCs w:val="24"/>
          <w:lang w:val="es-ES"/>
        </w:rPr>
      </w:pPr>
      <w:r w:rsidRPr="00761681">
        <w:rPr>
          <w:rFonts w:ascii="Arial" w:hAnsi="Arial" w:cs="Arial"/>
          <w:b/>
          <w:sz w:val="24"/>
          <w:szCs w:val="24"/>
          <w:lang w:val="es-ES"/>
        </w:rPr>
        <w:t>2.5.  El caso concreto</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El señor Rector de la Universidad del Quindío, como representante legal de ese establecimiento educativo y como agente oficioso del personal administrativo y contratista (activo e inactivo) de la Universidad, presentó demanda de tutela  contra el Tribunal Administrativo del Quindío, por la presunta vulneración de sus derechos fundamentales </w:t>
      </w:r>
      <w:r w:rsidRPr="00761681">
        <w:rPr>
          <w:rFonts w:ascii="Arial" w:hAnsi="Arial" w:cs="Arial"/>
          <w:b/>
          <w:sz w:val="24"/>
          <w:szCs w:val="24"/>
        </w:rPr>
        <w:t xml:space="preserve">“al debido proceso y la intimidad -Buen nombre- en conexidad con el derecho a la dignidad humana, la honra y el derecho a no auto incriminarse y el habeas data” </w:t>
      </w:r>
      <w:r w:rsidRPr="00761681">
        <w:rPr>
          <w:rFonts w:ascii="Arial" w:hAnsi="Arial" w:cs="Arial"/>
          <w:sz w:val="24"/>
          <w:szCs w:val="24"/>
        </w:rPr>
        <w:t>al proferir, dentro de un recurso de insistencia,</w:t>
      </w:r>
      <w:r w:rsidRPr="00761681">
        <w:rPr>
          <w:rStyle w:val="Refdenotaalpie"/>
          <w:rFonts w:ascii="Arial" w:hAnsi="Arial" w:cs="Arial"/>
          <w:sz w:val="24"/>
          <w:szCs w:val="24"/>
        </w:rPr>
        <w:footnoteReference w:id="16"/>
      </w:r>
      <w:r w:rsidRPr="00761681">
        <w:rPr>
          <w:rFonts w:ascii="Arial" w:hAnsi="Arial" w:cs="Arial"/>
          <w:sz w:val="24"/>
          <w:szCs w:val="24"/>
        </w:rPr>
        <w:t xml:space="preserve"> la providencia de 22 de julio de 2016 en la cual se decidió declarar mal negada </w:t>
      </w:r>
      <w:r w:rsidRPr="00761681">
        <w:rPr>
          <w:rFonts w:ascii="Arial" w:hAnsi="Arial" w:cs="Arial"/>
          <w:sz w:val="24"/>
          <w:szCs w:val="24"/>
          <w:lang w:val="es-ES"/>
        </w:rPr>
        <w:t>la petición de información formulada por Sabel Reinero Arévalo Arévalo.</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i/>
          <w:sz w:val="24"/>
          <w:szCs w:val="24"/>
          <w:lang w:val="es-ES"/>
        </w:rPr>
      </w:pPr>
      <w:r w:rsidRPr="00761681">
        <w:rPr>
          <w:rFonts w:ascii="Arial" w:hAnsi="Arial" w:cs="Arial"/>
          <w:sz w:val="24"/>
          <w:szCs w:val="24"/>
          <w:lang w:val="es-ES"/>
        </w:rPr>
        <w:t>- El asunto básicamente se concreta al hecho de que el abogado Sabel Reinero Arévalo Arévalo, por oficio de 10 de mayo de 2016 y en ejercicio de su derecho de petición</w:t>
      </w:r>
      <w:r w:rsidRPr="00761681">
        <w:rPr>
          <w:rStyle w:val="Refdenotaalpie"/>
          <w:rFonts w:ascii="Arial" w:hAnsi="Arial" w:cs="Arial"/>
          <w:sz w:val="24"/>
          <w:szCs w:val="24"/>
          <w:lang w:val="es-ES"/>
        </w:rPr>
        <w:footnoteReference w:id="17"/>
      </w:r>
      <w:r w:rsidRPr="00761681">
        <w:rPr>
          <w:rFonts w:ascii="Arial" w:hAnsi="Arial" w:cs="Arial"/>
          <w:sz w:val="24"/>
          <w:szCs w:val="24"/>
          <w:lang w:val="es-ES"/>
        </w:rPr>
        <w:t xml:space="preserve">, solicitó a la Universidad del Quindío se le expidiera copia de los actos administrativos de nombramiento, traslado, ascensos, contratos de prestación de servicios, inherentes al personal de la parte administrativa de la Universidad del Quindío, a partir del mes de junio de dos mil catorce y hasta la fecha de su petición, a lo cual el Rector de la Universidad del Quindío le respondió en memorial de 23 </w:t>
      </w:r>
      <w:r w:rsidRPr="00761681">
        <w:rPr>
          <w:rFonts w:ascii="Arial" w:hAnsi="Arial" w:cs="Arial"/>
          <w:sz w:val="24"/>
          <w:szCs w:val="24"/>
          <w:lang w:val="es-ES"/>
        </w:rPr>
        <w:lastRenderedPageBreak/>
        <w:t xml:space="preserve">mayo de 2016, que </w:t>
      </w:r>
      <w:r w:rsidRPr="00761681">
        <w:rPr>
          <w:rFonts w:ascii="Arial" w:hAnsi="Arial" w:cs="Arial"/>
          <w:i/>
          <w:sz w:val="24"/>
          <w:szCs w:val="24"/>
          <w:lang w:val="es-ES"/>
        </w:rPr>
        <w:t>“Frente a lo deprecado por usted encontramos que son documentos de carácter reservado por estar involucrados en la historia laboral de las personas a quien se contrataron, trasladaron u ascendieron, y de quienes se contratan con el fin de cumplir los contratos de presentación de servicios, por lo anterior se niega lo pedio por usted”.</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 Así las cosas, el peticionario formuló ante el Tribunal Administrativo del Quindío recurso de insistencia</w:t>
      </w:r>
      <w:r w:rsidRPr="00761681">
        <w:rPr>
          <w:rStyle w:val="Refdenotaalpie"/>
          <w:rFonts w:ascii="Arial" w:hAnsi="Arial" w:cs="Arial"/>
          <w:sz w:val="24"/>
          <w:szCs w:val="24"/>
          <w:lang w:val="es-ES"/>
        </w:rPr>
        <w:footnoteReference w:id="18"/>
      </w:r>
      <w:r w:rsidRPr="00761681">
        <w:rPr>
          <w:rFonts w:ascii="Arial" w:hAnsi="Arial" w:cs="Arial"/>
          <w:sz w:val="24"/>
          <w:szCs w:val="24"/>
          <w:lang w:val="es-ES"/>
        </w:rPr>
        <w:t xml:space="preserve"> contra el ente universitario, el cual fue decidido mediante la providencia que ahora se cuestiona, declarando mal negada la petición de información y ordenando a la Universidad del Quindío expedir, de forma inmediata, a favor del señor Sabel Reinero Arévalo Arevalo, las copias a que hace referencia su petición 10 de mayo de 2016</w:t>
      </w:r>
      <w:r w:rsidRPr="00761681">
        <w:rPr>
          <w:rFonts w:ascii="Arial" w:hAnsi="Arial" w:cs="Arial"/>
          <w:i/>
          <w:sz w:val="24"/>
          <w:szCs w:val="24"/>
          <w:lang w:val="es-ES"/>
        </w:rPr>
        <w:t>.</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pStyle w:val="Prrafodelista"/>
        <w:widowControl w:val="0"/>
        <w:numPr>
          <w:ilvl w:val="0"/>
          <w:numId w:val="5"/>
        </w:numPr>
        <w:overflowPunct/>
        <w:spacing w:line="360" w:lineRule="auto"/>
        <w:ind w:left="0" w:firstLine="0"/>
        <w:jc w:val="both"/>
        <w:textAlignment w:val="auto"/>
        <w:rPr>
          <w:rFonts w:ascii="Arial" w:hAnsi="Arial" w:cs="Arial"/>
          <w:sz w:val="24"/>
          <w:szCs w:val="24"/>
          <w:lang w:val="es-ES"/>
        </w:rPr>
      </w:pPr>
      <w:r w:rsidRPr="00761681">
        <w:rPr>
          <w:rFonts w:ascii="Arial" w:hAnsi="Arial" w:cs="Arial"/>
          <w:sz w:val="24"/>
          <w:szCs w:val="24"/>
          <w:lang w:val="es-ES"/>
        </w:rPr>
        <w:t>A juicio de la accionante, el Tribunal Administrativo del Quindío incurrió en una “vía de hecho” debido a que la providencia que resolvió el recurso de insistencia es incongruente porque, mientras en la parte resolutiva de la providencia ordena la entrega de la información solicitada, en la parte motiva le da la responsabilidad a la Universidad de clasificar los documentos que se deben suministrar, lo que conlleva necesariamente a redundar en el mismo punto del litigio, pues para la Universidad todos los documentos del personal adscrito (activo o inactivo) de la parte administrativa gozan de reserva.</w:t>
      </w:r>
    </w:p>
    <w:p w:rsidR="00FE4484" w:rsidRPr="00761681" w:rsidRDefault="00FE4484" w:rsidP="00FE4484">
      <w:pPr>
        <w:pStyle w:val="Prrafodelista"/>
        <w:widowControl w:val="0"/>
        <w:overflowPunct/>
        <w:spacing w:line="360" w:lineRule="auto"/>
        <w:ind w:left="0"/>
        <w:jc w:val="both"/>
        <w:textAlignment w:val="auto"/>
        <w:rPr>
          <w:rFonts w:ascii="Arial" w:hAnsi="Arial" w:cs="Arial"/>
          <w:sz w:val="24"/>
          <w:szCs w:val="24"/>
          <w:lang w:val="es-ES"/>
        </w:rPr>
      </w:pPr>
    </w:p>
    <w:p w:rsidR="00D61D00" w:rsidRPr="00761681" w:rsidRDefault="00D61D00" w:rsidP="008B403D">
      <w:pPr>
        <w:pStyle w:val="Prrafodelista"/>
        <w:widowControl w:val="0"/>
        <w:numPr>
          <w:ilvl w:val="0"/>
          <w:numId w:val="5"/>
        </w:numPr>
        <w:overflowPunct/>
        <w:spacing w:line="360" w:lineRule="auto"/>
        <w:ind w:left="0" w:firstLine="0"/>
        <w:jc w:val="both"/>
        <w:textAlignment w:val="auto"/>
        <w:rPr>
          <w:rFonts w:ascii="Arial" w:hAnsi="Arial" w:cs="Arial"/>
          <w:sz w:val="24"/>
          <w:szCs w:val="24"/>
          <w:lang w:val="es-ES"/>
        </w:rPr>
      </w:pPr>
      <w:r w:rsidRPr="00761681">
        <w:rPr>
          <w:rFonts w:ascii="Arial" w:hAnsi="Arial" w:cs="Arial"/>
          <w:sz w:val="24"/>
          <w:szCs w:val="24"/>
          <w:lang w:val="es-ES"/>
        </w:rPr>
        <w:t xml:space="preserve">Igualmente considera que el </w:t>
      </w:r>
      <w:r w:rsidR="000B62FB" w:rsidRPr="00761681">
        <w:rPr>
          <w:rFonts w:ascii="Arial" w:hAnsi="Arial" w:cs="Arial"/>
          <w:sz w:val="24"/>
          <w:szCs w:val="24"/>
          <w:lang w:val="es-ES"/>
        </w:rPr>
        <w:t>Tribunal incurrió</w:t>
      </w:r>
      <w:r w:rsidRPr="00761681">
        <w:rPr>
          <w:rFonts w:ascii="Arial" w:hAnsi="Arial" w:cs="Arial"/>
          <w:sz w:val="24"/>
          <w:szCs w:val="24"/>
          <w:lang w:val="es-ES"/>
        </w:rPr>
        <w:t xml:space="preserve"> en “vía de hecho” en la medida en que limitó sus consideraciones a velar por el interés del peticionario, olvidando tener en cuenta el concepto del personal administrativo y de los contratistas de la Universidad, máxime cuando se desconoce la finalidad o la intensión que persigue el peticionario de la información.</w:t>
      </w:r>
    </w:p>
    <w:p w:rsidR="00D61D00" w:rsidRPr="00761681" w:rsidRDefault="00D61D00" w:rsidP="008B403D">
      <w:pPr>
        <w:pStyle w:val="Prrafodelista"/>
        <w:widowControl w:val="0"/>
        <w:numPr>
          <w:ilvl w:val="0"/>
          <w:numId w:val="5"/>
        </w:numPr>
        <w:overflowPunct/>
        <w:spacing w:line="360" w:lineRule="auto"/>
        <w:ind w:left="0" w:firstLine="0"/>
        <w:jc w:val="both"/>
        <w:textAlignment w:val="auto"/>
        <w:rPr>
          <w:rFonts w:ascii="Arial" w:hAnsi="Arial" w:cs="Arial"/>
          <w:sz w:val="24"/>
          <w:szCs w:val="24"/>
          <w:lang w:val="es-ES"/>
        </w:rPr>
      </w:pPr>
      <w:r w:rsidRPr="00761681">
        <w:rPr>
          <w:rFonts w:ascii="Arial" w:hAnsi="Arial" w:cs="Arial"/>
          <w:sz w:val="24"/>
          <w:szCs w:val="24"/>
          <w:lang w:val="es-ES"/>
        </w:rPr>
        <w:t xml:space="preserve">De la misma forma, indica que fueron vulnerados los derechos de contradicción y defensa del personal administrativo y contratista de la Universidad debido a que no fueron vinculados al recurso de insistencia, adelantado ante el Tribunal Administrativo del Quindío, siendo </w:t>
      </w:r>
      <w:proofErr w:type="gramStart"/>
      <w:r w:rsidRPr="00761681">
        <w:rPr>
          <w:rFonts w:ascii="Arial" w:hAnsi="Arial" w:cs="Arial"/>
          <w:sz w:val="24"/>
          <w:szCs w:val="24"/>
          <w:lang w:val="es-ES"/>
        </w:rPr>
        <w:t>éstas</w:t>
      </w:r>
      <w:proofErr w:type="gramEnd"/>
      <w:r w:rsidRPr="00761681">
        <w:rPr>
          <w:rFonts w:ascii="Arial" w:hAnsi="Arial" w:cs="Arial"/>
          <w:sz w:val="24"/>
          <w:szCs w:val="24"/>
          <w:lang w:val="es-ES"/>
        </w:rPr>
        <w:t xml:space="preserve"> personas las más interesadas en </w:t>
      </w:r>
      <w:r w:rsidRPr="00761681">
        <w:rPr>
          <w:rFonts w:ascii="Arial" w:hAnsi="Arial" w:cs="Arial"/>
          <w:sz w:val="24"/>
          <w:szCs w:val="24"/>
          <w:lang w:val="es-ES"/>
        </w:rPr>
        <w:lastRenderedPageBreak/>
        <w:t>que la información suministrada no se hiciera pública.</w:t>
      </w:r>
    </w:p>
    <w:p w:rsidR="00D61D00" w:rsidRPr="00761681" w:rsidRDefault="00D61D00" w:rsidP="008B403D">
      <w:pPr>
        <w:pStyle w:val="Prrafodelista"/>
        <w:widowControl w:val="0"/>
        <w:numPr>
          <w:ilvl w:val="0"/>
          <w:numId w:val="5"/>
        </w:numPr>
        <w:overflowPunct/>
        <w:spacing w:line="360" w:lineRule="auto"/>
        <w:ind w:left="0" w:firstLine="0"/>
        <w:jc w:val="both"/>
        <w:textAlignment w:val="auto"/>
        <w:rPr>
          <w:rFonts w:ascii="Arial" w:hAnsi="Arial" w:cs="Arial"/>
          <w:sz w:val="24"/>
          <w:szCs w:val="24"/>
          <w:lang w:val="es-ES"/>
        </w:rPr>
      </w:pPr>
      <w:r w:rsidRPr="00761681">
        <w:rPr>
          <w:rFonts w:ascii="Arial" w:hAnsi="Arial" w:cs="Arial"/>
          <w:sz w:val="24"/>
          <w:szCs w:val="24"/>
          <w:lang w:val="es-ES"/>
        </w:rPr>
        <w:t xml:space="preserve">Consideró que la decisión del Tribunal también vulnera los derechos fundamentales de los directivos de la Universidad </w:t>
      </w:r>
      <w:r w:rsidRPr="00761681">
        <w:rPr>
          <w:rFonts w:ascii="Arial" w:hAnsi="Arial" w:cs="Arial"/>
          <w:i/>
          <w:sz w:val="24"/>
          <w:szCs w:val="24"/>
          <w:lang w:val="es-ES"/>
        </w:rPr>
        <w:t>“al debido proceso y a la intimidad – Buen nombre- en conexidad con el derecho a la dignidad humana, la honra y el derecho a no auto incriminarse y el Habeas data”</w:t>
      </w:r>
      <w:r w:rsidRPr="00761681">
        <w:rPr>
          <w:rFonts w:ascii="Arial" w:hAnsi="Arial" w:cs="Arial"/>
          <w:sz w:val="24"/>
          <w:szCs w:val="24"/>
          <w:lang w:val="es-ES"/>
        </w:rPr>
        <w:t xml:space="preserve">  por cuanto los obliga de manera acomodada, mediante su decisión, a transgredir los derechos fundamentales de terceros al entregar la información reservada a personas que carecen de fundamentos para obtener las mismas, desconociendo además su finalidad; exponiéndolos a procesos disciplinarios o penales por catalogar y entregar información de terceros sin su autorización, previa orden judicial acomodada y libre de responsabilidad.</w:t>
      </w:r>
    </w:p>
    <w:p w:rsidR="00D61D00" w:rsidRPr="00761681" w:rsidRDefault="00D61D00" w:rsidP="008B403D">
      <w:pPr>
        <w:widowControl w:val="0"/>
        <w:spacing w:line="360" w:lineRule="auto"/>
        <w:jc w:val="both"/>
        <w:rPr>
          <w:rFonts w:ascii="Arial" w:hAnsi="Arial" w:cs="Arial"/>
          <w:b/>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-La Sección Quinta del Consejo de Estado, como juez de tutela en primera instancia, determinó que no se cumplía parcialmente, con el requisito de la subsidiariedad, por lo que, respecto de algunos reparos de la accionante tomó la decisión de declarar improcedente la acción y respecto de otros decidió resolver de fondo la cuestión planteada por la accionante, denegando el amparo de los derechos deprecados por el actor.</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 xml:space="preserve">- En la impugnación del fallo de tutela, la accionante básicamente desarrolla su argumentación con miras a establecer: (i) la acción interpuesta cumple debidamente el principio de subsidiariedad, (ii) tanto el fallo proferido en el recurso de insistencia por el Tribunal Administrativo del Quindío, como en el fallo de tutela en primera instancia proferido por la Sección Quinta del Consejo de Estado se limitan a proteger el derecho de un tercero, respecto del cual se desconoce para qué quiere la información y (iii)  la Sección Quinta del Consejo de Estado vulneró los derechos de las personas que se pronunciaron en esa instancia, manifestado su inconformidad con la entrega de su documentación, al no integrarlas al proceso como partes. </w:t>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b/>
          <w:sz w:val="24"/>
          <w:szCs w:val="24"/>
          <w:lang w:val="es-ES"/>
        </w:rPr>
      </w:pPr>
      <w:r w:rsidRPr="00761681">
        <w:rPr>
          <w:rFonts w:ascii="Arial" w:hAnsi="Arial" w:cs="Arial"/>
          <w:b/>
          <w:sz w:val="24"/>
          <w:szCs w:val="24"/>
          <w:lang w:val="es-ES"/>
        </w:rPr>
        <w:t>2.6. El problema jurídico</w:t>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sz w:val="24"/>
          <w:szCs w:val="24"/>
          <w:lang w:val="es-ES"/>
        </w:rPr>
      </w:pPr>
      <w:r w:rsidRPr="00761681">
        <w:rPr>
          <w:rFonts w:ascii="Arial" w:hAnsi="Arial" w:cs="Arial"/>
          <w:sz w:val="24"/>
          <w:szCs w:val="24"/>
          <w:lang w:val="es-ES"/>
        </w:rPr>
        <w:t xml:space="preserve">Por todo lo anteriormente expuesto,  el problema jurídico que debe resolver la Sala en el presente caso, será, en primer orden, determinar si la presente acción de tutela cumple o no con el requisito de subsidiariedad para su procedencia; si cumpliera, en segundo orden, establecer si el Tribunal Administrativo del Quindío, con la providencia que decidió el recurso de insistencia, incurrió en un defecto procedimental absoluto al tener en cuenta solo los derechos de un tercero respecto </w:t>
      </w:r>
      <w:r w:rsidRPr="00761681">
        <w:rPr>
          <w:rFonts w:ascii="Arial" w:hAnsi="Arial" w:cs="Arial"/>
          <w:sz w:val="24"/>
          <w:szCs w:val="24"/>
          <w:lang w:val="es-ES"/>
        </w:rPr>
        <w:lastRenderedPageBreak/>
        <w:t>del cual se desconoce para qué quiere la información solicitada, y finalmente, determinar si la Sección Quinta del Consejo de Estado violó derechos fundamentales de las personas que intervinieron en el trámite de primera instancia, para manifestar que no se encontraban de acuerdo con la entrega de su información personal a un tercero.</w:t>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b/>
          <w:sz w:val="24"/>
          <w:szCs w:val="24"/>
          <w:lang w:val="es-ES"/>
        </w:rPr>
      </w:pPr>
      <w:r w:rsidRPr="00761681">
        <w:rPr>
          <w:rFonts w:ascii="Arial" w:hAnsi="Arial" w:cs="Arial"/>
          <w:b/>
          <w:sz w:val="24"/>
          <w:szCs w:val="24"/>
          <w:lang w:val="es-ES"/>
        </w:rPr>
        <w:t>2.7. Análisis</w:t>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b/>
          <w:sz w:val="24"/>
          <w:szCs w:val="24"/>
          <w:lang w:val="es-ES"/>
        </w:rPr>
      </w:pPr>
      <w:r w:rsidRPr="00761681">
        <w:rPr>
          <w:rFonts w:ascii="Arial" w:hAnsi="Arial" w:cs="Arial"/>
          <w:b/>
          <w:sz w:val="24"/>
          <w:szCs w:val="24"/>
          <w:lang w:val="es-ES"/>
        </w:rPr>
        <w:t>2.7.1. El Requisito de Procedencia – La Subsidiariedad</w:t>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spacing w:line="360" w:lineRule="auto"/>
        <w:jc w:val="both"/>
        <w:rPr>
          <w:rFonts w:ascii="Arial" w:hAnsi="Arial" w:cs="Arial"/>
          <w:sz w:val="24"/>
          <w:szCs w:val="24"/>
        </w:rPr>
      </w:pPr>
      <w:bookmarkStart w:id="3" w:name="_Hlk26454506"/>
      <w:r w:rsidRPr="00761681">
        <w:rPr>
          <w:rFonts w:ascii="Arial" w:hAnsi="Arial" w:cs="Arial"/>
          <w:sz w:val="24"/>
          <w:szCs w:val="24"/>
        </w:rPr>
        <w:t xml:space="preserve">En relación con el requisito de </w:t>
      </w:r>
      <w:r w:rsidRPr="00761681">
        <w:rPr>
          <w:rFonts w:ascii="Arial" w:hAnsi="Arial" w:cs="Arial"/>
          <w:b/>
          <w:sz w:val="24"/>
          <w:szCs w:val="24"/>
        </w:rPr>
        <w:t>subsidiariedad</w:t>
      </w:r>
      <w:r w:rsidRPr="00761681">
        <w:rPr>
          <w:rFonts w:ascii="Arial" w:hAnsi="Arial" w:cs="Arial"/>
          <w:sz w:val="24"/>
          <w:szCs w:val="24"/>
        </w:rPr>
        <w:t>, el artículo 86 de la Constitución Política de Colombia concibe la acción de tutela como un medio de defensa subsidiario de derechos fundamentales, lo que impone el necesario agotamiento de los medios ordinarios de defensa judicial, salvo su</w:t>
      </w:r>
      <w:r w:rsidRPr="00761681">
        <w:rPr>
          <w:rFonts w:ascii="Arial" w:hAnsi="Arial" w:cs="Arial"/>
          <w:b/>
          <w:sz w:val="24"/>
          <w:szCs w:val="24"/>
        </w:rPr>
        <w:t xml:space="preserve"> </w:t>
      </w:r>
      <w:r w:rsidRPr="00761681">
        <w:rPr>
          <w:rFonts w:ascii="Arial" w:hAnsi="Arial" w:cs="Arial"/>
          <w:sz w:val="24"/>
          <w:szCs w:val="24"/>
        </w:rPr>
        <w:t>ejercicio como mecanismo transitorio para evitar la ocurrencia de un perjuicio irremediable, o cuando dicho mecanismo legal idóneo no ofrece la virtualidad de brindar la protección inmediata y eficaz que requiere o amerita el caso concreto.</w:t>
      </w:r>
    </w:p>
    <w:bookmarkEnd w:id="3"/>
    <w:p w:rsidR="00D61D00" w:rsidRPr="00761681" w:rsidRDefault="00D61D00" w:rsidP="008B403D">
      <w:pPr>
        <w:shd w:val="clear" w:color="auto" w:fill="FFFFFF"/>
        <w:spacing w:line="360" w:lineRule="auto"/>
        <w:jc w:val="both"/>
        <w:rPr>
          <w:rFonts w:ascii="Arial" w:hAnsi="Arial" w:cs="Arial"/>
          <w:sz w:val="24"/>
          <w:szCs w:val="24"/>
          <w:bdr w:val="none" w:sz="0" w:space="0" w:color="auto" w:frame="1"/>
          <w:lang w:eastAsia="es-CO"/>
        </w:rPr>
      </w:pPr>
    </w:p>
    <w:p w:rsidR="00D61D00" w:rsidRPr="00761681" w:rsidRDefault="00D61D00" w:rsidP="008B403D">
      <w:pPr>
        <w:shd w:val="clear" w:color="auto" w:fill="FFFFFF"/>
        <w:spacing w:line="360" w:lineRule="auto"/>
        <w:jc w:val="both"/>
        <w:rPr>
          <w:rFonts w:ascii="Arial" w:hAnsi="Arial" w:cs="Arial"/>
          <w:sz w:val="24"/>
          <w:szCs w:val="24"/>
          <w:bdr w:val="none" w:sz="0" w:space="0" w:color="auto" w:frame="1"/>
          <w:lang w:eastAsia="es-CO"/>
        </w:rPr>
      </w:pPr>
      <w:r w:rsidRPr="00761681">
        <w:rPr>
          <w:rFonts w:ascii="Arial" w:hAnsi="Arial" w:cs="Arial"/>
          <w:sz w:val="24"/>
          <w:szCs w:val="24"/>
          <w:bdr w:val="none" w:sz="0" w:space="0" w:color="auto" w:frame="1"/>
          <w:lang w:eastAsia="es-CO"/>
        </w:rPr>
        <w:t>Respecto del principio de subsidiariedad de la acción de tutela, la Corte Constitucional</w:t>
      </w:r>
      <w:r w:rsidRPr="00761681">
        <w:rPr>
          <w:rFonts w:ascii="Arial" w:hAnsi="Arial" w:cs="Arial"/>
          <w:i/>
          <w:sz w:val="24"/>
          <w:szCs w:val="24"/>
          <w:bdr w:val="none" w:sz="0" w:space="0" w:color="auto" w:frame="1"/>
          <w:vertAlign w:val="superscript"/>
          <w:lang w:eastAsia="es-CO"/>
        </w:rPr>
        <w:footnoteReference w:id="19"/>
      </w:r>
      <w:r w:rsidRPr="00761681">
        <w:rPr>
          <w:rFonts w:ascii="Arial" w:hAnsi="Arial" w:cs="Arial"/>
          <w:sz w:val="24"/>
          <w:szCs w:val="24"/>
          <w:bdr w:val="none" w:sz="0" w:space="0" w:color="auto" w:frame="1"/>
          <w:lang w:eastAsia="es-CO"/>
        </w:rPr>
        <w:t xml:space="preserve"> ha precisado:  </w:t>
      </w:r>
    </w:p>
    <w:p w:rsidR="00FE4484" w:rsidRPr="00761681" w:rsidRDefault="00FE4484" w:rsidP="008B403D">
      <w:pPr>
        <w:shd w:val="clear" w:color="auto" w:fill="FFFFFF"/>
        <w:spacing w:line="360" w:lineRule="auto"/>
        <w:jc w:val="both"/>
        <w:rPr>
          <w:rFonts w:ascii="Arial" w:hAnsi="Arial" w:cs="Arial"/>
          <w:sz w:val="24"/>
          <w:szCs w:val="24"/>
          <w:bdr w:val="none" w:sz="0" w:space="0" w:color="auto" w:frame="1"/>
          <w:lang w:eastAsia="es-CO"/>
        </w:rPr>
      </w:pP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rPr>
        <w:t>“…</w:t>
      </w:r>
      <w:r w:rsidRPr="00761681">
        <w:rPr>
          <w:rFonts w:ascii="Arial" w:hAnsi="Arial" w:cs="Arial"/>
          <w:i/>
          <w:sz w:val="24"/>
          <w:szCs w:val="24"/>
          <w:bdr w:val="none" w:sz="0" w:space="0" w:color="auto" w:frame="1"/>
          <w:lang w:eastAsia="es-CO"/>
        </w:rPr>
        <w:t xml:space="preserve">en el marco del principio de subsidiaridad, es dable afirmar que “la acción de tutela, en términos generales, </w:t>
      </w:r>
      <w:r w:rsidRPr="00761681">
        <w:rPr>
          <w:rFonts w:ascii="Arial" w:hAnsi="Arial" w:cs="Arial"/>
          <w:b/>
          <w:i/>
          <w:sz w:val="24"/>
          <w:szCs w:val="24"/>
          <w:u w:val="single"/>
          <w:bdr w:val="none" w:sz="0" w:space="0" w:color="auto" w:frame="1"/>
          <w:lang w:eastAsia="es-CO"/>
        </w:rPr>
        <w:t>no puede ser utilizada como un medio judicial alternativo, adicional o complementario de los establecidos por la ley para la defensa de los derechos</w:t>
      </w:r>
      <w:r w:rsidRPr="00761681">
        <w:rPr>
          <w:rFonts w:ascii="Arial" w:hAnsi="Arial" w:cs="Arial"/>
          <w:i/>
          <w:sz w:val="24"/>
          <w:szCs w:val="24"/>
          <w:bdr w:val="none" w:sz="0" w:space="0" w:color="auto" w:frame="1"/>
          <w:lang w:eastAsia="es-CO"/>
        </w:rPr>
        <w:t>, pues con ella no se busca remplazar los procesos ordinarios o especiales y, menos aún, desconocer los mecanismos impuestos (dentro) de estos procesos para controvertir las decisiones que se adopten”.</w:t>
      </w:r>
      <w:r w:rsidRPr="00761681">
        <w:rPr>
          <w:rStyle w:val="Refdenotaalpie"/>
          <w:rFonts w:ascii="Arial" w:hAnsi="Arial" w:cs="Arial"/>
          <w:i/>
          <w:sz w:val="24"/>
          <w:szCs w:val="24"/>
          <w:bdr w:val="none" w:sz="0" w:space="0" w:color="auto" w:frame="1"/>
          <w:lang w:eastAsia="es-CO"/>
        </w:rPr>
        <w:footnoteReference w:id="20"/>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bdr w:val="none" w:sz="0" w:space="0" w:color="auto" w:frame="1"/>
          <w:lang w:eastAsia="es-CO"/>
        </w:rPr>
        <w:t> </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bdr w:val="none" w:sz="0" w:space="0" w:color="auto" w:frame="1"/>
          <w:lang w:eastAsia="es-CO"/>
        </w:rPr>
        <w:t xml:space="preserve">Puntualmente, en cuanto a la acción de tutela adelantada contra actos administrativos, la posición sentada por este Tribunal ha reiterado que, en principio, resulta improcedente, dado que el legislador determinó, por medio de la regulación administrativa y contencioso administrativa, los mecanismos judiciales pertinentes para que los ciudadanos puedan comparecer al proceso ordinario respectivo y </w:t>
      </w:r>
      <w:r w:rsidRPr="00761681">
        <w:rPr>
          <w:rFonts w:ascii="Arial" w:hAnsi="Arial" w:cs="Arial"/>
          <w:i/>
          <w:sz w:val="24"/>
          <w:szCs w:val="24"/>
          <w:bdr w:val="none" w:sz="0" w:space="0" w:color="auto" w:frame="1"/>
          <w:lang w:eastAsia="es-CO"/>
        </w:rPr>
        <w:lastRenderedPageBreak/>
        <w:t>ejercer su derecho de defensa y contradicción, dentro de términos razonables. En la sentencia T-957 de 2011, la Corte Constitucional se pronunció en el siguiente sentido:</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bdr w:val="none" w:sz="0" w:space="0" w:color="auto" w:frame="1"/>
          <w:lang w:eastAsia="es-CO"/>
        </w:rPr>
        <w:t> </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iCs/>
          <w:sz w:val="24"/>
          <w:szCs w:val="24"/>
          <w:bdr w:val="none" w:sz="0" w:space="0" w:color="auto" w:frame="1"/>
          <w:lang w:eastAsia="es-CO"/>
        </w:rPr>
        <w:t>“(…) la competencia en estos asuntos ha sido asignada de manera exclusiva, por el ordenamiento jurídico, a la jurisdicción de lo contencioso administrativo, juez natural de este tipo de procedimientos, cuya estructura permite un amplio debate probatorio frente a las circunstancias que podrían implicar una actuación de la administración contraria al mandato de legalidad”.</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iCs/>
          <w:sz w:val="24"/>
          <w:szCs w:val="24"/>
          <w:bdr w:val="none" w:sz="0" w:space="0" w:color="auto" w:frame="1"/>
          <w:lang w:eastAsia="es-CO"/>
        </w:rPr>
        <w:t> </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bdr w:val="none" w:sz="0" w:space="0" w:color="auto" w:frame="1"/>
          <w:lang w:eastAsia="es-CO"/>
        </w:rPr>
        <w:t>Debe tenerse en cuenta que el legislador adelantó un trabajo exhaustivo para la expedición de la Ley 1437 de 2011, Código de Procedimiento Administrativo y Contencioso Administrativo, con el fin de ofrecer un sistema administrativo que responda de manera idónea y oportuna a los requerimientos de los ciudadanos, todo bajo la luz de la eficacia, la economía y la celeridad, entre otros principios.</w:t>
      </w:r>
    </w:p>
    <w:p w:rsidR="00D61D00" w:rsidRPr="00761681" w:rsidRDefault="00D61D00" w:rsidP="008B403D">
      <w:pPr>
        <w:shd w:val="clear" w:color="auto" w:fill="FFFFFF"/>
        <w:spacing w:line="360" w:lineRule="auto"/>
        <w:jc w:val="both"/>
        <w:rPr>
          <w:rFonts w:ascii="Arial" w:hAnsi="Arial" w:cs="Arial"/>
          <w:i/>
          <w:sz w:val="24"/>
          <w:szCs w:val="24"/>
          <w:lang w:eastAsia="es-CO"/>
        </w:rPr>
      </w:pPr>
      <w:r w:rsidRPr="00761681">
        <w:rPr>
          <w:rFonts w:ascii="Arial" w:hAnsi="Arial" w:cs="Arial"/>
          <w:i/>
          <w:sz w:val="24"/>
          <w:szCs w:val="24"/>
          <w:bdr w:val="none" w:sz="0" w:space="0" w:color="auto" w:frame="1"/>
          <w:lang w:eastAsia="es-CO"/>
        </w:rPr>
        <w:t> </w:t>
      </w:r>
    </w:p>
    <w:p w:rsidR="00D61D00" w:rsidRPr="00761681" w:rsidRDefault="00D61D00" w:rsidP="008B403D">
      <w:pPr>
        <w:shd w:val="clear" w:color="auto" w:fill="FFFFFF"/>
        <w:spacing w:line="360" w:lineRule="auto"/>
        <w:jc w:val="both"/>
        <w:rPr>
          <w:rFonts w:ascii="Arial" w:hAnsi="Arial" w:cs="Arial"/>
          <w:sz w:val="24"/>
          <w:szCs w:val="24"/>
          <w:lang w:eastAsia="es-CO"/>
        </w:rPr>
      </w:pPr>
      <w:r w:rsidRPr="00761681">
        <w:rPr>
          <w:rFonts w:ascii="Arial" w:hAnsi="Arial" w:cs="Arial"/>
          <w:i/>
          <w:sz w:val="24"/>
          <w:szCs w:val="24"/>
          <w:bdr w:val="none" w:sz="0" w:space="0" w:color="auto" w:frame="1"/>
          <w:lang w:eastAsia="es-CO"/>
        </w:rPr>
        <w:t>En atención a ello, los mecanismos ordinarios deben utilizarse de manera preferente, incluso cuando se pretenda la protección de un derecho fundamental”</w:t>
      </w:r>
      <w:r w:rsidRPr="00761681">
        <w:rPr>
          <w:rFonts w:ascii="Arial" w:hAnsi="Arial" w:cs="Arial"/>
          <w:sz w:val="24"/>
          <w:szCs w:val="24"/>
          <w:bdr w:val="none" w:sz="0" w:space="0" w:color="auto" w:frame="1"/>
          <w:lang w:eastAsia="es-CO"/>
        </w:rPr>
        <w:t>. </w:t>
      </w:r>
    </w:p>
    <w:p w:rsidR="00D61D00" w:rsidRPr="00761681" w:rsidRDefault="00D61D00" w:rsidP="008B403D">
      <w:pPr>
        <w:spacing w:line="360" w:lineRule="auto"/>
        <w:jc w:val="both"/>
        <w:rPr>
          <w:rFonts w:ascii="Arial" w:hAnsi="Arial" w:cs="Arial"/>
          <w:sz w:val="24"/>
          <w:szCs w:val="24"/>
        </w:rPr>
      </w:pPr>
    </w:p>
    <w:p w:rsidR="00D61D00" w:rsidRPr="00761681" w:rsidRDefault="00D61D00" w:rsidP="008B403D">
      <w:pPr>
        <w:spacing w:line="360" w:lineRule="auto"/>
        <w:jc w:val="both"/>
        <w:rPr>
          <w:rFonts w:ascii="Arial" w:hAnsi="Arial" w:cs="Arial"/>
          <w:sz w:val="24"/>
          <w:szCs w:val="24"/>
        </w:rPr>
      </w:pPr>
      <w:r w:rsidRPr="00761681">
        <w:rPr>
          <w:rFonts w:ascii="Arial" w:hAnsi="Arial" w:cs="Arial"/>
          <w:sz w:val="24"/>
          <w:szCs w:val="24"/>
        </w:rPr>
        <w:t>Esta Sección</w:t>
      </w:r>
      <w:r w:rsidRPr="00761681">
        <w:rPr>
          <w:rFonts w:ascii="Arial" w:hAnsi="Arial" w:cs="Arial"/>
          <w:sz w:val="24"/>
          <w:szCs w:val="24"/>
          <w:vertAlign w:val="superscript"/>
        </w:rPr>
        <w:footnoteReference w:id="21"/>
      </w:r>
      <w:r w:rsidRPr="00761681">
        <w:rPr>
          <w:rFonts w:ascii="Arial" w:hAnsi="Arial" w:cs="Arial"/>
          <w:sz w:val="24"/>
          <w:szCs w:val="24"/>
        </w:rPr>
        <w:t xml:space="preserve"> ha considerado que para determinar si el mecanismo legal idóneo, previsto originalmente para el estudio y solución del caso bajo estudio, es efectivo en el caso concreto deben alegarse y acreditarse las situaciones extraordinarias a partir de las cuales la acción de tutela sea la indicada para la salvaguarda idónea de los derechos fundamentales comprometidos.</w:t>
      </w:r>
    </w:p>
    <w:p w:rsidR="00D61D00" w:rsidRPr="00761681" w:rsidRDefault="00D61D00" w:rsidP="008B403D">
      <w:pPr>
        <w:spacing w:line="360" w:lineRule="auto"/>
        <w:jc w:val="both"/>
        <w:rPr>
          <w:rFonts w:ascii="Arial" w:hAnsi="Arial" w:cs="Arial"/>
          <w:sz w:val="24"/>
          <w:szCs w:val="24"/>
        </w:rPr>
      </w:pPr>
    </w:p>
    <w:p w:rsidR="00D61D00" w:rsidRPr="00761681" w:rsidRDefault="00D61D00" w:rsidP="008B403D">
      <w:pPr>
        <w:spacing w:line="360" w:lineRule="auto"/>
        <w:jc w:val="both"/>
        <w:rPr>
          <w:rFonts w:ascii="Arial" w:hAnsi="Arial" w:cs="Arial"/>
          <w:sz w:val="24"/>
          <w:szCs w:val="24"/>
        </w:rPr>
      </w:pPr>
      <w:r w:rsidRPr="00761681">
        <w:rPr>
          <w:rFonts w:ascii="Arial" w:hAnsi="Arial" w:cs="Arial"/>
          <w:sz w:val="24"/>
          <w:szCs w:val="24"/>
        </w:rPr>
        <w:t>Bajo estos lineamientos jurisprudenciales, y en relación con que la accionante haya agotado todos los mecanismos procesales disponibles, la Sala estima conveniente hacer las siguientes precisiones.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
          <w:sz w:val="24"/>
          <w:szCs w:val="24"/>
        </w:rPr>
      </w:pPr>
      <w:r w:rsidRPr="00761681">
        <w:rPr>
          <w:rFonts w:ascii="Arial" w:hAnsi="Arial" w:cs="Arial"/>
          <w:sz w:val="24"/>
          <w:szCs w:val="24"/>
        </w:rPr>
        <w:t xml:space="preserve">Dentro de la presente acción, los reproches aducidos por la accionante fueron delimitados por el juez de primera instancia de la siguiente manera: (i) la providencia del Tribunal Administrativo del Quindío es contradictoria (desconocedora del principio de congruencia) y ambigua, (ii) es vulneradora de los derechos de los directivos de la Universidad, (iii) la providencia sólo habría protegido el derecho de un tercero, respecto del cual se desconoce para qué quiere la información y (iv) </w:t>
      </w:r>
      <w:r w:rsidRPr="00761681">
        <w:rPr>
          <w:rFonts w:ascii="Arial" w:hAnsi="Arial" w:cs="Arial"/>
          <w:sz w:val="24"/>
          <w:szCs w:val="24"/>
        </w:rPr>
        <w:lastRenderedPageBreak/>
        <w:t xml:space="preserve">dentro del recurso de insistencia no se vinculó a los terceros interesados en la información; reproches que vulnerarían los derechos </w:t>
      </w:r>
      <w:r w:rsidRPr="00761681">
        <w:rPr>
          <w:rFonts w:ascii="Arial" w:hAnsi="Arial" w:cs="Arial"/>
          <w:b/>
          <w:sz w:val="24"/>
          <w:szCs w:val="24"/>
        </w:rPr>
        <w:t>“al debido proceso y la intimidad -Buen nombre- en conexidad con el derecho a la dignidad humana, la honra y el derecho a no auto incriminarse y el habeas data”.</w:t>
      </w:r>
    </w:p>
    <w:p w:rsidR="0011176D" w:rsidRPr="00761681" w:rsidRDefault="0011176D" w:rsidP="008B403D">
      <w:pPr>
        <w:widowControl w:val="0"/>
        <w:spacing w:line="360" w:lineRule="auto"/>
        <w:jc w:val="both"/>
        <w:rPr>
          <w:rFonts w:ascii="Arial" w:hAnsi="Arial" w:cs="Arial"/>
          <w:b/>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Determina el juez de primera instancia que, respecto de los dos primeros reproches, no se cumple el requisito de subsidiaridad para la procedencia de la acción de tutela debido a que los argumentos desarrollados por la accionante se orientan a determinar que el Tribunal Administrativo del Quindío, de forma incongruente, ordenó la expedición de las copias solicitadas por el abogado Arévalo Arévalo y, sin embargo, en la parte considerativa se consignó que los datos debían ser clasificados por la propia Universidad para determinar cuáles podían ser distinguidos como reservados de acuerdo con las normas correspondientes, lo que implica asumir responsabilidades de tipo patrimonial y disciplinario a la Universidad, por las posibles acciones impetradas por los titulares de la información.</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Por lo anterior, la Sección Quinta del Consejo de Estado consideró que era evidente que la accionante pudo haber planteado ante el Tribunal Administrativo del Quindío, las dudas surgidas como consecuencia de la decisión, por medio de la adición de la parte resolutiva; así, si la clasificación de la información por parte de la Universidad era un elemento oscuro que afectaba el cumplimiento de la decisión, era su obligación proponer, dentro del término de ejecutoria del fallo,  una de las figuras procesales previstas  en el 285</w:t>
      </w:r>
      <w:r w:rsidRPr="00761681">
        <w:rPr>
          <w:rStyle w:val="Refdenotaalpie"/>
          <w:rFonts w:ascii="Arial" w:hAnsi="Arial" w:cs="Arial"/>
          <w:sz w:val="24"/>
          <w:szCs w:val="24"/>
        </w:rPr>
        <w:footnoteReference w:id="22"/>
      </w:r>
      <w:r w:rsidRPr="00761681">
        <w:rPr>
          <w:rFonts w:ascii="Arial" w:hAnsi="Arial" w:cs="Arial"/>
          <w:sz w:val="24"/>
          <w:szCs w:val="24"/>
        </w:rPr>
        <w:t xml:space="preserve"> y 287</w:t>
      </w:r>
      <w:r w:rsidRPr="00761681">
        <w:rPr>
          <w:rStyle w:val="Refdenotaalpie"/>
          <w:rFonts w:ascii="Arial" w:hAnsi="Arial" w:cs="Arial"/>
          <w:sz w:val="24"/>
          <w:szCs w:val="24"/>
        </w:rPr>
        <w:footnoteReference w:id="23"/>
      </w:r>
      <w:r w:rsidRPr="00761681">
        <w:rPr>
          <w:rFonts w:ascii="Arial" w:hAnsi="Arial" w:cs="Arial"/>
          <w:sz w:val="24"/>
          <w:szCs w:val="24"/>
        </w:rPr>
        <w:t xml:space="preserve"> del Código General del Proceso, en consecuencia, por estos reproches, se incumple el requisito de subsidiariedad.</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En efecto, para esta Sala el uso de estas figuras procesales de aclaración o adición del fallo, podrían llegar a ser un medio idóneo para obtener el pronunciamiento del juez natural respecto de las dudas aquí planteadas por la accionante, así lo estableció ésta Sección en un caso en el que la adición de la sentencia del juez natural era el mecanismo idóneo obtener un pronunciamiento judicial</w:t>
      </w:r>
      <w:r w:rsidRPr="00761681">
        <w:rPr>
          <w:rStyle w:val="Refdenotaalpie"/>
          <w:rFonts w:ascii="Arial" w:hAnsi="Arial" w:cs="Arial"/>
          <w:sz w:val="24"/>
          <w:szCs w:val="24"/>
        </w:rPr>
        <w:footnoteReference w:id="24"/>
      </w:r>
      <w:r w:rsidRPr="00761681">
        <w:rPr>
          <w:rFonts w:ascii="Arial" w:hAnsi="Arial" w:cs="Arial"/>
          <w:sz w:val="24"/>
          <w:szCs w:val="24"/>
        </w:rPr>
        <w:t xml:space="preserve">: </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pStyle w:val="Textoindependiente2"/>
        <w:widowControl w:val="0"/>
        <w:spacing w:after="0" w:line="360" w:lineRule="auto"/>
        <w:jc w:val="both"/>
        <w:rPr>
          <w:rFonts w:ascii="Arial" w:hAnsi="Arial" w:cs="Arial"/>
          <w:i/>
          <w:sz w:val="24"/>
          <w:szCs w:val="24"/>
        </w:rPr>
      </w:pPr>
      <w:r w:rsidRPr="00761681">
        <w:rPr>
          <w:rFonts w:ascii="Arial" w:hAnsi="Arial" w:cs="Arial"/>
          <w:i/>
          <w:sz w:val="24"/>
          <w:szCs w:val="24"/>
        </w:rPr>
        <w:t>“La Sección Cuarta de esta Corporación, al interior de la acción de nulidad y restablecimiento del derecho, mediante auto de 18 de enero de 2013, ordenó correr traslado a las partes para que presentaran sus alegatos de conclusión, el cual fue descorrido por la demandante el 6 de febrero de 2013.</w:t>
      </w:r>
    </w:p>
    <w:p w:rsidR="0011176D" w:rsidRPr="00761681" w:rsidRDefault="0011176D" w:rsidP="008B403D">
      <w:pPr>
        <w:pStyle w:val="Textoindependiente2"/>
        <w:widowControl w:val="0"/>
        <w:spacing w:after="0" w:line="360" w:lineRule="auto"/>
        <w:jc w:val="both"/>
        <w:rPr>
          <w:rFonts w:ascii="Arial" w:hAnsi="Arial" w:cs="Arial"/>
          <w:i/>
          <w:sz w:val="24"/>
          <w:szCs w:val="24"/>
        </w:rPr>
      </w:pPr>
    </w:p>
    <w:p w:rsidR="00D61D00" w:rsidRPr="00761681" w:rsidRDefault="00D61D00" w:rsidP="008B403D">
      <w:pPr>
        <w:pStyle w:val="Textoindependiente2"/>
        <w:widowControl w:val="0"/>
        <w:spacing w:after="0" w:line="360" w:lineRule="auto"/>
        <w:jc w:val="both"/>
        <w:rPr>
          <w:rFonts w:ascii="Arial" w:hAnsi="Arial" w:cs="Arial"/>
          <w:i/>
          <w:sz w:val="24"/>
          <w:szCs w:val="24"/>
        </w:rPr>
      </w:pPr>
      <w:r w:rsidRPr="00761681">
        <w:rPr>
          <w:rFonts w:ascii="Arial" w:hAnsi="Arial" w:cs="Arial"/>
          <w:i/>
          <w:sz w:val="24"/>
          <w:szCs w:val="24"/>
        </w:rPr>
        <w:t xml:space="preserve">Comoquiera </w:t>
      </w:r>
      <w:proofErr w:type="gramStart"/>
      <w:r w:rsidRPr="00761681">
        <w:rPr>
          <w:rFonts w:ascii="Arial" w:hAnsi="Arial" w:cs="Arial"/>
          <w:i/>
          <w:sz w:val="24"/>
          <w:szCs w:val="24"/>
        </w:rPr>
        <w:t>que</w:t>
      </w:r>
      <w:proofErr w:type="gramEnd"/>
      <w:r w:rsidRPr="00761681">
        <w:rPr>
          <w:rFonts w:ascii="Arial" w:hAnsi="Arial" w:cs="Arial"/>
          <w:i/>
          <w:sz w:val="24"/>
          <w:szCs w:val="24"/>
        </w:rPr>
        <w:t xml:space="preserve"> a dicha fecha, la Ley 1607 de 2012, ya se encontraba vigente, la actora debió, en sus alegatos de conclusión, manifestarle al Juez de instancia sus pretensiones relacionadas con la aplicación de los artículos 121 y 197 de la disposición en comento; no obstante, guardó silencio. Dichas consideraciones solamente le fueron comunicadas a la Autoridad Judicial accionada mediante memoriales de 17 de abril de 2013, 14 de enero y 12 de agosto de 2014, esto es, cuando ya el expediente se encontraba al Despacho para proferir sentencia.</w:t>
      </w:r>
    </w:p>
    <w:p w:rsidR="0011176D" w:rsidRPr="00761681" w:rsidRDefault="0011176D" w:rsidP="008B403D">
      <w:pPr>
        <w:pStyle w:val="Textoindependiente2"/>
        <w:widowControl w:val="0"/>
        <w:spacing w:after="0" w:line="360" w:lineRule="auto"/>
        <w:jc w:val="both"/>
        <w:rPr>
          <w:rFonts w:ascii="Arial" w:hAnsi="Arial" w:cs="Arial"/>
          <w:i/>
          <w:sz w:val="24"/>
          <w:szCs w:val="24"/>
        </w:rPr>
      </w:pPr>
    </w:p>
    <w:p w:rsidR="00D61D00" w:rsidRPr="00761681" w:rsidRDefault="00D61D00" w:rsidP="008B403D">
      <w:pPr>
        <w:pStyle w:val="Textoindependiente2"/>
        <w:widowControl w:val="0"/>
        <w:spacing w:after="0" w:line="360" w:lineRule="auto"/>
        <w:jc w:val="both"/>
        <w:rPr>
          <w:rFonts w:ascii="Arial" w:hAnsi="Arial" w:cs="Arial"/>
          <w:i/>
          <w:sz w:val="24"/>
          <w:szCs w:val="24"/>
          <w:u w:val="single"/>
        </w:rPr>
      </w:pPr>
      <w:r w:rsidRPr="00761681">
        <w:rPr>
          <w:rFonts w:ascii="Arial" w:hAnsi="Arial" w:cs="Arial"/>
          <w:i/>
          <w:sz w:val="24"/>
          <w:szCs w:val="24"/>
          <w:u w:val="single"/>
        </w:rPr>
        <w:t xml:space="preserve">De igual forma, advierte la Sala </w:t>
      </w:r>
      <w:proofErr w:type="gramStart"/>
      <w:r w:rsidRPr="00761681">
        <w:rPr>
          <w:rFonts w:ascii="Arial" w:hAnsi="Arial" w:cs="Arial"/>
          <w:i/>
          <w:sz w:val="24"/>
          <w:szCs w:val="24"/>
          <w:u w:val="single"/>
        </w:rPr>
        <w:t>que</w:t>
      </w:r>
      <w:proofErr w:type="gramEnd"/>
      <w:r w:rsidRPr="00761681">
        <w:rPr>
          <w:rFonts w:ascii="Arial" w:hAnsi="Arial" w:cs="Arial"/>
          <w:i/>
          <w:sz w:val="24"/>
          <w:szCs w:val="24"/>
          <w:u w:val="single"/>
        </w:rPr>
        <w:t xml:space="preserve"> al no pronunciarse la Sección Cuarta del Consejo de Estado, en la sentencia que aquí se cuestiona, como en efecto sucedió, la actora estaba facultada para, en atención al artículo 311 del C. de P.C., solicitar la</w:t>
      </w:r>
      <w:r w:rsidRPr="00761681">
        <w:rPr>
          <w:rFonts w:ascii="Arial" w:hAnsi="Arial" w:cs="Arial"/>
          <w:i/>
          <w:sz w:val="24"/>
          <w:szCs w:val="24"/>
        </w:rPr>
        <w:t xml:space="preserve"> </w:t>
      </w:r>
      <w:r w:rsidRPr="00761681">
        <w:rPr>
          <w:rFonts w:ascii="Arial" w:hAnsi="Arial" w:cs="Arial"/>
          <w:i/>
          <w:sz w:val="24"/>
          <w:szCs w:val="24"/>
          <w:u w:val="single"/>
        </w:rPr>
        <w:t>adición de la sentencia. Sin embargo, la accionante no hizo uso de dicho mecanismo.</w:t>
      </w:r>
    </w:p>
    <w:p w:rsidR="0011176D" w:rsidRPr="00761681" w:rsidRDefault="0011176D" w:rsidP="008B403D">
      <w:pPr>
        <w:pStyle w:val="Textoindependiente2"/>
        <w:widowControl w:val="0"/>
        <w:spacing w:after="0" w:line="360" w:lineRule="auto"/>
        <w:jc w:val="both"/>
        <w:rPr>
          <w:rFonts w:ascii="Arial" w:hAnsi="Arial" w:cs="Arial"/>
          <w:i/>
          <w:sz w:val="24"/>
          <w:szCs w:val="24"/>
          <w:u w:val="single"/>
        </w:rPr>
      </w:pPr>
    </w:p>
    <w:p w:rsidR="00D61D00" w:rsidRPr="00761681" w:rsidRDefault="00D61D00" w:rsidP="008B403D">
      <w:pPr>
        <w:pStyle w:val="Textoindependiente2"/>
        <w:widowControl w:val="0"/>
        <w:spacing w:after="0" w:line="360" w:lineRule="auto"/>
        <w:jc w:val="both"/>
        <w:rPr>
          <w:rFonts w:ascii="Arial" w:hAnsi="Arial" w:cs="Arial"/>
          <w:sz w:val="24"/>
          <w:szCs w:val="24"/>
        </w:rPr>
      </w:pPr>
      <w:r w:rsidRPr="00761681">
        <w:rPr>
          <w:rFonts w:ascii="Arial" w:hAnsi="Arial" w:cs="Arial"/>
          <w:i/>
          <w:sz w:val="24"/>
          <w:szCs w:val="24"/>
          <w:u w:val="single"/>
        </w:rPr>
        <w:t xml:space="preserve">De lo anterior, le resulta claro a la Sala que la actora contaba con los mecanismos judiciales idóneos dispuestos al interior del proceso, con el fin de obtener un pronunciamiento por parte del Juez Natural respecto de las pretensiones que aquí ventila. Sin embargo, comoquiera que no hizo uso de los mismos, la acción de tutela no resulta procedente, pues ésta no fue creada para remediar la desidia o negligencia de las partes al interior del proceso judicial.” </w:t>
      </w:r>
      <w:r w:rsidRPr="00761681">
        <w:rPr>
          <w:rFonts w:ascii="Arial" w:hAnsi="Arial" w:cs="Arial"/>
          <w:sz w:val="24"/>
          <w:szCs w:val="24"/>
        </w:rPr>
        <w:t>(Subraya fuera de texto)</w:t>
      </w: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En el presente caso, la accionante textualmente indicó</w:t>
      </w:r>
      <w:r w:rsidRPr="00761681">
        <w:rPr>
          <w:rStyle w:val="Refdenotaalpie"/>
          <w:rFonts w:ascii="Arial" w:hAnsi="Arial" w:cs="Arial"/>
          <w:sz w:val="24"/>
          <w:szCs w:val="24"/>
        </w:rPr>
        <w:footnoteReference w:id="25"/>
      </w:r>
      <w:r w:rsidRPr="00761681">
        <w:rPr>
          <w:rFonts w:ascii="Arial" w:hAnsi="Arial" w:cs="Arial"/>
          <w:sz w:val="24"/>
          <w:szCs w:val="24"/>
        </w:rPr>
        <w:t xml:space="preserve">: </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kern w:val="1"/>
          <w:sz w:val="24"/>
          <w:szCs w:val="24"/>
          <w:lang w:val="es-ES"/>
        </w:rPr>
      </w:pPr>
      <w:r w:rsidRPr="00761681">
        <w:rPr>
          <w:rFonts w:ascii="Arial" w:hAnsi="Arial" w:cs="Arial"/>
          <w:i/>
          <w:spacing w:val="-6"/>
          <w:kern w:val="1"/>
          <w:sz w:val="24"/>
          <w:szCs w:val="24"/>
          <w:lang w:val="es-ES"/>
        </w:rPr>
        <w:lastRenderedPageBreak/>
        <w:t xml:space="preserve">De lo que se puede apreciar sin necesidad de profundizar </w:t>
      </w:r>
      <w:r w:rsidRPr="00761681">
        <w:rPr>
          <w:rFonts w:ascii="Arial" w:hAnsi="Arial" w:cs="Arial"/>
          <w:i/>
          <w:kern w:val="1"/>
          <w:sz w:val="24"/>
          <w:szCs w:val="24"/>
          <w:lang w:val="es-ES"/>
        </w:rPr>
        <w:t xml:space="preserve">en sendos razonamientos que la Honorable Sala de </w:t>
      </w:r>
      <w:r w:rsidRPr="00761681">
        <w:rPr>
          <w:rFonts w:ascii="Arial" w:hAnsi="Arial" w:cs="Arial"/>
          <w:i/>
          <w:spacing w:val="-1"/>
          <w:kern w:val="1"/>
          <w:sz w:val="24"/>
          <w:szCs w:val="24"/>
          <w:lang w:val="es-ES"/>
        </w:rPr>
        <w:t xml:space="preserve">Decisión, cuyo pronunciamiento de manera respetuosa se cuestiona, </w:t>
      </w:r>
      <w:r w:rsidRPr="00761681">
        <w:rPr>
          <w:rFonts w:ascii="Arial" w:hAnsi="Arial" w:cs="Arial"/>
          <w:b/>
          <w:i/>
          <w:spacing w:val="-1"/>
          <w:kern w:val="1"/>
          <w:sz w:val="24"/>
          <w:szCs w:val="24"/>
          <w:u w:val="single"/>
          <w:lang w:val="es-ES"/>
        </w:rPr>
        <w:t xml:space="preserve">es ambigua y contradictoria, no solo porque </w:t>
      </w:r>
      <w:r w:rsidRPr="00761681">
        <w:rPr>
          <w:rFonts w:ascii="Arial" w:hAnsi="Arial" w:cs="Arial"/>
          <w:b/>
          <w:i/>
          <w:kern w:val="1"/>
          <w:sz w:val="24"/>
          <w:szCs w:val="24"/>
          <w:u w:val="single"/>
          <w:lang w:val="es-ES"/>
        </w:rPr>
        <w:t xml:space="preserve">en la parte resolutiva de la providencia ordena la </w:t>
      </w:r>
      <w:r w:rsidRPr="00761681">
        <w:rPr>
          <w:rFonts w:ascii="Arial" w:hAnsi="Arial" w:cs="Arial"/>
          <w:b/>
          <w:i/>
          <w:spacing w:val="-4"/>
          <w:kern w:val="1"/>
          <w:sz w:val="24"/>
          <w:szCs w:val="24"/>
          <w:u w:val="single"/>
          <w:lang w:val="es-ES"/>
        </w:rPr>
        <w:t xml:space="preserve">entrega de unos documentos, que la Universidad tiene en </w:t>
      </w:r>
      <w:r w:rsidRPr="00761681">
        <w:rPr>
          <w:rFonts w:ascii="Arial" w:hAnsi="Arial" w:cs="Arial"/>
          <w:b/>
          <w:i/>
          <w:spacing w:val="-2"/>
          <w:kern w:val="1"/>
          <w:sz w:val="24"/>
          <w:szCs w:val="24"/>
          <w:u w:val="single"/>
          <w:lang w:val="es-ES"/>
        </w:rPr>
        <w:t>custodia</w:t>
      </w:r>
      <w:r w:rsidRPr="00761681">
        <w:rPr>
          <w:rFonts w:ascii="Arial" w:hAnsi="Arial" w:cs="Arial"/>
          <w:i/>
          <w:spacing w:val="-2"/>
          <w:kern w:val="1"/>
          <w:sz w:val="24"/>
          <w:szCs w:val="24"/>
          <w:lang w:val="es-ES"/>
        </w:rPr>
        <w:t xml:space="preserve"> y que si no ha accedido a su publicación es </w:t>
      </w:r>
      <w:r w:rsidRPr="00761681">
        <w:rPr>
          <w:rFonts w:ascii="Arial" w:hAnsi="Arial" w:cs="Arial"/>
          <w:i/>
          <w:kern w:val="1"/>
          <w:sz w:val="24"/>
          <w:szCs w:val="24"/>
          <w:lang w:val="es-ES"/>
        </w:rPr>
        <w:t xml:space="preserve">precisamente por salvaguardar derechos fundamentales como la honra, la dignidad, la intimidad y el decoro, </w:t>
      </w:r>
      <w:r w:rsidRPr="00761681">
        <w:rPr>
          <w:rFonts w:ascii="Arial" w:hAnsi="Arial" w:cs="Arial"/>
          <w:i/>
          <w:spacing w:val="-1"/>
          <w:kern w:val="1"/>
          <w:sz w:val="24"/>
          <w:szCs w:val="24"/>
          <w:lang w:val="es-ES"/>
        </w:rPr>
        <w:t xml:space="preserve">de terceras personas, lo que conlleva a la vulneración flagrante del </w:t>
      </w:r>
      <w:r w:rsidRPr="00761681">
        <w:rPr>
          <w:rFonts w:ascii="Arial" w:hAnsi="Arial" w:cs="Arial"/>
          <w:bCs/>
          <w:i/>
          <w:spacing w:val="-1"/>
          <w:kern w:val="1"/>
          <w:sz w:val="24"/>
          <w:szCs w:val="24"/>
          <w:lang w:val="es-ES"/>
        </w:rPr>
        <w:t>PRINCIPIO PROCESAL DE CONGRUENCIA DE LA SENTENCIA JUDICIAL</w:t>
      </w:r>
      <w:r w:rsidRPr="00761681">
        <w:rPr>
          <w:rFonts w:ascii="Arial" w:hAnsi="Arial" w:cs="Arial"/>
          <w:b/>
          <w:bCs/>
          <w:i/>
          <w:spacing w:val="-1"/>
          <w:kern w:val="1"/>
          <w:sz w:val="24"/>
          <w:szCs w:val="24"/>
          <w:lang w:val="es-ES"/>
        </w:rPr>
        <w:t xml:space="preserve">, </w:t>
      </w:r>
      <w:r w:rsidRPr="00761681">
        <w:rPr>
          <w:rFonts w:ascii="Arial" w:hAnsi="Arial" w:cs="Arial"/>
          <w:i/>
          <w:spacing w:val="-1"/>
          <w:kern w:val="1"/>
          <w:sz w:val="24"/>
          <w:szCs w:val="24"/>
          <w:lang w:val="es-ES"/>
        </w:rPr>
        <w:t xml:space="preserve">ya que </w:t>
      </w:r>
      <w:r w:rsidRPr="00761681">
        <w:rPr>
          <w:rFonts w:ascii="Arial" w:hAnsi="Arial" w:cs="Arial"/>
          <w:b/>
          <w:i/>
          <w:spacing w:val="-1"/>
          <w:kern w:val="1"/>
          <w:sz w:val="24"/>
          <w:szCs w:val="24"/>
          <w:u w:val="single"/>
          <w:lang w:val="es-ES"/>
        </w:rPr>
        <w:t xml:space="preserve">la parte considerativa no </w:t>
      </w:r>
      <w:r w:rsidRPr="00761681">
        <w:rPr>
          <w:rFonts w:ascii="Arial" w:hAnsi="Arial" w:cs="Arial"/>
          <w:b/>
          <w:i/>
          <w:kern w:val="1"/>
          <w:sz w:val="24"/>
          <w:szCs w:val="24"/>
          <w:u w:val="single"/>
          <w:lang w:val="es-ES"/>
        </w:rPr>
        <w:t xml:space="preserve">guarda relación estrecha con la parte resolutiva y además es inconclusa, pues queda abierta la responsabilidad del a Uniquindío para evaluar la </w:t>
      </w:r>
      <w:r w:rsidRPr="00761681">
        <w:rPr>
          <w:rFonts w:ascii="Arial" w:hAnsi="Arial" w:cs="Arial"/>
          <w:b/>
          <w:i/>
          <w:spacing w:val="-4"/>
          <w:kern w:val="1"/>
          <w:sz w:val="24"/>
          <w:szCs w:val="24"/>
          <w:u w:val="single"/>
          <w:lang w:val="es-ES"/>
        </w:rPr>
        <w:t xml:space="preserve">pertinencia en la entrega o reserva de documentación de </w:t>
      </w:r>
      <w:r w:rsidRPr="00761681">
        <w:rPr>
          <w:rFonts w:ascii="Arial" w:hAnsi="Arial" w:cs="Arial"/>
          <w:b/>
          <w:i/>
          <w:kern w:val="1"/>
          <w:sz w:val="24"/>
          <w:szCs w:val="24"/>
          <w:u w:val="single"/>
          <w:lang w:val="es-ES"/>
        </w:rPr>
        <w:t>terceras personas</w:t>
      </w:r>
      <w:r w:rsidRPr="00761681">
        <w:rPr>
          <w:rFonts w:ascii="Arial" w:hAnsi="Arial" w:cs="Arial"/>
          <w:i/>
          <w:kern w:val="1"/>
          <w:sz w:val="24"/>
          <w:szCs w:val="24"/>
          <w:lang w:val="es-ES"/>
        </w:rPr>
        <w:t>.</w:t>
      </w:r>
    </w:p>
    <w:p w:rsidR="00D61D00" w:rsidRPr="00761681" w:rsidRDefault="00D61D00" w:rsidP="008B403D">
      <w:pPr>
        <w:widowControl w:val="0"/>
        <w:spacing w:line="360" w:lineRule="auto"/>
        <w:jc w:val="both"/>
        <w:rPr>
          <w:rFonts w:ascii="Arial" w:hAnsi="Arial" w:cs="Arial"/>
          <w:i/>
          <w:kern w:val="1"/>
          <w:sz w:val="24"/>
          <w:szCs w:val="24"/>
          <w:lang w:val="es-ES"/>
        </w:rPr>
      </w:pPr>
      <w:r w:rsidRPr="00761681">
        <w:rPr>
          <w:rFonts w:ascii="Arial" w:hAnsi="Arial" w:cs="Arial"/>
          <w:i/>
          <w:kern w:val="1"/>
          <w:sz w:val="24"/>
          <w:szCs w:val="24"/>
          <w:lang w:val="es-ES"/>
        </w:rPr>
        <w:t>“…</w:t>
      </w:r>
    </w:p>
    <w:p w:rsidR="00D61D00" w:rsidRPr="00761681" w:rsidRDefault="00D61D00" w:rsidP="008B403D">
      <w:pPr>
        <w:widowControl w:val="0"/>
        <w:spacing w:line="360" w:lineRule="auto"/>
        <w:jc w:val="both"/>
        <w:rPr>
          <w:rFonts w:ascii="Arial" w:hAnsi="Arial" w:cs="Arial"/>
          <w:i/>
          <w:kern w:val="1"/>
          <w:sz w:val="24"/>
          <w:szCs w:val="24"/>
          <w:lang w:val="es-ES"/>
        </w:rPr>
      </w:pPr>
      <w:r w:rsidRPr="00761681">
        <w:rPr>
          <w:rFonts w:ascii="Arial" w:hAnsi="Arial" w:cs="Arial"/>
          <w:i/>
          <w:kern w:val="1"/>
          <w:sz w:val="24"/>
          <w:szCs w:val="24"/>
          <w:lang w:val="es-ES"/>
        </w:rPr>
        <w:t xml:space="preserve">“Es claro que la Sala Primera de Decisión Administrativa del Quindío, al proferir la plurirnencionada sentencia, </w:t>
      </w:r>
      <w:r w:rsidRPr="00761681">
        <w:rPr>
          <w:rFonts w:ascii="Arial" w:hAnsi="Arial" w:cs="Arial"/>
          <w:b/>
          <w:i/>
          <w:kern w:val="1"/>
          <w:sz w:val="24"/>
          <w:szCs w:val="24"/>
          <w:u w:val="single"/>
          <w:lang w:val="es-ES"/>
        </w:rPr>
        <w:t>salvo su responsabilidad de precisar que documentos debían ser entregados al tercero indeterminado Sabel Reineiro Arévalo, pese a que en su parte resolutiva condenó a la entrega completa de la documentación, situación que como se expuso riñe con la parte considerativa, dejando tal responsabilidad a la universidad del Quindío de evaluar y seleccionar que documentos deben ser entregados</w:t>
      </w:r>
      <w:r w:rsidRPr="00761681">
        <w:rPr>
          <w:rFonts w:ascii="Arial" w:hAnsi="Arial" w:cs="Arial"/>
          <w:i/>
          <w:kern w:val="1"/>
          <w:sz w:val="24"/>
          <w:szCs w:val="24"/>
          <w:lang w:val="es-ES"/>
        </w:rPr>
        <w:t xml:space="preserve"> al citado Abogado Arévalo, dejando así una brecha para que el personal administrativo y contratistas (Activos e inactivo) puedan en un momento entrar a ejercer acciones legales contra la Institución por haber entregado documentos sin autorización, dejando de manera acomodada al arbitrio y riesgo de Uniquindío tal selección; proceder este peligroso, que expone en un momento determinado al personal que se verá afectado, a posibles situaciones de riesgo y seguridad, por cuanto ese material documental contiene obviamente direcciones, teléfonos, certificaciones de ingresos y valores de contratación, lo que permite a personas inescrupulosas en un momento …(…)”</w:t>
      </w:r>
    </w:p>
    <w:p w:rsidR="0011176D" w:rsidRPr="00761681" w:rsidRDefault="0011176D"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Esta Corporación</w:t>
      </w:r>
      <w:r w:rsidRPr="00761681">
        <w:rPr>
          <w:rStyle w:val="Refdenotaalpie"/>
          <w:rFonts w:ascii="Arial" w:hAnsi="Arial" w:cs="Arial"/>
          <w:sz w:val="24"/>
          <w:szCs w:val="24"/>
        </w:rPr>
        <w:footnoteReference w:id="26"/>
      </w:r>
      <w:r w:rsidRPr="00761681">
        <w:rPr>
          <w:rFonts w:ascii="Arial" w:hAnsi="Arial" w:cs="Arial"/>
          <w:sz w:val="24"/>
          <w:szCs w:val="24"/>
        </w:rPr>
        <w:t xml:space="preserve"> ha explicado el alcance de la figura de la aclaración de los pronunciamientos judiciales así: </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spacing w:line="360" w:lineRule="auto"/>
        <w:jc w:val="both"/>
        <w:rPr>
          <w:rFonts w:ascii="Arial" w:hAnsi="Arial" w:cs="Arial"/>
          <w:i/>
          <w:sz w:val="24"/>
          <w:szCs w:val="24"/>
        </w:rPr>
      </w:pPr>
      <w:r w:rsidRPr="00761681">
        <w:rPr>
          <w:rFonts w:ascii="Arial" w:hAnsi="Arial" w:cs="Arial"/>
          <w:i/>
          <w:sz w:val="24"/>
          <w:szCs w:val="24"/>
        </w:rPr>
        <w:t xml:space="preserve">“…En relación con los aludidos mecanismos y, concretamente, en lo atinente a la aclaración de pronunciamientos judiciales definitivos, ha sostenido la doctrina que tal posibilidad es, “… en sí misma un derecho otorgado a las partes o a terceros </w:t>
      </w:r>
      <w:r w:rsidRPr="00761681">
        <w:rPr>
          <w:rFonts w:ascii="Arial" w:hAnsi="Arial" w:cs="Arial"/>
          <w:i/>
          <w:sz w:val="24"/>
          <w:szCs w:val="24"/>
        </w:rPr>
        <w:lastRenderedPageBreak/>
        <w:t xml:space="preserve">reconocidos en el proceso (…). Para que pueda aclararse una sentencia es menester que la parte resolutiva de ella se encuentren conceptos que se presten a interpretaciones diversas o que generen incertidumbre, o que esos conceptos estén en la parte motiva pero tengan directa relación con lo establecido en la resolutiva”. </w:t>
      </w:r>
    </w:p>
    <w:p w:rsidR="00D61D00" w:rsidRPr="00761681" w:rsidRDefault="00D61D00" w:rsidP="008B403D">
      <w:pPr>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Pues bien, esta Sala concluye que la accionante hubiera podido acudir a una petición de aclaración de la providencia proferida por el Tribunal Administrativo del Quindío, al considerar que la parte motiva no guardaba coherencia con la parte resolutiva, en relación con la orden de entregar los documentos solicitados. </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rPr>
        <w:t xml:space="preserve">Este razonamiento es confirmado por la propia accionada en el escrito de impugnación al fallo de tutela cuando solicita: </w:t>
      </w:r>
      <w:r w:rsidRPr="00761681">
        <w:rPr>
          <w:rFonts w:ascii="Arial" w:hAnsi="Arial" w:cs="Arial"/>
          <w:i/>
          <w:sz w:val="24"/>
          <w:szCs w:val="24"/>
        </w:rPr>
        <w:t>“</w:t>
      </w:r>
      <w:r w:rsidRPr="00761681">
        <w:rPr>
          <w:rFonts w:ascii="Arial" w:hAnsi="Arial" w:cs="Arial"/>
          <w:i/>
          <w:sz w:val="24"/>
          <w:szCs w:val="24"/>
          <w:lang w:val="es-ES"/>
        </w:rPr>
        <w:t>sírvase indicar de manera clara, objetiva y concisa, que documentación debe entregar esta institución al petente, para efectos de salvar responsabilidad del alma mater,”</w:t>
      </w:r>
      <w:r w:rsidRPr="00761681">
        <w:rPr>
          <w:rFonts w:ascii="Arial" w:hAnsi="Arial" w:cs="Arial"/>
          <w:sz w:val="24"/>
          <w:szCs w:val="24"/>
          <w:lang w:val="es-ES"/>
        </w:rPr>
        <w:t xml:space="preserve"> aclaración que definitivamente debió ser solicitada dentro del término de ejecutoria del fallo proferido por el Tribunal Administrativo del Quindío.</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Por lo anterior, estando de acuerdo con análisis realizado por la Sección Quinta del Consejo de Estado respecto de los dos primeros reproches endilgados por la accionante, se concluye que no se encuentra acreditado el requisito de subsidiariedad, por cuanto la Universidad del Quindío tenía un medio judicial de defensa alternativo que le permitía lograr el pronunciamiento del juez natural.</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Respecto de los demás reparos aducidos por el actor, esta Sala al igual que la Sección Quinta encuentra que cumplen con el requisito de subsidiariedad, por cuanto los argumentos de la accionante cuestionan de fondo las decisiones adoptadas por el juez natural, y, dado que se está frente a un recurso de única instancia, se cumple con tal requisito.</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
          <w:sz w:val="24"/>
          <w:szCs w:val="24"/>
        </w:rPr>
      </w:pPr>
      <w:r w:rsidRPr="00761681">
        <w:rPr>
          <w:rFonts w:ascii="Arial" w:hAnsi="Arial" w:cs="Arial"/>
          <w:b/>
          <w:sz w:val="24"/>
          <w:szCs w:val="24"/>
          <w:lang w:val="es-ES"/>
        </w:rPr>
        <w:t xml:space="preserve">2.7.2. </w:t>
      </w:r>
      <w:r w:rsidRPr="00761681">
        <w:rPr>
          <w:rFonts w:ascii="Arial" w:hAnsi="Arial" w:cs="Arial"/>
          <w:b/>
          <w:sz w:val="24"/>
          <w:szCs w:val="24"/>
          <w:lang w:val="es-ES"/>
        </w:rPr>
        <w:tab/>
        <w:t xml:space="preserve">Violación </w:t>
      </w:r>
      <w:r w:rsidRPr="00761681">
        <w:rPr>
          <w:rFonts w:ascii="Arial" w:hAnsi="Arial" w:cs="Arial"/>
          <w:b/>
          <w:sz w:val="24"/>
          <w:szCs w:val="24"/>
        </w:rPr>
        <w:t>al debido proceso y la intimidad -Buen nombre- en conexidad con el derecho a la dignidad humana, la honra y el derecho a no auto incriminarse y al habeas data</w:t>
      </w:r>
    </w:p>
    <w:p w:rsidR="00D61D00" w:rsidRPr="00761681" w:rsidRDefault="00D61D00" w:rsidP="008B403D">
      <w:pPr>
        <w:widowControl w:val="0"/>
        <w:spacing w:line="360" w:lineRule="auto"/>
        <w:jc w:val="both"/>
        <w:rPr>
          <w:rFonts w:ascii="Arial" w:hAnsi="Arial" w:cs="Arial"/>
          <w:b/>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La accionante indica en su escrito de impugnación, que la providencia proferida por el Tribunal Administrativo del Quindío y ahora el fallo de tutela de primera instancia, violan los derechos al debido proceso, a la intimidad, a la dignidad humana, a la honra, a no auto incriminarse y al habeas data de las personas a quienes pertenece </w:t>
      </w:r>
      <w:r w:rsidRPr="00761681">
        <w:rPr>
          <w:rFonts w:ascii="Arial" w:hAnsi="Arial" w:cs="Arial"/>
          <w:sz w:val="24"/>
          <w:szCs w:val="24"/>
        </w:rPr>
        <w:lastRenderedPageBreak/>
        <w:t>la información, básicamente por dar prioridad a un derecho particular, según la accionante, de mala fe, sobre los derechos constitucionales de los empleados y contratistas (activos e inactivos) de la Universidad que</w:t>
      </w:r>
      <w:r w:rsidR="00EF46E8" w:rsidRPr="00761681">
        <w:rPr>
          <w:rFonts w:ascii="Arial" w:hAnsi="Arial" w:cs="Arial"/>
          <w:sz w:val="24"/>
          <w:szCs w:val="24"/>
        </w:rPr>
        <w:t xml:space="preserve"> se oponen a que su información</w:t>
      </w:r>
      <w:r w:rsidRPr="00761681">
        <w:rPr>
          <w:rFonts w:ascii="Arial" w:hAnsi="Arial" w:cs="Arial"/>
          <w:sz w:val="24"/>
          <w:szCs w:val="24"/>
        </w:rPr>
        <w:t xml:space="preserve"> personal, privada y delicada sea entregada a una persona de la cual no conocen nada, exponiéndolos a un riesgo inminente.</w:t>
      </w:r>
    </w:p>
    <w:p w:rsidR="00D61D00" w:rsidRPr="00761681" w:rsidRDefault="00D61D00" w:rsidP="008B403D">
      <w:pPr>
        <w:widowControl w:val="0"/>
        <w:spacing w:line="360" w:lineRule="auto"/>
        <w:jc w:val="both"/>
        <w:rPr>
          <w:rFonts w:ascii="Arial" w:hAnsi="Arial" w:cs="Arial"/>
          <w:b/>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El respecto, la Sección Quinta del Consejo de Estado estableció que la accionante no concreta en qué tipo de defecto habría incurrido la providencia judicial demandada, por lo que asume que se plantea un defecto procedimental absoluto, y que este defecto “[…] </w:t>
      </w:r>
      <w:r w:rsidRPr="00761681">
        <w:rPr>
          <w:rFonts w:ascii="Arial" w:hAnsi="Arial" w:cs="Arial"/>
          <w:i/>
          <w:iCs/>
          <w:sz w:val="24"/>
          <w:szCs w:val="24"/>
        </w:rPr>
        <w:t>encuentra sustento en los artículos 29 y 228 de la Constitución, que se refieren a los derechos al debido proceso, al acceso a la administración de justicia y al principio de prevalencia del derecho sustancial sobre el procesal. Este defecto se presenta cuando se desconocen las formas propias de cada juicio".</w:t>
      </w:r>
      <w:r w:rsidRPr="00761681">
        <w:rPr>
          <w:rStyle w:val="Refdenotaalpie"/>
          <w:rFonts w:ascii="Arial" w:hAnsi="Arial" w:cs="Arial"/>
          <w:i/>
          <w:iCs/>
          <w:sz w:val="24"/>
          <w:szCs w:val="24"/>
        </w:rPr>
        <w:footnoteReference w:id="27"/>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Para la Sala, el defecto que realmente adujo la accionante en el asunto analizado es un defecto sustantivo el cual se configura en diferentes sentidos según la Corte Constitucional</w:t>
      </w:r>
      <w:r w:rsidRPr="00761681">
        <w:rPr>
          <w:rStyle w:val="Refdenotaalpie"/>
          <w:rFonts w:ascii="Arial" w:hAnsi="Arial" w:cs="Arial"/>
          <w:sz w:val="24"/>
          <w:szCs w:val="24"/>
        </w:rPr>
        <w:footnoteReference w:id="28"/>
      </w:r>
      <w:r w:rsidRPr="00761681">
        <w:rPr>
          <w:rFonts w:ascii="Arial" w:hAnsi="Arial" w:cs="Arial"/>
          <w:sz w:val="24"/>
          <w:szCs w:val="24"/>
        </w:rPr>
        <w:t xml:space="preserve">, así: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iCs/>
          <w:sz w:val="24"/>
          <w:szCs w:val="24"/>
          <w:bdr w:val="none" w:sz="0" w:space="0" w:color="auto" w:frame="1"/>
        </w:rPr>
      </w:pPr>
      <w:r w:rsidRPr="00761681">
        <w:rPr>
          <w:rFonts w:ascii="Arial" w:hAnsi="Arial" w:cs="Arial"/>
          <w:i/>
          <w:iCs/>
          <w:sz w:val="24"/>
          <w:szCs w:val="24"/>
          <w:bdr w:val="none" w:sz="0" w:space="0" w:color="auto" w:frame="1"/>
        </w:rPr>
        <w:t>“…</w:t>
      </w: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i/>
          <w:iCs/>
          <w:sz w:val="24"/>
          <w:szCs w:val="24"/>
          <w:bdr w:val="none" w:sz="0" w:space="0" w:color="auto" w:frame="1"/>
        </w:rPr>
        <w:t xml:space="preserve">“Como ha sido perfilado por la jurisprudencia constitucional, se podría configurar un defecto sustantivo siempre que: (i) la decisión cuestionada se funda en una norma indiscutiblemente inaplicable al caso concreto, por ejemplo, ora porque la norma empleada no se ajusta al caso, no se encuentra vigente por haber sido derogada, o ha sido declarada inconstitucional; (ii) a pesar del amplio margen interpretativo que la Constitución le reconoce a las autoridades judiciales, la interpretación o aplicación que se hace de la norma en el caso concreto, desconoce sentencias con efectos erga omnes que han definido su alcance; </w:t>
      </w:r>
      <w:r w:rsidRPr="00761681">
        <w:rPr>
          <w:rFonts w:ascii="Arial" w:hAnsi="Arial" w:cs="Arial"/>
          <w:b/>
          <w:i/>
          <w:iCs/>
          <w:sz w:val="24"/>
          <w:szCs w:val="24"/>
          <w:bdr w:val="none" w:sz="0" w:space="0" w:color="auto" w:frame="1"/>
        </w:rPr>
        <w:t>(iii) cuando se fija el alcance de una norma desatendiendo otras disposiciones aplicables al caso y que son necesarias para efectuar una interpretación sistemática;</w:t>
      </w:r>
      <w:r w:rsidRPr="00761681">
        <w:rPr>
          <w:rFonts w:ascii="Arial" w:hAnsi="Arial" w:cs="Arial"/>
          <w:i/>
          <w:iCs/>
          <w:sz w:val="24"/>
          <w:szCs w:val="24"/>
          <w:bdr w:val="none" w:sz="0" w:space="0" w:color="auto" w:frame="1"/>
        </w:rPr>
        <w:t xml:space="preserve"> (iv) cuando la norma pertinente es inobservada y, por ende, inaplicada; o finalmente, (v) en el evento en que, no obstante la norma en cuestión está vigente y es constitucional, no se adecúa a la situación fáctica a la cual se aplicó, porque a ésta, por ejemplo, se le reconocen efectos distintos a los expresamente señalados por el legislador”.”(…)”. (negrilla fuera de texto)</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Así, de conformidad con lo indicado por la accionante el defecto en el que incurriría el Tribunal Administrativo de Antioquia sería el defecto sustantivo, al fijar el alcance de las normas sobre la reserva de la información y la información de público conocimiento, sin tener en cuenta el principio constitucional que indica que el interés particular sede ante el interés general.</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De la lectura de la providencia impugnada con la presente acción de tutela, puede establecerse que los Magistrados de la Sala Primera de Decisión Oral del Tribunal Administrativo del Quindío, realizaron un juicio o test de ponderación respecto del caso concreto teniendo en cuenta el derecho de petición frente a la reserva de información, el derecho a la intimidad y el carácter de reservado de los documentos incluidos en las hojas de vida e historias laborales.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Igualmente, el Tribunal analizó la normatividad aplicable al caso concreto como es la Ley 1755 de 2015 “</w:t>
      </w:r>
      <w:r w:rsidRPr="00761681">
        <w:rPr>
          <w:rFonts w:ascii="Arial" w:hAnsi="Arial" w:cs="Arial"/>
          <w:i/>
          <w:sz w:val="24"/>
          <w:szCs w:val="24"/>
        </w:rPr>
        <w:t>Por la cual se regula el derecho fundamental de Petición y se sustituye un título del Código de Procedimiento Administrativo y Contencioso Administrativo”</w:t>
      </w:r>
      <w:r w:rsidRPr="00761681">
        <w:rPr>
          <w:rFonts w:ascii="Arial" w:hAnsi="Arial" w:cs="Arial"/>
          <w:sz w:val="24"/>
          <w:szCs w:val="24"/>
        </w:rPr>
        <w:t xml:space="preserve">, enunciando las informaciones y documentos que la mencionada ley en su artículo 24 les da el carácter de reservado, específicamente </w:t>
      </w:r>
      <w:r w:rsidRPr="00761681">
        <w:rPr>
          <w:rFonts w:ascii="Arial" w:hAnsi="Arial" w:cs="Arial"/>
          <w:b/>
          <w:i/>
          <w:sz w:val="24"/>
          <w:szCs w:val="24"/>
        </w:rPr>
        <w:t>“Los que involucren derechos a la privacidad e intimidad de las personas incluidas en las hojas de vida”;</w:t>
      </w:r>
      <w:r w:rsidRPr="00761681">
        <w:rPr>
          <w:rFonts w:ascii="Arial" w:hAnsi="Arial" w:cs="Arial"/>
          <w:sz w:val="24"/>
          <w:szCs w:val="24"/>
        </w:rPr>
        <w:t xml:space="preserve"> de la misma manera examinó el articulado de la Ley 1712 de 2014 “</w:t>
      </w:r>
      <w:r w:rsidRPr="00761681">
        <w:rPr>
          <w:rFonts w:ascii="Arial" w:hAnsi="Arial" w:cs="Arial"/>
          <w:i/>
          <w:sz w:val="24"/>
          <w:szCs w:val="24"/>
        </w:rPr>
        <w:t>por medio de la cuales se crea la Ley de transparencia y  del Derecho de Acceso a la Información Pública y se dictan otras disposiciones”</w:t>
      </w:r>
      <w:r w:rsidRPr="00761681">
        <w:rPr>
          <w:rFonts w:ascii="Arial" w:hAnsi="Arial" w:cs="Arial"/>
          <w:sz w:val="24"/>
          <w:szCs w:val="24"/>
        </w:rPr>
        <w:t xml:space="preserve">, especialmente el artículo 9º que consagra la información mínima obligatoria respecto a la estructura del sujeto obligado resaltando los siguientes literales: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sz w:val="24"/>
          <w:szCs w:val="24"/>
        </w:rPr>
      </w:pPr>
      <w:bookmarkStart w:id="4" w:name="9"/>
      <w:r w:rsidRPr="00761681">
        <w:rPr>
          <w:rFonts w:ascii="Arial" w:hAnsi="Arial" w:cs="Arial"/>
          <w:b/>
          <w:bCs/>
          <w:i/>
          <w:sz w:val="24"/>
          <w:szCs w:val="24"/>
        </w:rPr>
        <w:t>ARTÍCULO 9o. INFORMACIÓN MÍNIMA OBLIGATORIA RESPECTO A LA ESTRUCTURA DEL SUJETO OBLIGADO.</w:t>
      </w:r>
      <w:bookmarkEnd w:id="4"/>
      <w:r w:rsidRPr="00761681">
        <w:rPr>
          <w:rFonts w:ascii="Arial" w:hAnsi="Arial" w:cs="Arial"/>
          <w:i/>
          <w:sz w:val="24"/>
          <w:szCs w:val="24"/>
        </w:rPr>
        <w:t> Todo sujeto obligado deberá publicar la siguiente información mínima obligatoria de manera proactiva en los sistemas de información del Estado o herramientas que lo sustituyan:</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 xml:space="preserve">c) Un directorio que incluya el cargo, direcciones de correo electrónico y teléfono del despacho de los empleados y funcionarios </w:t>
      </w:r>
      <w:r w:rsidRPr="00761681">
        <w:rPr>
          <w:rFonts w:ascii="Arial" w:hAnsi="Arial" w:cs="Arial"/>
          <w:i/>
          <w:sz w:val="24"/>
          <w:szCs w:val="24"/>
          <w:u w:val="single"/>
        </w:rPr>
        <w:t>y las escalas salariales correspondientes a las categorías de todos los servidores que trabajan en el sujeto obligado, de conformidad con el formato de información de servidores públicos y contratistas;</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w:t>
      </w:r>
    </w:p>
    <w:p w:rsidR="00D61D00" w:rsidRPr="00761681" w:rsidRDefault="00D61D00" w:rsidP="008B403D">
      <w:pPr>
        <w:widowControl w:val="0"/>
        <w:spacing w:line="360" w:lineRule="auto"/>
        <w:jc w:val="both"/>
        <w:rPr>
          <w:rFonts w:ascii="Arial" w:hAnsi="Arial" w:cs="Arial"/>
          <w:i/>
          <w:sz w:val="24"/>
          <w:szCs w:val="24"/>
          <w:u w:val="single"/>
        </w:rPr>
      </w:pPr>
      <w:r w:rsidRPr="00761681">
        <w:rPr>
          <w:rFonts w:ascii="Arial" w:hAnsi="Arial" w:cs="Arial"/>
          <w:i/>
          <w:sz w:val="24"/>
          <w:szCs w:val="24"/>
        </w:rPr>
        <w:lastRenderedPageBreak/>
        <w:t xml:space="preserve">e) Su respectivo plan de compras anual, </w:t>
      </w:r>
      <w:r w:rsidRPr="00761681">
        <w:rPr>
          <w:rFonts w:ascii="Arial" w:hAnsi="Arial" w:cs="Arial"/>
          <w:i/>
          <w:sz w:val="24"/>
          <w:szCs w:val="24"/>
          <w:u w:val="single"/>
        </w:rPr>
        <w:t>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w:t>
      </w:r>
      <w:hyperlink r:id="rId10" w:anchor="74" w:history="1">
        <w:r w:rsidRPr="00761681">
          <w:rPr>
            <w:rStyle w:val="Hipervnculo"/>
            <w:rFonts w:ascii="Arial" w:hAnsi="Arial" w:cs="Arial"/>
            <w:i/>
            <w:color w:val="auto"/>
            <w:sz w:val="24"/>
            <w:szCs w:val="24"/>
            <w:u w:val="single"/>
          </w:rPr>
          <w:t>74</w:t>
        </w:r>
      </w:hyperlink>
      <w:r w:rsidRPr="00761681">
        <w:rPr>
          <w:rFonts w:ascii="Arial" w:hAnsi="Arial" w:cs="Arial"/>
          <w:i/>
          <w:sz w:val="24"/>
          <w:szCs w:val="24"/>
          <w:u w:val="single"/>
        </w:rPr>
        <w:t>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p>
    <w:p w:rsidR="00D61D00" w:rsidRPr="00761681" w:rsidRDefault="00D61D00"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i/>
          <w:sz w:val="24"/>
          <w:szCs w:val="24"/>
          <w:u w:val="single"/>
        </w:rPr>
        <w:t>f) Los plazos de cumplimiento de los contratos;”</w:t>
      </w:r>
      <w:r w:rsidRPr="00761681">
        <w:rPr>
          <w:rFonts w:ascii="Arial" w:hAnsi="Arial" w:cs="Arial"/>
          <w:sz w:val="24"/>
          <w:szCs w:val="24"/>
        </w:rPr>
        <w:t xml:space="preserve"> (Destaca la Sala)</w:t>
      </w:r>
    </w:p>
    <w:p w:rsidR="00D61D00" w:rsidRPr="00761681" w:rsidRDefault="00D61D00"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iCs/>
          <w:sz w:val="24"/>
          <w:szCs w:val="24"/>
        </w:rPr>
      </w:pPr>
      <w:r w:rsidRPr="00761681">
        <w:rPr>
          <w:rFonts w:ascii="Arial" w:hAnsi="Arial" w:cs="Arial"/>
          <w:sz w:val="24"/>
          <w:szCs w:val="24"/>
        </w:rPr>
        <w:t xml:space="preserve">Luego de realizar un análisis jurisprudencial de la limitación al derecho de acceso a documentos públicos, al derecho a la intimidad como limitante del derecho a la información, y el carácter de reservado de los documentos incluidos en una hoja de vida, el Tribunal llega a la conclusión de que “[…] </w:t>
      </w:r>
      <w:r w:rsidRPr="00761681">
        <w:rPr>
          <w:rFonts w:ascii="Arial" w:hAnsi="Arial" w:cs="Arial"/>
          <w:i/>
          <w:sz w:val="24"/>
          <w:szCs w:val="24"/>
        </w:rPr>
        <w:t xml:space="preserve">los </w:t>
      </w:r>
      <w:r w:rsidRPr="00761681">
        <w:rPr>
          <w:rFonts w:ascii="Arial" w:hAnsi="Arial" w:cs="Arial"/>
          <w:i/>
          <w:iCs/>
          <w:sz w:val="24"/>
          <w:szCs w:val="24"/>
        </w:rPr>
        <w:t>datos contenidos en el historia laboral corresponden a los que se denominan “información reservada” y ello significa que, en principio, la administración no puede ponerlos en circulación sin previa autorización del datahabiente,[…]Sin embargo, no toda la información que hace parte de dicha historia laboral tiene ese carácter, porque su contenido no es de aquellos a los cuales se pueda calificar de datos sensibles por lo que su revelación o conocimiento no vulnera la honra, la privacidad o el derecho a la intimidad de las personas, debiendo la autoridad en cada caso analizar si le corresponde negar el acceso a la información solicitada".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Para el Tribunal los “actos administrativos” solicitados, si bien hacen parte de la historia laboral de cada empleado y contratista de prestación de servicios del área administrativa, esos actos tiene relevancia pública, no sólo porque la misma ley 1712 de 2014 artículo 9º dispone que aspectos como escalas salariales de los servidores y contratistas, el objeto del contrato y monto de los honorarios  deben ser publicados; sino porque su publicación no amenaza el derecho fundamental a la privacidad e intimidad de dichos servidores públicos.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El Tribunal finalmente da respuesta al problema jurídico planteando, en el sentido de afirmar que la administración no puede negar la expedición de copias al particular que en uso de su derecho fundamental de petición solicita documentos sobre la relación laboral de sus servidores, fundamentándose en que los mismos tiene carácter de reservados según el artículo 24 del C.P.A.C.A., sin embargo debe </w:t>
      </w:r>
      <w:r w:rsidRPr="00761681">
        <w:rPr>
          <w:rFonts w:ascii="Arial" w:hAnsi="Arial" w:cs="Arial"/>
          <w:sz w:val="24"/>
          <w:szCs w:val="24"/>
        </w:rPr>
        <w:lastRenderedPageBreak/>
        <w:t>previamente clasificar la información contenida en dichos documentos, realizando una confrontación con la norma, especificando con precisión y exactitud frente a qué información procede la entrega por no tener el carácter de reserva. Esto es datos sensibles que interfieran en la esfera personal y privada, porque generen discriminación y señalamiento por orientaciones, hábitos o aspectos de cualquier índole.</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Por lo anterior y contrario a lo que arguye la accionada, </w:t>
      </w:r>
      <w:r w:rsidR="00297F4D" w:rsidRPr="00761681">
        <w:rPr>
          <w:rFonts w:ascii="Arial" w:hAnsi="Arial" w:cs="Arial"/>
          <w:sz w:val="24"/>
          <w:szCs w:val="24"/>
        </w:rPr>
        <w:t xml:space="preserve">el </w:t>
      </w:r>
      <w:r w:rsidRPr="00761681">
        <w:rPr>
          <w:rFonts w:ascii="Arial" w:hAnsi="Arial" w:cs="Arial"/>
          <w:sz w:val="24"/>
          <w:szCs w:val="24"/>
        </w:rPr>
        <w:t>Tribunal Administrativo del Quindío si observó el interés de la Universidad de proteger información reservada de los empleados y contratistas (activos e inactivos) pero reconociendo también el derecho que tienen todas las personas de solicitar y conocer la información pública que no tenga el carácter de reservada, en ese caso el derecho del abogado Sabel Reinero Arévalo Arévalo, a quien no es necesario exigir una condición o interés particular para acceder a la información, así lo ha considerado la Corte Constitucional</w:t>
      </w:r>
      <w:r w:rsidRPr="00761681">
        <w:rPr>
          <w:rStyle w:val="Refdenotaalpie"/>
          <w:rFonts w:ascii="Arial" w:hAnsi="Arial" w:cs="Arial"/>
          <w:sz w:val="24"/>
          <w:szCs w:val="24"/>
        </w:rPr>
        <w:footnoteReference w:id="29"/>
      </w:r>
      <w:r w:rsidRPr="00761681">
        <w:rPr>
          <w:rFonts w:ascii="Arial" w:hAnsi="Arial" w:cs="Arial"/>
          <w:sz w:val="24"/>
          <w:szCs w:val="24"/>
        </w:rPr>
        <w:t xml:space="preserve">: </w:t>
      </w:r>
    </w:p>
    <w:p w:rsidR="00D61D00" w:rsidRPr="00761681" w:rsidRDefault="00D61D00" w:rsidP="008B403D">
      <w:pPr>
        <w:widowControl w:val="0"/>
        <w:spacing w:line="360" w:lineRule="auto"/>
        <w:jc w:val="both"/>
        <w:rPr>
          <w:rFonts w:ascii="Arial" w:hAnsi="Arial" w:cs="Arial"/>
          <w:i/>
          <w:iCs/>
          <w:sz w:val="24"/>
          <w:szCs w:val="24"/>
        </w:rPr>
      </w:pPr>
    </w:p>
    <w:p w:rsidR="00D61D00" w:rsidRPr="00761681" w:rsidRDefault="00D61D00" w:rsidP="008B403D">
      <w:pPr>
        <w:widowControl w:val="0"/>
        <w:spacing w:line="360" w:lineRule="auto"/>
        <w:jc w:val="both"/>
        <w:rPr>
          <w:rFonts w:ascii="Arial" w:hAnsi="Arial" w:cs="Arial"/>
          <w:i/>
          <w:iCs/>
          <w:sz w:val="24"/>
          <w:szCs w:val="24"/>
        </w:rPr>
      </w:pPr>
      <w:r w:rsidRPr="00761681">
        <w:rPr>
          <w:rFonts w:ascii="Arial" w:hAnsi="Arial" w:cs="Arial"/>
          <w:i/>
          <w:iCs/>
          <w:sz w:val="24"/>
          <w:szCs w:val="24"/>
        </w:rPr>
        <w:t>“Es  titular del derecho a acceder a la información pública toda persona, sin exigir ninguna cualificación o interés particular para que se entienda que tiene derecho a solicitar y a recibir dicha información  de conformidad con las reglas que establece la Constitución y el proyecto de ley. Esta disposición se ajusta a los parámetros constitucionales del derecho de petición, de información y del libre acceso a los documentos públicos, a los principios de la función pública, que consagran los artículos 20, 23, 74 y 209 de la Carta.”</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La Sala concluye que, en efecto, el Tribunal hizo un análisis sistemático y acertado de las normas que le llevó a tomar la decisión de ordenar la expedición las copias solicitadas por el abogado Sabel Reinero Arévalo Arévalo.</w:t>
      </w:r>
    </w:p>
    <w:p w:rsidR="0011176D" w:rsidRPr="00761681" w:rsidRDefault="0011176D"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
          <w:i/>
          <w:sz w:val="24"/>
          <w:szCs w:val="24"/>
        </w:rPr>
      </w:pPr>
      <w:r w:rsidRPr="00761681">
        <w:rPr>
          <w:rFonts w:ascii="Arial" w:hAnsi="Arial" w:cs="Arial"/>
          <w:sz w:val="24"/>
          <w:szCs w:val="24"/>
        </w:rPr>
        <w:t>Además, el juez de tutela en primera instancia determinó que en la providencia impugnada se diferenció cuidadosamente qué información podía considerarse de naturaleza pública y a partir de esa premisa solamente ordenó la expedición de las copias de los actos administrativos y los contratos</w:t>
      </w:r>
      <w:r w:rsidRPr="00761681">
        <w:rPr>
          <w:rFonts w:ascii="Arial" w:hAnsi="Arial" w:cs="Arial"/>
          <w:b/>
          <w:i/>
          <w:sz w:val="24"/>
          <w:szCs w:val="24"/>
        </w:rPr>
        <w:t>, “excluyendo los soportes relacionados por el tutelante en su intervención, algunos de los cuales, él mismo advirtió contienen información privada y reservada”.</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
          <w:kern w:val="1"/>
          <w:sz w:val="24"/>
          <w:szCs w:val="24"/>
          <w:lang w:eastAsia="es-CO"/>
        </w:rPr>
      </w:pPr>
      <w:r w:rsidRPr="00761681">
        <w:rPr>
          <w:rFonts w:ascii="Arial" w:hAnsi="Arial" w:cs="Arial"/>
          <w:sz w:val="24"/>
          <w:szCs w:val="24"/>
        </w:rPr>
        <w:lastRenderedPageBreak/>
        <w:t>En efecto, esta Sala advirtió en los antecedentes relacionados en la parte inicial de esta providencia, específicamente en el título “</w:t>
      </w:r>
      <w:r w:rsidRPr="00761681">
        <w:rPr>
          <w:rFonts w:ascii="Arial" w:hAnsi="Arial" w:cs="Arial"/>
          <w:b/>
          <w:kern w:val="1"/>
          <w:sz w:val="24"/>
          <w:szCs w:val="24"/>
          <w:lang w:eastAsia="es-CO"/>
        </w:rPr>
        <w:t xml:space="preserve">1.6. Actuación procesal relevante en el trámite del proceso interpuesto en acción de tutela” </w:t>
      </w:r>
      <w:r w:rsidRPr="00761681">
        <w:rPr>
          <w:rFonts w:ascii="Arial" w:hAnsi="Arial" w:cs="Arial"/>
          <w:sz w:val="24"/>
          <w:szCs w:val="24"/>
        </w:rPr>
        <w:t>que la Sección Quinta del Consejo de Estado por auto de 2 de septiembre de 2016</w:t>
      </w:r>
      <w:r w:rsidRPr="00761681">
        <w:rPr>
          <w:rStyle w:val="Refdenotaalpie"/>
          <w:rFonts w:ascii="Arial" w:hAnsi="Arial" w:cs="Arial"/>
          <w:sz w:val="24"/>
          <w:szCs w:val="24"/>
        </w:rPr>
        <w:footnoteReference w:id="30"/>
      </w:r>
      <w:r w:rsidRPr="00761681">
        <w:rPr>
          <w:rFonts w:ascii="Arial" w:hAnsi="Arial" w:cs="Arial"/>
          <w:sz w:val="24"/>
          <w:szCs w:val="24"/>
        </w:rPr>
        <w:t xml:space="preserve"> ordenó a la Universidad del Quindío rendir un “</w:t>
      </w:r>
      <w:r w:rsidRPr="00761681">
        <w:rPr>
          <w:rFonts w:ascii="Arial" w:hAnsi="Arial" w:cs="Arial"/>
          <w:i/>
          <w:sz w:val="24"/>
          <w:szCs w:val="24"/>
        </w:rPr>
        <w:t xml:space="preserve">informe en el que tipifique de manera cuidadosa el tipo de datos que hacen parte de la petición elevada por el abogado Sabel Reinero Arévalo. Para este efecto, la Universidad deberá distinguir y agrupar los tipos de contenido que tienen los diferentes documentos que tendrán que ser suministrados, allegando para cada grupo un máximo de 5 ejemplos. Adicionalmente la Universidad deberá clasificar los datos que serían suministrados, identificando principalmente cuales deberían ser considerados como datos sensibles a entregar, </w:t>
      </w:r>
      <w:r w:rsidRPr="00761681">
        <w:rPr>
          <w:rFonts w:ascii="Arial" w:hAnsi="Arial" w:cs="Arial"/>
          <w:b/>
          <w:i/>
          <w:sz w:val="24"/>
          <w:szCs w:val="24"/>
          <w:u w:val="single"/>
        </w:rPr>
        <w:t>en los términos del artículo 5º de la Ley Estatutaria  1581 de 2012 y la sentencia C-748-11</w:t>
      </w:r>
      <w:r w:rsidRPr="00761681">
        <w:rPr>
          <w:rFonts w:ascii="Arial" w:hAnsi="Arial" w:cs="Arial"/>
          <w:i/>
          <w:sz w:val="24"/>
          <w:szCs w:val="24"/>
        </w:rPr>
        <w:t>.”</w:t>
      </w:r>
    </w:p>
    <w:p w:rsidR="00D61D00" w:rsidRPr="00761681" w:rsidRDefault="00D61D00" w:rsidP="008B403D">
      <w:pPr>
        <w:widowControl w:val="0"/>
        <w:spacing w:line="360" w:lineRule="auto"/>
        <w:jc w:val="both"/>
        <w:rPr>
          <w:rFonts w:ascii="Arial" w:hAnsi="Arial" w:cs="Arial"/>
          <w:b/>
          <w:kern w:val="1"/>
          <w:sz w:val="24"/>
          <w:szCs w:val="24"/>
          <w:lang w:eastAsia="es-CO"/>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Ahora bien, el artículo 5 de la Ley Estatutaria 1581 de 2012 </w:t>
      </w:r>
      <w:r w:rsidRPr="00761681">
        <w:rPr>
          <w:rFonts w:ascii="Arial" w:hAnsi="Arial" w:cs="Arial"/>
          <w:i/>
          <w:sz w:val="24"/>
          <w:szCs w:val="24"/>
        </w:rPr>
        <w:t>“</w:t>
      </w:r>
      <w:r w:rsidRPr="00761681">
        <w:rPr>
          <w:rFonts w:ascii="Arial" w:hAnsi="Arial" w:cs="Arial"/>
          <w:bCs/>
          <w:i/>
          <w:sz w:val="24"/>
          <w:szCs w:val="24"/>
        </w:rPr>
        <w:t>Por la cual se dictan disposiciones generales para la protección de datos personales</w:t>
      </w:r>
      <w:r w:rsidRPr="00761681">
        <w:rPr>
          <w:rFonts w:ascii="Arial" w:hAnsi="Arial" w:cs="Arial"/>
          <w:bCs/>
          <w:sz w:val="24"/>
          <w:szCs w:val="24"/>
        </w:rPr>
        <w:t>”</w:t>
      </w:r>
      <w:r w:rsidRPr="00761681">
        <w:rPr>
          <w:rFonts w:ascii="Arial" w:hAnsi="Arial" w:cs="Arial"/>
          <w:sz w:val="24"/>
          <w:szCs w:val="24"/>
        </w:rPr>
        <w:t>, prevé:</w:t>
      </w:r>
    </w:p>
    <w:p w:rsidR="00D61D00" w:rsidRPr="00761681" w:rsidRDefault="00D61D00" w:rsidP="008B403D">
      <w:pPr>
        <w:widowControl w:val="0"/>
        <w:spacing w:line="360" w:lineRule="auto"/>
        <w:jc w:val="both"/>
        <w:rPr>
          <w:rFonts w:ascii="Arial" w:hAnsi="Arial" w:cs="Arial"/>
          <w:b/>
          <w:bCs/>
          <w:i/>
          <w:sz w:val="24"/>
          <w:szCs w:val="24"/>
        </w:rPr>
      </w:pPr>
      <w:bookmarkStart w:id="5" w:name="5"/>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bCs/>
          <w:i/>
          <w:sz w:val="24"/>
          <w:szCs w:val="24"/>
        </w:rPr>
        <w:t>“ARTÍCULO 5o. DATOS SENSIBLES.</w:t>
      </w:r>
      <w:bookmarkEnd w:id="5"/>
      <w:r w:rsidRPr="00761681">
        <w:rPr>
          <w:rFonts w:ascii="Arial" w:hAnsi="Arial" w:cs="Arial"/>
          <w:i/>
          <w:sz w:val="24"/>
          <w:szCs w:val="24"/>
        </w:rPr>
        <w:t> Para los propósitos de la presente ley,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rPr>
        <w:t xml:space="preserve">La Sentencia C-748-11 efectuó la revisión de constitucionalidad del </w:t>
      </w:r>
      <w:r w:rsidRPr="00761681">
        <w:rPr>
          <w:rFonts w:ascii="Arial" w:hAnsi="Arial" w:cs="Arial"/>
          <w:sz w:val="24"/>
          <w:szCs w:val="24"/>
          <w:lang w:val="es-ES"/>
        </w:rPr>
        <w:t xml:space="preserve">Proyecto de Ley Estatutaria nro. 184 de 2010 Senado; 046 de 2010 Cámara, </w:t>
      </w:r>
      <w:r w:rsidRPr="00761681">
        <w:rPr>
          <w:rFonts w:ascii="Arial" w:hAnsi="Arial" w:cs="Arial"/>
          <w:i/>
          <w:sz w:val="24"/>
          <w:szCs w:val="24"/>
          <w:lang w:val="es-ES"/>
        </w:rPr>
        <w:t>“por la cual se dictan disposiciones generales para la protección de datos personales”</w:t>
      </w:r>
      <w:r w:rsidRPr="00761681">
        <w:rPr>
          <w:rFonts w:ascii="Arial" w:hAnsi="Arial" w:cs="Arial"/>
          <w:sz w:val="24"/>
          <w:szCs w:val="24"/>
          <w:lang w:val="es-ES"/>
        </w:rPr>
        <w:t xml:space="preserve">, el ella se explicó la constitucionalidad de la definición de dato sensible, considerando: </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b/>
          <w:bCs/>
          <w:i/>
          <w:sz w:val="24"/>
          <w:szCs w:val="24"/>
          <w:lang w:val="es-ES"/>
        </w:rPr>
      </w:pPr>
      <w:r w:rsidRPr="00761681">
        <w:rPr>
          <w:rFonts w:ascii="Arial" w:hAnsi="Arial" w:cs="Arial"/>
          <w:sz w:val="24"/>
          <w:szCs w:val="24"/>
          <w:lang w:val="es-ES"/>
        </w:rPr>
        <w:t>“</w:t>
      </w:r>
      <w:r w:rsidRPr="00761681">
        <w:rPr>
          <w:rFonts w:ascii="Arial" w:hAnsi="Arial" w:cs="Arial"/>
          <w:b/>
          <w:bCs/>
          <w:i/>
          <w:sz w:val="24"/>
          <w:szCs w:val="24"/>
          <w:lang w:val="es-ES"/>
        </w:rPr>
        <w:t>Constitucionalidad de la definición de dato sensible</w:t>
      </w:r>
    </w:p>
    <w:p w:rsidR="00BF4709" w:rsidRPr="00761681" w:rsidRDefault="00BF4709" w:rsidP="008B403D">
      <w:pPr>
        <w:widowControl w:val="0"/>
        <w:spacing w:line="360" w:lineRule="auto"/>
        <w:jc w:val="both"/>
        <w:rPr>
          <w:rFonts w:ascii="Arial" w:hAnsi="Arial" w:cs="Arial"/>
          <w:b/>
          <w:bCs/>
          <w:i/>
          <w:sz w:val="24"/>
          <w:szCs w:val="24"/>
          <w:lang w:val="es-ES"/>
        </w:rPr>
      </w:pPr>
    </w:p>
    <w:p w:rsidR="00D61D00" w:rsidRPr="00761681" w:rsidRDefault="00D61D00" w:rsidP="008B403D">
      <w:pPr>
        <w:spacing w:line="360" w:lineRule="auto"/>
        <w:jc w:val="both"/>
        <w:rPr>
          <w:rFonts w:ascii="Arial" w:hAnsi="Arial" w:cs="Arial"/>
          <w:bCs/>
          <w:i/>
          <w:sz w:val="24"/>
          <w:szCs w:val="24"/>
          <w:lang w:val="es-ES"/>
        </w:rPr>
      </w:pPr>
      <w:r w:rsidRPr="00761681">
        <w:rPr>
          <w:rFonts w:ascii="Arial" w:hAnsi="Arial" w:cs="Arial"/>
          <w:bCs/>
          <w:i/>
          <w:sz w:val="24"/>
          <w:szCs w:val="24"/>
          <w:lang w:val="es-ES"/>
        </w:rPr>
        <w:t xml:space="preserve">De conformidad con el artículo 5, son datos sensibles para los propósitos del proyecto, “(…) los que afectan la intimidad del Titular y cuyo uso indebido puede </w:t>
      </w:r>
      <w:r w:rsidRPr="00761681">
        <w:rPr>
          <w:rFonts w:ascii="Arial" w:hAnsi="Arial" w:cs="Arial"/>
          <w:bCs/>
          <w:i/>
          <w:sz w:val="24"/>
          <w:szCs w:val="24"/>
          <w:lang w:val="es-ES"/>
        </w:rPr>
        <w:lastRenderedPageBreak/>
        <w:t>generar su discriminación, tales como aquellos que revelen el origen racial o étnico, la organización política, las convicciones religiosas o filosóficas, la pertenencia a sindicatos, organizaciones sociales, de derechos humanos o que promuevan intereses de cualquier partido político o que garanticen los derechos y garantías de partidos políticos de oposición así como los datos relativos a la salud, la vida sexual y los datos biométricos”.</w:t>
      </w:r>
    </w:p>
    <w:p w:rsidR="00D61D00" w:rsidRPr="00761681" w:rsidRDefault="00D61D00" w:rsidP="008B403D">
      <w:pPr>
        <w:spacing w:line="360" w:lineRule="auto"/>
        <w:jc w:val="both"/>
        <w:rPr>
          <w:rFonts w:ascii="Arial" w:hAnsi="Arial" w:cs="Arial"/>
          <w:bCs/>
          <w:i/>
          <w:sz w:val="24"/>
          <w:szCs w:val="24"/>
          <w:lang w:val="es-ES"/>
        </w:rPr>
      </w:pPr>
    </w:p>
    <w:p w:rsidR="00D61D00" w:rsidRPr="00761681" w:rsidRDefault="00D61D00" w:rsidP="008B403D">
      <w:pPr>
        <w:spacing w:line="360" w:lineRule="auto"/>
        <w:jc w:val="both"/>
        <w:rPr>
          <w:rFonts w:ascii="Arial" w:hAnsi="Arial" w:cs="Arial"/>
          <w:bCs/>
          <w:i/>
          <w:sz w:val="24"/>
          <w:szCs w:val="24"/>
          <w:lang w:val="es-ES"/>
        </w:rPr>
      </w:pPr>
      <w:r w:rsidRPr="00761681">
        <w:rPr>
          <w:rFonts w:ascii="Arial" w:hAnsi="Arial" w:cs="Arial"/>
          <w:bCs/>
          <w:i/>
          <w:sz w:val="24"/>
          <w:szCs w:val="24"/>
          <w:lang w:val="es-ES"/>
        </w:rPr>
        <w:t>La Sala encuentra que esta definición se ajusta a la jurisprudencia Constitucional y su delimitación, además de proteger el habeas data, es una garantía del derecho a la intimidad, razón por la cual la Sala la encuentra compatible con la Carta Política.</w:t>
      </w:r>
    </w:p>
    <w:p w:rsidR="00D61D00" w:rsidRPr="00761681" w:rsidRDefault="00D61D00" w:rsidP="008B403D">
      <w:pPr>
        <w:spacing w:line="360" w:lineRule="auto"/>
        <w:jc w:val="both"/>
        <w:rPr>
          <w:rFonts w:ascii="Arial" w:hAnsi="Arial" w:cs="Arial"/>
          <w:bCs/>
          <w:i/>
          <w:sz w:val="24"/>
          <w:szCs w:val="24"/>
          <w:lang w:val="es-ES"/>
        </w:rPr>
      </w:pPr>
    </w:p>
    <w:p w:rsidR="00D61D00" w:rsidRPr="00761681" w:rsidRDefault="00D61D00" w:rsidP="008B403D">
      <w:pPr>
        <w:spacing w:line="360" w:lineRule="auto"/>
        <w:jc w:val="both"/>
        <w:rPr>
          <w:rFonts w:ascii="Arial" w:hAnsi="Arial" w:cs="Arial"/>
          <w:bCs/>
          <w:i/>
          <w:sz w:val="24"/>
          <w:szCs w:val="24"/>
        </w:rPr>
      </w:pPr>
      <w:r w:rsidRPr="00761681">
        <w:rPr>
          <w:rFonts w:ascii="Arial" w:hAnsi="Arial" w:cs="Arial"/>
          <w:bCs/>
          <w:i/>
          <w:sz w:val="24"/>
          <w:szCs w:val="24"/>
          <w:lang w:val="es-ES"/>
        </w:rPr>
        <w:t>En efecto, como explicó la Corte en la sentencia C-1011 de 2008</w:t>
      </w:r>
      <w:r w:rsidRPr="00761681">
        <w:rPr>
          <w:rFonts w:ascii="Arial" w:hAnsi="Arial" w:cs="Arial"/>
          <w:bCs/>
          <w:i/>
          <w:sz w:val="24"/>
          <w:szCs w:val="24"/>
          <w:vertAlign w:val="superscript"/>
          <w:lang w:val="es-ES"/>
        </w:rPr>
        <w:footnoteReference w:id="31"/>
      </w:r>
      <w:r w:rsidRPr="00761681">
        <w:rPr>
          <w:rFonts w:ascii="Arial" w:hAnsi="Arial" w:cs="Arial"/>
          <w:bCs/>
          <w:i/>
          <w:sz w:val="24"/>
          <w:szCs w:val="24"/>
          <w:lang w:val="es-ES"/>
        </w:rPr>
        <w:t>, la información sensible es aquella</w:t>
      </w:r>
      <w:r w:rsidRPr="00761681">
        <w:rPr>
          <w:rFonts w:ascii="Arial" w:hAnsi="Arial" w:cs="Arial"/>
          <w:bCs/>
          <w:i/>
          <w:sz w:val="24"/>
          <w:szCs w:val="24"/>
        </w:rPr>
        <w:t xml:space="preserve"> “(…) relacionada, entre otros aspectos, con la orientación sexual, los hábitos del individuo y el credo religioso y político. En estos eventos, la naturaleza de esos datos pertenece al núcleo esencial del derecho a la intimidad, entendido como aquella ‘esfera o espacio de vida privada no susceptible de la interferencia arbitraria de las demás personas, que al ser considerado un elemento esencial del ser, se concreta en el derecho a poder actuar libremente en la mencionada esfera o núcleo, en ejercicio de la libertad personal y familiar, sin más limitaciones que los derechos de los demás y el ordenamiento jurídico.</w:t>
      </w:r>
      <w:r w:rsidRPr="00761681">
        <w:rPr>
          <w:rFonts w:ascii="Arial" w:hAnsi="Arial" w:cs="Arial"/>
          <w:bCs/>
          <w:i/>
          <w:sz w:val="24"/>
          <w:szCs w:val="24"/>
          <w:vertAlign w:val="superscript"/>
        </w:rPr>
        <w:footnoteReference w:id="32"/>
      </w:r>
      <w:r w:rsidRPr="00761681">
        <w:rPr>
          <w:rFonts w:ascii="Arial" w:hAnsi="Arial" w:cs="Arial"/>
          <w:bCs/>
          <w:i/>
          <w:sz w:val="24"/>
          <w:szCs w:val="24"/>
        </w:rPr>
        <w:t>”</w:t>
      </w:r>
    </w:p>
    <w:p w:rsidR="00D61D00" w:rsidRPr="00761681" w:rsidRDefault="00D61D00" w:rsidP="008B403D">
      <w:pPr>
        <w:spacing w:line="360" w:lineRule="auto"/>
        <w:jc w:val="both"/>
        <w:rPr>
          <w:rFonts w:ascii="Arial" w:hAnsi="Arial" w:cs="Arial"/>
          <w:bCs/>
          <w:i/>
          <w:sz w:val="24"/>
          <w:szCs w:val="24"/>
        </w:rPr>
      </w:pPr>
    </w:p>
    <w:p w:rsidR="00D61D00" w:rsidRPr="00761681" w:rsidRDefault="00D61D00" w:rsidP="008B403D">
      <w:pPr>
        <w:spacing w:line="360" w:lineRule="auto"/>
        <w:jc w:val="both"/>
        <w:rPr>
          <w:rFonts w:ascii="Arial" w:hAnsi="Arial" w:cs="Arial"/>
          <w:bCs/>
          <w:i/>
          <w:sz w:val="24"/>
          <w:szCs w:val="24"/>
          <w:lang w:val="es-ES"/>
        </w:rPr>
      </w:pPr>
      <w:r w:rsidRPr="00761681">
        <w:rPr>
          <w:rFonts w:ascii="Arial" w:hAnsi="Arial" w:cs="Arial"/>
          <w:bCs/>
          <w:i/>
          <w:sz w:val="24"/>
          <w:szCs w:val="24"/>
        </w:rPr>
        <w:t>Conforme a esta explicación, la definición del artículo 5 es compatible con el texto constitucional, siempre y cuando no se entienda como una lista taxativa, sino meramente enunciativa de datos sensibles, pues los datos que pertenecen a la esfera íntima son determinados por los cambios y el desarrollo histórico.”</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En cumplimiento del auto de 2 de septiembre de 2016 y conforme a los anteriores lineamientos, la Universidad del Quindío rindió informe para agrupar los tipos de contenido que tienen los diferentes documentos que deberían ser suministrados, allegando ejemplos y clasificando los datos e identificando principalmente cuales deberían ser considerados como datos sensibles, así se lee en lo pertinente del informe: </w:t>
      </w:r>
    </w:p>
    <w:p w:rsidR="00BF4709" w:rsidRPr="00761681" w:rsidRDefault="00BF4709"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 xml:space="preserve">“Respecto de los contratos de presentación de servicios (O.P.S.) </w:t>
      </w:r>
      <w:r w:rsidRPr="00761681">
        <w:rPr>
          <w:rFonts w:ascii="Arial" w:hAnsi="Arial" w:cs="Arial"/>
          <w:i/>
          <w:sz w:val="24"/>
          <w:szCs w:val="24"/>
        </w:rPr>
        <w:t xml:space="preserve">debe tenerse en cuenta que al tratarse de un acuerdo voluntario de partes, para su </w:t>
      </w:r>
      <w:r w:rsidRPr="00761681">
        <w:rPr>
          <w:rFonts w:ascii="Arial" w:hAnsi="Arial" w:cs="Arial"/>
          <w:i/>
          <w:sz w:val="24"/>
          <w:szCs w:val="24"/>
        </w:rPr>
        <w:lastRenderedPageBreak/>
        <w:t>perfeccionamiento, deben cumplirse unos requisitos</w:t>
      </w:r>
      <w:r w:rsidR="00B916DA" w:rsidRPr="00761681">
        <w:rPr>
          <w:rFonts w:ascii="Arial" w:hAnsi="Arial" w:cs="Arial"/>
          <w:i/>
          <w:sz w:val="24"/>
          <w:szCs w:val="24"/>
        </w:rPr>
        <w:t>,…</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Es de anotar, que el contrato de O.P.S. está compuesto por todos y cada uno de los documentos previamente señalados; esto es, se constituyen como un todo pues la ausencia de cualquiera de estos requisitos formales, impide desde la óptica legal el perfeccionamiento del contrato.</w:t>
      </w: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Así las cosas se hace imperioso evaluar cada uno de los documentos constitutivos de un todo denominado contrato de prestación de servicios u O.P.S., para lo que se procede de la siguiente manera: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b/>
          <w:i/>
          <w:sz w:val="24"/>
          <w:szCs w:val="24"/>
          <w:lang w:val="es-CO"/>
        </w:rPr>
        <w:t>Orden de prestación de servicios:</w:t>
      </w:r>
      <w:r w:rsidRPr="00761681">
        <w:rPr>
          <w:rFonts w:ascii="Arial" w:hAnsi="Arial" w:cs="Arial"/>
          <w:i/>
          <w:sz w:val="24"/>
          <w:szCs w:val="24"/>
          <w:lang w:val="es-CO"/>
        </w:rPr>
        <w:t xml:space="preserve"> Este documento contiene en su estructura formal, datos sensibles tales como: Dirección domicilio del contratista, teléfono, monto de honorarios a pagar al contratista, teléfono, monto de los honorarios a pagar al contratista.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b/>
          <w:i/>
          <w:sz w:val="24"/>
          <w:szCs w:val="24"/>
          <w:lang w:val="es-CO"/>
        </w:rPr>
        <w:t>Certificado de Disponibilidad presupuestal:</w:t>
      </w:r>
      <w:r w:rsidRPr="00761681">
        <w:rPr>
          <w:rFonts w:ascii="Arial" w:hAnsi="Arial" w:cs="Arial"/>
          <w:i/>
          <w:sz w:val="24"/>
          <w:szCs w:val="24"/>
          <w:lang w:val="es-CO"/>
        </w:rPr>
        <w:t xml:space="preserve"> </w:t>
      </w:r>
      <w:r w:rsidRPr="00761681">
        <w:rPr>
          <w:rFonts w:ascii="Arial" w:hAnsi="Arial" w:cs="Arial"/>
          <w:b/>
          <w:i/>
          <w:sz w:val="24"/>
          <w:szCs w:val="24"/>
          <w:u w:val="single"/>
          <w:lang w:val="es-CO"/>
        </w:rPr>
        <w:t>Es un documento público, no tienen reserva,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i/>
          <w:sz w:val="24"/>
          <w:szCs w:val="24"/>
          <w:lang w:val="es-CO"/>
        </w:rPr>
        <w:t xml:space="preserve">Certificado de  antecedentes fiscales, Disciplinarios y Judiciales: </w:t>
      </w:r>
      <w:r w:rsidRPr="00761681">
        <w:rPr>
          <w:rFonts w:ascii="Arial" w:hAnsi="Arial" w:cs="Arial"/>
          <w:b/>
          <w:i/>
          <w:sz w:val="24"/>
          <w:szCs w:val="24"/>
          <w:u w:val="single"/>
          <w:lang w:val="es-CO"/>
        </w:rPr>
        <w:t>Son documentos públicos, no tiene reserva.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b/>
          <w:i/>
          <w:sz w:val="24"/>
          <w:szCs w:val="24"/>
          <w:lang w:val="es-CO"/>
        </w:rPr>
        <w:t>Examen médico laboral</w:t>
      </w:r>
      <w:r w:rsidRPr="00761681">
        <w:rPr>
          <w:rFonts w:ascii="Arial" w:hAnsi="Arial" w:cs="Arial"/>
          <w:i/>
          <w:sz w:val="24"/>
          <w:szCs w:val="24"/>
          <w:lang w:val="es-CO"/>
        </w:rPr>
        <w:t>: documento totalmente reservado…</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b/>
          <w:i/>
          <w:sz w:val="24"/>
          <w:szCs w:val="24"/>
          <w:lang w:val="es-CO"/>
        </w:rPr>
        <w:t>R.U.T.:</w:t>
      </w:r>
      <w:r w:rsidRPr="00761681">
        <w:rPr>
          <w:rFonts w:ascii="Arial" w:hAnsi="Arial" w:cs="Arial"/>
          <w:i/>
          <w:sz w:val="24"/>
          <w:szCs w:val="24"/>
          <w:lang w:val="es-CO"/>
        </w:rPr>
        <w:t xml:space="preserve"> Documento reservado, cuenta con información de identificación tributaria de manejo expreso de la D.I.A.N.</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b/>
          <w:i/>
          <w:sz w:val="24"/>
          <w:szCs w:val="24"/>
          <w:lang w:val="es-CO"/>
        </w:rPr>
        <w:t>Propuesta económica:</w:t>
      </w:r>
      <w:r w:rsidRPr="00761681">
        <w:rPr>
          <w:rFonts w:ascii="Arial" w:hAnsi="Arial" w:cs="Arial"/>
          <w:i/>
          <w:sz w:val="24"/>
          <w:szCs w:val="24"/>
          <w:lang w:val="es-CO"/>
        </w:rPr>
        <w:t xml:space="preserve"> </w:t>
      </w:r>
      <w:r w:rsidRPr="00761681">
        <w:rPr>
          <w:rFonts w:ascii="Arial" w:hAnsi="Arial" w:cs="Arial"/>
          <w:b/>
          <w:i/>
          <w:sz w:val="24"/>
          <w:szCs w:val="24"/>
          <w:u w:val="single"/>
          <w:lang w:val="es-CO"/>
        </w:rPr>
        <w:t>Es un documento público, no tiene reserva.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i/>
          <w:sz w:val="24"/>
          <w:szCs w:val="24"/>
          <w:lang w:val="es-CO"/>
        </w:rPr>
        <w:t>Formato único de hoja de vida: Documento que cuenta con la información sensible tal como: Dirección, información laboral vigente…</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b/>
          <w:i/>
          <w:sz w:val="24"/>
          <w:szCs w:val="24"/>
          <w:lang w:val="es-CO"/>
        </w:rPr>
        <w:t>Fotocopia de documento de identificación, fotocopia libreta militar:</w:t>
      </w:r>
      <w:r w:rsidRPr="00761681">
        <w:rPr>
          <w:rFonts w:ascii="Arial" w:hAnsi="Arial" w:cs="Arial"/>
          <w:i/>
          <w:sz w:val="24"/>
          <w:szCs w:val="24"/>
          <w:lang w:val="es-CO"/>
        </w:rPr>
        <w:t xml:space="preserve"> </w:t>
      </w:r>
      <w:r w:rsidRPr="00761681">
        <w:rPr>
          <w:rFonts w:ascii="Arial" w:hAnsi="Arial" w:cs="Arial"/>
          <w:b/>
          <w:i/>
          <w:sz w:val="24"/>
          <w:szCs w:val="24"/>
          <w:u w:val="single"/>
          <w:lang w:val="es-CO"/>
        </w:rPr>
        <w:t>son documentos públicos no tiene reserva.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b/>
          <w:i/>
          <w:sz w:val="24"/>
          <w:szCs w:val="24"/>
          <w:lang w:val="es-CO"/>
        </w:rPr>
        <w:t>Carta de depuración de Honorarios:</w:t>
      </w:r>
      <w:r w:rsidRPr="00761681">
        <w:rPr>
          <w:rFonts w:ascii="Arial" w:hAnsi="Arial" w:cs="Arial"/>
          <w:i/>
          <w:sz w:val="24"/>
          <w:szCs w:val="24"/>
          <w:lang w:val="es-CO"/>
        </w:rPr>
        <w:t xml:space="preserve"> Documento contentivo de la información tributaria en donde se informa origen de ingresos de cada uno los contratistas y la manera en que desarrolla sus labores.</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b/>
          <w:i/>
          <w:sz w:val="24"/>
          <w:szCs w:val="24"/>
          <w:lang w:val="es-CO"/>
        </w:rPr>
        <w:t xml:space="preserve">Formato acta de compromiso proveedores, Acta de inicio, acta de interventoría parcial, acta de recibo a satisfacción, acta de finalización, acta de liquidación: </w:t>
      </w:r>
      <w:r w:rsidRPr="00761681">
        <w:rPr>
          <w:rFonts w:ascii="Arial" w:hAnsi="Arial" w:cs="Arial"/>
          <w:b/>
          <w:i/>
          <w:sz w:val="24"/>
          <w:szCs w:val="24"/>
          <w:u w:val="single"/>
          <w:lang w:val="es-CO"/>
        </w:rPr>
        <w:t>Son documentos públicos no tienen reserva.</w:t>
      </w:r>
    </w:p>
    <w:p w:rsidR="00D61D00" w:rsidRPr="00761681" w:rsidRDefault="00D61D00" w:rsidP="008B403D">
      <w:pPr>
        <w:pStyle w:val="Prrafodelista"/>
        <w:widowControl w:val="0"/>
        <w:numPr>
          <w:ilvl w:val="0"/>
          <w:numId w:val="2"/>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i/>
          <w:sz w:val="24"/>
          <w:szCs w:val="24"/>
          <w:lang w:val="es-CO"/>
        </w:rPr>
        <w:t xml:space="preserve">Certificación Bancaria y Pago de Seguridad social: Son documentos que cuentan con alta sensibilidad y gozan de reserva legal…. </w:t>
      </w:r>
    </w:p>
    <w:p w:rsidR="00D61D00" w:rsidRPr="00761681" w:rsidRDefault="00D61D00"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b/>
          <w:i/>
          <w:sz w:val="24"/>
          <w:szCs w:val="24"/>
        </w:rPr>
      </w:pPr>
      <w:r w:rsidRPr="00761681">
        <w:rPr>
          <w:rFonts w:ascii="Arial" w:hAnsi="Arial" w:cs="Arial"/>
          <w:b/>
          <w:i/>
          <w:sz w:val="24"/>
          <w:szCs w:val="24"/>
        </w:rPr>
        <w:t>Nombramiento en provisionalidad, Nombramiento por designación, Nombramiento en encargo y traslado: …</w:t>
      </w:r>
    </w:p>
    <w:p w:rsidR="00BF4709" w:rsidRPr="00761681" w:rsidRDefault="00BF4709" w:rsidP="008B403D">
      <w:pPr>
        <w:widowControl w:val="0"/>
        <w:spacing w:line="360" w:lineRule="auto"/>
        <w:jc w:val="both"/>
        <w:rPr>
          <w:rFonts w:ascii="Arial" w:hAnsi="Arial" w:cs="Arial"/>
          <w:b/>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i/>
          <w:sz w:val="24"/>
          <w:szCs w:val="24"/>
        </w:rPr>
        <w:t xml:space="preserve">…por lo tanto cuando se habla de nombramiento en materia laboral administrativa, </w:t>
      </w:r>
      <w:r w:rsidRPr="00761681">
        <w:rPr>
          <w:rFonts w:ascii="Arial" w:hAnsi="Arial" w:cs="Arial"/>
          <w:i/>
          <w:sz w:val="24"/>
          <w:szCs w:val="24"/>
        </w:rPr>
        <w:lastRenderedPageBreak/>
        <w:t>no puede tenerse como tal única y exclusivamente la resolución de nombramiento y el acta de posesión, pues esto va más allá ya que el acto administrativo como tal debe estar sustentado fáctica y jurídicamente por los soportes probatorios que acrediten de manera fehaciente el cumplimiento de los requisitos…por lo tanto al revisar la documentación que comporta los actos administrativos de nombramiento en provisionalidad y demás precitados de los servidores públicos, se encuentra la siguiente información:</w:t>
      </w:r>
    </w:p>
    <w:p w:rsidR="00D61D00" w:rsidRPr="00761681" w:rsidRDefault="00D61D00" w:rsidP="008B403D">
      <w:pPr>
        <w:pStyle w:val="Prrafodelista"/>
        <w:widowControl w:val="0"/>
        <w:numPr>
          <w:ilvl w:val="0"/>
          <w:numId w:val="3"/>
        </w:numPr>
        <w:overflowPunct/>
        <w:autoSpaceDE/>
        <w:autoSpaceDN/>
        <w:adjustRightInd/>
        <w:spacing w:line="360" w:lineRule="auto"/>
        <w:ind w:left="0" w:firstLine="0"/>
        <w:jc w:val="both"/>
        <w:textAlignment w:val="auto"/>
        <w:rPr>
          <w:rFonts w:ascii="Arial" w:hAnsi="Arial" w:cs="Arial"/>
          <w:b/>
          <w:i/>
          <w:sz w:val="24"/>
          <w:szCs w:val="24"/>
          <w:u w:val="single"/>
          <w:lang w:val="es-CO"/>
        </w:rPr>
      </w:pPr>
      <w:r w:rsidRPr="00761681">
        <w:rPr>
          <w:rFonts w:ascii="Arial" w:hAnsi="Arial" w:cs="Arial"/>
          <w:b/>
          <w:i/>
          <w:sz w:val="24"/>
          <w:szCs w:val="24"/>
          <w:lang w:val="es-CO"/>
        </w:rPr>
        <w:t>Resolución de Nombramiento y Acta de Posesión:</w:t>
      </w:r>
      <w:r w:rsidRPr="00761681">
        <w:rPr>
          <w:rFonts w:ascii="Arial" w:hAnsi="Arial" w:cs="Arial"/>
          <w:b/>
          <w:i/>
          <w:sz w:val="24"/>
          <w:szCs w:val="24"/>
          <w:u w:val="single"/>
          <w:lang w:val="es-CO"/>
        </w:rPr>
        <w:t xml:space="preserve"> Son documentos públicos, no tienen reserva.</w:t>
      </w:r>
    </w:p>
    <w:p w:rsidR="00D61D00" w:rsidRPr="00761681" w:rsidRDefault="00D61D00" w:rsidP="008B403D">
      <w:pPr>
        <w:pStyle w:val="Prrafodelista"/>
        <w:widowControl w:val="0"/>
        <w:numPr>
          <w:ilvl w:val="0"/>
          <w:numId w:val="3"/>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i/>
          <w:sz w:val="24"/>
          <w:szCs w:val="24"/>
          <w:lang w:val="es-CO"/>
        </w:rPr>
        <w:t>Formato de vinculación de docentes: Este documento contiene información sensible como salario de ingreso.</w:t>
      </w:r>
    </w:p>
    <w:p w:rsidR="00D61D00" w:rsidRPr="00761681" w:rsidRDefault="00D61D00" w:rsidP="008B403D">
      <w:pPr>
        <w:pStyle w:val="Prrafodelista"/>
        <w:widowControl w:val="0"/>
        <w:numPr>
          <w:ilvl w:val="0"/>
          <w:numId w:val="3"/>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i/>
          <w:sz w:val="24"/>
          <w:szCs w:val="24"/>
          <w:lang w:val="es-CO"/>
        </w:rPr>
        <w:t>Declaración de ingresos y retenciones: Documentación financiera altamente sensible por los datos tributarios y de ingresos personales que revela.</w:t>
      </w:r>
    </w:p>
    <w:p w:rsidR="00D61D00" w:rsidRPr="00761681" w:rsidRDefault="00D61D00" w:rsidP="008B403D">
      <w:pPr>
        <w:pStyle w:val="Prrafodelista"/>
        <w:widowControl w:val="0"/>
        <w:numPr>
          <w:ilvl w:val="0"/>
          <w:numId w:val="3"/>
        </w:numPr>
        <w:overflowPunct/>
        <w:autoSpaceDE/>
        <w:autoSpaceDN/>
        <w:adjustRightInd/>
        <w:spacing w:line="360" w:lineRule="auto"/>
        <w:ind w:left="0" w:firstLine="0"/>
        <w:jc w:val="both"/>
        <w:textAlignment w:val="auto"/>
        <w:rPr>
          <w:rFonts w:ascii="Arial" w:hAnsi="Arial" w:cs="Arial"/>
          <w:i/>
          <w:sz w:val="24"/>
          <w:szCs w:val="24"/>
          <w:lang w:val="es-CO"/>
        </w:rPr>
      </w:pPr>
      <w:r w:rsidRPr="00761681">
        <w:rPr>
          <w:rFonts w:ascii="Arial" w:hAnsi="Arial" w:cs="Arial"/>
          <w:i/>
          <w:sz w:val="24"/>
          <w:szCs w:val="24"/>
          <w:lang w:val="es-CO"/>
        </w:rPr>
        <w:t>Listado de acumulados por identificación: Contiene absolutamente toda la información personal y familiar del personal.</w:t>
      </w:r>
    </w:p>
    <w:p w:rsidR="00D61D00" w:rsidRPr="00761681" w:rsidRDefault="00D61D00" w:rsidP="008B403D">
      <w:pPr>
        <w:pStyle w:val="Prrafodelista"/>
        <w:widowControl w:val="0"/>
        <w:numPr>
          <w:ilvl w:val="0"/>
          <w:numId w:val="3"/>
        </w:numPr>
        <w:overflowPunct/>
        <w:autoSpaceDE/>
        <w:autoSpaceDN/>
        <w:adjustRightInd/>
        <w:spacing w:line="360" w:lineRule="auto"/>
        <w:ind w:left="0" w:firstLine="0"/>
        <w:jc w:val="both"/>
        <w:textAlignment w:val="auto"/>
        <w:rPr>
          <w:rFonts w:ascii="Arial" w:hAnsi="Arial" w:cs="Arial"/>
          <w:sz w:val="24"/>
          <w:szCs w:val="24"/>
          <w:lang w:val="es-CO"/>
        </w:rPr>
      </w:pPr>
      <w:r w:rsidRPr="00761681">
        <w:rPr>
          <w:rFonts w:ascii="Arial" w:hAnsi="Arial" w:cs="Arial"/>
          <w:i/>
          <w:sz w:val="24"/>
          <w:szCs w:val="24"/>
          <w:lang w:val="es-CO"/>
        </w:rPr>
        <w:t xml:space="preserve">Informe de empleado por nómina: Contiene toda la información financiera… (…)” </w:t>
      </w:r>
      <w:r w:rsidRPr="00761681">
        <w:rPr>
          <w:rFonts w:ascii="Arial" w:hAnsi="Arial" w:cs="Arial"/>
          <w:sz w:val="24"/>
          <w:szCs w:val="24"/>
          <w:lang w:val="es-CO"/>
        </w:rPr>
        <w:t>(Subrayas fuera de texto)</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De esta manera se concluye que la propia universidad, tuvo la capacidad de determinar, de conformidad con los lineamientos expuestos por la ley, qué documentos, de los incluidos en las hojas de vida y los contratos del personal del área administrativa de la Universidad, tenían el carácter de reservados y cuáles no, por lo que no puede la accionante manifestar, como así lo hizo, que la entrega de los documentos que ella misma ha calificado como públicos y sin reserva, violen los derechos fundamentales al debido proceso y la intimidad -Buen nombre- en conexidad con el derecho a la dignidad humana, la honra y el derecho a no auto incriminarse y al habeas data del personal de la Universidad.</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En consecuencia, el Rector de la Universidad del Quindío pudo haber cumplido la orden dada por el Tribunal Administrativo del Quindío, de conformidad con las consideraciones expuestas en esa providencia, es decir, en la forma literal como lo expuso la providencia, </w:t>
      </w:r>
      <w:r w:rsidRPr="00761681">
        <w:rPr>
          <w:rFonts w:ascii="Arial" w:hAnsi="Arial" w:cs="Arial"/>
          <w:i/>
          <w:sz w:val="24"/>
          <w:szCs w:val="24"/>
        </w:rPr>
        <w:t xml:space="preserve">“la administración no puede negar la expedición de copias al particular que en uso de su derecho fundamental de petición solicitando documentos sobre a relación laboral de sus servidores, fundamentándose en que los mismos tiene carácter de reservados según el artículo 24 del C.P.A.C.A., sin embargo debe previamente clasificar la información contenida en dichos documentos, realizando una confrontación con la norma, especificando con precisión y exactitud frente a </w:t>
      </w:r>
      <w:r w:rsidRPr="00761681">
        <w:rPr>
          <w:rFonts w:ascii="Arial" w:hAnsi="Arial" w:cs="Arial"/>
          <w:i/>
          <w:sz w:val="24"/>
          <w:szCs w:val="24"/>
        </w:rPr>
        <w:lastRenderedPageBreak/>
        <w:t>qué información procede la entrega por no tener el carácter de reserva. Esto es datos sensibles que interfieran en la esfera personal y privada, porque generen discriminación y señalamiento por orientaciones, hábitos o aspectos de cualquier índole.”</w:t>
      </w:r>
      <w:r w:rsidRPr="00761681">
        <w:rPr>
          <w:rFonts w:ascii="Arial" w:hAnsi="Arial" w:cs="Arial"/>
          <w:sz w:val="24"/>
          <w:szCs w:val="24"/>
        </w:rPr>
        <w:t xml:space="preserve"> clasificación que en últimas hizo la Universidad en el informe rendido ante el Consejo de Estado.</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
          <w:sz w:val="24"/>
          <w:szCs w:val="24"/>
          <w:lang w:val="es-ES"/>
        </w:rPr>
      </w:pPr>
      <w:r w:rsidRPr="00761681">
        <w:rPr>
          <w:rFonts w:ascii="Arial" w:hAnsi="Arial" w:cs="Arial"/>
          <w:b/>
          <w:sz w:val="24"/>
          <w:szCs w:val="24"/>
          <w:lang w:val="es-ES"/>
        </w:rPr>
        <w:t>2.7.3. Vinculación de terceros al proceso de acción de tutela</w:t>
      </w:r>
    </w:p>
    <w:p w:rsidR="00D61D00" w:rsidRPr="00761681" w:rsidRDefault="00D61D00" w:rsidP="008B403D">
      <w:pPr>
        <w:widowControl w:val="0"/>
        <w:spacing w:line="360" w:lineRule="auto"/>
        <w:jc w:val="both"/>
        <w:rPr>
          <w:rFonts w:ascii="Arial" w:hAnsi="Arial" w:cs="Arial"/>
          <w:b/>
          <w:sz w:val="24"/>
          <w:szCs w:val="24"/>
          <w:lang w:val="es-ES"/>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Respecto de la intervención de terceros en el trámite de primera instancia en la presente acción de tutela, sostiene el accionante que se violaron los derechos a las personas que se pronunciaron dentro de dicho trámite, por no haberlos integrado como litis consortes necesarios, vulnerando sus derechos.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A pesar de no haber determinado la accionante los derechos que se vulneraron, de conformidad con el argumento expuesto, la Sala supone, en el ámbito de la lógica, que se trata de los derechos de defensa y contradicción.</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De nuevo, es importante traer a colación la actuación de la Sección Quinta dentro del trámite de la tutela, específicamente las disposiciones impartidas en el auto proferido el auto de 2 de septiembre de 2016, así se pronunció el juez de primera instancia: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“Primero:</w:t>
      </w:r>
      <w:r w:rsidRPr="00761681">
        <w:rPr>
          <w:rFonts w:ascii="Arial" w:hAnsi="Arial" w:cs="Arial"/>
          <w:i/>
          <w:sz w:val="24"/>
          <w:szCs w:val="24"/>
        </w:rPr>
        <w:t xml:space="preserve"> ORDENAR a la oficina de Sistemas del Consejo de Estado, que realice la publicación ordenada en el numeral 5.1.del presente auto. Del contenido de esta publicación se deberá enviar copia a la Presidencia del Tribunal Administrativo del Quindío para que sea divulgado en esta Corporación que garanticen el conocimiento del público.</w:t>
      </w:r>
    </w:p>
    <w:p w:rsidR="00BF4709" w:rsidRPr="00761681" w:rsidRDefault="00BF4709"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Segundo:</w:t>
      </w:r>
      <w:r w:rsidRPr="00761681">
        <w:rPr>
          <w:rFonts w:ascii="Arial" w:hAnsi="Arial" w:cs="Arial"/>
          <w:i/>
          <w:sz w:val="24"/>
          <w:szCs w:val="24"/>
        </w:rPr>
        <w:t xml:space="preserve"> ORDENAR que a través de la Universidad del Quindío se efectúe la publicación del presente auto y de la tutela en los canales de difusión interna que posea la Universidad por el término de 3 días, plazo dentro del cual </w:t>
      </w:r>
      <w:r w:rsidRPr="00761681">
        <w:rPr>
          <w:rFonts w:ascii="Arial" w:hAnsi="Arial" w:cs="Arial"/>
          <w:i/>
          <w:sz w:val="24"/>
          <w:szCs w:val="24"/>
          <w:u w:val="single"/>
        </w:rPr>
        <w:t>cualquier interesado podrá presentar escritos de intervención ante la rectoría de la Universidad.</w:t>
      </w:r>
      <w:r w:rsidRPr="00761681">
        <w:rPr>
          <w:rFonts w:ascii="Arial" w:hAnsi="Arial" w:cs="Arial"/>
          <w:i/>
          <w:sz w:val="24"/>
          <w:szCs w:val="24"/>
        </w:rPr>
        <w:t xml:space="preserve"> Una vez vencido el plazo indicado, la Universidad deberá allegar por el medio más expedito constancia de la publicación y los escritos que hubiesen sido radicados.</w:t>
      </w:r>
    </w:p>
    <w:p w:rsidR="00BF4709" w:rsidRPr="00761681" w:rsidRDefault="00BF4709" w:rsidP="008B403D">
      <w:pPr>
        <w:widowControl w:val="0"/>
        <w:spacing w:line="360" w:lineRule="auto"/>
        <w:jc w:val="both"/>
        <w:rPr>
          <w:rFonts w:ascii="Arial" w:hAnsi="Arial" w:cs="Arial"/>
          <w:i/>
          <w:sz w:val="24"/>
          <w:szCs w:val="24"/>
        </w:rPr>
      </w:pPr>
    </w:p>
    <w:p w:rsidR="00D61D00" w:rsidRPr="00761681" w:rsidRDefault="00D61D00" w:rsidP="008B403D">
      <w:pPr>
        <w:widowControl w:val="0"/>
        <w:spacing w:line="360" w:lineRule="auto"/>
        <w:jc w:val="both"/>
        <w:rPr>
          <w:rFonts w:ascii="Arial" w:hAnsi="Arial" w:cs="Arial"/>
          <w:i/>
          <w:sz w:val="24"/>
          <w:szCs w:val="24"/>
        </w:rPr>
      </w:pPr>
      <w:r w:rsidRPr="00761681">
        <w:rPr>
          <w:rFonts w:ascii="Arial" w:hAnsi="Arial" w:cs="Arial"/>
          <w:b/>
          <w:i/>
          <w:sz w:val="24"/>
          <w:szCs w:val="24"/>
        </w:rPr>
        <w:t>Tercero:</w:t>
      </w:r>
      <w:r w:rsidRPr="00761681">
        <w:rPr>
          <w:rFonts w:ascii="Arial" w:hAnsi="Arial" w:cs="Arial"/>
          <w:i/>
          <w:sz w:val="24"/>
          <w:szCs w:val="24"/>
        </w:rPr>
        <w:t xml:space="preserve"> DISPONER la publicación inmediata en el periódico regional, a cargo de </w:t>
      </w:r>
      <w:r w:rsidRPr="00761681">
        <w:rPr>
          <w:rFonts w:ascii="Arial" w:hAnsi="Arial" w:cs="Arial"/>
          <w:i/>
          <w:sz w:val="24"/>
          <w:szCs w:val="24"/>
        </w:rPr>
        <w:lastRenderedPageBreak/>
        <w:t xml:space="preserve">la Universidad del Quindío, de una breve síntesis del presente auto y de la tutela, por una sola vez, </w:t>
      </w:r>
      <w:r w:rsidRPr="00761681">
        <w:rPr>
          <w:rFonts w:ascii="Arial" w:hAnsi="Arial" w:cs="Arial"/>
          <w:i/>
          <w:sz w:val="24"/>
          <w:szCs w:val="24"/>
          <w:u w:val="single"/>
        </w:rPr>
        <w:t>para que aquellos que tengan algún interés en el presente proceso presenten los argumentos que consideren pertinentes</w:t>
      </w:r>
      <w:r w:rsidRPr="00761681">
        <w:rPr>
          <w:rFonts w:ascii="Arial" w:hAnsi="Arial" w:cs="Arial"/>
          <w:i/>
          <w:sz w:val="24"/>
          <w:szCs w:val="24"/>
        </w:rPr>
        <w:t xml:space="preserve"> en el término de 3 días, la Universidad deberá aportar constancia del cumplimiento de este mandato.</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En efecto el numeral 5.1. de la parte motiva de la mencionada providencia consideró necesario, que por medio de la Oficina de Sistemas del Consejo de Estado, se publicara en la página web de la Corporación, la existencia de la acción de tutela con la finalidad de ponerla en conocimiento de los terceros que pudieran presentar argumentos que consideraran pertinentes.</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bCs/>
          <w:sz w:val="24"/>
          <w:szCs w:val="24"/>
        </w:rPr>
      </w:pPr>
      <w:r w:rsidRPr="00761681">
        <w:rPr>
          <w:rFonts w:ascii="Arial" w:hAnsi="Arial" w:cs="Arial"/>
          <w:sz w:val="24"/>
          <w:szCs w:val="24"/>
        </w:rPr>
        <w:t>En cumplimiento de las órdenes impartidas por el juez de primera instancia, el Jefe de la Oficina de Sistemas del Consejo de Estado anexa</w:t>
      </w:r>
      <w:r w:rsidRPr="00761681">
        <w:rPr>
          <w:rStyle w:val="Refdenotaalpie"/>
          <w:rFonts w:ascii="Arial" w:hAnsi="Arial" w:cs="Arial"/>
          <w:sz w:val="24"/>
          <w:szCs w:val="24"/>
        </w:rPr>
        <w:footnoteReference w:id="33"/>
      </w:r>
      <w:r w:rsidRPr="00761681">
        <w:rPr>
          <w:rFonts w:ascii="Arial" w:hAnsi="Arial" w:cs="Arial"/>
          <w:sz w:val="24"/>
          <w:szCs w:val="24"/>
        </w:rPr>
        <w:t xml:space="preserve"> copia de la publicación </w:t>
      </w:r>
      <w:r w:rsidRPr="00761681">
        <w:rPr>
          <w:rFonts w:ascii="Arial" w:hAnsi="Arial" w:cs="Arial"/>
          <w:bCs/>
          <w:sz w:val="24"/>
          <w:szCs w:val="24"/>
        </w:rPr>
        <w:t>en la página web de la Corporación</w:t>
      </w:r>
      <w:r w:rsidRPr="00761681">
        <w:rPr>
          <w:rFonts w:ascii="Arial" w:hAnsi="Arial" w:cs="Arial"/>
          <w:sz w:val="24"/>
          <w:szCs w:val="24"/>
        </w:rPr>
        <w:t xml:space="preserve"> del contenido de las providencias en el proceso nro.</w:t>
      </w:r>
      <w:r w:rsidRPr="00761681">
        <w:rPr>
          <w:rFonts w:ascii="Arial" w:hAnsi="Arial" w:cs="Arial"/>
          <w:bCs/>
          <w:sz w:val="24"/>
          <w:szCs w:val="24"/>
          <w:lang w:eastAsia="es-CO"/>
        </w:rPr>
        <w:t xml:space="preserve"> </w:t>
      </w:r>
      <w:r w:rsidRPr="00761681">
        <w:rPr>
          <w:rFonts w:ascii="Arial" w:hAnsi="Arial" w:cs="Arial"/>
          <w:bCs/>
          <w:sz w:val="24"/>
          <w:szCs w:val="24"/>
        </w:rPr>
        <w:t>11001-03-15-000-2016-02216-00</w:t>
      </w:r>
      <w:r w:rsidRPr="00761681">
        <w:rPr>
          <w:rStyle w:val="Refdenotaalpie"/>
          <w:rFonts w:ascii="Arial" w:hAnsi="Arial" w:cs="Arial"/>
          <w:sz w:val="24"/>
          <w:szCs w:val="24"/>
        </w:rPr>
        <w:footnoteReference w:id="34"/>
      </w:r>
      <w:r w:rsidRPr="00761681">
        <w:rPr>
          <w:rFonts w:ascii="Arial" w:hAnsi="Arial" w:cs="Arial"/>
          <w:bCs/>
          <w:sz w:val="24"/>
          <w:szCs w:val="24"/>
        </w:rPr>
        <w:t xml:space="preserve">; adicionalmente, la Universidad del Quindío allega la siguiente documentación al expediente: </w:t>
      </w:r>
    </w:p>
    <w:p w:rsidR="00D61D00" w:rsidRPr="00761681" w:rsidRDefault="00D61D00" w:rsidP="008B403D">
      <w:pPr>
        <w:widowControl w:val="0"/>
        <w:spacing w:line="360" w:lineRule="auto"/>
        <w:jc w:val="both"/>
        <w:rPr>
          <w:rFonts w:ascii="Arial" w:hAnsi="Arial" w:cs="Arial"/>
          <w:bCs/>
          <w:sz w:val="24"/>
          <w:szCs w:val="24"/>
        </w:rPr>
      </w:pPr>
      <w:r w:rsidRPr="00761681">
        <w:rPr>
          <w:rFonts w:ascii="Arial" w:hAnsi="Arial" w:cs="Arial"/>
          <w:bCs/>
          <w:sz w:val="24"/>
          <w:szCs w:val="24"/>
        </w:rPr>
        <w:t xml:space="preserve">  </w:t>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 xml:space="preserve">Certificación en un (1) folio, emitida por el señor JHONNY RICO OSORIO, en calidad de </w:t>
      </w:r>
      <w:proofErr w:type="gramStart"/>
      <w:r w:rsidRPr="00761681">
        <w:rPr>
          <w:rFonts w:ascii="Arial" w:hAnsi="Arial" w:cs="Arial"/>
          <w:i/>
          <w:sz w:val="24"/>
          <w:szCs w:val="24"/>
          <w:lang w:val="es-ES"/>
        </w:rPr>
        <w:t>Jefe</w:t>
      </w:r>
      <w:proofErr w:type="gramEnd"/>
      <w:r w:rsidRPr="00761681">
        <w:rPr>
          <w:rFonts w:ascii="Arial" w:hAnsi="Arial" w:cs="Arial"/>
          <w:i/>
          <w:sz w:val="24"/>
          <w:szCs w:val="24"/>
          <w:lang w:val="es-ES"/>
        </w:rPr>
        <w:t xml:space="preserve"> de la Oficina de Comunicaciones de la Universidad del Quindío, en donde consta publicación en la página web de la Universidad del Quindío del auto de 2 de septiembre 2016 y del libelo de la demanda de tutela interpuesta por el señor Rector de la Universidad del Quindío contra del Tribunal Administrativo del Quindío, Sala Primera Oral.</w:t>
      </w:r>
      <w:r w:rsidRPr="00761681">
        <w:rPr>
          <w:rStyle w:val="Refdenotaalpie"/>
          <w:rFonts w:ascii="Arial" w:hAnsi="Arial" w:cs="Arial"/>
          <w:i/>
          <w:sz w:val="24"/>
          <w:szCs w:val="24"/>
          <w:lang w:val="es-ES"/>
        </w:rPr>
        <w:footnoteReference w:id="35"/>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Certificación emitida por la señora Yadira Osorio del Departamento Comercial del Diario “la crónica del Quindío” y un ejemplar del periódico del día miércoles 14 de septiembre de 2016l, el cual contiene en la página 9, publicación del extracto del auto de 2 de septiembre 2016 y del libelo de la demanda de tutela interpuesta por el señor Rector de la Universidad del Quindío contra del Tribunal Administrativo del Quindío Sala Primera Oral.</w:t>
      </w:r>
      <w:r w:rsidRPr="00761681">
        <w:rPr>
          <w:rStyle w:val="Refdenotaalpie"/>
          <w:rFonts w:ascii="Arial" w:hAnsi="Arial" w:cs="Arial"/>
          <w:i/>
          <w:sz w:val="24"/>
          <w:szCs w:val="24"/>
          <w:lang w:val="es-ES"/>
        </w:rPr>
        <w:footnoteReference w:id="36"/>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lastRenderedPageBreak/>
        <w:t>Copia del correo electrónico allegado por medio del cual el señor Carlo Collazos Fajardo autoriza expresamente a la Universidad del Quindío la entrega de la información como ex funcionario en el cargo de “técnico operativo, grado 16”.</w:t>
      </w:r>
      <w:r w:rsidRPr="00761681">
        <w:rPr>
          <w:rStyle w:val="Refdenotaalpie"/>
          <w:rFonts w:ascii="Arial" w:hAnsi="Arial" w:cs="Arial"/>
          <w:i/>
          <w:sz w:val="24"/>
          <w:szCs w:val="24"/>
          <w:lang w:val="es-ES"/>
        </w:rPr>
        <w:footnoteReference w:id="37"/>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114 documentos suscritos por docentes contratistas en los que se oponen a la entrega de la información que ordenó, el Tribunal Administrativo del Quindío, fuera entregada con ocasión de la decisión del recurso de insistencia.</w:t>
      </w:r>
      <w:r w:rsidRPr="00761681">
        <w:rPr>
          <w:rStyle w:val="Refdenotaalpie"/>
          <w:rFonts w:ascii="Arial" w:hAnsi="Arial" w:cs="Arial"/>
          <w:i/>
          <w:sz w:val="24"/>
          <w:szCs w:val="24"/>
          <w:lang w:val="es-ES"/>
        </w:rPr>
        <w:footnoteReference w:id="38"/>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170 documentos suscritos por contratistas en los que se oponen a la entrega de la información que ordenó, el Tribunal Administrativo del Quindío, fuera entregada con ocasión de la decisión del recurso de insistencia.</w:t>
      </w:r>
      <w:r w:rsidRPr="00761681">
        <w:rPr>
          <w:rStyle w:val="Refdenotaalpie"/>
          <w:rFonts w:ascii="Arial" w:hAnsi="Arial" w:cs="Arial"/>
          <w:i/>
          <w:sz w:val="24"/>
          <w:szCs w:val="24"/>
          <w:lang w:val="es-ES"/>
        </w:rPr>
        <w:footnoteReference w:id="39"/>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158 documentos suscritos por personal administrativo en los que se oponen a la entrega de la información que ordenó, el Tribunal Administrativo del Quindío, fuera entregada con ocasión de la decisión del recurso de insistencia.</w:t>
      </w:r>
      <w:r w:rsidRPr="00761681">
        <w:rPr>
          <w:rStyle w:val="Refdenotaalpie"/>
          <w:rFonts w:ascii="Arial" w:hAnsi="Arial" w:cs="Arial"/>
          <w:i/>
          <w:sz w:val="24"/>
          <w:szCs w:val="24"/>
          <w:lang w:val="es-ES"/>
        </w:rPr>
        <w:footnoteReference w:id="40"/>
      </w:r>
    </w:p>
    <w:p w:rsidR="00D61D00" w:rsidRPr="00761681" w:rsidRDefault="00D61D00" w:rsidP="008B403D">
      <w:pPr>
        <w:numPr>
          <w:ilvl w:val="0"/>
          <w:numId w:val="4"/>
        </w:numPr>
        <w:spacing w:line="360" w:lineRule="auto"/>
        <w:ind w:left="0" w:firstLine="0"/>
        <w:contextualSpacing/>
        <w:jc w:val="both"/>
        <w:rPr>
          <w:rFonts w:ascii="Arial" w:hAnsi="Arial" w:cs="Arial"/>
          <w:i/>
          <w:sz w:val="24"/>
          <w:szCs w:val="24"/>
          <w:lang w:val="es-ES"/>
        </w:rPr>
      </w:pPr>
      <w:r w:rsidRPr="00761681">
        <w:rPr>
          <w:rFonts w:ascii="Arial" w:hAnsi="Arial" w:cs="Arial"/>
          <w:i/>
          <w:sz w:val="24"/>
          <w:szCs w:val="24"/>
          <w:lang w:val="es-ES"/>
        </w:rPr>
        <w:t>25 documentos suscritos por ex contratistas en los que se oponen a la entrega de la información que ordenó, el Tribunal Administrativo del Quindío, fuera entregada con ocasión de la decisión del recurso de insistencia.</w:t>
      </w:r>
      <w:r w:rsidRPr="00761681">
        <w:rPr>
          <w:rStyle w:val="Refdenotaalpie"/>
          <w:rFonts w:ascii="Arial" w:hAnsi="Arial" w:cs="Arial"/>
          <w:i/>
          <w:sz w:val="24"/>
          <w:szCs w:val="24"/>
          <w:lang w:val="es-ES"/>
        </w:rPr>
        <w:footnoteReference w:id="41"/>
      </w:r>
    </w:p>
    <w:p w:rsidR="00D61D00" w:rsidRPr="00761681" w:rsidRDefault="00D61D00" w:rsidP="008B403D">
      <w:pPr>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bCs/>
          <w:sz w:val="24"/>
          <w:szCs w:val="24"/>
          <w:lang w:val="es-ES"/>
        </w:rPr>
      </w:pPr>
      <w:r w:rsidRPr="00761681">
        <w:rPr>
          <w:rFonts w:ascii="Arial" w:hAnsi="Arial" w:cs="Arial"/>
          <w:bCs/>
          <w:sz w:val="24"/>
          <w:szCs w:val="24"/>
          <w:lang w:val="es-ES"/>
        </w:rPr>
        <w:t>De conformidad con las pruebas allegadas al proceso, queda establecido que la Sección Quinta del Consejo de Estado, como juez de primera instancia, le dio la debida publicidad a la existencia de la demanda de tutela para que, a quien le interesara, se pronunciara al respecto, como así sucedió.</w:t>
      </w:r>
    </w:p>
    <w:p w:rsidR="00D61D00" w:rsidRPr="00761681" w:rsidRDefault="00D61D00" w:rsidP="008B403D">
      <w:pPr>
        <w:widowControl w:val="0"/>
        <w:spacing w:line="360" w:lineRule="auto"/>
        <w:jc w:val="both"/>
        <w:rPr>
          <w:rFonts w:ascii="Arial" w:hAnsi="Arial" w:cs="Arial"/>
          <w:bCs/>
          <w:sz w:val="24"/>
          <w:szCs w:val="24"/>
          <w:lang w:val="es-ES"/>
        </w:rPr>
      </w:pPr>
    </w:p>
    <w:p w:rsidR="00D61D00" w:rsidRPr="00761681" w:rsidRDefault="00D61D00" w:rsidP="008B403D">
      <w:pPr>
        <w:widowControl w:val="0"/>
        <w:spacing w:line="360" w:lineRule="auto"/>
        <w:jc w:val="both"/>
        <w:rPr>
          <w:rFonts w:ascii="Arial" w:hAnsi="Arial" w:cs="Arial"/>
          <w:bCs/>
          <w:sz w:val="24"/>
          <w:szCs w:val="24"/>
          <w:lang w:val="es-ES"/>
        </w:rPr>
      </w:pPr>
      <w:r w:rsidRPr="00761681">
        <w:rPr>
          <w:rFonts w:ascii="Arial" w:hAnsi="Arial" w:cs="Arial"/>
          <w:bCs/>
          <w:sz w:val="24"/>
          <w:szCs w:val="24"/>
          <w:lang w:val="es-ES"/>
        </w:rPr>
        <w:t xml:space="preserve">En efecto, dentro de las motivaciones del fallo de tutela, la Sección Quinta del Consejo de Estado indicó que </w:t>
      </w:r>
      <w:r w:rsidRPr="00761681">
        <w:rPr>
          <w:rFonts w:ascii="Arial" w:hAnsi="Arial" w:cs="Arial"/>
          <w:bCs/>
          <w:i/>
          <w:sz w:val="24"/>
          <w:szCs w:val="24"/>
        </w:rPr>
        <w:t xml:space="preserve">“en ninguna de las intervenciones alegadas al proceso se explicó y sustentó personal y realmente bajo qué condiciones se presenta el riesgo alegado. En su lugar, como se observó, </w:t>
      </w:r>
      <w:r w:rsidRPr="00761681">
        <w:rPr>
          <w:rFonts w:ascii="Arial" w:hAnsi="Arial" w:cs="Arial"/>
          <w:b/>
          <w:bCs/>
          <w:i/>
          <w:sz w:val="24"/>
          <w:szCs w:val="24"/>
          <w:u w:val="single"/>
        </w:rPr>
        <w:t>la mayoría de los interesados solamente se limitó a suscribir formatos en los que afirman no autorizar el acceso a sus datos personales</w:t>
      </w:r>
      <w:r w:rsidRPr="00761681">
        <w:rPr>
          <w:rFonts w:ascii="Arial" w:hAnsi="Arial" w:cs="Arial"/>
          <w:bCs/>
          <w:i/>
          <w:sz w:val="24"/>
          <w:szCs w:val="24"/>
        </w:rPr>
        <w:t>, aspecto este que, como se comprobó no es relevante para este proceso ya que la copia de los actos autorizados por el Tribunal Administrativo del Quindío tiene una connotación pública tal y como fue aceptado por la propia Universidad en el informe rendido y sin que el tema fuera desvirtuado por ninguno de los intervinientes”</w:t>
      </w:r>
      <w:r w:rsidRPr="00761681">
        <w:rPr>
          <w:rFonts w:ascii="Arial" w:hAnsi="Arial" w:cs="Arial"/>
          <w:bCs/>
          <w:sz w:val="24"/>
          <w:szCs w:val="24"/>
        </w:rPr>
        <w:t>.</w:t>
      </w:r>
      <w:r w:rsidRPr="00761681">
        <w:rPr>
          <w:rFonts w:ascii="Arial" w:hAnsi="Arial" w:cs="Arial"/>
          <w:bCs/>
          <w:sz w:val="24"/>
          <w:szCs w:val="24"/>
          <w:lang w:val="es-ES"/>
        </w:rPr>
        <w:t xml:space="preserve"> </w:t>
      </w:r>
    </w:p>
    <w:p w:rsidR="00D61D00" w:rsidRPr="00761681" w:rsidRDefault="00D61D00" w:rsidP="008B403D">
      <w:pPr>
        <w:widowControl w:val="0"/>
        <w:spacing w:line="360" w:lineRule="auto"/>
        <w:jc w:val="both"/>
        <w:rPr>
          <w:rFonts w:ascii="Arial" w:hAnsi="Arial" w:cs="Arial"/>
          <w:bCs/>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lastRenderedPageBreak/>
        <w:t xml:space="preserve">En consecuencia, para la Sala no se vulneraron los derechos de defensa y contradicción de los intervinientes pues, como se pudo establecer, éstos tuvieron todas las oportunidades para pronunciarse como en efecto lo hicieron, sin embargo, la Sala comprueba, para reiterar lo analizado por la Sección Quinta, que las personas que intervinieron no hicieron alegato sobre la forma de vulneración de su derecho a la intimidad respecto de la solicitud realizada por el Abogado Sabel Reinero Arévalo Arévalo, simplemente se limitaron a manifestar, por medio de formatos, su inconformidad con la entrega la información de la cual son titulares.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 xml:space="preserve">Además, tal como lo determinó la Sección Quinta del Consejo de Estado, en este proceso se analizó un aspecto objetivo como es, el alcance del derecho de petición respecto de dos documentos públicos sin carácter de reservados. </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rPr>
      </w:pPr>
      <w:r w:rsidRPr="00761681">
        <w:rPr>
          <w:rFonts w:ascii="Arial" w:hAnsi="Arial" w:cs="Arial"/>
          <w:sz w:val="24"/>
          <w:szCs w:val="24"/>
        </w:rPr>
        <w:t>Por lo anterior, la Sala determina que el trámite dado por la Sección Quinta del Consejo de estado se fundó en criterios razonables y proporcionados sin desconocer los derechos fundamentales de defensa y contradicción.</w:t>
      </w:r>
    </w:p>
    <w:p w:rsidR="00D61D00" w:rsidRPr="00761681" w:rsidRDefault="00D61D00" w:rsidP="008B403D">
      <w:pPr>
        <w:widowControl w:val="0"/>
        <w:spacing w:line="360" w:lineRule="auto"/>
        <w:jc w:val="both"/>
        <w:rPr>
          <w:rFonts w:ascii="Arial" w:hAnsi="Arial" w:cs="Arial"/>
          <w:sz w:val="24"/>
          <w:szCs w:val="24"/>
        </w:rPr>
      </w:pPr>
    </w:p>
    <w:p w:rsidR="00D61D00" w:rsidRPr="00761681" w:rsidRDefault="00D61D00" w:rsidP="008B403D">
      <w:pPr>
        <w:widowControl w:val="0"/>
        <w:spacing w:line="360" w:lineRule="auto"/>
        <w:jc w:val="both"/>
        <w:rPr>
          <w:rFonts w:ascii="Arial" w:hAnsi="Arial" w:cs="Arial"/>
          <w:sz w:val="24"/>
          <w:szCs w:val="24"/>
          <w:lang w:eastAsia="es-CO"/>
        </w:rPr>
      </w:pPr>
      <w:r w:rsidRPr="00761681">
        <w:rPr>
          <w:rFonts w:ascii="Arial" w:hAnsi="Arial" w:cs="Arial"/>
          <w:sz w:val="24"/>
          <w:szCs w:val="24"/>
          <w:lang w:eastAsia="es-CO"/>
        </w:rPr>
        <w:t xml:space="preserve">Por todo aquí considerado, la Sala confirmará la sentencia apelada. </w:t>
      </w:r>
    </w:p>
    <w:p w:rsidR="00D61D00" w:rsidRPr="00761681" w:rsidRDefault="00D61D00" w:rsidP="008B403D">
      <w:pPr>
        <w:widowControl w:val="0"/>
        <w:spacing w:line="360" w:lineRule="auto"/>
        <w:jc w:val="both"/>
        <w:rPr>
          <w:rFonts w:ascii="Arial" w:hAnsi="Arial" w:cs="Arial"/>
          <w:sz w:val="24"/>
          <w:szCs w:val="24"/>
          <w:lang w:val="es-ES"/>
        </w:rPr>
      </w:pPr>
    </w:p>
    <w:p w:rsidR="00D61D00" w:rsidRPr="00761681" w:rsidRDefault="00D61D00" w:rsidP="008B403D">
      <w:pPr>
        <w:widowControl w:val="0"/>
        <w:spacing w:line="360" w:lineRule="auto"/>
        <w:jc w:val="both"/>
        <w:rPr>
          <w:rFonts w:ascii="Arial" w:hAnsi="Arial" w:cs="Arial"/>
          <w:sz w:val="24"/>
          <w:szCs w:val="24"/>
          <w:lang w:val="es-ES"/>
        </w:rPr>
      </w:pPr>
      <w:r w:rsidRPr="00761681">
        <w:rPr>
          <w:rFonts w:ascii="Arial" w:hAnsi="Arial" w:cs="Arial"/>
          <w:sz w:val="24"/>
          <w:szCs w:val="24"/>
          <w:lang w:val="es-ES"/>
        </w:rPr>
        <w:t>En mérito de lo expuesto, el Consejo de Estado, Sala de lo Contencioso Administrativo, Sección Primera, administrando justicia en nombre de la República y por autoridad de la Ley</w:t>
      </w: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center"/>
        <w:rPr>
          <w:rFonts w:ascii="Arial" w:hAnsi="Arial" w:cs="Arial"/>
          <w:b/>
          <w:sz w:val="24"/>
          <w:szCs w:val="24"/>
          <w:lang w:eastAsia="es-CO"/>
        </w:rPr>
      </w:pP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center"/>
        <w:rPr>
          <w:rFonts w:ascii="Arial" w:hAnsi="Arial" w:cs="Arial"/>
          <w:b/>
          <w:sz w:val="24"/>
          <w:szCs w:val="24"/>
          <w:lang w:eastAsia="es-CO"/>
        </w:rPr>
      </w:pPr>
      <w:r w:rsidRPr="00761681">
        <w:rPr>
          <w:rFonts w:ascii="Arial" w:hAnsi="Arial" w:cs="Arial"/>
          <w:b/>
          <w:sz w:val="24"/>
          <w:szCs w:val="24"/>
          <w:lang w:eastAsia="es-CO"/>
        </w:rPr>
        <w:t>F A LL A:</w:t>
      </w: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both"/>
        <w:rPr>
          <w:rFonts w:ascii="Arial" w:hAnsi="Arial" w:cs="Arial"/>
          <w:sz w:val="24"/>
          <w:szCs w:val="24"/>
          <w:lang w:eastAsia="es-CO"/>
        </w:rPr>
      </w:pP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both"/>
        <w:rPr>
          <w:rFonts w:ascii="Arial" w:hAnsi="Arial" w:cs="Arial"/>
          <w:sz w:val="24"/>
          <w:szCs w:val="24"/>
          <w:lang w:eastAsia="es-CO"/>
        </w:rPr>
      </w:pP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both"/>
        <w:rPr>
          <w:rFonts w:ascii="Arial" w:hAnsi="Arial" w:cs="Arial"/>
          <w:sz w:val="24"/>
          <w:szCs w:val="24"/>
          <w:lang w:eastAsia="es-CO"/>
        </w:rPr>
      </w:pPr>
      <w:r w:rsidRPr="00761681">
        <w:rPr>
          <w:rFonts w:ascii="Arial" w:hAnsi="Arial" w:cs="Arial"/>
          <w:sz w:val="24"/>
          <w:szCs w:val="24"/>
          <w:lang w:eastAsia="es-CO"/>
        </w:rPr>
        <w:t>PRIMERO</w:t>
      </w:r>
      <w:r w:rsidRPr="00761681">
        <w:rPr>
          <w:rFonts w:ascii="Arial" w:hAnsi="Arial" w:cs="Arial"/>
          <w:b/>
          <w:sz w:val="24"/>
          <w:szCs w:val="24"/>
          <w:lang w:eastAsia="es-CO"/>
        </w:rPr>
        <w:t xml:space="preserve">: CONFÍRMASE </w:t>
      </w:r>
      <w:r w:rsidRPr="00761681">
        <w:rPr>
          <w:rFonts w:ascii="Arial" w:hAnsi="Arial" w:cs="Arial"/>
          <w:sz w:val="24"/>
          <w:szCs w:val="24"/>
          <w:lang w:eastAsia="es-CO"/>
        </w:rPr>
        <w:t>la decisión proferida en primera instancia por la Sección Quinta del Consejo de Estado el 3 de noviembre de 2016, por las razones expuestas en la parte motiva de esta providencia.</w:t>
      </w:r>
    </w:p>
    <w:p w:rsidR="00D61D00" w:rsidRPr="00761681" w:rsidRDefault="00D61D00" w:rsidP="00D61D00">
      <w:pPr>
        <w:pStyle w:val="Sinespaciado"/>
        <w:spacing w:line="360" w:lineRule="auto"/>
        <w:jc w:val="both"/>
        <w:rPr>
          <w:rFonts w:ascii="Arial" w:eastAsia="Arial" w:hAnsi="Arial" w:cs="Arial"/>
          <w:sz w:val="24"/>
          <w:szCs w:val="24"/>
        </w:rPr>
      </w:pPr>
    </w:p>
    <w:p w:rsidR="00D61D00" w:rsidRPr="00761681" w:rsidRDefault="00D61D00" w:rsidP="00D61D00">
      <w:pPr>
        <w:widowControl w:val="0"/>
        <w:tabs>
          <w:tab w:val="left" w:pos="3939"/>
          <w:tab w:val="left" w:pos="4248"/>
          <w:tab w:val="left" w:pos="4956"/>
          <w:tab w:val="left" w:pos="5664"/>
          <w:tab w:val="left" w:pos="6372"/>
          <w:tab w:val="left" w:pos="7080"/>
          <w:tab w:val="left" w:pos="7788"/>
          <w:tab w:val="left" w:pos="8496"/>
        </w:tabs>
        <w:spacing w:line="360" w:lineRule="auto"/>
        <w:jc w:val="both"/>
        <w:rPr>
          <w:rFonts w:ascii="Arial" w:eastAsia="Arial" w:hAnsi="Arial" w:cs="Arial"/>
          <w:sz w:val="24"/>
          <w:szCs w:val="24"/>
        </w:rPr>
      </w:pPr>
      <w:r w:rsidRPr="00761681">
        <w:rPr>
          <w:rFonts w:ascii="Arial" w:hAnsi="Arial" w:cs="Arial"/>
          <w:sz w:val="24"/>
          <w:szCs w:val="24"/>
          <w:lang w:eastAsia="es-CO"/>
        </w:rPr>
        <w:t>SEGUNDO:</w:t>
      </w:r>
      <w:r w:rsidRPr="00761681">
        <w:rPr>
          <w:rFonts w:ascii="Arial" w:hAnsi="Arial" w:cs="Arial"/>
          <w:b/>
          <w:sz w:val="24"/>
          <w:szCs w:val="24"/>
          <w:lang w:eastAsia="es-CO"/>
        </w:rPr>
        <w:t xml:space="preserve"> </w:t>
      </w:r>
      <w:r w:rsidRPr="00761681">
        <w:rPr>
          <w:rFonts w:ascii="Arial" w:eastAsia="Arial Unicode MS" w:hAnsi="Arial" w:cs="Arial"/>
          <w:b/>
          <w:bCs/>
          <w:sz w:val="24"/>
          <w:szCs w:val="24"/>
          <w:u w:color="000000"/>
          <w:bdr w:val="nil"/>
          <w:lang w:eastAsia="es-CO"/>
        </w:rPr>
        <w:t>REMÍTASE</w:t>
      </w:r>
      <w:r w:rsidRPr="00761681">
        <w:rPr>
          <w:rFonts w:ascii="Arial" w:eastAsia="Arial Unicode MS" w:hAnsi="Arial" w:cs="Arial"/>
          <w:sz w:val="24"/>
          <w:szCs w:val="24"/>
          <w:u w:color="000000"/>
          <w:bdr w:val="nil"/>
          <w:lang w:eastAsia="es-CO"/>
        </w:rPr>
        <w:t xml:space="preserve"> el expediente a la Corte Constitucional para su eventual revisión, dentro de los diez (10) días siguientes a la ejecutoria de esta providencia.</w:t>
      </w:r>
    </w:p>
    <w:p w:rsidR="00D61D00" w:rsidRPr="00761681" w:rsidRDefault="00D61D00" w:rsidP="00D61D0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rPr>
          <w:rFonts w:ascii="Arial" w:hAnsi="Arial" w:cs="Arial"/>
          <w:sz w:val="24"/>
          <w:szCs w:val="24"/>
        </w:rPr>
      </w:pPr>
    </w:p>
    <w:p w:rsidR="00D61D00" w:rsidRPr="00761681" w:rsidRDefault="00D61D00" w:rsidP="00D61D00">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360" w:lineRule="auto"/>
        <w:jc w:val="both"/>
        <w:rPr>
          <w:rFonts w:ascii="Arial" w:hAnsi="Arial" w:cs="Arial"/>
          <w:sz w:val="24"/>
          <w:szCs w:val="24"/>
        </w:rPr>
      </w:pPr>
    </w:p>
    <w:p w:rsidR="00D61D00" w:rsidRPr="00761681" w:rsidRDefault="00D61D00" w:rsidP="00BF4709">
      <w:pPr>
        <w:pBdr>
          <w:top w:val="nil"/>
          <w:left w:val="nil"/>
          <w:bottom w:val="nil"/>
          <w:right w:val="nil"/>
          <w:between w:val="nil"/>
          <w:bar w:val="nil"/>
        </w:pBdr>
        <w:suppressAutoHyphens/>
        <w:spacing w:line="360" w:lineRule="auto"/>
        <w:jc w:val="both"/>
        <w:rPr>
          <w:rFonts w:ascii="Arial" w:eastAsia="Arial Unicode MS" w:hAnsi="Arial" w:cs="Arial"/>
          <w:b/>
          <w:bCs/>
          <w:sz w:val="24"/>
          <w:szCs w:val="24"/>
          <w:u w:color="000000"/>
          <w:bdr w:val="nil"/>
          <w:lang w:eastAsia="es-CO"/>
        </w:rPr>
      </w:pPr>
      <w:r w:rsidRPr="00761681">
        <w:rPr>
          <w:rFonts w:ascii="Arial" w:eastAsia="Arial Unicode MS" w:hAnsi="Arial" w:cs="Arial"/>
          <w:b/>
          <w:bCs/>
          <w:sz w:val="24"/>
          <w:szCs w:val="24"/>
          <w:u w:color="000000"/>
          <w:bdr w:val="nil"/>
          <w:lang w:eastAsia="es-CO"/>
        </w:rPr>
        <w:t>CÓPIESE, NOTIFÍQUESE, COMUNÍQUESE Y CÚMPLASE,</w:t>
      </w:r>
    </w:p>
    <w:p w:rsidR="00D61D00" w:rsidRPr="00761681" w:rsidRDefault="00D61D00" w:rsidP="00BF4709">
      <w:pPr>
        <w:pBdr>
          <w:top w:val="nil"/>
          <w:left w:val="nil"/>
          <w:bottom w:val="nil"/>
          <w:right w:val="nil"/>
          <w:between w:val="nil"/>
          <w:bar w:val="nil"/>
        </w:pBdr>
        <w:spacing w:line="360" w:lineRule="auto"/>
        <w:jc w:val="both"/>
        <w:rPr>
          <w:rFonts w:ascii="Arial" w:eastAsia="Arial Unicode MS" w:hAnsi="Arial" w:cs="Arial"/>
          <w:sz w:val="24"/>
          <w:szCs w:val="24"/>
          <w:u w:color="000000"/>
          <w:bdr w:val="nil"/>
          <w:lang w:eastAsia="es-CO"/>
        </w:rPr>
      </w:pPr>
    </w:p>
    <w:p w:rsidR="00D61D00" w:rsidRPr="00761681" w:rsidRDefault="00D61D00" w:rsidP="00BF4709">
      <w:pPr>
        <w:pBdr>
          <w:top w:val="nil"/>
          <w:left w:val="nil"/>
          <w:bottom w:val="nil"/>
          <w:right w:val="nil"/>
          <w:between w:val="nil"/>
          <w:bar w:val="nil"/>
        </w:pBdr>
        <w:spacing w:line="360" w:lineRule="auto"/>
        <w:jc w:val="both"/>
        <w:rPr>
          <w:rFonts w:ascii="Arial" w:eastAsia="Arial Unicode MS" w:hAnsi="Arial" w:cs="Arial"/>
          <w:sz w:val="24"/>
          <w:szCs w:val="24"/>
          <w:u w:color="000000"/>
          <w:bdr w:val="nil"/>
          <w:lang w:eastAsia="es-CO"/>
        </w:rPr>
      </w:pPr>
      <w:r w:rsidRPr="00761681">
        <w:rPr>
          <w:rFonts w:ascii="Arial" w:eastAsia="Arial Unicode MS" w:hAnsi="Arial" w:cs="Arial"/>
          <w:sz w:val="24"/>
          <w:szCs w:val="24"/>
          <w:u w:color="000000"/>
          <w:bdr w:val="nil"/>
          <w:lang w:eastAsia="es-CO"/>
        </w:rPr>
        <w:lastRenderedPageBreak/>
        <w:t>Se deja constancia que la anterior providencia fue leída, discutida y aprobada por la Sala, en la sesión del día 18 de mayo de 2017.</w:t>
      </w:r>
    </w:p>
    <w:p w:rsidR="00D61D00" w:rsidRPr="00761681" w:rsidRDefault="00D61D00" w:rsidP="00BF4709">
      <w:pPr>
        <w:pBdr>
          <w:top w:val="nil"/>
          <w:left w:val="nil"/>
          <w:bottom w:val="nil"/>
          <w:right w:val="nil"/>
          <w:between w:val="nil"/>
          <w:bar w:val="nil"/>
        </w:pBdr>
        <w:spacing w:line="360" w:lineRule="auto"/>
        <w:jc w:val="both"/>
        <w:rPr>
          <w:rFonts w:ascii="Arial" w:eastAsia="Arial Unicode MS" w:hAnsi="Arial" w:cs="Arial"/>
          <w:sz w:val="24"/>
          <w:szCs w:val="24"/>
          <w:u w:color="000000"/>
          <w:bdr w:val="nil"/>
          <w:lang w:eastAsia="es-CO"/>
        </w:rPr>
      </w:pPr>
    </w:p>
    <w:p w:rsidR="00D61D00" w:rsidRPr="00761681" w:rsidRDefault="00D61D00" w:rsidP="00BF4709">
      <w:pPr>
        <w:pBdr>
          <w:top w:val="nil"/>
          <w:left w:val="nil"/>
          <w:bottom w:val="nil"/>
          <w:right w:val="nil"/>
          <w:between w:val="nil"/>
          <w:bar w:val="nil"/>
        </w:pBdr>
        <w:spacing w:line="360" w:lineRule="auto"/>
        <w:jc w:val="both"/>
        <w:rPr>
          <w:rFonts w:ascii="Arial" w:eastAsia="Arial Unicode MS" w:hAnsi="Arial" w:cs="Arial"/>
          <w:sz w:val="24"/>
          <w:szCs w:val="24"/>
          <w:u w:color="000000"/>
          <w:bdr w:val="nil"/>
          <w:lang w:eastAsia="es-CO"/>
        </w:rPr>
      </w:pPr>
    </w:p>
    <w:p w:rsidR="00BF4709" w:rsidRPr="00761681" w:rsidRDefault="00D61D00" w:rsidP="00BF4709">
      <w:pPr>
        <w:jc w:val="center"/>
        <w:rPr>
          <w:rFonts w:ascii="Arial" w:hAnsi="Arial" w:cs="Arial"/>
          <w:b/>
          <w:sz w:val="24"/>
          <w:szCs w:val="24"/>
        </w:rPr>
      </w:pPr>
      <w:r w:rsidRPr="00761681">
        <w:rPr>
          <w:rFonts w:ascii="Arial" w:hAnsi="Arial" w:cs="Arial"/>
          <w:b/>
          <w:sz w:val="24"/>
          <w:szCs w:val="24"/>
        </w:rPr>
        <w:t>ROBERTO AUGUSTO SERRATO VALDÉS</w:t>
      </w:r>
    </w:p>
    <w:p w:rsidR="00BF4709" w:rsidRPr="00761681" w:rsidRDefault="00BF4709" w:rsidP="00BF4709">
      <w:pPr>
        <w:jc w:val="center"/>
        <w:rPr>
          <w:rFonts w:ascii="Arial" w:hAnsi="Arial" w:cs="Arial"/>
          <w:b/>
          <w:sz w:val="24"/>
          <w:szCs w:val="24"/>
        </w:rPr>
      </w:pPr>
      <w:r w:rsidRPr="00761681">
        <w:rPr>
          <w:rFonts w:ascii="Arial" w:hAnsi="Arial" w:cs="Arial"/>
          <w:b/>
          <w:sz w:val="24"/>
          <w:szCs w:val="24"/>
        </w:rPr>
        <w:t>Presidente</w:t>
      </w:r>
    </w:p>
    <w:p w:rsidR="00BF4709" w:rsidRPr="00761681" w:rsidRDefault="00BF4709" w:rsidP="00BF4709">
      <w:pPr>
        <w:jc w:val="center"/>
        <w:rPr>
          <w:rFonts w:ascii="Arial" w:hAnsi="Arial" w:cs="Arial"/>
          <w:b/>
          <w:sz w:val="24"/>
          <w:szCs w:val="24"/>
        </w:rPr>
      </w:pPr>
    </w:p>
    <w:p w:rsidR="00BF4709" w:rsidRPr="00761681" w:rsidRDefault="00BF4709" w:rsidP="00BF4709">
      <w:pPr>
        <w:jc w:val="center"/>
        <w:rPr>
          <w:rFonts w:ascii="Arial" w:hAnsi="Arial" w:cs="Arial"/>
          <w:b/>
          <w:sz w:val="24"/>
          <w:szCs w:val="24"/>
        </w:rPr>
      </w:pPr>
    </w:p>
    <w:p w:rsidR="00D61D00" w:rsidRPr="00761681" w:rsidRDefault="00D61D00" w:rsidP="00BF4709">
      <w:pPr>
        <w:jc w:val="center"/>
        <w:rPr>
          <w:rFonts w:ascii="Arial" w:hAnsi="Arial" w:cs="Arial"/>
          <w:b/>
          <w:sz w:val="24"/>
          <w:szCs w:val="24"/>
        </w:rPr>
      </w:pPr>
      <w:r w:rsidRPr="00761681">
        <w:rPr>
          <w:rFonts w:ascii="Arial" w:hAnsi="Arial" w:cs="Arial"/>
          <w:b/>
          <w:sz w:val="24"/>
          <w:szCs w:val="24"/>
        </w:rPr>
        <w:t>MARÍA ELIZABETH GARCÍA GONZÁLEZ</w:t>
      </w:r>
    </w:p>
    <w:p w:rsidR="00D61D00" w:rsidRPr="00761681" w:rsidRDefault="00D61D00" w:rsidP="00BF4709">
      <w:pPr>
        <w:jc w:val="center"/>
        <w:rPr>
          <w:rFonts w:ascii="Arial" w:hAnsi="Arial" w:cs="Arial"/>
          <w:b/>
          <w:sz w:val="24"/>
          <w:szCs w:val="24"/>
        </w:rPr>
      </w:pPr>
    </w:p>
    <w:p w:rsidR="00D61D00" w:rsidRPr="00761681" w:rsidRDefault="00D61D00" w:rsidP="00BF4709">
      <w:pPr>
        <w:jc w:val="center"/>
        <w:rPr>
          <w:rFonts w:ascii="Arial" w:hAnsi="Arial" w:cs="Arial"/>
          <w:b/>
          <w:sz w:val="24"/>
          <w:szCs w:val="24"/>
        </w:rPr>
      </w:pPr>
    </w:p>
    <w:p w:rsidR="00D61D00" w:rsidRPr="00EF46E8" w:rsidRDefault="00D61D00" w:rsidP="00BF4709">
      <w:pPr>
        <w:jc w:val="center"/>
        <w:rPr>
          <w:rFonts w:ascii="Arial" w:hAnsi="Arial" w:cs="Arial"/>
          <w:b/>
          <w:spacing w:val="-14"/>
          <w:sz w:val="24"/>
          <w:szCs w:val="24"/>
        </w:rPr>
      </w:pPr>
      <w:r w:rsidRPr="00761681">
        <w:rPr>
          <w:rFonts w:ascii="Arial" w:hAnsi="Arial" w:cs="Arial"/>
          <w:b/>
          <w:sz w:val="24"/>
          <w:szCs w:val="24"/>
        </w:rPr>
        <w:t>HERNANDO SÁNCHEZ SÁNCHEZ</w:t>
      </w:r>
    </w:p>
    <w:sectPr w:rsidR="00D61D00" w:rsidRPr="00EF46E8" w:rsidSect="00AD4C53">
      <w:pgSz w:w="12242" w:h="18722"/>
      <w:pgMar w:top="1701" w:right="1701" w:bottom="1701" w:left="1701"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6657" w:rsidRDefault="00316657" w:rsidP="00D61D00">
      <w:r>
        <w:separator/>
      </w:r>
    </w:p>
  </w:endnote>
  <w:endnote w:type="continuationSeparator" w:id="0">
    <w:p w:rsidR="00316657" w:rsidRDefault="00316657" w:rsidP="00D61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 Pro W3">
    <w:altName w:val="MS Gothic"/>
    <w:panose1 w:val="020B0604020202020204"/>
    <w:charset w:val="80"/>
    <w:family w:val="auto"/>
    <w:notTrueType/>
    <w:pitch w:val="variable"/>
    <w:sig w:usb0="00000000" w:usb1="08070000" w:usb2="00000010" w:usb3="00000000" w:csb0="00020000" w:csb1="00000000"/>
  </w:font>
  <w:font w:name="ヒラギノ角ゴ Pro W3">
    <w:altName w:val="MS Gothic"/>
    <w:panose1 w:val="020B0300000000000000"/>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6657" w:rsidRDefault="00316657" w:rsidP="00D61D00">
      <w:r>
        <w:separator/>
      </w:r>
    </w:p>
  </w:footnote>
  <w:footnote w:type="continuationSeparator" w:id="0">
    <w:p w:rsidR="00316657" w:rsidRDefault="00316657" w:rsidP="00D61D00">
      <w:r>
        <w:continuationSeparator/>
      </w:r>
    </w:p>
  </w:footnote>
  <w:footnote w:id="1">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183 del Cuaderno de Tutela (Certificado de existencia y representación legal suscrito por el Subdirector de Inspección y Vigilancia del Viceministro de Educación </w:t>
      </w:r>
      <w:proofErr w:type="gramStart"/>
      <w:r w:rsidRPr="0011176D">
        <w:rPr>
          <w:rFonts w:ascii="Arial" w:hAnsi="Arial" w:cs="Arial"/>
        </w:rPr>
        <w:t>Superior  en</w:t>
      </w:r>
      <w:proofErr w:type="gramEnd"/>
      <w:r w:rsidRPr="0011176D">
        <w:rPr>
          <w:rFonts w:ascii="Arial" w:hAnsi="Arial" w:cs="Arial"/>
        </w:rPr>
        <w:t xml:space="preserve"> cumplimiento de las funciones atribuidas por el Decreto 5012 de 2009 y la Resolución 01665 de 2015</w:t>
      </w:r>
    </w:p>
  </w:footnote>
  <w:footnote w:id="2">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8 del cuaderno de tutela.</w:t>
      </w:r>
    </w:p>
  </w:footnote>
  <w:footnote w:id="3">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43 del Cuaderno de tutela</w:t>
      </w:r>
    </w:p>
  </w:footnote>
  <w:footnote w:id="4">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61 del cuaderno de tutela</w:t>
      </w:r>
    </w:p>
  </w:footnote>
  <w:footnote w:id="5">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w:t>
      </w:r>
      <w:r w:rsidR="009F156C" w:rsidRPr="0011176D">
        <w:rPr>
          <w:rFonts w:ascii="Arial" w:hAnsi="Arial" w:cs="Arial"/>
        </w:rPr>
        <w:t>68 del</w:t>
      </w:r>
      <w:r w:rsidRPr="0011176D">
        <w:rPr>
          <w:rFonts w:ascii="Arial" w:hAnsi="Arial" w:cs="Arial"/>
        </w:rPr>
        <w:t xml:space="preserve"> cuaderno de tutela</w:t>
      </w:r>
    </w:p>
  </w:footnote>
  <w:footnote w:id="6">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89 del cuaderno de tutela.</w:t>
      </w:r>
    </w:p>
  </w:footnote>
  <w:footnote w:id="7">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108 del cuaderno de tutela.</w:t>
      </w:r>
    </w:p>
  </w:footnote>
  <w:footnote w:id="8">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185 del cuaderno de tutela.</w:t>
      </w:r>
    </w:p>
  </w:footnote>
  <w:footnote w:id="9">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89 del cuaderno de tutela.</w:t>
      </w:r>
    </w:p>
  </w:footnote>
  <w:footnote w:id="10">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Sentencia T-103</w:t>
      </w:r>
    </w:p>
  </w:footnote>
  <w:footnote w:id="11">
    <w:p w:rsidR="00D61D00" w:rsidRPr="0011176D" w:rsidRDefault="00D61D00" w:rsidP="0011176D">
      <w:pPr>
        <w:pStyle w:val="Sinespaciado"/>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Consejo de Estado, Sala Plena, accionante </w:t>
      </w:r>
      <w:r w:rsidRPr="0011176D">
        <w:rPr>
          <w:rStyle w:val="textonavy"/>
          <w:rFonts w:ascii="Arial" w:hAnsi="Arial" w:cs="Arial"/>
          <w:u w:color="FF0000"/>
        </w:rPr>
        <w:t xml:space="preserve">Nery Germania Álvarez Bello, </w:t>
      </w:r>
      <w:r w:rsidRPr="0011176D">
        <w:rPr>
          <w:rStyle w:val="textonavy"/>
          <w:rFonts w:ascii="Arial" w:hAnsi="Arial" w:cs="Arial"/>
          <w:iCs/>
          <w:u w:color="FF0000"/>
        </w:rPr>
        <w:t xml:space="preserve">Rad.: 2009-01328, M.P. María Elizabeth García González, </w:t>
      </w:r>
      <w:r w:rsidRPr="0011176D">
        <w:rPr>
          <w:rStyle w:val="textonavy"/>
          <w:rFonts w:ascii="Arial" w:hAnsi="Arial" w:cs="Arial"/>
          <w:u w:color="FF0000"/>
        </w:rPr>
        <w:t>el 31 de julio de 2012</w:t>
      </w:r>
      <w:r w:rsidRPr="0011176D">
        <w:rPr>
          <w:rFonts w:ascii="Arial" w:hAnsi="Arial" w:cs="Arial"/>
          <w:bCs/>
          <w:spacing w:val="-3"/>
        </w:rPr>
        <w:t xml:space="preserve">.  </w:t>
      </w:r>
    </w:p>
  </w:footnote>
  <w:footnote w:id="12">
    <w:p w:rsidR="00D61D00" w:rsidRPr="0011176D" w:rsidRDefault="00D61D00" w:rsidP="0011176D">
      <w:pPr>
        <w:pStyle w:val="Textonotapie"/>
        <w:jc w:val="both"/>
        <w:rPr>
          <w:rFonts w:ascii="Arial" w:hAnsi="Arial" w:cs="Arial"/>
        </w:rPr>
      </w:pPr>
      <w:r w:rsidRPr="0011176D">
        <w:rPr>
          <w:rStyle w:val="textonavy"/>
          <w:rFonts w:ascii="Arial" w:eastAsia="Arial" w:hAnsi="Arial" w:cs="Arial"/>
          <w:vertAlign w:val="superscript"/>
        </w:rPr>
        <w:footnoteRef/>
      </w:r>
      <w:r w:rsidRPr="0011176D">
        <w:rPr>
          <w:rStyle w:val="textonavy"/>
          <w:rFonts w:ascii="Arial" w:hAnsi="Arial" w:cs="Arial"/>
        </w:rPr>
        <w:t xml:space="preserve"> Corte Constitucional. Sentencia de 3 de septiembre de 2009, Rad.: T-619, Magistrado Ponente: Dr. Jorge Iván Palacio Palacio.</w:t>
      </w:r>
    </w:p>
  </w:footnote>
  <w:footnote w:id="13">
    <w:p w:rsidR="00D61D00" w:rsidRPr="0011176D" w:rsidRDefault="00D61D00" w:rsidP="0011176D">
      <w:pPr>
        <w:pStyle w:val="Textonotapie"/>
        <w:jc w:val="both"/>
        <w:rPr>
          <w:rStyle w:val="textonavy"/>
          <w:rFonts w:ascii="Arial" w:hAnsi="Arial" w:cs="Arial"/>
        </w:rPr>
      </w:pPr>
      <w:r w:rsidRPr="0011176D">
        <w:rPr>
          <w:rStyle w:val="textonavy"/>
          <w:rFonts w:ascii="Arial" w:eastAsia="Arial" w:hAnsi="Arial" w:cs="Arial"/>
          <w:vertAlign w:val="superscript"/>
        </w:rPr>
        <w:footnoteRef/>
      </w:r>
      <w:r w:rsidRPr="0011176D">
        <w:rPr>
          <w:rStyle w:val="textonavy"/>
          <w:rFonts w:ascii="Arial" w:hAnsi="Arial" w:cs="Arial"/>
        </w:rPr>
        <w:t xml:space="preserve"> Corte Constitucional. Sentencia T- 225 del 23 de marzo de 2010, Magistrado Ponente: Dr. Mauricio González Cuervo.</w:t>
      </w:r>
    </w:p>
  </w:footnote>
  <w:footnote w:id="14">
    <w:p w:rsidR="00D61D00" w:rsidRPr="0011176D" w:rsidRDefault="00D61D00" w:rsidP="0011176D">
      <w:pPr>
        <w:pStyle w:val="Textonotapie"/>
        <w:jc w:val="both"/>
        <w:rPr>
          <w:rFonts w:ascii="Arial" w:hAnsi="Arial" w:cs="Arial"/>
        </w:rPr>
      </w:pPr>
      <w:r w:rsidRPr="0011176D">
        <w:rPr>
          <w:rStyle w:val="Refdenotaalpie"/>
          <w:rFonts w:ascii="Arial" w:eastAsia="ヒラギノ角ゴ Pro W3" w:hAnsi="Arial" w:cs="Arial"/>
        </w:rPr>
        <w:footnoteRef/>
      </w:r>
      <w:r w:rsidRPr="0011176D">
        <w:rPr>
          <w:rFonts w:ascii="Arial" w:hAnsi="Arial" w:cs="Arial"/>
        </w:rPr>
        <w:t xml:space="preserve"> Sobre el cumplimiento del requisito de relevancia constitucional la suscrita Magistrada expuso en aclaración de voto de la sentencia de tutela de dos (2) de mayo de 2013, con radicado número 2012-01598, Actora: Annie Sanmiguel Ortiz, </w:t>
      </w:r>
      <w:r w:rsidR="00A258BE" w:rsidRPr="0011176D">
        <w:rPr>
          <w:rFonts w:ascii="Arial" w:hAnsi="Arial" w:cs="Arial"/>
        </w:rPr>
        <w:t>C</w:t>
      </w:r>
      <w:r w:rsidR="00A258BE">
        <w:rPr>
          <w:rFonts w:ascii="Arial" w:hAnsi="Arial" w:cs="Arial"/>
        </w:rPr>
        <w:t>.</w:t>
      </w:r>
      <w:r w:rsidR="00A258BE" w:rsidRPr="0011176D">
        <w:rPr>
          <w:rFonts w:ascii="Arial" w:hAnsi="Arial" w:cs="Arial"/>
        </w:rPr>
        <w:t xml:space="preserve"> P</w:t>
      </w:r>
      <w:r w:rsidR="00A258BE">
        <w:rPr>
          <w:rFonts w:ascii="Arial" w:hAnsi="Arial" w:cs="Arial"/>
        </w:rPr>
        <w:t>.</w:t>
      </w:r>
      <w:r w:rsidRPr="0011176D">
        <w:rPr>
          <w:rFonts w:ascii="Arial" w:hAnsi="Arial" w:cs="Arial"/>
        </w:rPr>
        <w:t>: Dr. Guillermo Vargas Ayala:</w:t>
      </w:r>
    </w:p>
    <w:p w:rsidR="00D61D00" w:rsidRPr="0011176D" w:rsidRDefault="00D61D00" w:rsidP="0011176D">
      <w:pPr>
        <w:pStyle w:val="Textonotapie"/>
        <w:jc w:val="both"/>
        <w:rPr>
          <w:rFonts w:ascii="Arial" w:hAnsi="Arial" w:cs="Arial"/>
          <w:i/>
        </w:rPr>
      </w:pPr>
      <w:r w:rsidRPr="0011176D">
        <w:rPr>
          <w:rFonts w:ascii="Arial" w:hAnsi="Arial" w:cs="Arial"/>
          <w:i/>
        </w:rPr>
        <w:t>“Si, como dice el fallo respecto del cual aclaro el voto, la Sala estudia las causales de procedibilidad entre las que se encuentra la “relevancia constitucional” y en ejercicio de sus funciones de juez constitucional de instancia, “la eventual violación de un derecho fundamental y su consecuente amparo que es su propia relevancia o importancia constitucional”, ello significaría que todos los casos de acción de tutela  tendrían, de suyo, relevancia constitucional, puesto que precisamente la acción de tutela tiene como finalidad el estudio de las eventuales violaciones de derechos fundamentales y su consecuente amparo. Resultaría entonces inocuo exigirla como requisito general de procedibilidad, pues estaría de por sí presente en todos los casos de acciones de tutela contra sentencias judiciales. Por lo tanto, en mi criterio considero que cuando la Corte Constitucional estableció como requisito general de procedibilidad el de la “relevancia constitucional”, lo hizo buscando que la acción de tutela contra sentencias judiciales, que tiene un carácter restringido y excepcional, tuviera efectivamente alguna repercusión constitucional que ameritara pasar por encima de conceptos como el de la cosa juzgada, la seguridad jurídica y el juez natural.”</w:t>
      </w:r>
    </w:p>
  </w:footnote>
  <w:footnote w:id="15">
    <w:p w:rsidR="00D61D00" w:rsidRPr="0011176D" w:rsidRDefault="00D61D00" w:rsidP="0011176D">
      <w:pPr>
        <w:pStyle w:val="Textonotapie"/>
        <w:jc w:val="both"/>
        <w:rPr>
          <w:rFonts w:ascii="Arial" w:hAnsi="Arial" w:cs="Arial"/>
        </w:rPr>
      </w:pPr>
      <w:r w:rsidRPr="0011176D">
        <w:rPr>
          <w:rStyle w:val="Refdenotaalpie"/>
          <w:rFonts w:ascii="Arial" w:eastAsia="ヒラギノ角ゴ Pro W3" w:hAnsi="Arial" w:cs="Arial"/>
        </w:rPr>
        <w:footnoteRef/>
      </w:r>
      <w:r w:rsidRPr="0011176D">
        <w:rPr>
          <w:rFonts w:ascii="Arial" w:hAnsi="Arial" w:cs="Arial"/>
        </w:rPr>
        <w:t xml:space="preserve">Sentencia del cinco (5) de agosto de 2014, </w:t>
      </w:r>
      <w:r w:rsidR="00A258BE" w:rsidRPr="0011176D">
        <w:rPr>
          <w:rFonts w:ascii="Arial" w:hAnsi="Arial" w:cs="Arial"/>
        </w:rPr>
        <w:t>C</w:t>
      </w:r>
      <w:r w:rsidR="00A258BE">
        <w:rPr>
          <w:rFonts w:ascii="Arial" w:hAnsi="Arial" w:cs="Arial"/>
        </w:rPr>
        <w:t>.</w:t>
      </w:r>
      <w:r w:rsidR="00A258BE" w:rsidRPr="0011176D">
        <w:rPr>
          <w:rFonts w:ascii="Arial" w:hAnsi="Arial" w:cs="Arial"/>
        </w:rPr>
        <w:t xml:space="preserve"> P</w:t>
      </w:r>
      <w:r w:rsidR="00A258BE">
        <w:rPr>
          <w:rFonts w:ascii="Arial" w:hAnsi="Arial" w:cs="Arial"/>
        </w:rPr>
        <w:t>.</w:t>
      </w:r>
      <w:r w:rsidRPr="0011176D">
        <w:rPr>
          <w:rFonts w:ascii="Arial" w:hAnsi="Arial" w:cs="Arial"/>
        </w:rPr>
        <w:t xml:space="preserve">: Jorge Octavio Ramírez Ramírez, Radicado nro. 11001-03-15-000-2012-02201-01, Demandante: ALPINA PRODUCTOS ALIMENTICIOS S.A., Demandado: Consejo de Estado – Sección Primera. En dicho pronunciamiento, en lo pertinente, se sostuvo: </w:t>
      </w:r>
      <w:r w:rsidRPr="0011176D">
        <w:rPr>
          <w:rFonts w:ascii="Arial" w:hAnsi="Arial" w:cs="Arial"/>
          <w:i/>
        </w:rPr>
        <w:t>“Anótese que el término o plazo de inmediatez no es único. Eso explica que las diversas secciones del Consejo de Estado hayan fijado pautas diferentes sobre este aspecto.</w:t>
      </w:r>
    </w:p>
    <w:p w:rsidR="00D61D00" w:rsidRPr="0011176D" w:rsidRDefault="00D61D00" w:rsidP="0011176D">
      <w:pPr>
        <w:pStyle w:val="Textonotapie"/>
        <w:jc w:val="both"/>
        <w:rPr>
          <w:rFonts w:ascii="Arial" w:hAnsi="Arial" w:cs="Arial"/>
          <w:i/>
        </w:rPr>
      </w:pPr>
      <w:r w:rsidRPr="0011176D">
        <w:rPr>
          <w:rFonts w:ascii="Arial" w:hAnsi="Arial" w:cs="Arial"/>
          <w:i/>
        </w:rPr>
        <w:t>Por eso, la Sala Plena, como regla general, acoge un plazo de seis meses, contados a partir de la notificación o ejecutoria de la sentencia, según el caso, para determinar si la acción de tutela contra providencias judiciales se ejerce oportunamente. Se ha estimado como aceptable ese plazo, teniendo en cuenta la naturaleza del acto jurisdiccional, los plazos previstos en la ley para la interposición de los recursos ordinarios y extraordinarios contra las mismas, el derecho a la tutela judicial efectiva y la necesidad de que las situaciones jurídicas resueltas logren certeza y estabilidad. La regla general del plazo de seis meses se acoge, además, teniendo en cuenta: i) que el plazo ha sido considerado como razonable por la jurisprudencia de la Corte Constitucional y; (ii) se trata de una decisión judicial adoptada en un proceso jurisdiccional.”</w:t>
      </w:r>
    </w:p>
    <w:p w:rsidR="00D61D00" w:rsidRPr="0011176D" w:rsidRDefault="00D61D00" w:rsidP="0011176D">
      <w:pPr>
        <w:pStyle w:val="Textonotapie"/>
        <w:jc w:val="both"/>
        <w:rPr>
          <w:rFonts w:ascii="Arial" w:hAnsi="Arial" w:cs="Arial"/>
          <w:i/>
        </w:rPr>
      </w:pPr>
    </w:p>
  </w:footnote>
  <w:footnote w:id="16">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b/>
          <w:bCs/>
          <w:lang w:val="es-CO"/>
        </w:rPr>
        <w:t>Artículo 26. </w:t>
      </w:r>
      <w:r w:rsidRPr="0011176D">
        <w:rPr>
          <w:rFonts w:ascii="Arial" w:hAnsi="Arial" w:cs="Arial"/>
          <w:b/>
          <w:bCs/>
          <w:i/>
          <w:iCs/>
          <w:lang w:val="es-CO"/>
        </w:rPr>
        <w:t>Insistencia del solicitante en caso de reserva.</w:t>
      </w:r>
      <w:r w:rsidRPr="0011176D">
        <w:rPr>
          <w:rFonts w:ascii="Arial" w:hAnsi="Arial" w:cs="Arial"/>
          <w:i/>
          <w:iCs/>
          <w:lang w:val="es-CO"/>
        </w:rPr>
        <w:t> </w:t>
      </w:r>
      <w:r w:rsidRPr="0011176D">
        <w:rPr>
          <w:rFonts w:ascii="Arial" w:hAnsi="Arial" w:cs="Arial"/>
          <w:lang w:val="es-CO"/>
        </w:rPr>
        <w:t>Si la persona interesada insistiere en su petición de información o de documentos ante la autoridad que invoca la reserva, corresponderá al Tribunal Administrativo con jurisdicción en el lugar donde se encuentren los documentos, si se trata de autoridades nacionales, departamentales o del Distrito Capital de Bogotá, o al juez administrativo si se trata de autoridades distritales y municipales decidir en única instancia si se niega o se acepta, total o parcialmente, la petición formulada.</w:t>
      </w:r>
    </w:p>
    <w:p w:rsidR="00D61D00" w:rsidRPr="0011176D" w:rsidRDefault="00D61D00" w:rsidP="0011176D">
      <w:pPr>
        <w:pStyle w:val="Textonotapie"/>
        <w:jc w:val="both"/>
        <w:rPr>
          <w:rFonts w:ascii="Arial" w:hAnsi="Arial" w:cs="Arial"/>
          <w:lang w:val="es-CO"/>
        </w:rPr>
      </w:pPr>
      <w:r w:rsidRPr="0011176D">
        <w:rPr>
          <w:rFonts w:ascii="Arial" w:hAnsi="Arial" w:cs="Arial"/>
          <w:lang w:val="es-CO"/>
        </w:rPr>
        <w:t>Para ello, el funcionario respectivo enviará la documentación correspondiente al tribunal o al juez administrativo, el cual decidirá dentro de los diez (10) días siguientes….”</w:t>
      </w:r>
    </w:p>
  </w:footnote>
  <w:footnote w:id="17">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Artículo 23. Toda persona tiene derecho a presentar peticiones respetuosas a las autoridades por motivos de interés general o particular y a obtener pronta resolución. El legislador podrá reglamentar su ejercicio ante organizaciones privadas para garantizar los derechos fundamentales. </w:t>
      </w:r>
    </w:p>
  </w:footnote>
  <w:footnote w:id="18">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ARTÍCULO 26. INSISTENCIA DEL SOLICITANTE EN CASO DE RESERVA. Si la persona interesada insistiere en su petición de información o de documentos ante la autoridad que invoca la reserva, corresponderá al Tribunal Administrativo con jurisdicción en el lugar donde se encuentren los documentos, si se trata de autoridades nacionales, departamentales o del Distrito Capital de Bogotá, o al juez administrativo si se trata de autoridades distritales y municipales decidir en única instancia si se niega o se acepta, total o parcialmente, la petición formulada. Para ello, el f uncionario respectivo </w:t>
      </w:r>
      <w:proofErr w:type="gramStart"/>
      <w:r w:rsidRPr="0011176D">
        <w:rPr>
          <w:rFonts w:ascii="Arial" w:hAnsi="Arial" w:cs="Arial"/>
        </w:rPr>
        <w:t>enviará  la</w:t>
      </w:r>
      <w:proofErr w:type="gramEnd"/>
      <w:r w:rsidRPr="0011176D">
        <w:rPr>
          <w:rFonts w:ascii="Arial" w:hAnsi="Arial" w:cs="Arial"/>
        </w:rPr>
        <w:t xml:space="preserve"> documentación correspondiente al tribunal o al juez administrativo, el cual decidirá dentro de los diez (10) días siguientes.</w:t>
      </w:r>
    </w:p>
  </w:footnote>
  <w:footnote w:id="19">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Sentencia T-051 de 2016.</w:t>
      </w:r>
    </w:p>
  </w:footnote>
  <w:footnote w:id="20">
    <w:p w:rsidR="00D61D00" w:rsidRPr="0011176D" w:rsidRDefault="00D61D00" w:rsidP="0011176D">
      <w:pPr>
        <w:pStyle w:val="Textonotapie"/>
        <w:jc w:val="both"/>
        <w:rPr>
          <w:rFonts w:ascii="Arial" w:hAnsi="Arial" w:cs="Arial"/>
          <w:color w:val="7F7F7F"/>
          <w:lang w:val="es-CO"/>
        </w:rPr>
      </w:pPr>
      <w:r w:rsidRPr="0011176D">
        <w:rPr>
          <w:rStyle w:val="Refdenotaalpie"/>
          <w:rFonts w:ascii="Arial" w:hAnsi="Arial" w:cs="Arial"/>
          <w:color w:val="7F7F7F"/>
        </w:rPr>
        <w:footnoteRef/>
      </w:r>
      <w:r w:rsidRPr="0011176D">
        <w:rPr>
          <w:rFonts w:ascii="Arial" w:hAnsi="Arial" w:cs="Arial"/>
          <w:color w:val="7F7F7F"/>
        </w:rPr>
        <w:t xml:space="preserve"> </w:t>
      </w:r>
      <w:r w:rsidRPr="0011176D">
        <w:rPr>
          <w:rFonts w:ascii="Arial" w:hAnsi="Arial" w:cs="Arial"/>
          <w:color w:val="7F7F7F"/>
          <w:shd w:val="clear" w:color="auto" w:fill="FFFFFF"/>
        </w:rPr>
        <w:t>Consultar, entre otras, las sentencias SU-544 de 2001, T-599 de 2002, T-803 de 2002, T-273 de 2006, T-093 de 2008, SU-037 de 2009, T-565 de 2009, T-424 de 2010, T-520 de 2010, T-859 de 2010, T-1043 de 2010,  T-076 de 2011, T-333 de 2011, T-377A de 2011, T-391 de 2013, T-627 de 2013, T-502 de 2015 y T-575 de 2015.</w:t>
      </w:r>
    </w:p>
  </w:footnote>
  <w:footnote w:id="21">
    <w:p w:rsidR="00D61D00" w:rsidRPr="0011176D" w:rsidRDefault="00D61D00" w:rsidP="0011176D">
      <w:pPr>
        <w:pStyle w:val="Textonotapie"/>
        <w:jc w:val="both"/>
        <w:rPr>
          <w:rFonts w:ascii="Arial" w:hAnsi="Arial" w:cs="Arial"/>
          <w:color w:val="7F7F7F"/>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color w:val="7F7F7F"/>
          <w:lang w:val="es-CO"/>
        </w:rPr>
        <w:t>ROBERTO AUGUSTO SERRATO VALDÉS Bogotá, D.C., quince (15) de diciembre de dos mil dieciséis (2016) Radicación número: 11001-03-15-000-2015-03130-01(AC)</w:t>
      </w:r>
    </w:p>
  </w:footnote>
  <w:footnote w:id="22">
    <w:p w:rsidR="00D61D00" w:rsidRPr="0011176D" w:rsidRDefault="00D61D00" w:rsidP="0011176D">
      <w:pPr>
        <w:widowControl w:val="0"/>
        <w:jc w:val="both"/>
        <w:rPr>
          <w:rFonts w:ascii="Arial" w:hAnsi="Arial" w:cs="Arial"/>
          <w:b/>
          <w:bCs/>
          <w:sz w:val="20"/>
          <w:szCs w:val="20"/>
          <w:lang w:val="es-ES"/>
        </w:rPr>
      </w:pPr>
      <w:r w:rsidRPr="0011176D">
        <w:rPr>
          <w:rStyle w:val="Refdenotaalpie"/>
          <w:rFonts w:ascii="Arial" w:hAnsi="Arial" w:cs="Arial"/>
          <w:sz w:val="20"/>
          <w:szCs w:val="20"/>
        </w:rPr>
        <w:footnoteRef/>
      </w:r>
      <w:r w:rsidRPr="0011176D">
        <w:rPr>
          <w:rFonts w:ascii="Arial" w:hAnsi="Arial" w:cs="Arial"/>
          <w:sz w:val="20"/>
          <w:szCs w:val="20"/>
        </w:rPr>
        <w:t xml:space="preserve"> </w:t>
      </w:r>
      <w:r w:rsidRPr="0011176D">
        <w:rPr>
          <w:rFonts w:ascii="Arial" w:hAnsi="Arial" w:cs="Arial"/>
          <w:b/>
          <w:bCs/>
          <w:sz w:val="20"/>
          <w:szCs w:val="20"/>
          <w:lang w:val="es-ES"/>
        </w:rPr>
        <w:t xml:space="preserve">Artículo 285. </w:t>
      </w:r>
      <w:r w:rsidRPr="0011176D">
        <w:rPr>
          <w:rFonts w:ascii="Arial" w:hAnsi="Arial" w:cs="Arial"/>
          <w:b/>
          <w:bCs/>
          <w:i/>
          <w:iCs/>
          <w:sz w:val="20"/>
          <w:szCs w:val="20"/>
          <w:lang w:val="es-ES"/>
        </w:rPr>
        <w:t>Aclaración.</w:t>
      </w:r>
    </w:p>
    <w:p w:rsidR="00D61D00" w:rsidRPr="0011176D" w:rsidRDefault="00D61D00" w:rsidP="0011176D">
      <w:pPr>
        <w:widowControl w:val="0"/>
        <w:jc w:val="both"/>
        <w:rPr>
          <w:rFonts w:ascii="Arial" w:hAnsi="Arial" w:cs="Arial"/>
          <w:sz w:val="20"/>
          <w:szCs w:val="20"/>
          <w:lang w:val="es-ES"/>
        </w:rPr>
      </w:pPr>
      <w:r w:rsidRPr="0011176D">
        <w:rPr>
          <w:rFonts w:ascii="Arial" w:hAnsi="Arial" w:cs="Arial"/>
          <w:sz w:val="20"/>
          <w:szCs w:val="20"/>
          <w:lang w:val="es-ES"/>
        </w:rPr>
        <w:t>La sentencia no es revocable ni reformable por el juez que la pronunció. Sin embargo, podrá ser aclarada, de oficio o a solicitud de parte, cuando contenga conceptos o frases que ofrezcan verdadero motivo de duda, siempre que estén contenidas en la parte resolutiva de la sentencia o influyan en ella.</w:t>
      </w:r>
    </w:p>
    <w:p w:rsidR="00D61D00" w:rsidRPr="0011176D" w:rsidRDefault="00D61D00" w:rsidP="0011176D">
      <w:pPr>
        <w:widowControl w:val="0"/>
        <w:jc w:val="both"/>
        <w:rPr>
          <w:rFonts w:ascii="Arial" w:hAnsi="Arial" w:cs="Arial"/>
          <w:sz w:val="20"/>
          <w:szCs w:val="20"/>
          <w:lang w:val="es-ES"/>
        </w:rPr>
      </w:pPr>
      <w:r w:rsidRPr="0011176D">
        <w:rPr>
          <w:rFonts w:ascii="Arial" w:hAnsi="Arial" w:cs="Arial"/>
          <w:sz w:val="20"/>
          <w:szCs w:val="20"/>
          <w:lang w:val="es-ES"/>
        </w:rPr>
        <w:t>En las mismas circunstancias procederá la aclaración de auto. La aclaración procederá de oficio o a petición de parte formulada dentro del término de ejecutoria de la providencia.</w:t>
      </w:r>
    </w:p>
    <w:p w:rsidR="00D61D00" w:rsidRPr="00EF46E8" w:rsidRDefault="00D61D00" w:rsidP="00EF46E8">
      <w:pPr>
        <w:widowControl w:val="0"/>
        <w:jc w:val="both"/>
        <w:rPr>
          <w:rFonts w:ascii="Arial" w:hAnsi="Arial" w:cs="Arial"/>
          <w:sz w:val="20"/>
          <w:szCs w:val="20"/>
          <w:lang w:val="es-ES"/>
        </w:rPr>
      </w:pPr>
      <w:r w:rsidRPr="0011176D">
        <w:rPr>
          <w:rFonts w:ascii="Arial" w:hAnsi="Arial" w:cs="Arial"/>
          <w:sz w:val="20"/>
          <w:szCs w:val="20"/>
          <w:lang w:val="es-ES"/>
        </w:rPr>
        <w:t>La providencia que resuelva sobre la aclaración no admite recursos, pero dentro de su ejecutoria podrán interponerse los que procedan contra la pr</w:t>
      </w:r>
      <w:r w:rsidR="00EF46E8">
        <w:rPr>
          <w:rFonts w:ascii="Arial" w:hAnsi="Arial" w:cs="Arial"/>
          <w:sz w:val="20"/>
          <w:szCs w:val="20"/>
          <w:lang w:val="es-ES"/>
        </w:rPr>
        <w:t>ovidencia objeto de aclaración.</w:t>
      </w:r>
    </w:p>
  </w:footnote>
  <w:footnote w:id="23">
    <w:p w:rsidR="00D61D00" w:rsidRPr="0011176D" w:rsidRDefault="00D61D00" w:rsidP="0011176D">
      <w:pPr>
        <w:widowControl w:val="0"/>
        <w:jc w:val="both"/>
        <w:rPr>
          <w:rFonts w:ascii="Arial" w:hAnsi="Arial" w:cs="Arial"/>
          <w:sz w:val="20"/>
          <w:szCs w:val="20"/>
          <w:lang w:val="es-ES"/>
        </w:rPr>
      </w:pPr>
      <w:r w:rsidRPr="0011176D">
        <w:rPr>
          <w:rStyle w:val="Refdenotaalpie"/>
          <w:rFonts w:ascii="Arial" w:hAnsi="Arial" w:cs="Arial"/>
          <w:sz w:val="20"/>
          <w:szCs w:val="20"/>
        </w:rPr>
        <w:footnoteRef/>
      </w:r>
      <w:r w:rsidRPr="0011176D">
        <w:rPr>
          <w:rFonts w:ascii="Arial" w:hAnsi="Arial" w:cs="Arial"/>
          <w:sz w:val="20"/>
          <w:szCs w:val="20"/>
        </w:rPr>
        <w:t xml:space="preserve"> </w:t>
      </w:r>
      <w:r w:rsidRPr="0011176D">
        <w:rPr>
          <w:rFonts w:ascii="Arial" w:hAnsi="Arial" w:cs="Arial"/>
          <w:b/>
          <w:bCs/>
          <w:sz w:val="20"/>
          <w:szCs w:val="20"/>
          <w:lang w:val="es-ES"/>
        </w:rPr>
        <w:t xml:space="preserve">Artículo 287. </w:t>
      </w:r>
      <w:r w:rsidRPr="0011176D">
        <w:rPr>
          <w:rFonts w:ascii="Arial" w:hAnsi="Arial" w:cs="Arial"/>
          <w:b/>
          <w:bCs/>
          <w:i/>
          <w:iCs/>
          <w:sz w:val="20"/>
          <w:szCs w:val="20"/>
          <w:lang w:val="es-ES"/>
        </w:rPr>
        <w:t>Adición.</w:t>
      </w:r>
    </w:p>
    <w:p w:rsidR="00D61D00" w:rsidRPr="0011176D" w:rsidRDefault="00D61D00" w:rsidP="0011176D">
      <w:pPr>
        <w:widowControl w:val="0"/>
        <w:jc w:val="both"/>
        <w:rPr>
          <w:rFonts w:ascii="Arial" w:hAnsi="Arial" w:cs="Arial"/>
          <w:sz w:val="20"/>
          <w:szCs w:val="20"/>
          <w:lang w:val="es-ES"/>
        </w:rPr>
      </w:pPr>
      <w:r w:rsidRPr="0011176D">
        <w:rPr>
          <w:rFonts w:ascii="Arial" w:hAnsi="Arial" w:cs="Arial"/>
          <w:sz w:val="20"/>
          <w:szCs w:val="20"/>
          <w:lang w:val="es-ES"/>
        </w:rPr>
        <w:t>Cuando la sentencia omita resolver sobre cualquiera de los extremos de la litis o sobre cualquier otro punto que de conformidad con la ley debía ser objeto de pronunciamiento, deberá adicionarse por medio de sentencia complementaria, dentro de la ejecutoria, de oficio o a solicitud de parte presentada en la misma oportunidad.</w:t>
      </w:r>
    </w:p>
    <w:p w:rsidR="00D61D00" w:rsidRPr="0011176D" w:rsidRDefault="00D61D00" w:rsidP="0011176D">
      <w:pPr>
        <w:widowControl w:val="0"/>
        <w:jc w:val="both"/>
        <w:rPr>
          <w:rFonts w:ascii="Arial" w:hAnsi="Arial" w:cs="Arial"/>
          <w:sz w:val="20"/>
          <w:szCs w:val="20"/>
          <w:lang w:val="es-ES"/>
        </w:rPr>
      </w:pPr>
      <w:r w:rsidRPr="0011176D">
        <w:rPr>
          <w:rFonts w:ascii="Arial" w:hAnsi="Arial" w:cs="Arial"/>
          <w:sz w:val="20"/>
          <w:szCs w:val="20"/>
          <w:lang w:val="es-ES"/>
        </w:rPr>
        <w:t>El juez de segunda instancia deberá complementar la sentencia del inferior siempre que la parte perjudicada con la omisión haya apelado; pero si dejó de resolver la demanda de reconvención o la de un proceso acumulado, le devolverá el expediente para que dicte sentencia complementaria.</w:t>
      </w:r>
    </w:p>
    <w:p w:rsidR="00D61D00" w:rsidRPr="0011176D" w:rsidRDefault="00D61D00" w:rsidP="0011176D">
      <w:pPr>
        <w:widowControl w:val="0"/>
        <w:jc w:val="both"/>
        <w:rPr>
          <w:rFonts w:ascii="Arial" w:hAnsi="Arial" w:cs="Arial"/>
          <w:sz w:val="20"/>
          <w:szCs w:val="20"/>
          <w:lang w:val="es-ES"/>
        </w:rPr>
      </w:pPr>
      <w:r w:rsidRPr="0011176D">
        <w:rPr>
          <w:rFonts w:ascii="Arial" w:hAnsi="Arial" w:cs="Arial"/>
          <w:sz w:val="20"/>
          <w:szCs w:val="20"/>
          <w:lang w:val="es-ES"/>
        </w:rPr>
        <w:t>Los autos solo podrán adicionarse de oficio dentro del término de su ejecutoria, o a solicitud de parte presentada en el mismo término.</w:t>
      </w:r>
    </w:p>
    <w:p w:rsidR="00D61D00" w:rsidRPr="0011176D" w:rsidRDefault="00D61D00" w:rsidP="0011176D">
      <w:pPr>
        <w:pStyle w:val="Textonotapie"/>
        <w:jc w:val="both"/>
        <w:rPr>
          <w:rFonts w:ascii="Arial" w:hAnsi="Arial" w:cs="Arial"/>
        </w:rPr>
      </w:pPr>
      <w:r w:rsidRPr="0011176D">
        <w:rPr>
          <w:rFonts w:ascii="Arial" w:eastAsia="Calibri" w:hAnsi="Arial" w:cs="Arial"/>
          <w:lang w:val="es-ES"/>
        </w:rPr>
        <w:t>Dentro del término de ejecutoria de la providencia que resuelva sobre la complementación podrá recurrirse también la providencia principal.</w:t>
      </w:r>
    </w:p>
  </w:footnote>
  <w:footnote w:id="24">
    <w:p w:rsidR="00D61D00" w:rsidRPr="0011176D" w:rsidRDefault="00D61D00" w:rsidP="0011176D">
      <w:pPr>
        <w:widowControl w:val="0"/>
        <w:jc w:val="both"/>
        <w:rPr>
          <w:rFonts w:ascii="Arial" w:hAnsi="Arial" w:cs="Arial"/>
          <w:sz w:val="20"/>
          <w:szCs w:val="20"/>
        </w:rPr>
      </w:pPr>
      <w:r w:rsidRPr="0011176D">
        <w:rPr>
          <w:rStyle w:val="Refdenotaalpie"/>
          <w:rFonts w:ascii="Arial" w:hAnsi="Arial" w:cs="Arial"/>
          <w:sz w:val="20"/>
          <w:szCs w:val="20"/>
        </w:rPr>
        <w:footnoteRef/>
      </w:r>
      <w:r w:rsidRPr="0011176D">
        <w:rPr>
          <w:rFonts w:ascii="Arial" w:hAnsi="Arial" w:cs="Arial"/>
          <w:sz w:val="20"/>
          <w:szCs w:val="20"/>
        </w:rPr>
        <w:t xml:space="preserve"> </w:t>
      </w:r>
      <w:r w:rsidRPr="0011176D">
        <w:rPr>
          <w:rFonts w:ascii="Arial" w:hAnsi="Arial" w:cs="Arial"/>
          <w:sz w:val="20"/>
          <w:szCs w:val="20"/>
        </w:rPr>
        <w:t xml:space="preserve">Sentencia de 10 de septiembre de 2015, expediente nro. 2015-01265-01, </w:t>
      </w:r>
      <w:r w:rsidR="00A258BE" w:rsidRPr="0011176D">
        <w:rPr>
          <w:rFonts w:ascii="Arial" w:hAnsi="Arial" w:cs="Arial"/>
          <w:sz w:val="20"/>
          <w:szCs w:val="20"/>
        </w:rPr>
        <w:t>C</w:t>
      </w:r>
      <w:r w:rsidR="00A258BE">
        <w:rPr>
          <w:rFonts w:ascii="Arial" w:hAnsi="Arial" w:cs="Arial"/>
          <w:sz w:val="20"/>
          <w:szCs w:val="20"/>
        </w:rPr>
        <w:t>.</w:t>
      </w:r>
      <w:r w:rsidR="00A258BE" w:rsidRPr="0011176D">
        <w:rPr>
          <w:rFonts w:ascii="Arial" w:hAnsi="Arial" w:cs="Arial"/>
          <w:sz w:val="20"/>
          <w:szCs w:val="20"/>
        </w:rPr>
        <w:t xml:space="preserve"> P</w:t>
      </w:r>
      <w:r w:rsidR="00A258BE">
        <w:rPr>
          <w:rFonts w:ascii="Arial" w:hAnsi="Arial" w:cs="Arial"/>
          <w:sz w:val="20"/>
          <w:szCs w:val="20"/>
        </w:rPr>
        <w:t>.</w:t>
      </w:r>
      <w:r w:rsidRPr="0011176D">
        <w:rPr>
          <w:rFonts w:ascii="Arial" w:hAnsi="Arial" w:cs="Arial"/>
          <w:sz w:val="20"/>
          <w:szCs w:val="20"/>
        </w:rPr>
        <w:t>: doctora María Elizabeth García González</w:t>
      </w:r>
      <w:r w:rsidRPr="0011176D">
        <w:rPr>
          <w:rFonts w:ascii="Arial" w:hAnsi="Arial" w:cs="Arial"/>
          <w:b/>
          <w:bCs/>
          <w:color w:val="000000"/>
          <w:spacing w:val="-16"/>
          <w:sz w:val="20"/>
          <w:szCs w:val="20"/>
          <w:lang w:val="es-ES"/>
        </w:rPr>
        <w:t>.</w:t>
      </w:r>
    </w:p>
  </w:footnote>
  <w:footnote w:id="25">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4 de la demanda de tutela (Cuaderno de Tutela)</w:t>
      </w:r>
    </w:p>
  </w:footnote>
  <w:footnote w:id="26">
    <w:p w:rsidR="00D61D00" w:rsidRPr="0011176D" w:rsidRDefault="00D61D00" w:rsidP="0011176D">
      <w:pPr>
        <w:jc w:val="both"/>
        <w:rPr>
          <w:rFonts w:ascii="Arial" w:hAnsi="Arial" w:cs="Arial"/>
          <w:sz w:val="20"/>
          <w:szCs w:val="20"/>
        </w:rPr>
      </w:pPr>
      <w:r w:rsidRPr="0011176D">
        <w:rPr>
          <w:rStyle w:val="Refdenotaalpie"/>
          <w:rFonts w:ascii="Arial" w:hAnsi="Arial" w:cs="Arial"/>
          <w:sz w:val="20"/>
          <w:szCs w:val="20"/>
        </w:rPr>
        <w:footnoteRef/>
      </w:r>
      <w:r w:rsidRPr="0011176D">
        <w:rPr>
          <w:rFonts w:ascii="Arial" w:hAnsi="Arial" w:cs="Arial"/>
          <w:sz w:val="20"/>
          <w:szCs w:val="20"/>
        </w:rPr>
        <w:t xml:space="preserve"> </w:t>
      </w:r>
      <w:r w:rsidRPr="0011176D">
        <w:rPr>
          <w:rFonts w:ascii="Arial" w:hAnsi="Arial" w:cs="Arial"/>
          <w:sz w:val="20"/>
          <w:szCs w:val="20"/>
        </w:rPr>
        <w:t xml:space="preserve">Sentencia de 24 de octubre de 2016, expediente nro. </w:t>
      </w:r>
      <w:r w:rsidRPr="0011176D">
        <w:rPr>
          <w:rFonts w:ascii="Arial" w:hAnsi="Arial" w:cs="Arial"/>
          <w:spacing w:val="4"/>
          <w:sz w:val="20"/>
          <w:szCs w:val="20"/>
        </w:rPr>
        <w:t xml:space="preserve">25000-23-26-000-2001-01825-02(34349), </w:t>
      </w:r>
      <w:r w:rsidR="00A258BE" w:rsidRPr="0011176D">
        <w:rPr>
          <w:rFonts w:ascii="Arial" w:hAnsi="Arial" w:cs="Arial"/>
          <w:sz w:val="20"/>
          <w:szCs w:val="20"/>
        </w:rPr>
        <w:t>C</w:t>
      </w:r>
      <w:r w:rsidR="00A258BE">
        <w:rPr>
          <w:rFonts w:ascii="Arial" w:hAnsi="Arial" w:cs="Arial"/>
          <w:sz w:val="20"/>
          <w:szCs w:val="20"/>
        </w:rPr>
        <w:t>.</w:t>
      </w:r>
      <w:r w:rsidR="00A258BE" w:rsidRPr="0011176D">
        <w:rPr>
          <w:rFonts w:ascii="Arial" w:hAnsi="Arial" w:cs="Arial"/>
          <w:sz w:val="20"/>
          <w:szCs w:val="20"/>
        </w:rPr>
        <w:t xml:space="preserve"> </w:t>
      </w:r>
      <w:r w:rsidR="00A258BE">
        <w:rPr>
          <w:rFonts w:ascii="Arial" w:hAnsi="Arial" w:cs="Arial"/>
          <w:sz w:val="20"/>
          <w:szCs w:val="20"/>
        </w:rPr>
        <w:t>P.</w:t>
      </w:r>
      <w:r w:rsidRPr="0011176D">
        <w:rPr>
          <w:rFonts w:ascii="Arial" w:hAnsi="Arial" w:cs="Arial"/>
          <w:sz w:val="20"/>
          <w:szCs w:val="20"/>
        </w:rPr>
        <w:t xml:space="preserve">: doctor Hernán Andrade Rincón </w:t>
      </w:r>
    </w:p>
  </w:footnote>
  <w:footnote w:id="27">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Corte Constitucional. Sentencia T-352 de 2012, C-590 de 2005.</w:t>
      </w:r>
    </w:p>
  </w:footnote>
  <w:footnote w:id="28">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T- 781 de 2011, Magistrado Ponente: doctor Humberto Antonio Sierra Porto</w:t>
      </w:r>
    </w:p>
  </w:footnote>
  <w:footnote w:id="29">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 xml:space="preserve">Sentencia </w:t>
      </w:r>
      <w:r w:rsidRPr="0011176D">
        <w:rPr>
          <w:rFonts w:ascii="Arial" w:hAnsi="Arial" w:cs="Arial"/>
          <w:bCs/>
        </w:rPr>
        <w:t xml:space="preserve">C-274 de 2013, Magistrado Ponente </w:t>
      </w:r>
    </w:p>
  </w:footnote>
  <w:footnote w:id="30">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Folio 89 del cuaderno de tutela.</w:t>
      </w:r>
    </w:p>
  </w:footnote>
  <w:footnote w:id="31">
    <w:p w:rsidR="00D61D00" w:rsidRPr="0011176D" w:rsidRDefault="00D61D00" w:rsidP="0011176D">
      <w:pPr>
        <w:pStyle w:val="Textonotapie"/>
        <w:jc w:val="both"/>
        <w:rPr>
          <w:rFonts w:ascii="Arial" w:hAnsi="Arial" w:cs="Arial"/>
        </w:rPr>
      </w:pPr>
      <w:r w:rsidRPr="0011176D">
        <w:rPr>
          <w:rFonts w:ascii="Arial" w:hAnsi="Arial" w:cs="Arial"/>
          <w:vertAlign w:val="superscript"/>
        </w:rPr>
        <w:footnoteRef/>
      </w:r>
      <w:r w:rsidRPr="0011176D">
        <w:rPr>
          <w:rFonts w:ascii="Arial" w:hAnsi="Arial" w:cs="Arial"/>
          <w:lang w:val="es-ES"/>
        </w:rPr>
        <w:t xml:space="preserve"> M.P. Jaime Córdoba Triviño.</w:t>
      </w:r>
    </w:p>
  </w:footnote>
  <w:footnote w:id="32">
    <w:p w:rsidR="00D61D00" w:rsidRPr="0011176D" w:rsidRDefault="00D61D00" w:rsidP="0011176D">
      <w:pPr>
        <w:jc w:val="both"/>
        <w:rPr>
          <w:rFonts w:ascii="Arial" w:hAnsi="Arial" w:cs="Arial"/>
          <w:sz w:val="20"/>
          <w:szCs w:val="20"/>
        </w:rPr>
      </w:pPr>
      <w:r w:rsidRPr="0011176D">
        <w:rPr>
          <w:rFonts w:ascii="Arial" w:hAnsi="Arial" w:cs="Arial"/>
          <w:sz w:val="20"/>
          <w:szCs w:val="20"/>
        </w:rPr>
        <w:footnoteRef/>
      </w:r>
      <w:r w:rsidRPr="0011176D">
        <w:rPr>
          <w:rFonts w:ascii="Arial" w:hAnsi="Arial" w:cs="Arial"/>
          <w:sz w:val="20"/>
          <w:szCs w:val="20"/>
          <w:lang w:val="es-ES"/>
        </w:rPr>
        <w:t xml:space="preserve"> </w:t>
      </w:r>
      <w:r w:rsidRPr="0011176D">
        <w:rPr>
          <w:rFonts w:ascii="Arial" w:hAnsi="Arial" w:cs="Arial"/>
          <w:i/>
          <w:sz w:val="20"/>
          <w:szCs w:val="20"/>
          <w:lang w:val="es-ES"/>
        </w:rPr>
        <w:t>“Cfr. Corte Constitucional, sentencia C-517/98, concepto reiterado en la sentencia C-692/03.”</w:t>
      </w:r>
    </w:p>
  </w:footnote>
  <w:footnote w:id="33">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101 del Cuaderno de Tutela.</w:t>
      </w:r>
    </w:p>
  </w:footnote>
  <w:footnote w:id="34">
    <w:p w:rsidR="00D61D00" w:rsidRPr="0011176D" w:rsidRDefault="00D61D00" w:rsidP="0011176D">
      <w:pPr>
        <w:pStyle w:val="Textonotapie"/>
        <w:jc w:val="both"/>
        <w:rPr>
          <w:rFonts w:ascii="Arial" w:hAnsi="Arial" w:cs="Arial"/>
        </w:rPr>
      </w:pPr>
      <w:r w:rsidRPr="0011176D">
        <w:rPr>
          <w:rStyle w:val="Refdenotaalpie"/>
          <w:rFonts w:ascii="Arial" w:hAnsi="Arial" w:cs="Arial"/>
        </w:rPr>
        <w:footnoteRef/>
      </w:r>
      <w:r w:rsidRPr="0011176D">
        <w:rPr>
          <w:rFonts w:ascii="Arial" w:hAnsi="Arial" w:cs="Arial"/>
        </w:rPr>
        <w:t xml:space="preserve"> Radicación del expediente de tutela.</w:t>
      </w:r>
    </w:p>
  </w:footnote>
  <w:footnote w:id="35">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129 del Cuaderno cuya carátula indica “Contenido: Informe rendido por la Universidad del Quindío…”</w:t>
      </w:r>
    </w:p>
  </w:footnote>
  <w:footnote w:id="36">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130 del Cuaderno cuya carátula indica “Contenido: Informe rendido por la Universidad del Quindío…”</w:t>
      </w:r>
    </w:p>
  </w:footnote>
  <w:footnote w:id="37">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Folio 132 del Cuaderno cuya carátula indica “Contenido: Informe rendido por la Universidad del Quindío…”</w:t>
      </w:r>
    </w:p>
  </w:footnote>
  <w:footnote w:id="38">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Cuaderno cuya carátula indica “Contenido: Informe rendido por la Universidad del Quindío…”</w:t>
      </w:r>
    </w:p>
  </w:footnote>
  <w:footnote w:id="39">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Cuaderno cuya carátula indica “Contenido: Informe rendido por la Universidad del Quindío…”</w:t>
      </w:r>
    </w:p>
  </w:footnote>
  <w:footnote w:id="40">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Cuaderno cuya carátula indica “Contenido: Informe rendido por la Universidad del Quindío…”</w:t>
      </w:r>
    </w:p>
  </w:footnote>
  <w:footnote w:id="41">
    <w:p w:rsidR="00D61D00" w:rsidRPr="0011176D" w:rsidRDefault="00D61D00" w:rsidP="0011176D">
      <w:pPr>
        <w:pStyle w:val="Textonotapie"/>
        <w:jc w:val="both"/>
        <w:rPr>
          <w:rFonts w:ascii="Arial" w:hAnsi="Arial" w:cs="Arial"/>
          <w:lang w:val="es-CO"/>
        </w:rPr>
      </w:pPr>
      <w:r w:rsidRPr="0011176D">
        <w:rPr>
          <w:rStyle w:val="Refdenotaalpie"/>
          <w:rFonts w:ascii="Arial" w:hAnsi="Arial" w:cs="Arial"/>
        </w:rPr>
        <w:footnoteRef/>
      </w:r>
      <w:r w:rsidRPr="0011176D">
        <w:rPr>
          <w:rFonts w:ascii="Arial" w:hAnsi="Arial" w:cs="Arial"/>
        </w:rPr>
        <w:t xml:space="preserve"> </w:t>
      </w:r>
      <w:r w:rsidRPr="0011176D">
        <w:rPr>
          <w:rFonts w:ascii="Arial" w:hAnsi="Arial" w:cs="Arial"/>
          <w:lang w:val="es-CO"/>
        </w:rPr>
        <w:t>Cuaderno cuya carátula indica “Contenido: Informe rendido p</w:t>
      </w:r>
      <w:r w:rsidR="00B916DA">
        <w:rPr>
          <w:rFonts w:ascii="Arial" w:hAnsi="Arial" w:cs="Arial"/>
          <w:lang w:val="es-CO"/>
        </w:rPr>
        <w:t>or la Universidad del Quindío…”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A2914"/>
    <w:multiLevelType w:val="hybridMultilevel"/>
    <w:tmpl w:val="24261EA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406072AC"/>
    <w:multiLevelType w:val="hybridMultilevel"/>
    <w:tmpl w:val="40988BE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49895900"/>
    <w:multiLevelType w:val="hybridMultilevel"/>
    <w:tmpl w:val="D84C66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536B784F"/>
    <w:multiLevelType w:val="hybridMultilevel"/>
    <w:tmpl w:val="11C2930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65360E44"/>
    <w:multiLevelType w:val="hybridMultilevel"/>
    <w:tmpl w:val="17CE9558"/>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864"/>
    <w:rsid w:val="000A458A"/>
    <w:rsid w:val="000B62FB"/>
    <w:rsid w:val="000C3C64"/>
    <w:rsid w:val="0011176D"/>
    <w:rsid w:val="00161BBB"/>
    <w:rsid w:val="001C1DA7"/>
    <w:rsid w:val="001F7D42"/>
    <w:rsid w:val="00283885"/>
    <w:rsid w:val="00297F4D"/>
    <w:rsid w:val="003016CA"/>
    <w:rsid w:val="00316657"/>
    <w:rsid w:val="00382FBB"/>
    <w:rsid w:val="003B2BE1"/>
    <w:rsid w:val="004268EC"/>
    <w:rsid w:val="00440687"/>
    <w:rsid w:val="004C05F2"/>
    <w:rsid w:val="004E703B"/>
    <w:rsid w:val="00555999"/>
    <w:rsid w:val="005D606B"/>
    <w:rsid w:val="00602B00"/>
    <w:rsid w:val="00721386"/>
    <w:rsid w:val="00761681"/>
    <w:rsid w:val="00787EAA"/>
    <w:rsid w:val="00843071"/>
    <w:rsid w:val="008B403D"/>
    <w:rsid w:val="008E7361"/>
    <w:rsid w:val="0094119F"/>
    <w:rsid w:val="00994864"/>
    <w:rsid w:val="009F156C"/>
    <w:rsid w:val="00A13C31"/>
    <w:rsid w:val="00A258BE"/>
    <w:rsid w:val="00A759E9"/>
    <w:rsid w:val="00A952C6"/>
    <w:rsid w:val="00AA539E"/>
    <w:rsid w:val="00AD4C53"/>
    <w:rsid w:val="00B126E1"/>
    <w:rsid w:val="00B13E44"/>
    <w:rsid w:val="00B21FEB"/>
    <w:rsid w:val="00B26987"/>
    <w:rsid w:val="00B916DA"/>
    <w:rsid w:val="00BA39C9"/>
    <w:rsid w:val="00BD262B"/>
    <w:rsid w:val="00BF4709"/>
    <w:rsid w:val="00C4124E"/>
    <w:rsid w:val="00D05CE7"/>
    <w:rsid w:val="00D14EB1"/>
    <w:rsid w:val="00D1681E"/>
    <w:rsid w:val="00D26EF1"/>
    <w:rsid w:val="00D54B9F"/>
    <w:rsid w:val="00D61D00"/>
    <w:rsid w:val="00DB24BC"/>
    <w:rsid w:val="00E01505"/>
    <w:rsid w:val="00EF46E8"/>
    <w:rsid w:val="00F11D47"/>
    <w:rsid w:val="00F87E23"/>
    <w:rsid w:val="00F96064"/>
    <w:rsid w:val="00FD00A0"/>
    <w:rsid w:val="00FD3909"/>
    <w:rsid w:val="00FE4484"/>
    <w:rsid w:val="00FE7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8F3A4"/>
  <w15:chartTrackingRefBased/>
  <w15:docId w15:val="{E05FBE2D-5AB7-4ED7-A3CD-1950381E5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2"/>
      <w:szCs w:val="22"/>
      <w:lang w:val="es-CO"/>
    </w:rPr>
  </w:style>
  <w:style w:type="paragraph" w:styleId="Ttulo1">
    <w:name w:val="heading 1"/>
    <w:basedOn w:val="Normal"/>
    <w:next w:val="Normal"/>
    <w:link w:val="Ttulo1Car"/>
    <w:uiPriority w:val="9"/>
    <w:qFormat/>
    <w:rsid w:val="00D61D00"/>
    <w:pPr>
      <w:keepNext/>
      <w:keepLines/>
      <w:overflowPunct w:val="0"/>
      <w:autoSpaceDE w:val="0"/>
      <w:autoSpaceDN w:val="0"/>
      <w:adjustRightInd w:val="0"/>
      <w:spacing w:before="480"/>
      <w:textAlignment w:val="baseline"/>
      <w:outlineLvl w:val="0"/>
    </w:pPr>
    <w:rPr>
      <w:rFonts w:eastAsia="MS Gothic"/>
      <w:b/>
      <w:bCs/>
      <w:color w:val="365F91"/>
      <w:sz w:val="28"/>
      <w:szCs w:val="28"/>
      <w:lang w:val="es-ES_tradnl" w:eastAsia="es-ES"/>
    </w:rPr>
  </w:style>
  <w:style w:type="paragraph" w:styleId="Ttulo2">
    <w:name w:val="heading 2"/>
    <w:basedOn w:val="Normal"/>
    <w:next w:val="Normal"/>
    <w:link w:val="Ttulo2Car"/>
    <w:uiPriority w:val="9"/>
    <w:unhideWhenUsed/>
    <w:qFormat/>
    <w:rsid w:val="00D61D00"/>
    <w:pPr>
      <w:keepNext/>
      <w:keepLines/>
      <w:overflowPunct w:val="0"/>
      <w:autoSpaceDE w:val="0"/>
      <w:autoSpaceDN w:val="0"/>
      <w:adjustRightInd w:val="0"/>
      <w:spacing w:before="200"/>
      <w:textAlignment w:val="baseline"/>
      <w:outlineLvl w:val="1"/>
    </w:pPr>
    <w:rPr>
      <w:rFonts w:eastAsia="MS Gothic"/>
      <w:b/>
      <w:bCs/>
      <w:color w:val="4F81BD"/>
      <w:sz w:val="26"/>
      <w:szCs w:val="26"/>
      <w:lang w:val="es-ES_tradnl" w:eastAsia="es-ES"/>
    </w:rPr>
  </w:style>
  <w:style w:type="paragraph" w:styleId="Ttulo3">
    <w:name w:val="heading 3"/>
    <w:basedOn w:val="Normal"/>
    <w:link w:val="Ttulo3Car"/>
    <w:uiPriority w:val="9"/>
    <w:qFormat/>
    <w:rsid w:val="00D61D00"/>
    <w:pPr>
      <w:spacing w:before="100" w:beforeAutospacing="1" w:after="100" w:afterAutospacing="1"/>
      <w:outlineLvl w:val="2"/>
    </w:pPr>
    <w:rPr>
      <w:rFonts w:ascii="Times New Roman" w:eastAsia="Times New Roman" w:hAnsi="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D61D00"/>
    <w:rPr>
      <w:rFonts w:eastAsia="MS Gothic"/>
      <w:b/>
      <w:bCs/>
      <w:color w:val="365F91"/>
      <w:sz w:val="28"/>
      <w:szCs w:val="28"/>
      <w:lang w:val="es-ES_tradnl" w:eastAsia="es-ES"/>
    </w:rPr>
  </w:style>
  <w:style w:type="character" w:customStyle="1" w:styleId="Ttulo2Car">
    <w:name w:val="Título 2 Car"/>
    <w:link w:val="Ttulo2"/>
    <w:uiPriority w:val="9"/>
    <w:rsid w:val="00D61D00"/>
    <w:rPr>
      <w:rFonts w:eastAsia="MS Gothic"/>
      <w:b/>
      <w:bCs/>
      <w:color w:val="4F81BD"/>
      <w:sz w:val="26"/>
      <w:szCs w:val="26"/>
      <w:lang w:val="es-ES_tradnl" w:eastAsia="es-ES"/>
    </w:rPr>
  </w:style>
  <w:style w:type="character" w:customStyle="1" w:styleId="Ttulo3Car">
    <w:name w:val="Título 3 Car"/>
    <w:link w:val="Ttulo3"/>
    <w:uiPriority w:val="9"/>
    <w:rsid w:val="00D61D00"/>
    <w:rPr>
      <w:rFonts w:ascii="Times New Roman" w:eastAsia="Times New Roman" w:hAnsi="Times New Roman"/>
      <w:b/>
      <w:bCs/>
      <w:sz w:val="27"/>
      <w:szCs w:val="27"/>
    </w:rPr>
  </w:style>
  <w:style w:type="paragraph" w:styleId="Sangradetextonormal">
    <w:name w:val="Body Text Indent"/>
    <w:basedOn w:val="Normal"/>
    <w:link w:val="SangradetextonormalCar"/>
    <w:rsid w:val="00D61D00"/>
    <w:pPr>
      <w:spacing w:after="120"/>
      <w:ind w:left="283"/>
    </w:pPr>
    <w:rPr>
      <w:rFonts w:ascii="Arial" w:hAnsi="Arial"/>
      <w:sz w:val="24"/>
      <w:szCs w:val="20"/>
      <w:lang w:val="es-ES" w:eastAsia="es-ES"/>
    </w:rPr>
  </w:style>
  <w:style w:type="character" w:customStyle="1" w:styleId="SangradetextonormalCar">
    <w:name w:val="Sangría de texto normal Car"/>
    <w:link w:val="Sangradetextonormal"/>
    <w:rsid w:val="00D61D00"/>
    <w:rPr>
      <w:rFonts w:ascii="Arial" w:hAnsi="Arial"/>
      <w:sz w:val="24"/>
      <w:lang w:val="es-ES" w:eastAsia="es-ES"/>
    </w:rPr>
  </w:style>
  <w:style w:type="paragraph" w:styleId="Prrafodelista">
    <w:name w:val="List Paragraph"/>
    <w:basedOn w:val="Normal"/>
    <w:uiPriority w:val="34"/>
    <w:qFormat/>
    <w:rsid w:val="00D61D00"/>
    <w:pPr>
      <w:overflowPunct w:val="0"/>
      <w:autoSpaceDE w:val="0"/>
      <w:autoSpaceDN w:val="0"/>
      <w:adjustRightInd w:val="0"/>
      <w:ind w:left="720"/>
      <w:contextualSpacing/>
      <w:textAlignment w:val="baseline"/>
    </w:pPr>
    <w:rPr>
      <w:rFonts w:ascii="Times New Roman" w:eastAsia="Times New Roman" w:hAnsi="Times New Roman"/>
      <w:sz w:val="20"/>
      <w:szCs w:val="20"/>
      <w:lang w:val="es-ES_tradnl" w:eastAsia="es-ES"/>
    </w:rPr>
  </w:style>
  <w:style w:type="paragraph" w:styleId="Textodeglobo">
    <w:name w:val="Balloon Text"/>
    <w:basedOn w:val="Normal"/>
    <w:link w:val="TextodegloboCar"/>
    <w:uiPriority w:val="99"/>
    <w:semiHidden/>
    <w:unhideWhenUsed/>
    <w:rsid w:val="00D61D00"/>
    <w:pPr>
      <w:overflowPunct w:val="0"/>
      <w:autoSpaceDE w:val="0"/>
      <w:autoSpaceDN w:val="0"/>
      <w:adjustRightInd w:val="0"/>
      <w:textAlignment w:val="baseline"/>
    </w:pPr>
    <w:rPr>
      <w:rFonts w:ascii="Tahoma" w:eastAsia="Times New Roman" w:hAnsi="Tahoma" w:cs="Tahoma"/>
      <w:sz w:val="16"/>
      <w:szCs w:val="16"/>
      <w:lang w:val="es-ES_tradnl" w:eastAsia="es-ES"/>
    </w:rPr>
  </w:style>
  <w:style w:type="character" w:customStyle="1" w:styleId="TextodegloboCar">
    <w:name w:val="Texto de globo Car"/>
    <w:link w:val="Textodeglobo"/>
    <w:uiPriority w:val="99"/>
    <w:semiHidden/>
    <w:rsid w:val="00D61D00"/>
    <w:rPr>
      <w:rFonts w:ascii="Tahoma" w:eastAsia="Times New Roman" w:hAnsi="Tahoma" w:cs="Tahoma"/>
      <w:sz w:val="16"/>
      <w:szCs w:val="16"/>
      <w:lang w:val="es-ES_tradnl" w:eastAsia="es-ES"/>
    </w:rPr>
  </w:style>
  <w:style w:type="paragraph" w:styleId="Encabezado">
    <w:name w:val="header"/>
    <w:basedOn w:val="Normal"/>
    <w:link w:val="EncabezadoCar"/>
    <w:unhideWhenUsed/>
    <w:rsid w:val="00D61D00"/>
    <w:pPr>
      <w:tabs>
        <w:tab w:val="center" w:pos="4419"/>
        <w:tab w:val="right" w:pos="8838"/>
      </w:tabs>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EncabezadoCar">
    <w:name w:val="Encabezado Car"/>
    <w:link w:val="Encabezado"/>
    <w:rsid w:val="00D61D00"/>
    <w:rPr>
      <w:rFonts w:ascii="Times New Roman" w:eastAsia="Times New Roman" w:hAnsi="Times New Roman"/>
      <w:lang w:val="es-ES_tradnl" w:eastAsia="es-ES"/>
    </w:rPr>
  </w:style>
  <w:style w:type="paragraph" w:styleId="Piedepgina">
    <w:name w:val="footer"/>
    <w:basedOn w:val="Normal"/>
    <w:link w:val="PiedepginaCar"/>
    <w:uiPriority w:val="99"/>
    <w:unhideWhenUsed/>
    <w:rsid w:val="00D61D00"/>
    <w:pPr>
      <w:tabs>
        <w:tab w:val="center" w:pos="4419"/>
        <w:tab w:val="right" w:pos="8838"/>
      </w:tabs>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PiedepginaCar">
    <w:name w:val="Pie de página Car"/>
    <w:link w:val="Piedepgina"/>
    <w:uiPriority w:val="99"/>
    <w:rsid w:val="00D61D00"/>
    <w:rPr>
      <w:rFonts w:ascii="Times New Roman" w:eastAsia="Times New Roman" w:hAnsi="Times New Roman"/>
      <w:lang w:val="es-ES_tradnl" w:eastAsia="es-ES"/>
    </w:rPr>
  </w:style>
  <w:style w:type="paragraph" w:styleId="Sinespaciado">
    <w:name w:val="No Spacing"/>
    <w:link w:val="SinespaciadoCar"/>
    <w:uiPriority w:val="1"/>
    <w:qFormat/>
    <w:rsid w:val="00D61D00"/>
    <w:pPr>
      <w:overflowPunct w:val="0"/>
      <w:autoSpaceDE w:val="0"/>
      <w:autoSpaceDN w:val="0"/>
      <w:adjustRightInd w:val="0"/>
      <w:textAlignment w:val="baseline"/>
    </w:pPr>
    <w:rPr>
      <w:rFonts w:ascii="Times New Roman" w:eastAsia="Times New Roman" w:hAnsi="Times New Roman"/>
      <w:lang w:val="es-ES_tradnl" w:eastAsia="es-ES"/>
    </w:rPr>
  </w:style>
  <w:style w:type="paragraph" w:styleId="NormalWeb">
    <w:name w:val="Normal (Web)"/>
    <w:basedOn w:val="Normal"/>
    <w:uiPriority w:val="99"/>
    <w:unhideWhenUsed/>
    <w:rsid w:val="00D61D00"/>
    <w:pPr>
      <w:spacing w:before="100" w:beforeAutospacing="1" w:after="100" w:afterAutospacing="1"/>
    </w:pPr>
    <w:rPr>
      <w:rFonts w:ascii="Times New Roman" w:eastAsia="Times New Roman" w:hAnsi="Times New Roman"/>
      <w:sz w:val="24"/>
      <w:szCs w:val="24"/>
      <w:lang w:eastAsia="es-CO"/>
    </w:rPr>
  </w:style>
  <w:style w:type="character" w:styleId="Hipervnculo">
    <w:name w:val="Hyperlink"/>
    <w:uiPriority w:val="99"/>
    <w:unhideWhenUsed/>
    <w:rsid w:val="00D61D00"/>
    <w:rPr>
      <w:strike w:val="0"/>
      <w:dstrike w:val="0"/>
      <w:color w:val="0073FF"/>
      <w:u w:val="none"/>
      <w:effect w:val="none"/>
    </w:rPr>
  </w:style>
  <w:style w:type="paragraph" w:customStyle="1" w:styleId="centrado">
    <w:name w:val="centrado"/>
    <w:basedOn w:val="Normal"/>
    <w:rsid w:val="00D61D00"/>
    <w:pPr>
      <w:spacing w:before="100" w:beforeAutospacing="1" w:after="100" w:afterAutospacing="1"/>
      <w:jc w:val="center"/>
    </w:pPr>
    <w:rPr>
      <w:rFonts w:ascii="Arial" w:eastAsia="Times New Roman" w:hAnsi="Arial" w:cs="Arial"/>
      <w:sz w:val="18"/>
      <w:szCs w:val="18"/>
      <w:lang w:eastAsia="es-CO"/>
    </w:rPr>
  </w:style>
  <w:style w:type="character" w:customStyle="1" w:styleId="baj1">
    <w:name w:val="b_aj1"/>
    <w:rsid w:val="00D61D00"/>
    <w:rPr>
      <w:b/>
      <w:bCs/>
      <w:color w:val="000000"/>
    </w:rPr>
  </w:style>
  <w:style w:type="paragraph" w:styleId="Textonotapie">
    <w:name w:val="footnote text"/>
    <w:aliases w:val="Footnote Text Char Char Char Char Char,Footnote Text Char Char Char Char,Footnote reference,FA Fu,texto de nota al pie,Footnote Text Char Char Char,Footnote Text Char,Footnote Text Char Char Char Char Char Char Char Char,texto de nota al"/>
    <w:basedOn w:val="Normal"/>
    <w:link w:val="TextonotapieCar"/>
    <w:uiPriority w:val="99"/>
    <w:unhideWhenUsed/>
    <w:qFormat/>
    <w:rsid w:val="00D61D00"/>
    <w:pPr>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ar,texto de nota al Car"/>
    <w:link w:val="Textonotapie"/>
    <w:uiPriority w:val="99"/>
    <w:rsid w:val="00D61D00"/>
    <w:rPr>
      <w:rFonts w:ascii="Times New Roman" w:eastAsia="Times New Roman" w:hAnsi="Times New Roman"/>
      <w:lang w:val="es-ES_tradnl" w:eastAsia="es-ES"/>
    </w:rPr>
  </w:style>
  <w:style w:type="character" w:styleId="Refdenotaalpie">
    <w:name w:val="footnote reference"/>
    <w:aliases w:val="Texto de nota al pie,Footnotes refss,Appel note de bas de page,referencia nota al pie,Ref. de nota al pie 2,Nota de pie,Texto nota al pie,Pie de Página,FC,Footnote number,BVI fnr,f,4_G,16 Point,Superscript 6 Point,F,Footnote symbol"/>
    <w:unhideWhenUsed/>
    <w:qFormat/>
    <w:rsid w:val="00D61D00"/>
    <w:rPr>
      <w:vertAlign w:val="superscript"/>
    </w:rPr>
  </w:style>
  <w:style w:type="table" w:styleId="Tablaconcuadrcula">
    <w:name w:val="Table Grid"/>
    <w:basedOn w:val="Tablanormal"/>
    <w:uiPriority w:val="59"/>
    <w:rsid w:val="00D61D00"/>
    <w:rPr>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D61D00"/>
    <w:pPr>
      <w:overflowPunct w:val="0"/>
      <w:autoSpaceDE w:val="0"/>
      <w:autoSpaceDN w:val="0"/>
      <w:adjustRightInd w:val="0"/>
      <w:spacing w:after="120"/>
      <w:textAlignment w:val="baseline"/>
    </w:pPr>
    <w:rPr>
      <w:rFonts w:ascii="Times New Roman" w:eastAsia="Times New Roman" w:hAnsi="Times New Roman"/>
      <w:sz w:val="20"/>
      <w:szCs w:val="20"/>
      <w:lang w:val="es-ES_tradnl" w:eastAsia="es-ES"/>
    </w:rPr>
  </w:style>
  <w:style w:type="character" w:customStyle="1" w:styleId="TextoindependienteCar">
    <w:name w:val="Texto independiente Car"/>
    <w:link w:val="Textoindependiente"/>
    <w:uiPriority w:val="99"/>
    <w:semiHidden/>
    <w:rsid w:val="00D61D00"/>
    <w:rPr>
      <w:rFonts w:ascii="Times New Roman" w:eastAsia="Times New Roman" w:hAnsi="Times New Roman"/>
      <w:lang w:val="es-ES_tradnl" w:eastAsia="es-ES"/>
    </w:rPr>
  </w:style>
  <w:style w:type="character" w:customStyle="1" w:styleId="CharacterStyle1">
    <w:name w:val="Character Style 1"/>
    <w:rsid w:val="00D61D00"/>
    <w:rPr>
      <w:sz w:val="20"/>
      <w:szCs w:val="20"/>
    </w:rPr>
  </w:style>
  <w:style w:type="character" w:customStyle="1" w:styleId="apple-converted-space">
    <w:name w:val="apple-converted-space"/>
    <w:rsid w:val="00D61D00"/>
  </w:style>
  <w:style w:type="paragraph" w:customStyle="1" w:styleId="Default">
    <w:name w:val="Default"/>
    <w:rsid w:val="00D61D00"/>
    <w:pPr>
      <w:autoSpaceDE w:val="0"/>
      <w:autoSpaceDN w:val="0"/>
      <w:adjustRightInd w:val="0"/>
    </w:pPr>
    <w:rPr>
      <w:rFonts w:ascii="Arial" w:hAnsi="Arial" w:cs="Arial"/>
      <w:color w:val="000000"/>
      <w:sz w:val="24"/>
      <w:szCs w:val="24"/>
      <w:lang w:val="es-CO" w:eastAsia="es-ES"/>
    </w:rPr>
  </w:style>
  <w:style w:type="paragraph" w:styleId="Textoindependiente2">
    <w:name w:val="Body Text 2"/>
    <w:basedOn w:val="Normal"/>
    <w:link w:val="Textoindependiente2Car"/>
    <w:uiPriority w:val="99"/>
    <w:unhideWhenUsed/>
    <w:rsid w:val="00D61D00"/>
    <w:pPr>
      <w:overflowPunct w:val="0"/>
      <w:autoSpaceDE w:val="0"/>
      <w:autoSpaceDN w:val="0"/>
      <w:adjustRightInd w:val="0"/>
      <w:spacing w:after="120" w:line="480" w:lineRule="auto"/>
      <w:textAlignment w:val="baseline"/>
    </w:pPr>
    <w:rPr>
      <w:rFonts w:ascii="Times New Roman" w:eastAsia="Times New Roman" w:hAnsi="Times New Roman"/>
      <w:sz w:val="20"/>
      <w:szCs w:val="20"/>
      <w:lang w:val="es-ES_tradnl" w:eastAsia="es-ES"/>
    </w:rPr>
  </w:style>
  <w:style w:type="character" w:customStyle="1" w:styleId="Textoindependiente2Car">
    <w:name w:val="Texto independiente 2 Car"/>
    <w:link w:val="Textoindependiente2"/>
    <w:uiPriority w:val="99"/>
    <w:rsid w:val="00D61D00"/>
    <w:rPr>
      <w:rFonts w:ascii="Times New Roman" w:eastAsia="Times New Roman" w:hAnsi="Times New Roman"/>
      <w:lang w:val="es-ES_tradnl" w:eastAsia="es-ES"/>
    </w:rPr>
  </w:style>
  <w:style w:type="paragraph" w:customStyle="1" w:styleId="cuerpotexto0">
    <w:name w:val="cuerpotexto0"/>
    <w:basedOn w:val="Normal"/>
    <w:rsid w:val="00D61D00"/>
    <w:pPr>
      <w:spacing w:before="100" w:beforeAutospacing="1" w:after="100" w:afterAutospacing="1"/>
    </w:pPr>
    <w:rPr>
      <w:rFonts w:ascii="Times New Roman" w:eastAsia="Times New Roman" w:hAnsi="Times New Roman"/>
      <w:sz w:val="24"/>
      <w:szCs w:val="24"/>
      <w:lang w:val="es-ES" w:eastAsia="es-ES"/>
    </w:rPr>
  </w:style>
  <w:style w:type="character" w:styleId="Refdecomentario">
    <w:name w:val="annotation reference"/>
    <w:uiPriority w:val="99"/>
    <w:semiHidden/>
    <w:unhideWhenUsed/>
    <w:rsid w:val="00D61D00"/>
    <w:rPr>
      <w:sz w:val="16"/>
      <w:szCs w:val="16"/>
    </w:rPr>
  </w:style>
  <w:style w:type="paragraph" w:styleId="Textocomentario">
    <w:name w:val="annotation text"/>
    <w:basedOn w:val="Normal"/>
    <w:link w:val="TextocomentarioCar"/>
    <w:uiPriority w:val="99"/>
    <w:semiHidden/>
    <w:unhideWhenUsed/>
    <w:rsid w:val="00D61D00"/>
    <w:pPr>
      <w:overflowPunct w:val="0"/>
      <w:autoSpaceDE w:val="0"/>
      <w:autoSpaceDN w:val="0"/>
      <w:adjustRightInd w:val="0"/>
      <w:textAlignment w:val="baseline"/>
    </w:pPr>
    <w:rPr>
      <w:rFonts w:ascii="Times New Roman" w:eastAsia="Times New Roman" w:hAnsi="Times New Roman"/>
      <w:sz w:val="20"/>
      <w:szCs w:val="20"/>
      <w:lang w:val="es-ES_tradnl" w:eastAsia="es-ES"/>
    </w:rPr>
  </w:style>
  <w:style w:type="character" w:customStyle="1" w:styleId="TextocomentarioCar">
    <w:name w:val="Texto comentario Car"/>
    <w:link w:val="Textocomentario"/>
    <w:uiPriority w:val="99"/>
    <w:semiHidden/>
    <w:rsid w:val="00D61D00"/>
    <w:rPr>
      <w:rFonts w:ascii="Times New Roman" w:eastAsia="Times New Roman" w:hAnsi="Times New Roman"/>
      <w:lang w:val="es-ES_tradnl" w:eastAsia="es-ES"/>
    </w:rPr>
  </w:style>
  <w:style w:type="paragraph" w:customStyle="1" w:styleId="Textoindependiente21">
    <w:name w:val="Texto independiente 21"/>
    <w:basedOn w:val="Normal"/>
    <w:rsid w:val="00D61D00"/>
    <w:pPr>
      <w:overflowPunct w:val="0"/>
      <w:autoSpaceDE w:val="0"/>
      <w:autoSpaceDN w:val="0"/>
      <w:adjustRightInd w:val="0"/>
      <w:spacing w:line="480" w:lineRule="auto"/>
      <w:jc w:val="both"/>
    </w:pPr>
    <w:rPr>
      <w:rFonts w:ascii="Arial" w:eastAsia="Times New Roman" w:hAnsi="Arial"/>
      <w:sz w:val="26"/>
      <w:szCs w:val="20"/>
      <w:lang w:eastAsia="es-ES"/>
    </w:rPr>
  </w:style>
  <w:style w:type="character" w:customStyle="1" w:styleId="BodyText21Car">
    <w:name w:val="Body Text 21 Car"/>
    <w:link w:val="BodyText21"/>
    <w:locked/>
    <w:rsid w:val="00D61D00"/>
    <w:rPr>
      <w:rFonts w:ascii="Arial" w:hAnsi="Arial" w:cs="Arial"/>
      <w:sz w:val="24"/>
    </w:rPr>
  </w:style>
  <w:style w:type="paragraph" w:customStyle="1" w:styleId="BodyText21">
    <w:name w:val="Body Text 21"/>
    <w:basedOn w:val="Normal"/>
    <w:link w:val="BodyText21Car"/>
    <w:rsid w:val="00D61D00"/>
    <w:pPr>
      <w:widowControl w:val="0"/>
      <w:overflowPunct w:val="0"/>
      <w:autoSpaceDE w:val="0"/>
      <w:autoSpaceDN w:val="0"/>
      <w:adjustRightInd w:val="0"/>
      <w:spacing w:line="480" w:lineRule="auto"/>
      <w:jc w:val="both"/>
    </w:pPr>
    <w:rPr>
      <w:rFonts w:ascii="Arial" w:hAnsi="Arial" w:cs="Arial"/>
      <w:sz w:val="24"/>
      <w:szCs w:val="20"/>
      <w:lang w:eastAsia="es-CO"/>
    </w:rPr>
  </w:style>
  <w:style w:type="character" w:customStyle="1" w:styleId="textonavy">
    <w:name w:val="texto_navy"/>
    <w:rsid w:val="00D61D00"/>
  </w:style>
  <w:style w:type="character" w:styleId="Textoennegrita">
    <w:name w:val="Strong"/>
    <w:uiPriority w:val="22"/>
    <w:qFormat/>
    <w:rsid w:val="00D61D00"/>
    <w:rPr>
      <w:b/>
      <w:bCs/>
    </w:rPr>
  </w:style>
  <w:style w:type="paragraph" w:customStyle="1" w:styleId="Puesto">
    <w:name w:val="Puesto"/>
    <w:basedOn w:val="Normal"/>
    <w:next w:val="Normal"/>
    <w:link w:val="PuestoCar1"/>
    <w:uiPriority w:val="10"/>
    <w:qFormat/>
    <w:rsid w:val="00D61D00"/>
    <w:pPr>
      <w:pBdr>
        <w:bottom w:val="single" w:sz="8" w:space="4" w:color="4F81BD"/>
      </w:pBdr>
      <w:spacing w:after="300"/>
      <w:contextualSpacing/>
    </w:pPr>
    <w:rPr>
      <w:rFonts w:eastAsia="MS Gothic"/>
      <w:color w:val="17365D"/>
      <w:spacing w:val="5"/>
      <w:kern w:val="28"/>
      <w:sz w:val="52"/>
      <w:szCs w:val="52"/>
      <w:lang w:val="es-ES"/>
    </w:rPr>
  </w:style>
  <w:style w:type="character" w:customStyle="1" w:styleId="PuestoCar">
    <w:name w:val="Puesto Car"/>
    <w:aliases w:val="Car Car"/>
    <w:link w:val="Car"/>
    <w:rsid w:val="00D61D00"/>
    <w:rPr>
      <w:rFonts w:ascii="Calibri Light" w:eastAsia="Times New Roman" w:hAnsi="Calibri Light" w:cs="Times New Roman"/>
      <w:b/>
      <w:bCs/>
      <w:kern w:val="28"/>
      <w:sz w:val="32"/>
      <w:szCs w:val="32"/>
      <w:lang w:eastAsia="en-US"/>
    </w:rPr>
  </w:style>
  <w:style w:type="character" w:customStyle="1" w:styleId="PuestoCar1">
    <w:name w:val="Puesto Car1"/>
    <w:link w:val="Puesto"/>
    <w:uiPriority w:val="10"/>
    <w:rsid w:val="00D61D00"/>
    <w:rPr>
      <w:rFonts w:eastAsia="MS Gothic"/>
      <w:color w:val="17365D"/>
      <w:spacing w:val="5"/>
      <w:kern w:val="28"/>
      <w:sz w:val="52"/>
      <w:szCs w:val="52"/>
      <w:lang w:val="es-ES" w:eastAsia="en-US"/>
    </w:rPr>
  </w:style>
  <w:style w:type="paragraph" w:styleId="Sangra2detindependiente">
    <w:name w:val="Body Text Indent 2"/>
    <w:basedOn w:val="Normal"/>
    <w:link w:val="Sangra2detindependienteCar"/>
    <w:uiPriority w:val="99"/>
    <w:semiHidden/>
    <w:unhideWhenUsed/>
    <w:rsid w:val="00D61D00"/>
    <w:pPr>
      <w:overflowPunct w:val="0"/>
      <w:autoSpaceDE w:val="0"/>
      <w:autoSpaceDN w:val="0"/>
      <w:adjustRightInd w:val="0"/>
      <w:spacing w:after="120" w:line="480" w:lineRule="auto"/>
      <w:ind w:left="283"/>
      <w:textAlignment w:val="baseline"/>
    </w:pPr>
    <w:rPr>
      <w:rFonts w:ascii="Times New Roman" w:eastAsia="Times New Roman" w:hAnsi="Times New Roman"/>
      <w:sz w:val="20"/>
      <w:szCs w:val="20"/>
      <w:lang w:val="es-ES_tradnl" w:eastAsia="es-ES"/>
    </w:rPr>
  </w:style>
  <w:style w:type="character" w:customStyle="1" w:styleId="Sangra2detindependienteCar">
    <w:name w:val="Sangría 2 de t. independiente Car"/>
    <w:link w:val="Sangra2detindependiente"/>
    <w:uiPriority w:val="99"/>
    <w:semiHidden/>
    <w:rsid w:val="00D61D00"/>
    <w:rPr>
      <w:rFonts w:ascii="Times New Roman" w:eastAsia="Times New Roman" w:hAnsi="Times New Roman"/>
      <w:lang w:val="es-ES_tradnl" w:eastAsia="es-ES"/>
    </w:rPr>
  </w:style>
  <w:style w:type="character" w:customStyle="1" w:styleId="iaj">
    <w:name w:val="i_aj"/>
    <w:rsid w:val="00D61D00"/>
  </w:style>
  <w:style w:type="character" w:styleId="Nmerodepgina">
    <w:name w:val="page number"/>
    <w:unhideWhenUsed/>
    <w:rsid w:val="00D61D00"/>
  </w:style>
  <w:style w:type="paragraph" w:styleId="Subttulo">
    <w:name w:val="Subtitle"/>
    <w:basedOn w:val="Normal"/>
    <w:next w:val="Normal"/>
    <w:link w:val="SubttuloCar"/>
    <w:uiPriority w:val="99"/>
    <w:qFormat/>
    <w:rsid w:val="00D61D00"/>
    <w:pPr>
      <w:spacing w:after="60"/>
      <w:jc w:val="center"/>
      <w:outlineLvl w:val="1"/>
    </w:pPr>
    <w:rPr>
      <w:rFonts w:ascii="Cambria" w:eastAsia="Times New Roman" w:hAnsi="Cambria"/>
      <w:sz w:val="24"/>
      <w:szCs w:val="24"/>
    </w:rPr>
  </w:style>
  <w:style w:type="character" w:customStyle="1" w:styleId="SubttuloCar">
    <w:name w:val="Subtítulo Car"/>
    <w:link w:val="Subttulo"/>
    <w:uiPriority w:val="99"/>
    <w:rsid w:val="00D61D00"/>
    <w:rPr>
      <w:rFonts w:ascii="Cambria" w:eastAsia="Times New Roman" w:hAnsi="Cambria"/>
      <w:sz w:val="24"/>
      <w:szCs w:val="24"/>
      <w:lang w:eastAsia="en-US"/>
    </w:rPr>
  </w:style>
  <w:style w:type="paragraph" w:customStyle="1" w:styleId="Car">
    <w:name w:val="Car"/>
    <w:basedOn w:val="Normal"/>
    <w:next w:val="Puesto"/>
    <w:link w:val="PuestoCar"/>
    <w:qFormat/>
    <w:rsid w:val="00D61D00"/>
    <w:pPr>
      <w:overflowPunct w:val="0"/>
      <w:autoSpaceDE w:val="0"/>
      <w:autoSpaceDN w:val="0"/>
      <w:adjustRightInd w:val="0"/>
      <w:spacing w:line="360" w:lineRule="auto"/>
      <w:jc w:val="center"/>
    </w:pPr>
    <w:rPr>
      <w:rFonts w:ascii="Calibri Light" w:eastAsia="Times New Roman" w:hAnsi="Calibri Light"/>
      <w:b/>
      <w:bCs/>
      <w:kern w:val="28"/>
      <w:sz w:val="32"/>
      <w:szCs w:val="32"/>
    </w:rPr>
  </w:style>
  <w:style w:type="paragraph" w:customStyle="1" w:styleId="Cuerpo">
    <w:name w:val="Cuerpo"/>
    <w:rsid w:val="00D61D00"/>
    <w:pPr>
      <w:pBdr>
        <w:top w:val="nil"/>
        <w:left w:val="nil"/>
        <w:bottom w:val="nil"/>
        <w:right w:val="nil"/>
        <w:between w:val="nil"/>
        <w:bar w:val="nil"/>
      </w:pBdr>
      <w:spacing w:line="360" w:lineRule="auto"/>
      <w:jc w:val="both"/>
    </w:pPr>
    <w:rPr>
      <w:rFonts w:ascii="Arial" w:eastAsia="Arial Unicode MS" w:hAnsi="Arial" w:cs="Arial Unicode MS"/>
      <w:color w:val="000000"/>
      <w:sz w:val="24"/>
      <w:szCs w:val="24"/>
      <w:u w:color="000000"/>
      <w:bdr w:val="nil"/>
      <w:lang w:val="de-DE" w:eastAsia="es-CO"/>
    </w:rPr>
  </w:style>
  <w:style w:type="paragraph" w:customStyle="1" w:styleId="Sinespaciado1">
    <w:name w:val="Sin espaciado1"/>
    <w:uiPriority w:val="99"/>
    <w:qFormat/>
    <w:rsid w:val="00D61D00"/>
    <w:rPr>
      <w:rFonts w:ascii="Times New Roman" w:eastAsia="?????? Pro W3" w:hAnsi="Times New Roman"/>
      <w:color w:val="000000"/>
      <w:sz w:val="24"/>
      <w:szCs w:val="24"/>
      <w:lang w:val="es-ES_tradnl"/>
    </w:rPr>
  </w:style>
  <w:style w:type="character" w:customStyle="1" w:styleId="SinespaciadoCar">
    <w:name w:val="Sin espaciado Car"/>
    <w:link w:val="Sinespaciado"/>
    <w:uiPriority w:val="1"/>
    <w:locked/>
    <w:rsid w:val="00D61D00"/>
    <w:rPr>
      <w:rFonts w:ascii="Times New Roman" w:eastAsia="Times New Roman" w:hAnsi="Times New Roman"/>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www.secretariasenado.gov.co/senado/basedoc/ley_1474_2011_pr001.html"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A0812F-63FE-40E3-A6BA-14813842EB17}">
  <ds:schemaRefs>
    <ds:schemaRef ds:uri="http://schemas.microsoft.com/sharepoint/v3/contenttype/forms"/>
  </ds:schemaRefs>
</ds:datastoreItem>
</file>

<file path=customXml/itemProps2.xml><?xml version="1.0" encoding="utf-8"?>
<ds:datastoreItem xmlns:ds="http://schemas.openxmlformats.org/officeDocument/2006/customXml" ds:itemID="{E96E43AF-0092-4DCC-97F7-B71A751973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3D4C940-7277-4EF6-88C0-468693704F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13058</Words>
  <Characters>71823</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84712</CharactersWithSpaces>
  <SharedDoc>false</SharedDoc>
  <HLinks>
    <vt:vector size="6" baseType="variant">
      <vt:variant>
        <vt:i4>1769573</vt:i4>
      </vt:variant>
      <vt:variant>
        <vt:i4>0</vt:i4>
      </vt:variant>
      <vt:variant>
        <vt:i4>0</vt:i4>
      </vt:variant>
      <vt:variant>
        <vt:i4>5</vt:i4>
      </vt:variant>
      <vt:variant>
        <vt:lpwstr>http://www.secretariasenado.gov.co/senado/basedoc/ley_1474_2011_pr001.html</vt:lpwstr>
      </vt:variant>
      <vt:variant>
        <vt:lpwst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SHARAH LILIANA AGUIRRE LEMUS</dc:creator>
  <cp:keywords/>
  <cp:lastModifiedBy>David Castellanos</cp:lastModifiedBy>
  <cp:revision>5</cp:revision>
  <dcterms:created xsi:type="dcterms:W3CDTF">2020-06-15T01:03:00Z</dcterms:created>
  <dcterms:modified xsi:type="dcterms:W3CDTF">2020-06-26T15:21:00Z</dcterms:modified>
</cp:coreProperties>
</file>