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7B0AF2" w14:textId="21FD82B8" w:rsidR="00920FE7" w:rsidRDefault="00920FE7" w:rsidP="00574205">
      <w:pPr>
        <w:spacing w:after="0" w:line="240" w:lineRule="auto"/>
        <w:jc w:val="both"/>
        <w:rPr>
          <w:rFonts w:ascii="Arial" w:hAnsi="Arial" w:cs="Arial"/>
          <w:b/>
          <w:lang w:val="es-MX"/>
        </w:rPr>
      </w:pPr>
      <w:r>
        <w:rPr>
          <w:rFonts w:ascii="Arial" w:hAnsi="Arial" w:cs="Arial"/>
          <w:b/>
          <w:lang w:val="es-MX"/>
        </w:rPr>
        <w:t>FONADE ‒ Naturaleza jurídica ‒</w:t>
      </w:r>
      <w:r w:rsidR="00A80AFC">
        <w:rPr>
          <w:rFonts w:ascii="Arial" w:hAnsi="Arial" w:cs="Arial"/>
          <w:b/>
          <w:lang w:val="es-MX"/>
        </w:rPr>
        <w:t xml:space="preserve"> E</w:t>
      </w:r>
      <w:r w:rsidR="005D77F0">
        <w:rPr>
          <w:rFonts w:ascii="Arial" w:hAnsi="Arial" w:cs="Arial"/>
          <w:b/>
          <w:lang w:val="es-MX"/>
        </w:rPr>
        <w:t>mpresa industrial y comercial del Estado ‒ Entidad financiera ‒ Institución financiera ‒ Carácter público</w:t>
      </w:r>
    </w:p>
    <w:p w14:paraId="7944094F" w14:textId="37950F5C" w:rsidR="00325A08" w:rsidRPr="00DB5AE9" w:rsidRDefault="00325A08" w:rsidP="00574205">
      <w:pPr>
        <w:spacing w:after="0" w:line="240" w:lineRule="auto"/>
        <w:jc w:val="both"/>
        <w:rPr>
          <w:rFonts w:ascii="Arial" w:hAnsi="Arial" w:cs="Arial"/>
          <w:b/>
          <w:lang w:val="es-MX"/>
        </w:rPr>
      </w:pPr>
      <w:r w:rsidRPr="00DB5AE9">
        <w:rPr>
          <w:rFonts w:ascii="Arial" w:hAnsi="Arial" w:cs="Arial"/>
          <w:b/>
          <w:lang w:val="es-MX"/>
        </w:rPr>
        <w:t xml:space="preserve"> </w:t>
      </w:r>
    </w:p>
    <w:p w14:paraId="104D92F5" w14:textId="77777777" w:rsidR="005D77F0" w:rsidRDefault="00884949" w:rsidP="00574205">
      <w:pPr>
        <w:spacing w:after="0" w:line="240" w:lineRule="auto"/>
        <w:jc w:val="both"/>
        <w:rPr>
          <w:rFonts w:ascii="Arial" w:hAnsi="Arial" w:cs="Arial"/>
          <w:lang w:val="es-ES_tradnl"/>
        </w:rPr>
      </w:pPr>
      <w:r w:rsidRPr="00DB5AE9">
        <w:rPr>
          <w:rFonts w:ascii="Arial" w:hAnsi="Arial" w:cs="Arial"/>
          <w:lang w:val="es-MX"/>
        </w:rPr>
        <w:t>Fue</w:t>
      </w:r>
      <w:r w:rsidR="00325A08" w:rsidRPr="00DB5AE9">
        <w:rPr>
          <w:rFonts w:ascii="Arial" w:hAnsi="Arial" w:cs="Arial"/>
          <w:lang w:val="es-ES_tradnl"/>
        </w:rPr>
        <w:t xml:space="preserve"> creado por el Gobierno Nacional mediante el decreto 3068 de 1968, en ejercicio de las facultades que le fueron conferidas por la ley 65 de 1967, como un establecimiento público denominado Fondo Nacional de Proyectos de Desarrollo, adscrito al Departamento Nacional de Planeación, con autonomía administrativa y patrimonio propio, y cuya función era financiar a entidades de derecho público o privado los estudios mencionados en el artículo 1º del citado decreto. (…) Luego se reestructuró mediante el decreto 2168 de 1992 (…) pasando a ser una “Empresa Industrial y Comercial del Estado, de carácter financiero denominada Fondo Financiero de Proyectos de Desarrollo” (…) Más adelante el decreto 288 de 2004 modificó la estructura de FONADE, pero conservó su denominación y su naturaleza como empresa industrial y comercial del Estado, de carácter financiero. (…) la revisión de la legislación vigente en materia financiera, en especial el Estatuto Orgánico del Sistema Financiero, el decreto 2555 de 2010 y algunas resoluciones y circulares expedidas por la extinta Superintendencia Bancaria y la actual Superintendencia Financiera de Colombia, evidencia que no existe una distinción, a nivel normativo, entre las expresiones “entidad financiera” e “institución financiera”, dado que dichos términos son utilizados indistintamente para denominar a la misma clase de personas jurídicas, públicas o privadas, autorizadas legalmente para realizar actividades financieras, aseguradoras y otras que implican el manejo, inversión y aprovechamiento de recursos captados del público, motivos por los cuales entiende la Sala que se trata de locuciones sinónimas (…) FONADE es una “institución financiera”, pues, según lo dispuesto en el artículo 11 del Decreto 2168 de 1992, recogido en el artículo 289 del Estatuto Orgánico del Sistema Financiero (…) Esta definición de “institución financiera” no pugna con lo dispuesto en el E.O.S.F. ni en ninguna otra disposición posterior, ya que en tales normas no se encuentra una definición distinta del mismo término. Por el contrario, dicha legislación confirma que FONADE es una institución o entidad financiera de propiedad estatal. (…) esta Sala, en diversas oportunidades, así como la doctrina de la antigua Superintendencia Bancaria y de la actual Superintendencia Financiera, han reconocido el carácter de “entidad financiera” que tiene FONADE, en particular, y en general, las entidades públicas u oficiales facultadas por la ley para realizar actividades financieras o aseguradoras. (…) Las razones expuestas llevan a la Sala a concluir que el Fondo Financiero de Proyectos de Desarrollo - FONADE es una entidad o institución financiera de carácter público.</w:t>
      </w:r>
    </w:p>
    <w:p w14:paraId="422607F9" w14:textId="01AE21A6" w:rsidR="00325A08" w:rsidRPr="00DB5AE9" w:rsidRDefault="00325A08" w:rsidP="00574205">
      <w:pPr>
        <w:spacing w:after="0" w:line="240" w:lineRule="auto"/>
        <w:jc w:val="both"/>
        <w:rPr>
          <w:rFonts w:ascii="Arial" w:hAnsi="Arial" w:cs="Arial"/>
          <w:lang w:val="es-ES_tradnl"/>
        </w:rPr>
      </w:pPr>
      <w:r w:rsidRPr="00DB5AE9">
        <w:rPr>
          <w:rFonts w:ascii="Arial" w:hAnsi="Arial" w:cs="Arial"/>
          <w:lang w:val="es-ES_tradnl"/>
        </w:rPr>
        <w:t xml:space="preserve"> </w:t>
      </w:r>
    </w:p>
    <w:p w14:paraId="480CA111" w14:textId="190B88BD" w:rsidR="00325A08" w:rsidRDefault="00325A08" w:rsidP="00574205">
      <w:pPr>
        <w:spacing w:after="0" w:line="240" w:lineRule="auto"/>
        <w:jc w:val="both"/>
        <w:rPr>
          <w:rFonts w:ascii="Arial" w:hAnsi="Arial" w:cs="Arial"/>
          <w:b/>
          <w:lang w:val="es-ES_tradnl"/>
        </w:rPr>
      </w:pPr>
      <w:r w:rsidRPr="00DB5AE9">
        <w:rPr>
          <w:rFonts w:ascii="Arial" w:hAnsi="Arial" w:cs="Arial"/>
          <w:b/>
          <w:lang w:val="es-ES_tradnl"/>
        </w:rPr>
        <w:t>FONADE</w:t>
      </w:r>
      <w:r w:rsidR="00140712">
        <w:rPr>
          <w:rFonts w:ascii="Arial" w:hAnsi="Arial" w:cs="Arial"/>
          <w:b/>
          <w:lang w:val="es-ES_tradnl"/>
        </w:rPr>
        <w:t xml:space="preserve"> ‒ Régimen de contratación ‒ Régimen especial de contratación</w:t>
      </w:r>
    </w:p>
    <w:p w14:paraId="51D0F7BD" w14:textId="77777777" w:rsidR="005D77F0" w:rsidRPr="00DB5AE9" w:rsidRDefault="005D77F0" w:rsidP="00574205">
      <w:pPr>
        <w:spacing w:after="0" w:line="240" w:lineRule="auto"/>
        <w:jc w:val="both"/>
        <w:rPr>
          <w:rFonts w:ascii="Arial" w:hAnsi="Arial" w:cs="Arial"/>
          <w:lang w:val="es-ES_tradnl"/>
        </w:rPr>
      </w:pPr>
    </w:p>
    <w:p w14:paraId="7A59E615" w14:textId="77777777" w:rsidR="00FB44B7" w:rsidRDefault="00325A08" w:rsidP="00574205">
      <w:pPr>
        <w:spacing w:after="0" w:line="240" w:lineRule="auto"/>
        <w:jc w:val="both"/>
        <w:rPr>
          <w:rFonts w:ascii="Arial" w:hAnsi="Arial" w:cs="Arial"/>
          <w:lang w:val="es-ES_tradnl"/>
        </w:rPr>
      </w:pPr>
      <w:r w:rsidRPr="00DB5AE9">
        <w:rPr>
          <w:rFonts w:ascii="Arial" w:hAnsi="Arial" w:cs="Arial"/>
          <w:lang w:val="es-CO"/>
        </w:rPr>
        <w:t>Indica el Departamento Nacional de Planeación en la consulta que FONADE ha estado sometido, desde hace varios años, a diferentes regímenes en materia de contratación</w:t>
      </w:r>
      <w:r w:rsidRPr="00DB5AE9">
        <w:rPr>
          <w:rFonts w:ascii="Arial" w:hAnsi="Arial" w:cs="Arial"/>
          <w:lang w:val="es-ES_tradnl"/>
        </w:rPr>
        <w:t xml:space="preserve">  (…) Al ser FONADE una entidad financiera de carácter estatal, los contratos que celebraba dentro del giro ordinario de las actividades propias de su objeto no estaban sometidos a la ley 80 de 1993 y se regían por las disposiciones que les fueran aplicables (E.O.S.F. y demás normas financieras, Código de Comercio, Código Civil, entre otras). Por el contrario, los contratos que no correspondían al giro ordinario de las actividades propias de su </w:t>
      </w:r>
      <w:proofErr w:type="gramStart"/>
      <w:r w:rsidRPr="00DB5AE9">
        <w:rPr>
          <w:rFonts w:ascii="Arial" w:hAnsi="Arial" w:cs="Arial"/>
          <w:lang w:val="es-ES_tradnl"/>
        </w:rPr>
        <w:t>objeto,</w:t>
      </w:r>
      <w:proofErr w:type="gramEnd"/>
      <w:r w:rsidRPr="00DB5AE9">
        <w:rPr>
          <w:rFonts w:ascii="Arial" w:hAnsi="Arial" w:cs="Arial"/>
          <w:lang w:val="es-ES_tradnl"/>
        </w:rPr>
        <w:t xml:space="preserve"> estaban sujetos íntegramente a la ley 80 de 1993, norma que, como es sabido, remite parcialmente al derecho privado, especialmente en lo relacionado con el objeto de los contratos (artículos 32 y 40). (…) La ley 1150 de 2007, “por medio de la cual se introducen medidas para la eficiencia y la transparencia en la Ley 80 de 1993 y se dictan otras disposiciones generales sobre la contratación con Recursos Públicos”, introdujo a la ley 80 de 1993 una reforma integral, aunque no total. En este sentido, el artículo 15 de dicha ley modificó el parágrafo 1º del artículo 32 de la ley 80 de 1993. (…)</w:t>
      </w:r>
      <w:r w:rsidR="00140712">
        <w:rPr>
          <w:rFonts w:ascii="Arial" w:hAnsi="Arial" w:cs="Arial"/>
          <w:lang w:val="es-ES_tradnl"/>
        </w:rPr>
        <w:t xml:space="preserve"> </w:t>
      </w:r>
      <w:r w:rsidRPr="00DB5AE9">
        <w:rPr>
          <w:rFonts w:ascii="Arial" w:hAnsi="Arial" w:cs="Arial"/>
          <w:lang w:val="es-ES_tradnl"/>
        </w:rPr>
        <w:t xml:space="preserve">Resalta la Sala que, a diferencia de la norma original, que se refería a los contratos “que correspondan al giro ordinario de las actividades propias de su objeto social”, la nueva redacción no incluyó tal condicionamiento, por lo cual debe concluirse que, desde la entrada en vigencia de la ley 1150 de 2007, todos los contratos celebrados por los establecimientos de crédito, las aseguradoras y las demás entidades financieras de carácter estatal quedaron excluidos del Estatuto General de Contratación de la Administración Pública.  No obstante, la misma ley 1150 de 2007 introdujo una regla especial para FONADE, en el artículo 26. (…) Desde el 16 de enero de 2008, fecha de </w:t>
      </w:r>
      <w:proofErr w:type="gramStart"/>
      <w:r w:rsidRPr="00DB5AE9">
        <w:rPr>
          <w:rFonts w:ascii="Arial" w:hAnsi="Arial" w:cs="Arial"/>
          <w:lang w:val="es-ES_tradnl"/>
        </w:rPr>
        <w:t>entrada en vigencia</w:t>
      </w:r>
      <w:proofErr w:type="gramEnd"/>
      <w:r w:rsidRPr="00DB5AE9">
        <w:rPr>
          <w:rFonts w:ascii="Arial" w:hAnsi="Arial" w:cs="Arial"/>
          <w:lang w:val="es-ES_tradnl"/>
        </w:rPr>
        <w:t xml:space="preserve"> del artículo 26 de la Ley 1150 de 2007, todos los contratos que celebre FONADE, sin excepción, quedaron sometidos al Estatuto </w:t>
      </w:r>
      <w:r w:rsidRPr="00DB5AE9">
        <w:rPr>
          <w:rFonts w:ascii="Arial" w:hAnsi="Arial" w:cs="Arial"/>
          <w:lang w:val="es-ES_tradnl"/>
        </w:rPr>
        <w:lastRenderedPageBreak/>
        <w:t>General de Contratación de la Administración Pública. (…) encuentra la Sala que la derogatoria del artículo 26 de la ley 1150 de 2007, que trata de la contratación estatal, dispuesta en el artículo 276 de la ley 1450 de 2011, que versa sobre el Plan Nacional de Desarrollo, resulta contraria al principio de unidad de materia consagrado en el artículo 158 de la Constitución Política, y que en un caso similar la Corte Constitucional, en la sentencia C-331 de 2012, declaró inexequible la derogatoria del parágrafo segundo del artículo 12 y del artículo 30 de la ley 1382 de 2010, efectuada por el artículo 276 de la ley 1450 de 2011. (…) a pesar de las consideraciones de orden constitucional expuestas, se debe respetar el efecto jurídico general producido por el artículo 276 de la ley 1450 de 2011, lo cual significa que, mientras éste no sea declarado inexequible por la Corte Constitucional, el artículo 26 de la ley 1150 de 2007 permanecerá sin vigencia.</w:t>
      </w:r>
    </w:p>
    <w:p w14:paraId="278BD933" w14:textId="2288EF87" w:rsidR="00325A08" w:rsidRPr="00DB5AE9" w:rsidRDefault="00325A08" w:rsidP="00574205">
      <w:pPr>
        <w:spacing w:after="0" w:line="240" w:lineRule="auto"/>
        <w:jc w:val="both"/>
        <w:rPr>
          <w:rFonts w:ascii="Arial" w:hAnsi="Arial" w:cs="Arial"/>
          <w:lang w:val="es-ES_tradnl"/>
        </w:rPr>
      </w:pPr>
      <w:r w:rsidRPr="00DB5AE9">
        <w:rPr>
          <w:rFonts w:ascii="Arial" w:hAnsi="Arial" w:cs="Arial"/>
          <w:lang w:val="es-ES_tradnl"/>
        </w:rPr>
        <w:t xml:space="preserve">    </w:t>
      </w:r>
    </w:p>
    <w:p w14:paraId="5BA18A17" w14:textId="6BA968EC" w:rsidR="00FB44B7" w:rsidRPr="00110C7A" w:rsidRDefault="00110C7A" w:rsidP="00574205">
      <w:pPr>
        <w:spacing w:after="0" w:line="240" w:lineRule="auto"/>
        <w:jc w:val="both"/>
        <w:rPr>
          <w:rFonts w:ascii="Arial" w:hAnsi="Arial" w:cs="Arial"/>
          <w:b/>
          <w:lang w:val="es-ES_tradnl"/>
        </w:rPr>
      </w:pPr>
      <w:r>
        <w:rPr>
          <w:rFonts w:ascii="Arial" w:hAnsi="Arial" w:cs="Arial"/>
          <w:b/>
          <w:lang w:val="es-ES_tradnl"/>
        </w:rPr>
        <w:t xml:space="preserve">FONADE ‒ Contratos con particulares ‒ </w:t>
      </w:r>
      <w:r w:rsidR="009A3FF8">
        <w:rPr>
          <w:rFonts w:ascii="Arial" w:hAnsi="Arial" w:cs="Arial"/>
          <w:b/>
          <w:lang w:val="es-ES_tradnl"/>
        </w:rPr>
        <w:t>Sociedades de economía mixta</w:t>
      </w:r>
    </w:p>
    <w:p w14:paraId="40FDFAF6" w14:textId="77777777" w:rsidR="00110C7A" w:rsidRPr="00DB5AE9" w:rsidRDefault="00110C7A" w:rsidP="00574205">
      <w:pPr>
        <w:spacing w:after="0" w:line="240" w:lineRule="auto"/>
        <w:jc w:val="both"/>
        <w:rPr>
          <w:rFonts w:ascii="Arial" w:hAnsi="Arial" w:cs="Arial"/>
          <w:b/>
          <w:lang w:val="es-ES_tradnl"/>
        </w:rPr>
      </w:pPr>
    </w:p>
    <w:p w14:paraId="0786B7B5" w14:textId="77777777" w:rsidR="009A3FF8" w:rsidRDefault="00325A08" w:rsidP="00574205">
      <w:pPr>
        <w:spacing w:after="0" w:line="240" w:lineRule="auto"/>
        <w:jc w:val="both"/>
        <w:rPr>
          <w:rFonts w:ascii="Arial" w:hAnsi="Arial" w:cs="Arial"/>
          <w:lang w:val="es-ES_tradnl"/>
        </w:rPr>
      </w:pPr>
      <w:r w:rsidRPr="00DB5AE9">
        <w:rPr>
          <w:rFonts w:ascii="Arial" w:hAnsi="Arial" w:cs="Arial"/>
          <w:lang w:val="es-ES_tradnl"/>
        </w:rPr>
        <w:t>Los contratos que FONADE celebre con particulares, incluidas las sociedades de economía mixta con participación estatal inferior al 50%, no están sometidos al Estatuto General de Contratación de la Administración Pública, ya que siendo FONADE una entidad o institución financiera estatal, tales negocios jurídicos están cubiertos por lo dispuesto en el artículo 15 de la ley 1150 de 2007, que modificó el parágrafo primero del artículo 32 de la ley 80 de 1993, antes citados. En efecto, a diferencia de la norma original de la ley 80 de 1993, que exceptuaba solamente los contratos de dichas entidades que correspondieran al “giro ordinario de las actividades propias de su objeto”, la modificación introducida mediante la ley 1150 de 2007 excluyó la totalidad de los contratos celebrados por esas entidades, de tal manera que actualmente se encuentran por fuera del campo de aplicación del Estatuto General de Contratación de la Administración Pública todos los contratos celebrados por los establecimientos de crédito, las compañías de seguros y las demás entidades financieras estatales con particulares. Esta regla se extiende, incluso, a aquellos contratos que eventualmente no formen parte del giro ordinario de las actividades propias de su objeto. (…) aunque a los contratos que celebren las entidades financieras públicas con particulares no se les aplica la ley 80, estas deberán respetar y aplicar en su actividad contractual: i) los principios de la función administrativa previstos en el artículo 209 de la Constitución Política, ii) los principios de la gestión fiscal consagrados en el artículo 267 de la Carta, cuando realicen actividades que impliquen gestión fiscal, y iii) el régimen de inhabilidades e incompatibilidades establecido en el Estatuto General de Contratación de la Administración Pública.</w:t>
      </w:r>
    </w:p>
    <w:p w14:paraId="2F378F57" w14:textId="58531CDA" w:rsidR="00325A08" w:rsidRPr="00DB5AE9" w:rsidRDefault="00325A08" w:rsidP="00574205">
      <w:pPr>
        <w:spacing w:after="0" w:line="240" w:lineRule="auto"/>
        <w:jc w:val="both"/>
        <w:rPr>
          <w:rFonts w:ascii="Arial" w:hAnsi="Arial" w:cs="Arial"/>
          <w:lang w:val="es-ES_tradnl"/>
        </w:rPr>
      </w:pPr>
      <w:r w:rsidRPr="00DB5AE9">
        <w:rPr>
          <w:rFonts w:ascii="Arial" w:hAnsi="Arial" w:cs="Arial"/>
          <w:lang w:val="es-ES_tradnl"/>
        </w:rPr>
        <w:t xml:space="preserve">          </w:t>
      </w:r>
    </w:p>
    <w:p w14:paraId="32D47620" w14:textId="77777777" w:rsidR="00317C6C" w:rsidRDefault="00325A08" w:rsidP="00574205">
      <w:pPr>
        <w:spacing w:after="0" w:line="240" w:lineRule="auto"/>
        <w:jc w:val="both"/>
        <w:rPr>
          <w:rFonts w:ascii="Arial" w:hAnsi="Arial" w:cs="Arial"/>
          <w:b/>
          <w:lang w:val="es-ES_tradnl"/>
        </w:rPr>
      </w:pPr>
      <w:r w:rsidRPr="00DB5AE9">
        <w:rPr>
          <w:rFonts w:ascii="Arial" w:hAnsi="Arial" w:cs="Arial"/>
          <w:b/>
          <w:lang w:val="es-ES_tradnl"/>
        </w:rPr>
        <w:t>POTESTADES EXORBITANTES</w:t>
      </w:r>
      <w:r w:rsidRPr="00DB5AE9">
        <w:rPr>
          <w:rFonts w:ascii="Arial" w:hAnsi="Arial" w:cs="Arial"/>
          <w:lang w:val="es-ES_tradnl"/>
        </w:rPr>
        <w:t xml:space="preserve"> </w:t>
      </w:r>
      <w:r w:rsidRPr="00DB5AE9">
        <w:rPr>
          <w:rFonts w:ascii="Arial" w:hAnsi="Arial" w:cs="Arial"/>
          <w:b/>
          <w:lang w:val="es-ES_tradnl"/>
        </w:rPr>
        <w:t xml:space="preserve">– </w:t>
      </w:r>
      <w:r w:rsidR="008A04A4">
        <w:rPr>
          <w:rFonts w:ascii="Arial" w:hAnsi="Arial" w:cs="Arial"/>
          <w:b/>
          <w:lang w:val="es-ES_tradnl"/>
        </w:rPr>
        <w:t>Cláusulas exorbitantes ‒</w:t>
      </w:r>
      <w:r w:rsidR="005827DC">
        <w:rPr>
          <w:rFonts w:ascii="Arial" w:hAnsi="Arial" w:cs="Arial"/>
          <w:b/>
          <w:lang w:val="es-ES_tradnl"/>
        </w:rPr>
        <w:t xml:space="preserve"> Inviabilidad para pacta</w:t>
      </w:r>
      <w:r w:rsidR="00B97FE7">
        <w:rPr>
          <w:rFonts w:ascii="Arial" w:hAnsi="Arial" w:cs="Arial"/>
          <w:b/>
          <w:lang w:val="es-ES_tradnl"/>
        </w:rPr>
        <w:t>rlas ‒</w:t>
      </w:r>
      <w:r w:rsidR="005827DC">
        <w:rPr>
          <w:rFonts w:ascii="Arial" w:hAnsi="Arial" w:cs="Arial"/>
          <w:b/>
          <w:lang w:val="es-ES_tradnl"/>
        </w:rPr>
        <w:t xml:space="preserve"> </w:t>
      </w:r>
      <w:r w:rsidR="00296CF2">
        <w:rPr>
          <w:rFonts w:ascii="Arial" w:hAnsi="Arial" w:cs="Arial"/>
          <w:b/>
          <w:lang w:val="es-ES_tradnl"/>
        </w:rPr>
        <w:t>Principio de autonomía de la voluntad</w:t>
      </w:r>
    </w:p>
    <w:p w14:paraId="5B285298" w14:textId="77777777" w:rsidR="00317C6C" w:rsidRDefault="00317C6C" w:rsidP="00574205">
      <w:pPr>
        <w:spacing w:after="0" w:line="240" w:lineRule="auto"/>
        <w:jc w:val="both"/>
        <w:rPr>
          <w:rFonts w:ascii="Arial" w:hAnsi="Arial" w:cs="Arial"/>
          <w:b/>
          <w:lang w:val="es-ES_tradnl"/>
        </w:rPr>
      </w:pPr>
    </w:p>
    <w:p w14:paraId="10110BA1" w14:textId="1BC4777A" w:rsidR="00325A08" w:rsidRDefault="00325A08" w:rsidP="00574205">
      <w:pPr>
        <w:spacing w:after="0" w:line="240" w:lineRule="auto"/>
        <w:jc w:val="both"/>
        <w:rPr>
          <w:rFonts w:ascii="Arial" w:hAnsi="Arial" w:cs="Arial"/>
          <w:lang w:val="es-MX"/>
        </w:rPr>
      </w:pPr>
      <w:r w:rsidRPr="00DB5AE9">
        <w:rPr>
          <w:rFonts w:ascii="Arial" w:hAnsi="Arial" w:cs="Arial"/>
          <w:lang w:val="es-MX"/>
        </w:rPr>
        <w:t xml:space="preserve">Conviene señalar que en esta clase de contratos no resulta jurídicamente viable pactar cláusulas exorbitantes o excepcionales, pues éstas, como su nombre lo indica, son ajenas al derecho común o privado, en el que las partes contratantes se presumen jurídicamente colocadas en condiciones de igualdad. Nada impide, sin embargo, que conforme al principio de la autonomía de la voluntad y a las reglas del derecho privado, las partes en este tipo de contratos puedan estipular válidamente algunas cláusulas que, sin ser “exorbitantes”, produzcan efectos prácticos similares como, por ejemplo, las cláusulas penales y las cláusulas de terminación anticipada del contrato, entre otras. </w:t>
      </w:r>
    </w:p>
    <w:p w14:paraId="47B56FDF" w14:textId="77777777" w:rsidR="009A3FF8" w:rsidRPr="00DB5AE9" w:rsidRDefault="009A3FF8" w:rsidP="00574205">
      <w:pPr>
        <w:spacing w:after="0" w:line="240" w:lineRule="auto"/>
        <w:jc w:val="both"/>
        <w:rPr>
          <w:rFonts w:ascii="Arial" w:hAnsi="Arial" w:cs="Arial"/>
          <w:lang w:val="es-MX"/>
        </w:rPr>
      </w:pPr>
    </w:p>
    <w:p w14:paraId="022BC7FF" w14:textId="76772981" w:rsidR="00325A08" w:rsidRDefault="00566A32" w:rsidP="00574205">
      <w:pPr>
        <w:spacing w:after="0" w:line="240" w:lineRule="auto"/>
        <w:jc w:val="both"/>
        <w:rPr>
          <w:rFonts w:ascii="Arial" w:hAnsi="Arial" w:cs="Arial"/>
          <w:b/>
          <w:lang w:val="es-MX"/>
        </w:rPr>
      </w:pPr>
      <w:r>
        <w:rPr>
          <w:rFonts w:ascii="Arial" w:hAnsi="Arial" w:cs="Arial"/>
          <w:b/>
          <w:lang w:val="es-MX"/>
        </w:rPr>
        <w:t xml:space="preserve">CONTRATO INTERADMINISTRATIVO </w:t>
      </w:r>
      <w:r w:rsidR="00B462BA">
        <w:rPr>
          <w:rFonts w:ascii="Arial" w:hAnsi="Arial" w:cs="Arial"/>
          <w:b/>
          <w:lang w:val="es-MX"/>
        </w:rPr>
        <w:t>‒ F</w:t>
      </w:r>
      <w:r w:rsidR="000D6BCB">
        <w:rPr>
          <w:rFonts w:ascii="Arial" w:hAnsi="Arial" w:cs="Arial"/>
          <w:b/>
          <w:lang w:val="es-MX"/>
        </w:rPr>
        <w:t>ONADE</w:t>
      </w:r>
      <w:r w:rsidR="00B462BA">
        <w:rPr>
          <w:rFonts w:ascii="Arial" w:hAnsi="Arial" w:cs="Arial"/>
          <w:b/>
          <w:lang w:val="es-MX"/>
        </w:rPr>
        <w:t xml:space="preserve"> ‒ Entidades públicas ‒ Contrato estatal </w:t>
      </w:r>
      <w:r w:rsidR="006212FE">
        <w:rPr>
          <w:rFonts w:ascii="Arial" w:hAnsi="Arial" w:cs="Arial"/>
          <w:b/>
          <w:lang w:val="es-MX"/>
        </w:rPr>
        <w:t>‒ Contrato derivado</w:t>
      </w:r>
    </w:p>
    <w:p w14:paraId="0AAFE64D" w14:textId="77777777" w:rsidR="00B97FE7" w:rsidRPr="00DB5AE9" w:rsidRDefault="00B97FE7" w:rsidP="00574205">
      <w:pPr>
        <w:spacing w:after="0" w:line="240" w:lineRule="auto"/>
        <w:jc w:val="both"/>
        <w:rPr>
          <w:rFonts w:ascii="Arial" w:hAnsi="Arial" w:cs="Arial"/>
          <w:b/>
          <w:lang w:val="es-MX"/>
        </w:rPr>
      </w:pPr>
    </w:p>
    <w:p w14:paraId="64A44093" w14:textId="77777777" w:rsidR="00325A08" w:rsidRPr="00DB5AE9" w:rsidRDefault="00325A08" w:rsidP="00574205">
      <w:pPr>
        <w:tabs>
          <w:tab w:val="left" w:pos="709"/>
        </w:tabs>
        <w:spacing w:after="0" w:line="240" w:lineRule="auto"/>
        <w:jc w:val="both"/>
        <w:rPr>
          <w:rFonts w:ascii="Arial" w:hAnsi="Arial" w:cs="Arial"/>
          <w:lang w:val="es-MX"/>
        </w:rPr>
      </w:pPr>
      <w:r w:rsidRPr="00DB5AE9">
        <w:rPr>
          <w:rFonts w:ascii="Arial" w:hAnsi="Arial" w:cs="Arial"/>
          <w:lang w:val="es-MX"/>
        </w:rPr>
        <w:t xml:space="preserve">Los contratos que FONADE suscriba con otras entidades públicas, sujetas a la ley 80 de 1993, de acuerdo con lo dispuesto en los artículos 1º y 2º, son contratos estatales que corresponden a la categoría de los “contratos interadministrativos” y por tanto están sometidos al Estatuto General de Contratación de la Administración Pública. Ello es así porque, si bien a FONADE no se le aplica en principio la ley 80 de 1993 en los contratos que celebra, a la otra entidad estatal sí se le aplica y está, por ende, obligada a cumplir con sus disposiciones. (…) A continuación de la regla general de sujeción a la ley 80 de 1993, la parte final de la norma transcrita introduce una salvedad, consistente en que, cuando la entidad ejecutora desarrolle su actividad en competencia con el sector privado, o la </w:t>
      </w:r>
      <w:r w:rsidRPr="00DB5AE9">
        <w:rPr>
          <w:rFonts w:ascii="Arial" w:hAnsi="Arial" w:cs="Arial"/>
          <w:lang w:val="es-MX"/>
        </w:rPr>
        <w:lastRenderedPageBreak/>
        <w:t xml:space="preserve">ejecución del contrato interadministrativo tenga relación directa con el desarrollo de su actividad, la ejecución de dicho contrato no estaría sujeta a la ley 80 de 1993. Este precepto crea algunas dificultades interpretativas, como la de definir si la actividad de una entidad pública está o no en competencia con el sector privado, o la de establecer si la ejecución de un contrato interadministrativo guarda relación directa con la actividad de la entidad ejecutora. (…) Si se repara en que las leyes 1150 de 2007 y 1474 de 2011 tuvieron como propósito, en este punto, evitar los abusos cometidos por algunas entidades públicas mediante la contratación interadministrativa, principalmente por la intermediación de recursos estatales con entidades públicas exceptuadas de la aplicación de la ley 80 de 1993, en opinión de la Sala debería asumirse que, cuando la norma alude a la “ejecución” del contrato interadministrativo, se refiere a la celebración de los contratos derivados o “subcontratos” que se requieran para cumplir con las obligaciones asumidas por la entidad pública ejecutora. (…) si dicha entidad pública está en competencia con el sector privado, o la ejecución del convenio interadministrativo guarda relación directa con las actividades propias de la misma (como sería lo normal), los contratos derivados o “subcontratos” que tal entidad celebre con particulares, para cumplir con sus obligaciones frente a la otra entidad pública contratante, no estarían sometidos al Estatuto General de Contratación de la Administración Pública.  (…) si la entidad pública ejecutora no estuviera en competencia con el sector privado, o la ejecución del convenio interadministrativo no tuviere, por alguna razón, relación directa con las actividades propias de su objeto, los contratos derivados o los “subcontratos” que celebre para ejecutar las obligaciones contraídas en virtud del convenio interadministrativo, estarían sometidos al régimen de la ley 80 de 1993 </w:t>
      </w:r>
    </w:p>
    <w:p w14:paraId="0C4E376D" w14:textId="77777777" w:rsidR="00325A08" w:rsidRPr="00DB5AE9" w:rsidRDefault="00325A08" w:rsidP="00574205">
      <w:pPr>
        <w:tabs>
          <w:tab w:val="left" w:pos="709"/>
        </w:tabs>
        <w:spacing w:after="0" w:line="240" w:lineRule="auto"/>
        <w:jc w:val="both"/>
        <w:rPr>
          <w:rFonts w:ascii="Arial" w:hAnsi="Arial" w:cs="Arial"/>
          <w:lang w:val="es-MX"/>
        </w:rPr>
      </w:pPr>
    </w:p>
    <w:p w14:paraId="2FB109EB" w14:textId="6294BDE8" w:rsidR="00325A08" w:rsidRPr="00DB5AE9" w:rsidRDefault="00325A08" w:rsidP="00574205">
      <w:pPr>
        <w:tabs>
          <w:tab w:val="left" w:pos="709"/>
        </w:tabs>
        <w:spacing w:after="0" w:line="240" w:lineRule="auto"/>
        <w:jc w:val="both"/>
        <w:rPr>
          <w:rFonts w:ascii="Arial" w:hAnsi="Arial" w:cs="Arial"/>
          <w:b/>
          <w:lang w:val="es-MX"/>
        </w:rPr>
      </w:pPr>
      <w:r w:rsidRPr="00DB5AE9">
        <w:rPr>
          <w:rFonts w:ascii="Arial" w:hAnsi="Arial" w:cs="Arial"/>
          <w:b/>
          <w:lang w:val="es-MX"/>
        </w:rPr>
        <w:t>CON</w:t>
      </w:r>
      <w:r w:rsidR="0097122F">
        <w:rPr>
          <w:rFonts w:ascii="Arial" w:hAnsi="Arial" w:cs="Arial"/>
          <w:b/>
          <w:lang w:val="es-MX"/>
        </w:rPr>
        <w:t>TRATO INTERADMINISTRATIVO</w:t>
      </w:r>
      <w:r w:rsidRPr="00DB5AE9">
        <w:rPr>
          <w:rFonts w:ascii="Arial" w:hAnsi="Arial" w:cs="Arial"/>
          <w:b/>
          <w:lang w:val="es-MX"/>
        </w:rPr>
        <w:t xml:space="preserve"> – Régimen </w:t>
      </w:r>
      <w:r w:rsidR="00D97E63">
        <w:rPr>
          <w:rFonts w:ascii="Arial" w:hAnsi="Arial" w:cs="Arial"/>
          <w:b/>
          <w:lang w:val="es-MX"/>
        </w:rPr>
        <w:t>jurídico</w:t>
      </w:r>
      <w:r w:rsidRPr="00DB5AE9">
        <w:rPr>
          <w:rFonts w:ascii="Arial" w:hAnsi="Arial" w:cs="Arial"/>
          <w:b/>
          <w:lang w:val="es-MX"/>
        </w:rPr>
        <w:t xml:space="preserve"> –</w:t>
      </w:r>
      <w:r w:rsidR="00D97E63">
        <w:rPr>
          <w:rFonts w:ascii="Arial" w:hAnsi="Arial" w:cs="Arial"/>
          <w:b/>
          <w:lang w:val="es-MX"/>
        </w:rPr>
        <w:t xml:space="preserve"> </w:t>
      </w:r>
      <w:r w:rsidR="00C2567C">
        <w:rPr>
          <w:rFonts w:ascii="Arial" w:hAnsi="Arial" w:cs="Arial"/>
          <w:b/>
          <w:lang w:val="es-MX"/>
        </w:rPr>
        <w:t>Objeto ‒ Cláusulas exorbitantes ‒ Prohibic</w:t>
      </w:r>
      <w:r w:rsidR="002326E1">
        <w:rPr>
          <w:rFonts w:ascii="Arial" w:hAnsi="Arial" w:cs="Arial"/>
          <w:b/>
          <w:lang w:val="es-MX"/>
        </w:rPr>
        <w:t>ión para pactarlas</w:t>
      </w:r>
    </w:p>
    <w:p w14:paraId="35D6547D" w14:textId="77777777" w:rsidR="00325A08" w:rsidRPr="00DB5AE9" w:rsidRDefault="00325A08" w:rsidP="00574205">
      <w:pPr>
        <w:tabs>
          <w:tab w:val="left" w:pos="709"/>
        </w:tabs>
        <w:spacing w:after="0" w:line="240" w:lineRule="auto"/>
        <w:jc w:val="both"/>
        <w:rPr>
          <w:rFonts w:ascii="Arial" w:hAnsi="Arial" w:cs="Arial"/>
          <w:lang w:val="es-MX"/>
        </w:rPr>
      </w:pPr>
    </w:p>
    <w:p w14:paraId="7A740A43" w14:textId="77777777" w:rsidR="00325A08" w:rsidRPr="00DB5AE9" w:rsidRDefault="00325A08" w:rsidP="00574205">
      <w:pPr>
        <w:tabs>
          <w:tab w:val="left" w:pos="709"/>
        </w:tabs>
        <w:spacing w:after="0" w:line="240" w:lineRule="auto"/>
        <w:jc w:val="both"/>
        <w:rPr>
          <w:rFonts w:ascii="Arial" w:hAnsi="Arial" w:cs="Arial"/>
          <w:lang w:val="es-MX"/>
        </w:rPr>
      </w:pPr>
      <w:r w:rsidRPr="00DB5AE9">
        <w:rPr>
          <w:rFonts w:ascii="Arial" w:hAnsi="Arial" w:cs="Arial"/>
          <w:lang w:val="es-MX"/>
        </w:rPr>
        <w:t>se resalta que, en la hipótesis analizada, el contrato interadministrativo, en sí mismo, en cuanto a su celebración, ejecución, terminación y liquidación, está sometido al Estatuto General de Contratación de la Administración Pública, teniendo en cuenta, obviamente, las particularidades que dicho régimen consagra para los contratos interadministrativos, y considerando que, según el artículo 40 de la ley 80, el objeto o “contenido” de los contratos estatales es el que, “de acuerdo con las normas civiles, comerciales y las previstas en esta ley, correspondan a su esencia y naturaleza”, así como a “las modalidades, condiciones y, en general, las cláusulas o estipulaciones que las partes consideren necesarias y convenientes…”, conforme al principio de la autonomía de la voluntad. (…) una de las particularidades de los contratos interadministrativos, en relación con los demás contratos estatales, radica en que no pueden incluir las denominadas “cláusulas exorbitantes o excepcionales” por expresa disposición del parágrafo del artículo 14 de la ley 80 de 1993.  Esta restricción obedece, principalmente, a que las dos entidades públicas contratantes se entienden dispuestas en un plano de igualdad, circunstancia que les impide imponer o ejercer frente a la otra potestades excepcionales o unilaterales. Por ello, técnicamente hablando, en esta clase de contratos no hay “contratantes” y “contratistas”, como habitualmente se califica a las partes en los contratos estatales, sino que las dos entidades públicas son contratantes o contrayentes</w:t>
      </w:r>
    </w:p>
    <w:p w14:paraId="50BA97C9" w14:textId="77777777" w:rsidR="00325A08" w:rsidRPr="00DB5AE9" w:rsidRDefault="00325A08" w:rsidP="00574205">
      <w:pPr>
        <w:spacing w:after="0" w:line="240" w:lineRule="auto"/>
        <w:jc w:val="both"/>
        <w:rPr>
          <w:rFonts w:ascii="Arial" w:hAnsi="Arial" w:cs="Arial"/>
          <w:lang w:val="es-MX"/>
        </w:rPr>
      </w:pPr>
    </w:p>
    <w:p w14:paraId="48EF01BB" w14:textId="63806174" w:rsidR="002326E1" w:rsidRPr="00983D78" w:rsidRDefault="00983D78" w:rsidP="00574205">
      <w:pPr>
        <w:spacing w:after="0" w:line="240" w:lineRule="auto"/>
        <w:jc w:val="both"/>
        <w:rPr>
          <w:rFonts w:ascii="Arial" w:hAnsi="Arial" w:cs="Arial"/>
          <w:b/>
          <w:lang w:val="es-MX"/>
        </w:rPr>
      </w:pPr>
      <w:r>
        <w:rPr>
          <w:rFonts w:ascii="Arial" w:hAnsi="Arial" w:cs="Arial"/>
          <w:b/>
          <w:lang w:val="es-MX"/>
        </w:rPr>
        <w:t xml:space="preserve">SOCIEDADES ‒ </w:t>
      </w:r>
      <w:r w:rsidR="0006262D">
        <w:rPr>
          <w:rFonts w:ascii="Arial" w:hAnsi="Arial" w:cs="Arial"/>
          <w:b/>
          <w:lang w:val="es-MX"/>
        </w:rPr>
        <w:t xml:space="preserve">Objeto social ‒ </w:t>
      </w:r>
      <w:r w:rsidR="000D6BCB">
        <w:rPr>
          <w:rFonts w:ascii="Arial" w:hAnsi="Arial" w:cs="Arial"/>
          <w:b/>
          <w:lang w:val="es-MX"/>
        </w:rPr>
        <w:t>C</w:t>
      </w:r>
      <w:r w:rsidR="0006262D">
        <w:rPr>
          <w:rFonts w:ascii="Arial" w:hAnsi="Arial" w:cs="Arial"/>
          <w:b/>
          <w:lang w:val="es-MX"/>
        </w:rPr>
        <w:t>elebración de contratos ‒ Circunscribirse al objeto social</w:t>
      </w:r>
      <w:r w:rsidR="00046C5E">
        <w:rPr>
          <w:rFonts w:ascii="Arial" w:hAnsi="Arial" w:cs="Arial"/>
          <w:b/>
          <w:lang w:val="es-MX"/>
        </w:rPr>
        <w:t xml:space="preserve"> ‒ Objeto principal ‒ Objeto secundario</w:t>
      </w:r>
    </w:p>
    <w:p w14:paraId="059135F5" w14:textId="77777777" w:rsidR="00983D78" w:rsidRPr="00DB5AE9" w:rsidRDefault="00983D78" w:rsidP="00574205">
      <w:pPr>
        <w:spacing w:after="0" w:line="240" w:lineRule="auto"/>
        <w:jc w:val="both"/>
        <w:rPr>
          <w:rFonts w:ascii="Arial" w:hAnsi="Arial" w:cs="Arial"/>
          <w:b/>
          <w:lang w:val="es-MX"/>
        </w:rPr>
      </w:pPr>
    </w:p>
    <w:p w14:paraId="28FA68E3" w14:textId="77777777" w:rsidR="00046C5E" w:rsidRDefault="00325A08" w:rsidP="00574205">
      <w:pPr>
        <w:spacing w:after="0" w:line="240" w:lineRule="auto"/>
        <w:jc w:val="both"/>
        <w:rPr>
          <w:rFonts w:ascii="Arial" w:hAnsi="Arial" w:cs="Arial"/>
          <w:lang w:val="es-MX"/>
        </w:rPr>
      </w:pPr>
      <w:r w:rsidRPr="00DB5AE9">
        <w:rPr>
          <w:rFonts w:ascii="Arial" w:hAnsi="Arial" w:cs="Arial"/>
          <w:lang w:val="es-MX"/>
        </w:rPr>
        <w:t xml:space="preserve">La Sala puntualiza los siguientes aspectos: El objeto de una sociedad, y en general de cualquier persona jurídica, está conformado por el denominado “objeto principal” y el llamado “objeto secundario, complementario o subsidiario”. El primero comprende las actividades y los actos expresamente previstos en el acto de constitución de la persona jurídica (estatutos, en el caso de las sociedades; ley, en el caso de las empresas industriales y comerciales del Estado, o acto de creación, en general). El segundo incluye dos grupos de actos jurídicos: i) Aquellos que, sin estar mencionados expresamente, guardan una relación o conexidad directa con el objeto principal, como por ejemplo, el otorgamiento de una garantía necesaria para realizar una operación prevista en el objeto principal; ii) todos los demás que resulten necesarios para ejercer los derechos y cumplir las obligaciones que implica la existencia y el funcionamiento de la persona jurídica, tales como el pago de impuestos, la contratación de personal, la adquisición de insumos o de activos fijos </w:t>
      </w:r>
      <w:r w:rsidRPr="00DB5AE9">
        <w:rPr>
          <w:rFonts w:ascii="Arial" w:hAnsi="Arial" w:cs="Arial"/>
          <w:lang w:val="es-MX"/>
        </w:rPr>
        <w:lastRenderedPageBreak/>
        <w:t>(muebles e inmuebles) etc. Cualquier acto que no esté comprendido dentro del objeto, ya sea principal o secundario, no puede ser realizado válidamente por la persona jurídica, pues excede su capacidad legal. Por lo tanto, de llegar a celebrar un acto de esta clase, el mismo estaría viciado de nulidad y, en esa medida, no obligaría válidamente a la entidad. Todos los actos (incluyendo los contratos) que una persona jurídica celebra “dentro del giro ordinario de sus negocios” deben estar comprendidos en su objeto (principal o accesorio), pero existen algunos actos que las personas jurídicas pueden celebrar válidamente, por estar incluidos dentro de su objeto, que no corresponden, sin embargo, al “giro ordinario de sus negocios”, por tratarse de actos u operaciones que se realizan de forma extraordinaria o esporádica.</w:t>
      </w:r>
    </w:p>
    <w:p w14:paraId="122C3EE2" w14:textId="0F274FA8" w:rsidR="00046C5E" w:rsidRDefault="00046C5E" w:rsidP="00574205">
      <w:pPr>
        <w:spacing w:after="0" w:line="240" w:lineRule="auto"/>
        <w:jc w:val="both"/>
        <w:rPr>
          <w:rFonts w:ascii="Arial" w:hAnsi="Arial" w:cs="Arial"/>
          <w:lang w:val="es-MX"/>
        </w:rPr>
      </w:pPr>
    </w:p>
    <w:p w14:paraId="722788F0" w14:textId="61AFBF28" w:rsidR="00000B99" w:rsidRPr="00000B99" w:rsidRDefault="00000B99" w:rsidP="00574205">
      <w:pPr>
        <w:spacing w:after="0" w:line="240" w:lineRule="auto"/>
        <w:jc w:val="both"/>
        <w:rPr>
          <w:rFonts w:ascii="Arial" w:hAnsi="Arial" w:cs="Arial"/>
          <w:b/>
          <w:bCs/>
          <w:lang w:val="es-MX"/>
        </w:rPr>
      </w:pPr>
      <w:r>
        <w:rPr>
          <w:rFonts w:ascii="Arial" w:hAnsi="Arial" w:cs="Arial"/>
          <w:b/>
          <w:bCs/>
          <w:lang w:val="es-MX"/>
        </w:rPr>
        <w:t xml:space="preserve">FONADE ‒ Objeto social ‒ Giro ordinario </w:t>
      </w:r>
      <w:r w:rsidR="008A7B72">
        <w:rPr>
          <w:rFonts w:ascii="Arial" w:hAnsi="Arial" w:cs="Arial"/>
          <w:b/>
          <w:bCs/>
          <w:lang w:val="es-MX"/>
        </w:rPr>
        <w:t>‒ Objeto secundario</w:t>
      </w:r>
    </w:p>
    <w:p w14:paraId="170D63CF" w14:textId="77777777" w:rsidR="00046C5E" w:rsidRDefault="00046C5E" w:rsidP="00574205">
      <w:pPr>
        <w:spacing w:after="0" w:line="240" w:lineRule="auto"/>
        <w:jc w:val="both"/>
        <w:rPr>
          <w:rFonts w:ascii="Arial" w:hAnsi="Arial" w:cs="Arial"/>
          <w:lang w:val="es-MX"/>
        </w:rPr>
      </w:pPr>
    </w:p>
    <w:p w14:paraId="09C47CF3" w14:textId="77777777" w:rsidR="009535C5" w:rsidRDefault="00325A08" w:rsidP="00574205">
      <w:pPr>
        <w:spacing w:after="0" w:line="240" w:lineRule="auto"/>
        <w:jc w:val="both"/>
        <w:rPr>
          <w:rFonts w:ascii="Arial" w:hAnsi="Arial" w:cs="Arial"/>
          <w:lang w:val="es-MX"/>
        </w:rPr>
      </w:pPr>
      <w:r w:rsidRPr="00DB5AE9">
        <w:rPr>
          <w:rFonts w:ascii="Arial" w:hAnsi="Arial" w:cs="Arial"/>
          <w:lang w:val="es-MX"/>
        </w:rPr>
        <w:t>De los criterios expuestos se desprende que, en el caso específico de FONADE, los siguientes contratos forman parte del “giro ordinario” de sus negocios: a. Todos aquellos que celebra para realizar las actividades y cumplir las funciones que la ley y las demás normas con fuerza de ley le asignan expresamente, ya sea que correspondan a actividades típicamente financieras o no (objeto principal). b. Todos los que celebre en conexión o en relación directa con dichos negocios (objeto secundario, actos conexos). Ejemplo de dichos contratos podría ser los que suscribe FONADE para cumplir o ejecutar las obligaciones que asume frente a otras entidades públicas, en desarrollo de los contratos de gerencia integral de proyectos, de gerencia de recursos, y de los otros contratos interadministrativos que celebra en ejercicio de sus funciones. c. Todos aquellos que resultan necesarios para la existencia de FONADE y su funcionamiento normal como empresa industrial y comercial del Estado (objeto secundario), siempre que sean habituales u ordinarios, como la contratación de personal, el mantenimiento de sus sedes y vehículos, el licenciamiento de software, la contratación de servicios de aseo o vigilancia, la asesoría jurídica, administrativa, contable o técnica ordinaria, la adquisición de computadores, muebles de oficina, papelería, etc.</w:t>
      </w:r>
    </w:p>
    <w:p w14:paraId="0329996C" w14:textId="5D09E9B1" w:rsidR="009535C5" w:rsidRDefault="009535C5" w:rsidP="00574205">
      <w:pPr>
        <w:spacing w:after="0" w:line="240" w:lineRule="auto"/>
        <w:jc w:val="both"/>
        <w:rPr>
          <w:rFonts w:ascii="Arial" w:hAnsi="Arial" w:cs="Arial"/>
          <w:lang w:val="es-MX"/>
        </w:rPr>
      </w:pPr>
    </w:p>
    <w:p w14:paraId="60571459" w14:textId="46195FC5" w:rsidR="009535C5" w:rsidRPr="009535C5" w:rsidRDefault="009535C5" w:rsidP="00574205">
      <w:pPr>
        <w:spacing w:after="0" w:line="240" w:lineRule="auto"/>
        <w:jc w:val="both"/>
        <w:rPr>
          <w:rFonts w:ascii="Arial" w:hAnsi="Arial" w:cs="Arial"/>
          <w:b/>
          <w:bCs/>
          <w:lang w:val="es-MX"/>
        </w:rPr>
      </w:pPr>
      <w:r>
        <w:rPr>
          <w:rFonts w:ascii="Arial" w:hAnsi="Arial" w:cs="Arial"/>
          <w:b/>
          <w:bCs/>
          <w:lang w:val="es-MX"/>
        </w:rPr>
        <w:t xml:space="preserve">JURISDICCIÓN </w:t>
      </w:r>
      <w:r w:rsidR="00BE56DA">
        <w:rPr>
          <w:rFonts w:ascii="Arial" w:hAnsi="Arial" w:cs="Arial"/>
          <w:b/>
          <w:bCs/>
          <w:lang w:val="es-MX"/>
        </w:rPr>
        <w:t xml:space="preserve">DE LO </w:t>
      </w:r>
      <w:r>
        <w:rPr>
          <w:rFonts w:ascii="Arial" w:hAnsi="Arial" w:cs="Arial"/>
          <w:b/>
          <w:bCs/>
          <w:lang w:val="es-MX"/>
        </w:rPr>
        <w:t>CONTENICOSO ADMINISTRATIV</w:t>
      </w:r>
      <w:r w:rsidR="00BE56DA">
        <w:rPr>
          <w:rFonts w:ascii="Arial" w:hAnsi="Arial" w:cs="Arial"/>
          <w:b/>
          <w:bCs/>
          <w:lang w:val="es-MX"/>
        </w:rPr>
        <w:t>O</w:t>
      </w:r>
      <w:r>
        <w:rPr>
          <w:rFonts w:ascii="Arial" w:hAnsi="Arial" w:cs="Arial"/>
          <w:b/>
          <w:bCs/>
          <w:lang w:val="es-MX"/>
        </w:rPr>
        <w:t xml:space="preserve"> ‒ Competencia</w:t>
      </w:r>
      <w:r w:rsidR="00DD31CE">
        <w:rPr>
          <w:rFonts w:ascii="Arial" w:hAnsi="Arial" w:cs="Arial"/>
          <w:b/>
          <w:bCs/>
          <w:lang w:val="es-MX"/>
        </w:rPr>
        <w:t xml:space="preserve"> ‒ Contratos</w:t>
      </w:r>
      <w:r w:rsidR="007931F5">
        <w:rPr>
          <w:rFonts w:ascii="Arial" w:hAnsi="Arial" w:cs="Arial"/>
          <w:b/>
          <w:bCs/>
          <w:lang w:val="es-MX"/>
        </w:rPr>
        <w:t xml:space="preserve"> </w:t>
      </w:r>
      <w:r w:rsidR="00A31306">
        <w:rPr>
          <w:rFonts w:ascii="Arial" w:hAnsi="Arial" w:cs="Arial"/>
          <w:b/>
          <w:bCs/>
          <w:lang w:val="es-MX"/>
        </w:rPr>
        <w:t>de instituciones financieras</w:t>
      </w:r>
    </w:p>
    <w:p w14:paraId="159700E4" w14:textId="77777777" w:rsidR="009535C5" w:rsidRDefault="009535C5" w:rsidP="00574205">
      <w:pPr>
        <w:spacing w:after="0" w:line="240" w:lineRule="auto"/>
        <w:jc w:val="both"/>
        <w:rPr>
          <w:rFonts w:ascii="Arial" w:hAnsi="Arial" w:cs="Arial"/>
          <w:lang w:val="es-MX"/>
        </w:rPr>
      </w:pPr>
    </w:p>
    <w:p w14:paraId="78F90F57" w14:textId="4A374D6D" w:rsidR="00653FD3" w:rsidRDefault="00325A08" w:rsidP="00574205">
      <w:pPr>
        <w:spacing w:after="0" w:line="240" w:lineRule="auto"/>
        <w:jc w:val="both"/>
        <w:rPr>
          <w:rFonts w:ascii="Arial" w:hAnsi="Arial" w:cs="Arial"/>
          <w:lang w:val="es-MX"/>
        </w:rPr>
      </w:pPr>
      <w:r w:rsidRPr="00DB5AE9">
        <w:rPr>
          <w:rFonts w:ascii="Arial" w:hAnsi="Arial" w:cs="Arial"/>
          <w:lang w:val="es-MX"/>
        </w:rPr>
        <w:t xml:space="preserve">Por consiguiente, todos los contratos indicados en los numerales anteriores están comprendidos dentro de la excepción prevista en el artículo 105, numeral 1º de la ley 1437 de 2011 y, en consecuencia, se encuentran por fuera de la órbita de la Jurisdicción </w:t>
      </w:r>
      <w:proofErr w:type="gramStart"/>
      <w:r w:rsidRPr="00DB5AE9">
        <w:rPr>
          <w:rFonts w:ascii="Arial" w:hAnsi="Arial" w:cs="Arial"/>
          <w:lang w:val="es-MX"/>
        </w:rPr>
        <w:t>Contencioso Administrativa</w:t>
      </w:r>
      <w:proofErr w:type="gramEnd"/>
      <w:r w:rsidRPr="00DB5AE9">
        <w:rPr>
          <w:rFonts w:ascii="Arial" w:hAnsi="Arial" w:cs="Arial"/>
          <w:lang w:val="es-MX"/>
        </w:rPr>
        <w:t>.  De esta forma, los únicos contratos que no estarían incluidos dentro del “giro ordinario de sus negocios” y que, por lo tanto, son del conocimiento de la Jurisdicción Contencioso Administrativa, serían aquellos que llegare a celebrar FONADE, dentro de su objeto secundario o complementario, en forma extraordinaria o esporádica, como la adquisición de una nueva sede principal, el cambio integral de su plataforma tecnológica, una consultoría especial (por ejemplo, para una eventual reestructuración interna o “reingeniería”), el cambio general de sus marcas y demás signos distintivos, entre otros.</w:t>
      </w:r>
    </w:p>
    <w:p w14:paraId="6EBA6CEA" w14:textId="77777777" w:rsidR="00574205" w:rsidRPr="00653FD3" w:rsidRDefault="00574205" w:rsidP="00574205">
      <w:pPr>
        <w:spacing w:after="0" w:line="240" w:lineRule="auto"/>
        <w:jc w:val="both"/>
        <w:rPr>
          <w:rFonts w:ascii="Arial" w:hAnsi="Arial" w:cs="Arial"/>
          <w:b/>
          <w:sz w:val="24"/>
          <w:szCs w:val="24"/>
          <w:lang w:val="es-CO" w:eastAsia="es-ES"/>
        </w:rPr>
      </w:pPr>
    </w:p>
    <w:p w14:paraId="05CE6CDA" w14:textId="77777777" w:rsidR="00653FD3" w:rsidRPr="00653FD3" w:rsidRDefault="00653FD3" w:rsidP="00653FD3">
      <w:pPr>
        <w:spacing w:after="0" w:line="240" w:lineRule="auto"/>
        <w:jc w:val="center"/>
        <w:rPr>
          <w:rFonts w:ascii="Arial" w:hAnsi="Arial" w:cs="Arial"/>
          <w:b/>
          <w:sz w:val="24"/>
          <w:szCs w:val="24"/>
          <w:lang w:val="es-CO" w:eastAsia="es-ES"/>
        </w:rPr>
      </w:pPr>
      <w:r w:rsidRPr="00653FD3">
        <w:rPr>
          <w:rFonts w:ascii="Arial" w:hAnsi="Arial" w:cs="Arial"/>
          <w:b/>
          <w:sz w:val="24"/>
          <w:szCs w:val="24"/>
          <w:lang w:val="es-CO" w:eastAsia="es-ES"/>
        </w:rPr>
        <w:t>CONSEJO DE ESTADO</w:t>
      </w:r>
    </w:p>
    <w:p w14:paraId="5B329E91" w14:textId="77777777" w:rsidR="00653FD3" w:rsidRPr="00653FD3" w:rsidRDefault="00653FD3" w:rsidP="00653FD3">
      <w:pPr>
        <w:spacing w:after="0" w:line="240" w:lineRule="auto"/>
        <w:jc w:val="center"/>
        <w:rPr>
          <w:rFonts w:ascii="Arial" w:hAnsi="Arial" w:cs="Arial"/>
          <w:sz w:val="24"/>
          <w:szCs w:val="24"/>
          <w:lang w:val="es-CO" w:eastAsia="es-ES"/>
        </w:rPr>
      </w:pPr>
    </w:p>
    <w:p w14:paraId="3FFA036E" w14:textId="77777777" w:rsidR="00653FD3" w:rsidRPr="00653FD3" w:rsidRDefault="00653FD3" w:rsidP="00653FD3">
      <w:pPr>
        <w:spacing w:after="0" w:line="240" w:lineRule="auto"/>
        <w:jc w:val="center"/>
        <w:rPr>
          <w:rFonts w:ascii="Arial" w:hAnsi="Arial" w:cs="Arial"/>
          <w:b/>
          <w:bCs/>
          <w:sz w:val="24"/>
          <w:szCs w:val="24"/>
          <w:lang w:val="es-CO" w:eastAsia="es-ES"/>
        </w:rPr>
      </w:pPr>
      <w:r w:rsidRPr="00653FD3">
        <w:rPr>
          <w:rFonts w:ascii="Arial" w:hAnsi="Arial" w:cs="Arial"/>
          <w:b/>
          <w:bCs/>
          <w:sz w:val="24"/>
          <w:szCs w:val="24"/>
          <w:lang w:val="es-CO" w:eastAsia="es-ES"/>
        </w:rPr>
        <w:t>SALA DE CONSULTA Y SERVICIO CIVIL</w:t>
      </w:r>
    </w:p>
    <w:p w14:paraId="75627C3B" w14:textId="77777777" w:rsidR="00653FD3" w:rsidRPr="00653FD3" w:rsidRDefault="00653FD3" w:rsidP="00653FD3">
      <w:pPr>
        <w:spacing w:after="0" w:line="240" w:lineRule="auto"/>
        <w:jc w:val="center"/>
        <w:rPr>
          <w:rFonts w:ascii="Arial" w:hAnsi="Arial" w:cs="Arial"/>
          <w:b/>
          <w:bCs/>
          <w:sz w:val="24"/>
          <w:szCs w:val="24"/>
          <w:lang w:val="es-CO" w:eastAsia="es-ES"/>
        </w:rPr>
      </w:pPr>
    </w:p>
    <w:p w14:paraId="5E44EB80" w14:textId="77777777" w:rsidR="00653FD3" w:rsidRPr="00653FD3" w:rsidRDefault="00653FD3" w:rsidP="00653FD3">
      <w:pPr>
        <w:spacing w:after="0" w:line="240" w:lineRule="auto"/>
        <w:jc w:val="center"/>
        <w:rPr>
          <w:rFonts w:ascii="Arial" w:hAnsi="Arial" w:cs="Arial"/>
          <w:b/>
          <w:bCs/>
          <w:sz w:val="24"/>
          <w:szCs w:val="24"/>
          <w:lang w:val="es-CO" w:eastAsia="es-ES"/>
        </w:rPr>
      </w:pPr>
      <w:r w:rsidRPr="00653FD3">
        <w:rPr>
          <w:rFonts w:ascii="Arial" w:hAnsi="Arial" w:cs="Arial"/>
          <w:b/>
          <w:bCs/>
          <w:sz w:val="24"/>
          <w:szCs w:val="24"/>
          <w:lang w:val="es-CO" w:eastAsia="es-ES"/>
        </w:rPr>
        <w:t>Consejero ponente: AUGUSTO HERNANDEZ BECERRA</w:t>
      </w:r>
      <w:r>
        <w:rPr>
          <w:rFonts w:ascii="Arial" w:hAnsi="Arial" w:cs="Arial"/>
          <w:b/>
          <w:bCs/>
          <w:sz w:val="24"/>
          <w:szCs w:val="24"/>
          <w:lang w:val="es-CO" w:eastAsia="es-ES"/>
        </w:rPr>
        <w:t xml:space="preserve"> (E)</w:t>
      </w:r>
    </w:p>
    <w:p w14:paraId="150B884F" w14:textId="77777777" w:rsidR="00653FD3" w:rsidRPr="00653FD3" w:rsidRDefault="00653FD3" w:rsidP="00653FD3">
      <w:pPr>
        <w:spacing w:after="0" w:line="240" w:lineRule="auto"/>
        <w:rPr>
          <w:rFonts w:ascii="Arial" w:eastAsia="Arial Unicode MS" w:hAnsi="Arial" w:cs="Arial"/>
          <w:sz w:val="24"/>
          <w:szCs w:val="24"/>
        </w:rPr>
      </w:pPr>
    </w:p>
    <w:p w14:paraId="76790D5F" w14:textId="77777777" w:rsidR="00653FD3" w:rsidRPr="00653FD3" w:rsidRDefault="00653FD3" w:rsidP="00653FD3">
      <w:pPr>
        <w:spacing w:after="0" w:line="240" w:lineRule="auto"/>
        <w:rPr>
          <w:rFonts w:ascii="Arial" w:eastAsia="Arial Unicode MS" w:hAnsi="Arial" w:cs="Arial"/>
          <w:sz w:val="24"/>
          <w:szCs w:val="24"/>
        </w:rPr>
      </w:pPr>
      <w:r w:rsidRPr="00653FD3">
        <w:rPr>
          <w:rFonts w:ascii="Arial" w:eastAsia="Arial Unicode MS" w:hAnsi="Arial" w:cs="Arial"/>
          <w:sz w:val="24"/>
          <w:szCs w:val="24"/>
        </w:rPr>
        <w:t>Bogotá, D.C., nueve (09) de abril de dos mil trece (2013)</w:t>
      </w:r>
    </w:p>
    <w:p w14:paraId="1D02EB14" w14:textId="77777777" w:rsidR="00653FD3" w:rsidRPr="00653FD3" w:rsidRDefault="00653FD3" w:rsidP="00653FD3">
      <w:pPr>
        <w:tabs>
          <w:tab w:val="left" w:pos="5160"/>
        </w:tabs>
        <w:spacing w:after="0" w:line="240" w:lineRule="auto"/>
        <w:jc w:val="both"/>
        <w:rPr>
          <w:rFonts w:ascii="Arial" w:hAnsi="Arial" w:cs="Arial"/>
          <w:b/>
          <w:bCs/>
          <w:sz w:val="24"/>
          <w:szCs w:val="24"/>
        </w:rPr>
      </w:pPr>
    </w:p>
    <w:p w14:paraId="14011198" w14:textId="77777777" w:rsidR="00653FD3" w:rsidRPr="00653FD3" w:rsidRDefault="00653FD3" w:rsidP="00653FD3">
      <w:pPr>
        <w:spacing w:after="0" w:line="240" w:lineRule="auto"/>
        <w:jc w:val="both"/>
        <w:rPr>
          <w:rFonts w:ascii="Arial" w:hAnsi="Arial" w:cs="Arial"/>
          <w:b/>
          <w:bCs/>
          <w:sz w:val="24"/>
          <w:szCs w:val="24"/>
        </w:rPr>
      </w:pPr>
      <w:r w:rsidRPr="00653FD3">
        <w:rPr>
          <w:rFonts w:ascii="Arial" w:hAnsi="Arial" w:cs="Arial"/>
          <w:b/>
          <w:bCs/>
          <w:sz w:val="24"/>
          <w:szCs w:val="24"/>
        </w:rPr>
        <w:t>Radicación número: 11001-03-06-000-201</w:t>
      </w:r>
      <w:r>
        <w:rPr>
          <w:rFonts w:ascii="Arial" w:hAnsi="Arial" w:cs="Arial"/>
          <w:b/>
          <w:bCs/>
          <w:sz w:val="24"/>
          <w:szCs w:val="24"/>
        </w:rPr>
        <w:t>3</w:t>
      </w:r>
      <w:r w:rsidRPr="00653FD3">
        <w:rPr>
          <w:rFonts w:ascii="Arial" w:hAnsi="Arial" w:cs="Arial"/>
          <w:b/>
          <w:bCs/>
          <w:sz w:val="24"/>
          <w:szCs w:val="24"/>
        </w:rPr>
        <w:t>-000</w:t>
      </w:r>
      <w:r>
        <w:rPr>
          <w:rFonts w:ascii="Arial" w:hAnsi="Arial" w:cs="Arial"/>
          <w:b/>
          <w:bCs/>
          <w:sz w:val="24"/>
          <w:szCs w:val="24"/>
        </w:rPr>
        <w:t>02-00(2135</w:t>
      </w:r>
      <w:r w:rsidRPr="00653FD3">
        <w:rPr>
          <w:rFonts w:ascii="Arial" w:hAnsi="Arial" w:cs="Arial"/>
          <w:b/>
          <w:bCs/>
          <w:sz w:val="24"/>
          <w:szCs w:val="24"/>
        </w:rPr>
        <w:t>)</w:t>
      </w:r>
    </w:p>
    <w:p w14:paraId="080CB7F5" w14:textId="77777777" w:rsidR="00653FD3" w:rsidRPr="00653FD3" w:rsidRDefault="00653FD3" w:rsidP="00653FD3">
      <w:pPr>
        <w:spacing w:after="0" w:line="240" w:lineRule="auto"/>
        <w:jc w:val="both"/>
        <w:rPr>
          <w:rFonts w:ascii="Arial" w:hAnsi="Arial" w:cs="Arial"/>
          <w:b/>
          <w:bCs/>
          <w:sz w:val="24"/>
          <w:szCs w:val="24"/>
        </w:rPr>
      </w:pPr>
    </w:p>
    <w:p w14:paraId="6AF9ED45" w14:textId="77777777" w:rsidR="00653FD3" w:rsidRPr="00653FD3" w:rsidRDefault="00653FD3" w:rsidP="00653FD3">
      <w:pPr>
        <w:spacing w:after="0" w:line="240" w:lineRule="auto"/>
        <w:jc w:val="both"/>
        <w:rPr>
          <w:rFonts w:ascii="Arial" w:hAnsi="Arial" w:cs="Arial"/>
          <w:b/>
          <w:bCs/>
          <w:sz w:val="24"/>
          <w:szCs w:val="24"/>
        </w:rPr>
      </w:pPr>
      <w:r>
        <w:rPr>
          <w:rFonts w:ascii="Arial" w:hAnsi="Arial" w:cs="Arial"/>
          <w:b/>
          <w:bCs/>
          <w:sz w:val="24"/>
          <w:szCs w:val="24"/>
        </w:rPr>
        <w:t xml:space="preserve">Actor: DEPARTAMENTO NACIONAL DE PLANEACIÓN </w:t>
      </w:r>
    </w:p>
    <w:p w14:paraId="111063E9" w14:textId="77777777" w:rsidR="00653FD3" w:rsidRPr="00653FD3" w:rsidRDefault="00653FD3" w:rsidP="00653FD3">
      <w:pPr>
        <w:spacing w:after="0" w:line="240" w:lineRule="auto"/>
        <w:rPr>
          <w:rFonts w:ascii="Arial" w:eastAsia="Arial Unicode MS" w:hAnsi="Arial" w:cs="Arial"/>
          <w:sz w:val="24"/>
          <w:szCs w:val="24"/>
        </w:rPr>
      </w:pPr>
    </w:p>
    <w:p w14:paraId="3CD58E3A" w14:textId="77777777" w:rsidR="00653FD3" w:rsidRPr="00653FD3" w:rsidRDefault="00653FD3" w:rsidP="00653FD3">
      <w:pPr>
        <w:pStyle w:val="Textoindependiente21"/>
        <w:tabs>
          <w:tab w:val="num" w:pos="3560"/>
        </w:tabs>
        <w:ind w:left="2722"/>
        <w:rPr>
          <w:rFonts w:cs="Arial"/>
          <w:b w:val="0"/>
          <w:bCs/>
          <w:spacing w:val="-12"/>
          <w:szCs w:val="24"/>
        </w:rPr>
      </w:pPr>
    </w:p>
    <w:p w14:paraId="67BE23D4" w14:textId="77777777" w:rsidR="00653FD3" w:rsidRDefault="00653FD3" w:rsidP="00653FD3">
      <w:pPr>
        <w:pStyle w:val="Textoindependiente"/>
      </w:pPr>
    </w:p>
    <w:p w14:paraId="04717747" w14:textId="77777777" w:rsidR="00653FD3" w:rsidRDefault="00653FD3" w:rsidP="00725D19">
      <w:pPr>
        <w:spacing w:after="0" w:line="240" w:lineRule="auto"/>
        <w:ind w:right="-199"/>
        <w:jc w:val="both"/>
        <w:rPr>
          <w:rFonts w:ascii="Arial" w:eastAsia="Arial Unicode MS" w:hAnsi="Arial" w:cs="Arial"/>
          <w:sz w:val="24"/>
          <w:szCs w:val="24"/>
        </w:rPr>
      </w:pPr>
    </w:p>
    <w:p w14:paraId="0FF98A8E" w14:textId="77777777" w:rsidR="00653FD3" w:rsidRDefault="00653FD3" w:rsidP="00725D19">
      <w:pPr>
        <w:spacing w:after="0" w:line="240" w:lineRule="auto"/>
        <w:ind w:right="-199"/>
        <w:jc w:val="both"/>
        <w:rPr>
          <w:rFonts w:ascii="Arial" w:eastAsia="Arial Unicode MS" w:hAnsi="Arial" w:cs="Arial"/>
          <w:sz w:val="24"/>
          <w:szCs w:val="24"/>
        </w:rPr>
      </w:pPr>
    </w:p>
    <w:p w14:paraId="7345200E" w14:textId="77777777" w:rsidR="0028148B" w:rsidRPr="00F514E8" w:rsidRDefault="00FE3EF4" w:rsidP="00725D19">
      <w:pPr>
        <w:spacing w:after="0" w:line="240" w:lineRule="auto"/>
        <w:ind w:right="-199"/>
        <w:jc w:val="both"/>
        <w:rPr>
          <w:rFonts w:ascii="Arial" w:hAnsi="Arial" w:cs="Arial"/>
          <w:bCs/>
          <w:sz w:val="24"/>
          <w:szCs w:val="24"/>
          <w:lang w:val="es-ES_tradnl"/>
        </w:rPr>
      </w:pPr>
      <w:r w:rsidRPr="00F514E8">
        <w:rPr>
          <w:rFonts w:ascii="Arial" w:hAnsi="Arial" w:cs="Arial"/>
          <w:sz w:val="24"/>
          <w:szCs w:val="24"/>
          <w:lang w:val="es-ES_tradnl"/>
        </w:rPr>
        <w:t xml:space="preserve">El Director General del Departamento Nacional de Planeación </w:t>
      </w:r>
      <w:r w:rsidR="00952A40" w:rsidRPr="00F514E8">
        <w:rPr>
          <w:rFonts w:ascii="Arial" w:hAnsi="Arial" w:cs="Arial"/>
          <w:sz w:val="24"/>
          <w:szCs w:val="24"/>
          <w:lang w:val="es-ES_tradnl"/>
        </w:rPr>
        <w:t xml:space="preserve">consulta </w:t>
      </w:r>
      <w:r w:rsidR="00C20067" w:rsidRPr="00F514E8">
        <w:rPr>
          <w:rFonts w:ascii="Arial" w:hAnsi="Arial" w:cs="Arial"/>
          <w:sz w:val="24"/>
          <w:szCs w:val="24"/>
          <w:lang w:val="es-ES_tradnl"/>
        </w:rPr>
        <w:t xml:space="preserve">a la Sala </w:t>
      </w:r>
      <w:r w:rsidR="00952A40" w:rsidRPr="00F514E8">
        <w:rPr>
          <w:rFonts w:ascii="Arial" w:hAnsi="Arial" w:cs="Arial"/>
          <w:sz w:val="24"/>
          <w:szCs w:val="24"/>
          <w:lang w:val="es-ES_tradnl"/>
        </w:rPr>
        <w:t>sobre</w:t>
      </w:r>
      <w:r w:rsidR="001E746E" w:rsidRPr="00F514E8">
        <w:rPr>
          <w:rFonts w:ascii="Arial" w:hAnsi="Arial" w:cs="Arial"/>
          <w:sz w:val="24"/>
          <w:szCs w:val="24"/>
          <w:lang w:val="es-ES_tradnl"/>
        </w:rPr>
        <w:t xml:space="preserve"> el </w:t>
      </w:r>
      <w:r w:rsidRPr="00F514E8">
        <w:rPr>
          <w:rFonts w:ascii="Arial" w:hAnsi="Arial" w:cs="Arial"/>
          <w:sz w:val="24"/>
          <w:szCs w:val="24"/>
          <w:lang w:val="es-ES_tradnl"/>
        </w:rPr>
        <w:t>r</w:t>
      </w:r>
      <w:r w:rsidRPr="00F514E8">
        <w:rPr>
          <w:rFonts w:ascii="Arial" w:hAnsi="Arial" w:cs="Arial"/>
          <w:bCs/>
          <w:sz w:val="24"/>
          <w:szCs w:val="24"/>
          <w:lang w:val="es-ES_tradnl"/>
        </w:rPr>
        <w:t xml:space="preserve">égimen jurídico aplicable a los contratos que celebra el Fondo Financiero de Proyectos de Desarrollo - FONADE, </w:t>
      </w:r>
      <w:r w:rsidR="00891C62" w:rsidRPr="00F514E8">
        <w:rPr>
          <w:rFonts w:ascii="Arial" w:hAnsi="Arial" w:cs="Arial"/>
          <w:bCs/>
          <w:sz w:val="24"/>
          <w:szCs w:val="24"/>
          <w:lang w:val="es-ES_tradnl"/>
        </w:rPr>
        <w:t xml:space="preserve">así como </w:t>
      </w:r>
      <w:r w:rsidR="00E82BF9" w:rsidRPr="00F514E8">
        <w:rPr>
          <w:rFonts w:ascii="Arial" w:hAnsi="Arial" w:cs="Arial"/>
          <w:bCs/>
          <w:sz w:val="24"/>
          <w:szCs w:val="24"/>
          <w:lang w:val="es-ES_tradnl"/>
        </w:rPr>
        <w:t xml:space="preserve">sobre </w:t>
      </w:r>
      <w:r w:rsidR="00891C62" w:rsidRPr="00F514E8">
        <w:rPr>
          <w:rFonts w:ascii="Arial" w:hAnsi="Arial" w:cs="Arial"/>
          <w:bCs/>
          <w:sz w:val="24"/>
          <w:szCs w:val="24"/>
          <w:lang w:val="es-ES_tradnl"/>
        </w:rPr>
        <w:t xml:space="preserve">la jurisdicción que sería competente para conocer de las controversias contractuales en </w:t>
      </w:r>
      <w:r w:rsidR="00870A4B" w:rsidRPr="00F514E8">
        <w:rPr>
          <w:rFonts w:ascii="Arial" w:hAnsi="Arial" w:cs="Arial"/>
          <w:bCs/>
          <w:sz w:val="24"/>
          <w:szCs w:val="24"/>
          <w:lang w:val="es-ES_tradnl"/>
        </w:rPr>
        <w:t xml:space="preserve">las </w:t>
      </w:r>
      <w:r w:rsidR="00891C62" w:rsidRPr="00F514E8">
        <w:rPr>
          <w:rFonts w:ascii="Arial" w:hAnsi="Arial" w:cs="Arial"/>
          <w:bCs/>
          <w:sz w:val="24"/>
          <w:szCs w:val="24"/>
          <w:lang w:val="es-ES_tradnl"/>
        </w:rPr>
        <w:t>que sea parte, a la luz de</w:t>
      </w:r>
      <w:r w:rsidR="00135C1B" w:rsidRPr="00F514E8">
        <w:rPr>
          <w:rFonts w:ascii="Arial" w:hAnsi="Arial" w:cs="Arial"/>
          <w:bCs/>
          <w:sz w:val="24"/>
          <w:szCs w:val="24"/>
          <w:lang w:val="es-ES_tradnl"/>
        </w:rPr>
        <w:t>l Estatuto General de Contratación Estatal y de</w:t>
      </w:r>
      <w:r w:rsidR="00891C62" w:rsidRPr="00F514E8">
        <w:rPr>
          <w:rFonts w:ascii="Arial" w:hAnsi="Arial" w:cs="Arial"/>
          <w:bCs/>
          <w:sz w:val="24"/>
          <w:szCs w:val="24"/>
          <w:lang w:val="es-ES_tradnl"/>
        </w:rPr>
        <w:t xml:space="preserve"> lo dispuesto en la Ley 1437 de 2011 (Código de Procedimiento Administrativo y de lo Contencioso Administrativo). </w:t>
      </w:r>
    </w:p>
    <w:p w14:paraId="3DEBBB50" w14:textId="77777777" w:rsidR="00891C62" w:rsidRPr="00F514E8" w:rsidRDefault="00891C62" w:rsidP="00725D19">
      <w:pPr>
        <w:spacing w:after="0" w:line="240" w:lineRule="auto"/>
        <w:ind w:right="-199"/>
        <w:jc w:val="both"/>
        <w:rPr>
          <w:rFonts w:ascii="Arial" w:hAnsi="Arial" w:cs="Arial"/>
          <w:lang w:val="es-ES_tradnl"/>
        </w:rPr>
      </w:pPr>
    </w:p>
    <w:p w14:paraId="177DBA37" w14:textId="77777777" w:rsidR="00EB0CE1" w:rsidRPr="00F514E8" w:rsidRDefault="00EB0CE1" w:rsidP="00725D19">
      <w:pPr>
        <w:spacing w:after="0" w:line="240" w:lineRule="auto"/>
        <w:ind w:right="-199"/>
        <w:jc w:val="both"/>
        <w:rPr>
          <w:rFonts w:ascii="Arial" w:hAnsi="Arial" w:cs="Arial"/>
          <w:lang w:val="es-ES_tradnl"/>
        </w:rPr>
      </w:pPr>
    </w:p>
    <w:p w14:paraId="4D5D94C4" w14:textId="77777777" w:rsidR="00952A40" w:rsidRPr="00F514E8" w:rsidRDefault="00952A40" w:rsidP="00725D19">
      <w:pPr>
        <w:numPr>
          <w:ilvl w:val="0"/>
          <w:numId w:val="38"/>
        </w:numPr>
        <w:spacing w:after="0" w:line="240" w:lineRule="auto"/>
        <w:ind w:right="-199"/>
        <w:jc w:val="center"/>
        <w:rPr>
          <w:rFonts w:ascii="Arial" w:hAnsi="Arial" w:cs="Arial"/>
          <w:b/>
          <w:sz w:val="24"/>
          <w:szCs w:val="24"/>
          <w:lang w:val="es-ES_tradnl"/>
        </w:rPr>
      </w:pPr>
      <w:r w:rsidRPr="00F514E8">
        <w:rPr>
          <w:rFonts w:ascii="Arial" w:hAnsi="Arial" w:cs="Arial"/>
          <w:b/>
          <w:sz w:val="24"/>
          <w:szCs w:val="24"/>
          <w:lang w:val="es-ES_tradnl"/>
        </w:rPr>
        <w:t>ANTECEDENTES</w:t>
      </w:r>
    </w:p>
    <w:p w14:paraId="1A20F34E" w14:textId="77777777" w:rsidR="00725D19" w:rsidRDefault="00725D19" w:rsidP="00725D19">
      <w:pPr>
        <w:spacing w:after="0" w:line="240" w:lineRule="auto"/>
        <w:ind w:right="-199"/>
        <w:jc w:val="both"/>
        <w:rPr>
          <w:rFonts w:ascii="Arial" w:hAnsi="Arial" w:cs="Arial"/>
          <w:b/>
          <w:sz w:val="24"/>
          <w:szCs w:val="24"/>
          <w:lang w:val="es-ES_tradnl"/>
        </w:rPr>
      </w:pPr>
    </w:p>
    <w:p w14:paraId="7D22B17A" w14:textId="77777777" w:rsidR="007D7D76" w:rsidRPr="00F514E8" w:rsidRDefault="007D7D76" w:rsidP="00725D19">
      <w:pPr>
        <w:spacing w:after="0" w:line="240" w:lineRule="auto"/>
        <w:ind w:right="-199"/>
        <w:jc w:val="both"/>
        <w:rPr>
          <w:rFonts w:ascii="Arial" w:hAnsi="Arial" w:cs="Arial"/>
          <w:b/>
          <w:sz w:val="24"/>
          <w:szCs w:val="24"/>
          <w:lang w:val="es-ES_tradnl"/>
        </w:rPr>
      </w:pPr>
    </w:p>
    <w:p w14:paraId="36FF93BA" w14:textId="77777777" w:rsidR="00891C62" w:rsidRPr="00F514E8" w:rsidRDefault="00725D19" w:rsidP="00725D19">
      <w:p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1.</w:t>
      </w:r>
      <w:r w:rsidRPr="00F514E8">
        <w:rPr>
          <w:rFonts w:ascii="Arial" w:hAnsi="Arial" w:cs="Arial"/>
          <w:b/>
          <w:sz w:val="24"/>
          <w:szCs w:val="24"/>
          <w:lang w:val="es-ES_tradnl"/>
        </w:rPr>
        <w:t xml:space="preserve"> </w:t>
      </w:r>
      <w:r w:rsidR="00135C1B" w:rsidRPr="00F514E8">
        <w:rPr>
          <w:rFonts w:ascii="Arial" w:hAnsi="Arial" w:cs="Arial"/>
          <w:sz w:val="24"/>
          <w:szCs w:val="24"/>
          <w:lang w:val="es-ES_tradnl"/>
        </w:rPr>
        <w:t>La consulta describe</w:t>
      </w:r>
      <w:r w:rsidR="00891C62" w:rsidRPr="00F514E8">
        <w:rPr>
          <w:rFonts w:ascii="Arial" w:hAnsi="Arial" w:cs="Arial"/>
          <w:sz w:val="24"/>
          <w:szCs w:val="24"/>
          <w:lang w:val="es-ES_tradnl"/>
        </w:rPr>
        <w:t xml:space="preserve"> la naturaleza jurídica y el objeto de FONADE, </w:t>
      </w:r>
      <w:r w:rsidR="00135C1B" w:rsidRPr="00F514E8">
        <w:rPr>
          <w:rFonts w:ascii="Arial" w:hAnsi="Arial" w:cs="Arial"/>
          <w:sz w:val="24"/>
          <w:szCs w:val="24"/>
          <w:lang w:val="es-ES_tradnl"/>
        </w:rPr>
        <w:t xml:space="preserve">y </w:t>
      </w:r>
      <w:r w:rsidR="00891C62" w:rsidRPr="00F514E8">
        <w:rPr>
          <w:rFonts w:ascii="Arial" w:hAnsi="Arial" w:cs="Arial"/>
          <w:sz w:val="24"/>
          <w:szCs w:val="24"/>
          <w:lang w:val="es-ES_tradnl"/>
        </w:rPr>
        <w:t xml:space="preserve">manifiesta que dicha </w:t>
      </w:r>
      <w:r w:rsidR="00135C1B" w:rsidRPr="00F514E8">
        <w:rPr>
          <w:rFonts w:ascii="Arial" w:hAnsi="Arial" w:cs="Arial"/>
          <w:sz w:val="24"/>
          <w:szCs w:val="24"/>
          <w:lang w:val="es-ES_tradnl"/>
        </w:rPr>
        <w:t>e</w:t>
      </w:r>
      <w:r w:rsidR="00891C62" w:rsidRPr="00F514E8">
        <w:rPr>
          <w:rFonts w:ascii="Arial" w:hAnsi="Arial" w:cs="Arial"/>
          <w:sz w:val="24"/>
          <w:szCs w:val="24"/>
          <w:lang w:val="es-ES_tradnl"/>
        </w:rPr>
        <w:t xml:space="preserve">ntidad, a lo largo de su historia, ha estado sometida a diferentes regímenes jurídicos en materia de contratación. </w:t>
      </w:r>
    </w:p>
    <w:p w14:paraId="05D30A89" w14:textId="77777777" w:rsidR="00725D19" w:rsidRPr="00F514E8" w:rsidRDefault="00725D19" w:rsidP="00725D19">
      <w:pPr>
        <w:spacing w:after="0" w:line="240" w:lineRule="auto"/>
        <w:ind w:right="-199"/>
        <w:jc w:val="both"/>
        <w:rPr>
          <w:rFonts w:ascii="Arial" w:hAnsi="Arial" w:cs="Arial"/>
          <w:sz w:val="24"/>
          <w:szCs w:val="24"/>
          <w:lang w:val="es-ES_tradnl"/>
        </w:rPr>
      </w:pPr>
    </w:p>
    <w:p w14:paraId="0C47D395" w14:textId="77777777" w:rsidR="00937C76" w:rsidRPr="00F514E8" w:rsidRDefault="00135C1B" w:rsidP="00725D19">
      <w:p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2. Es a</w:t>
      </w:r>
      <w:r w:rsidR="00803CCB" w:rsidRPr="00F514E8">
        <w:rPr>
          <w:rFonts w:ascii="Arial" w:hAnsi="Arial" w:cs="Arial"/>
          <w:sz w:val="24"/>
          <w:szCs w:val="24"/>
          <w:lang w:val="es-ES_tradnl"/>
        </w:rPr>
        <w:t>sí</w:t>
      </w:r>
      <w:r w:rsidRPr="00F514E8">
        <w:rPr>
          <w:rFonts w:ascii="Arial" w:hAnsi="Arial" w:cs="Arial"/>
          <w:sz w:val="24"/>
          <w:szCs w:val="24"/>
          <w:lang w:val="es-ES_tradnl"/>
        </w:rPr>
        <w:t xml:space="preserve"> como</w:t>
      </w:r>
      <w:r w:rsidR="00803CCB" w:rsidRPr="00F514E8">
        <w:rPr>
          <w:rFonts w:ascii="Arial" w:hAnsi="Arial" w:cs="Arial"/>
          <w:sz w:val="24"/>
          <w:szCs w:val="24"/>
          <w:lang w:val="es-ES_tradnl"/>
        </w:rPr>
        <w:t xml:space="preserve">, </w:t>
      </w:r>
      <w:r w:rsidR="00891C62" w:rsidRPr="00F514E8">
        <w:rPr>
          <w:rFonts w:ascii="Arial" w:hAnsi="Arial" w:cs="Arial"/>
          <w:sz w:val="24"/>
          <w:szCs w:val="24"/>
          <w:lang w:val="es-ES_tradnl"/>
        </w:rPr>
        <w:t xml:space="preserve">de conformidad con lo dispuesto en el parágrafo primero del artículo 32 de la </w:t>
      </w:r>
      <w:r w:rsidR="00A81D99" w:rsidRPr="00F514E8">
        <w:rPr>
          <w:rFonts w:ascii="Arial" w:hAnsi="Arial" w:cs="Arial"/>
          <w:sz w:val="24"/>
          <w:szCs w:val="24"/>
          <w:lang w:val="es-ES_tradnl"/>
        </w:rPr>
        <w:t>l</w:t>
      </w:r>
      <w:r w:rsidR="00891C62" w:rsidRPr="00F514E8">
        <w:rPr>
          <w:rFonts w:ascii="Arial" w:hAnsi="Arial" w:cs="Arial"/>
          <w:sz w:val="24"/>
          <w:szCs w:val="24"/>
          <w:lang w:val="es-ES_tradnl"/>
        </w:rPr>
        <w:t xml:space="preserve">ey 80 de 1993, antes de </w:t>
      </w:r>
      <w:r w:rsidRPr="00F514E8">
        <w:rPr>
          <w:rFonts w:ascii="Arial" w:hAnsi="Arial" w:cs="Arial"/>
          <w:sz w:val="24"/>
          <w:szCs w:val="24"/>
          <w:lang w:val="es-ES_tradnl"/>
        </w:rPr>
        <w:t>que fuera modificado por la l</w:t>
      </w:r>
      <w:r w:rsidR="00891C62" w:rsidRPr="00F514E8">
        <w:rPr>
          <w:rFonts w:ascii="Arial" w:hAnsi="Arial" w:cs="Arial"/>
          <w:sz w:val="24"/>
          <w:szCs w:val="24"/>
          <w:lang w:val="es-ES_tradnl"/>
        </w:rPr>
        <w:t>ey 1150 de 2007, los contratos que celebraba FONADE, en su condición de entidad financiera de carácter estatal</w:t>
      </w:r>
      <w:r w:rsidR="00937C76" w:rsidRPr="00F514E8">
        <w:rPr>
          <w:rFonts w:ascii="Arial" w:hAnsi="Arial" w:cs="Arial"/>
          <w:sz w:val="24"/>
          <w:szCs w:val="24"/>
          <w:lang w:val="es-ES_tradnl"/>
        </w:rPr>
        <w:t xml:space="preserve">, </w:t>
      </w:r>
      <w:r w:rsidR="00A81D99" w:rsidRPr="00F514E8">
        <w:rPr>
          <w:rFonts w:ascii="Arial" w:hAnsi="Arial" w:cs="Arial"/>
          <w:sz w:val="24"/>
          <w:szCs w:val="24"/>
          <w:lang w:val="es-ES_tradnl"/>
        </w:rPr>
        <w:t xml:space="preserve">dentro del giro ordinario de sus negocios, </w:t>
      </w:r>
      <w:r w:rsidR="00937C76" w:rsidRPr="00F514E8">
        <w:rPr>
          <w:rFonts w:ascii="Arial" w:hAnsi="Arial" w:cs="Arial"/>
          <w:sz w:val="24"/>
          <w:szCs w:val="24"/>
          <w:lang w:val="es-ES_tradnl"/>
        </w:rPr>
        <w:t>no se regían por el Estatuto General de Contratación de la Administración Pública (</w:t>
      </w:r>
      <w:r w:rsidR="00A81D99" w:rsidRPr="00F514E8">
        <w:rPr>
          <w:rFonts w:ascii="Arial" w:hAnsi="Arial" w:cs="Arial"/>
          <w:sz w:val="24"/>
          <w:szCs w:val="24"/>
          <w:lang w:val="es-ES_tradnl"/>
        </w:rPr>
        <w:t>l</w:t>
      </w:r>
      <w:r w:rsidR="00937C76" w:rsidRPr="00F514E8">
        <w:rPr>
          <w:rFonts w:ascii="Arial" w:hAnsi="Arial" w:cs="Arial"/>
          <w:sz w:val="24"/>
          <w:szCs w:val="24"/>
          <w:lang w:val="es-ES_tradnl"/>
        </w:rPr>
        <w:t xml:space="preserve">ey 80 de 1993 y sus normas complementarias y reglamentarias), sino por las disposiciones del derecho privado. </w:t>
      </w:r>
    </w:p>
    <w:p w14:paraId="3A8CBC3E" w14:textId="77777777" w:rsidR="00A81D99" w:rsidRPr="00F514E8" w:rsidRDefault="00A81D99" w:rsidP="00725D19">
      <w:pPr>
        <w:spacing w:after="0" w:line="240" w:lineRule="auto"/>
        <w:ind w:right="-199"/>
        <w:jc w:val="both"/>
        <w:rPr>
          <w:rFonts w:ascii="Arial" w:hAnsi="Arial" w:cs="Arial"/>
          <w:sz w:val="24"/>
          <w:szCs w:val="24"/>
          <w:lang w:val="es-ES_tradnl"/>
        </w:rPr>
      </w:pPr>
    </w:p>
    <w:p w14:paraId="441E6A71" w14:textId="77777777" w:rsidR="00937C76" w:rsidRPr="00F514E8" w:rsidRDefault="00135C1B" w:rsidP="00725D19">
      <w:pPr>
        <w:spacing w:after="0" w:line="240" w:lineRule="auto"/>
        <w:ind w:right="-199"/>
        <w:jc w:val="both"/>
        <w:rPr>
          <w:rFonts w:ascii="Arial" w:hAnsi="Arial" w:cs="Arial"/>
          <w:i/>
          <w:sz w:val="24"/>
          <w:szCs w:val="24"/>
          <w:lang w:val="es-ES_tradnl"/>
        </w:rPr>
      </w:pPr>
      <w:r w:rsidRPr="00F514E8">
        <w:rPr>
          <w:rFonts w:ascii="Arial" w:hAnsi="Arial" w:cs="Arial"/>
          <w:sz w:val="24"/>
          <w:szCs w:val="24"/>
          <w:lang w:val="es-ES_tradnl"/>
        </w:rPr>
        <w:t xml:space="preserve">3. </w:t>
      </w:r>
      <w:r w:rsidR="00BA14F1" w:rsidRPr="00F514E8">
        <w:rPr>
          <w:rFonts w:ascii="Arial" w:hAnsi="Arial" w:cs="Arial"/>
          <w:sz w:val="24"/>
          <w:szCs w:val="24"/>
          <w:lang w:val="es-ES_tradnl"/>
        </w:rPr>
        <w:t>Posteriormente</w:t>
      </w:r>
      <w:r w:rsidR="00C16B99" w:rsidRPr="00F514E8">
        <w:rPr>
          <w:rFonts w:ascii="Arial" w:hAnsi="Arial" w:cs="Arial"/>
          <w:sz w:val="24"/>
          <w:szCs w:val="24"/>
          <w:lang w:val="es-ES_tradnl"/>
        </w:rPr>
        <w:t>,</w:t>
      </w:r>
      <w:r w:rsidR="00BA14F1" w:rsidRPr="00F514E8">
        <w:rPr>
          <w:rFonts w:ascii="Arial" w:hAnsi="Arial" w:cs="Arial"/>
          <w:sz w:val="24"/>
          <w:szCs w:val="24"/>
          <w:lang w:val="es-ES_tradnl"/>
        </w:rPr>
        <w:t xml:space="preserve"> el artículo 26 de la l</w:t>
      </w:r>
      <w:r w:rsidR="00937C76" w:rsidRPr="00F514E8">
        <w:rPr>
          <w:rFonts w:ascii="Arial" w:hAnsi="Arial" w:cs="Arial"/>
          <w:sz w:val="24"/>
          <w:szCs w:val="24"/>
          <w:lang w:val="es-ES_tradnl"/>
        </w:rPr>
        <w:t xml:space="preserve">ey 1150 de 2007, </w:t>
      </w:r>
      <w:r w:rsidR="00BA14F1" w:rsidRPr="00F514E8">
        <w:rPr>
          <w:rFonts w:ascii="Arial" w:hAnsi="Arial" w:cs="Arial"/>
          <w:sz w:val="24"/>
          <w:szCs w:val="24"/>
          <w:lang w:val="es-ES_tradnl"/>
        </w:rPr>
        <w:t>mediante la cual se reformó la l</w:t>
      </w:r>
      <w:r w:rsidR="00937C76" w:rsidRPr="00F514E8">
        <w:rPr>
          <w:rFonts w:ascii="Arial" w:hAnsi="Arial" w:cs="Arial"/>
          <w:sz w:val="24"/>
          <w:szCs w:val="24"/>
          <w:lang w:val="es-ES_tradnl"/>
        </w:rPr>
        <w:t>ey 80</w:t>
      </w:r>
      <w:r w:rsidR="00BA14F1" w:rsidRPr="00F514E8">
        <w:rPr>
          <w:rFonts w:ascii="Arial" w:hAnsi="Arial" w:cs="Arial"/>
          <w:sz w:val="24"/>
          <w:szCs w:val="24"/>
          <w:lang w:val="es-ES_tradnl"/>
        </w:rPr>
        <w:t xml:space="preserve"> de 1993</w:t>
      </w:r>
      <w:r w:rsidR="00937C76" w:rsidRPr="00F514E8">
        <w:rPr>
          <w:rFonts w:ascii="Arial" w:hAnsi="Arial" w:cs="Arial"/>
          <w:sz w:val="24"/>
          <w:szCs w:val="24"/>
          <w:lang w:val="es-ES_tradnl"/>
        </w:rPr>
        <w:t xml:space="preserve">, estableció que </w:t>
      </w:r>
      <w:r w:rsidR="00937C76" w:rsidRPr="00F514E8">
        <w:rPr>
          <w:rFonts w:ascii="Arial" w:hAnsi="Arial" w:cs="Arial"/>
          <w:i/>
          <w:sz w:val="24"/>
          <w:szCs w:val="24"/>
          <w:lang w:val="es-ES_tradnl"/>
        </w:rPr>
        <w:t xml:space="preserve">“… </w:t>
      </w:r>
      <w:proofErr w:type="spellStart"/>
      <w:r w:rsidR="00937C76" w:rsidRPr="00F514E8">
        <w:rPr>
          <w:rFonts w:ascii="Arial" w:hAnsi="Arial" w:cs="Arial"/>
          <w:i/>
          <w:sz w:val="24"/>
          <w:szCs w:val="24"/>
          <w:lang w:val="es-ES_tradnl"/>
        </w:rPr>
        <w:t>Fonade</w:t>
      </w:r>
      <w:proofErr w:type="spellEnd"/>
      <w:r w:rsidR="00937C76" w:rsidRPr="00F514E8">
        <w:rPr>
          <w:rFonts w:ascii="Arial" w:hAnsi="Arial" w:cs="Arial"/>
          <w:i/>
          <w:sz w:val="24"/>
          <w:szCs w:val="24"/>
          <w:lang w:val="es-ES_tradnl"/>
        </w:rPr>
        <w:t xml:space="preserve"> se regirá por las normas del Estatuto General de Contratación de la Administración Pública contenido en la Ley 80 de 1993 y en las demás normas que lo modifiquen, deroguen o adicionen”. </w:t>
      </w:r>
    </w:p>
    <w:p w14:paraId="5DE65BAC" w14:textId="77777777" w:rsidR="00DC0DE4" w:rsidRPr="00F514E8" w:rsidRDefault="00DC0DE4" w:rsidP="00725D19">
      <w:pPr>
        <w:spacing w:after="0" w:line="240" w:lineRule="auto"/>
        <w:ind w:right="-199"/>
        <w:jc w:val="both"/>
        <w:rPr>
          <w:rFonts w:ascii="Arial" w:hAnsi="Arial" w:cs="Arial"/>
          <w:i/>
          <w:sz w:val="24"/>
          <w:szCs w:val="24"/>
          <w:lang w:val="es-ES_tradnl"/>
        </w:rPr>
      </w:pPr>
    </w:p>
    <w:p w14:paraId="6957C187" w14:textId="77777777" w:rsidR="00937C76" w:rsidRPr="00F514E8" w:rsidRDefault="00BA14F1" w:rsidP="00725D19">
      <w:p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 xml:space="preserve">4. </w:t>
      </w:r>
      <w:r w:rsidR="00937C76" w:rsidRPr="00F514E8">
        <w:rPr>
          <w:rFonts w:ascii="Arial" w:hAnsi="Arial" w:cs="Arial"/>
          <w:sz w:val="24"/>
          <w:szCs w:val="24"/>
          <w:lang w:val="es-ES_tradnl"/>
        </w:rPr>
        <w:t xml:space="preserve">Dicha disposición fue derogada expresamente por el artículo 276 de la Ley 1450 de 2011, </w:t>
      </w:r>
      <w:r w:rsidR="00870A4B" w:rsidRPr="00F514E8">
        <w:rPr>
          <w:rFonts w:ascii="Arial" w:hAnsi="Arial" w:cs="Arial"/>
          <w:sz w:val="24"/>
          <w:szCs w:val="24"/>
          <w:lang w:val="es-ES_tradnl"/>
        </w:rPr>
        <w:t xml:space="preserve">mediante la cual </w:t>
      </w:r>
      <w:r w:rsidRPr="00F514E8">
        <w:rPr>
          <w:rFonts w:ascii="Arial" w:hAnsi="Arial" w:cs="Arial"/>
          <w:sz w:val="24"/>
          <w:szCs w:val="24"/>
          <w:lang w:val="es-ES_tradnl"/>
        </w:rPr>
        <w:t>se expidió el Plan Nacional de Desarrollo 2010 – 2014</w:t>
      </w:r>
      <w:r w:rsidR="00937C76" w:rsidRPr="00F514E8">
        <w:rPr>
          <w:rFonts w:ascii="Arial" w:hAnsi="Arial" w:cs="Arial"/>
          <w:sz w:val="24"/>
          <w:szCs w:val="24"/>
          <w:lang w:val="es-ES_tradnl"/>
        </w:rPr>
        <w:t>, con lo cual, en criterio</w:t>
      </w:r>
      <w:r w:rsidR="00E82BF9" w:rsidRPr="00F514E8">
        <w:rPr>
          <w:rFonts w:ascii="Arial" w:hAnsi="Arial" w:cs="Arial"/>
          <w:sz w:val="24"/>
          <w:szCs w:val="24"/>
          <w:lang w:val="es-ES_tradnl"/>
        </w:rPr>
        <w:t xml:space="preserve"> del consultante</w:t>
      </w:r>
      <w:r w:rsidR="00937C76" w:rsidRPr="00F514E8">
        <w:rPr>
          <w:rFonts w:ascii="Arial" w:hAnsi="Arial" w:cs="Arial"/>
          <w:sz w:val="24"/>
          <w:szCs w:val="24"/>
          <w:lang w:val="es-ES_tradnl"/>
        </w:rPr>
        <w:t xml:space="preserve">, el régimen de contratación aplicable a FONADE volvió a ser el mismo que tenía antes de </w:t>
      </w:r>
      <w:r w:rsidRPr="00F514E8">
        <w:rPr>
          <w:rFonts w:ascii="Arial" w:hAnsi="Arial" w:cs="Arial"/>
          <w:sz w:val="24"/>
          <w:szCs w:val="24"/>
          <w:lang w:val="es-ES_tradnl"/>
        </w:rPr>
        <w:t>la l</w:t>
      </w:r>
      <w:r w:rsidR="00937C76" w:rsidRPr="00F514E8">
        <w:rPr>
          <w:rFonts w:ascii="Arial" w:hAnsi="Arial" w:cs="Arial"/>
          <w:sz w:val="24"/>
          <w:szCs w:val="24"/>
          <w:lang w:val="es-ES_tradnl"/>
        </w:rPr>
        <w:t xml:space="preserve">ey 1150 de 2007, es decir, el </w:t>
      </w:r>
      <w:r w:rsidRPr="00F514E8">
        <w:rPr>
          <w:rFonts w:ascii="Arial" w:hAnsi="Arial" w:cs="Arial"/>
          <w:sz w:val="24"/>
          <w:szCs w:val="24"/>
          <w:lang w:val="es-ES_tradnl"/>
        </w:rPr>
        <w:t xml:space="preserve">de </w:t>
      </w:r>
      <w:r w:rsidR="00937C76" w:rsidRPr="00F514E8">
        <w:rPr>
          <w:rFonts w:ascii="Arial" w:hAnsi="Arial" w:cs="Arial"/>
          <w:sz w:val="24"/>
          <w:szCs w:val="24"/>
          <w:lang w:val="es-ES_tradnl"/>
        </w:rPr>
        <w:t xml:space="preserve">derecho privado. </w:t>
      </w:r>
    </w:p>
    <w:p w14:paraId="66A85565" w14:textId="77777777" w:rsidR="00DC0DE4" w:rsidRPr="00F514E8" w:rsidRDefault="00DC0DE4" w:rsidP="00725D19">
      <w:pPr>
        <w:spacing w:after="0" w:line="240" w:lineRule="auto"/>
        <w:ind w:right="-199"/>
        <w:jc w:val="both"/>
        <w:rPr>
          <w:rFonts w:ascii="Arial" w:hAnsi="Arial" w:cs="Arial"/>
          <w:sz w:val="24"/>
          <w:szCs w:val="24"/>
          <w:lang w:val="es-ES_tradnl"/>
        </w:rPr>
      </w:pPr>
    </w:p>
    <w:p w14:paraId="62E0FF79" w14:textId="77777777" w:rsidR="00937C76" w:rsidRPr="00F514E8" w:rsidRDefault="00485887" w:rsidP="00725D19">
      <w:pPr>
        <w:spacing w:after="0" w:line="240" w:lineRule="auto"/>
        <w:ind w:right="-199"/>
        <w:jc w:val="both"/>
        <w:rPr>
          <w:rFonts w:ascii="Arial" w:hAnsi="Arial" w:cs="Arial"/>
          <w:i/>
          <w:sz w:val="24"/>
          <w:szCs w:val="24"/>
          <w:lang w:val="es-ES_tradnl"/>
        </w:rPr>
      </w:pPr>
      <w:r w:rsidRPr="00F514E8">
        <w:rPr>
          <w:rFonts w:ascii="Arial" w:hAnsi="Arial" w:cs="Arial"/>
          <w:sz w:val="24"/>
          <w:szCs w:val="24"/>
          <w:lang w:val="es-ES_tradnl"/>
        </w:rPr>
        <w:t>5. Finalmente</w:t>
      </w:r>
      <w:r w:rsidR="00A81D99" w:rsidRPr="00F514E8">
        <w:rPr>
          <w:rFonts w:ascii="Arial" w:hAnsi="Arial" w:cs="Arial"/>
          <w:sz w:val="24"/>
          <w:szCs w:val="24"/>
          <w:lang w:val="es-ES_tradnl"/>
        </w:rPr>
        <w:t>,</w:t>
      </w:r>
      <w:r w:rsidRPr="00F514E8">
        <w:rPr>
          <w:rFonts w:ascii="Arial" w:hAnsi="Arial" w:cs="Arial"/>
          <w:sz w:val="24"/>
          <w:szCs w:val="24"/>
          <w:lang w:val="es-ES_tradnl"/>
        </w:rPr>
        <w:t xml:space="preserve"> se</w:t>
      </w:r>
      <w:r w:rsidR="00937C76" w:rsidRPr="00F514E8">
        <w:rPr>
          <w:rFonts w:ascii="Arial" w:hAnsi="Arial" w:cs="Arial"/>
          <w:sz w:val="24"/>
          <w:szCs w:val="24"/>
          <w:lang w:val="es-ES_tradnl"/>
        </w:rPr>
        <w:t xml:space="preserve"> comenta </w:t>
      </w:r>
      <w:r w:rsidRPr="00F514E8">
        <w:rPr>
          <w:rFonts w:ascii="Arial" w:hAnsi="Arial" w:cs="Arial"/>
          <w:sz w:val="24"/>
          <w:szCs w:val="24"/>
          <w:lang w:val="es-ES_tradnl"/>
        </w:rPr>
        <w:t xml:space="preserve">en la consulta </w:t>
      </w:r>
      <w:r w:rsidR="00937C76" w:rsidRPr="00F514E8">
        <w:rPr>
          <w:rFonts w:ascii="Arial" w:hAnsi="Arial" w:cs="Arial"/>
          <w:sz w:val="24"/>
          <w:szCs w:val="24"/>
          <w:lang w:val="es-ES_tradnl"/>
        </w:rPr>
        <w:t>que el artículo 105, numeral 1º del actual Código de Procedimiento Administrativo y de lo Contencioso Administrativo</w:t>
      </w:r>
      <w:r w:rsidR="00DA355B" w:rsidRPr="00F514E8">
        <w:rPr>
          <w:rFonts w:ascii="Arial" w:hAnsi="Arial" w:cs="Arial"/>
          <w:sz w:val="24"/>
          <w:szCs w:val="24"/>
          <w:lang w:val="es-ES_tradnl"/>
        </w:rPr>
        <w:t xml:space="preserve"> (en adelante CPACA),</w:t>
      </w:r>
      <w:r w:rsidR="00937C76" w:rsidRPr="00F514E8">
        <w:rPr>
          <w:rFonts w:ascii="Arial" w:hAnsi="Arial" w:cs="Arial"/>
          <w:sz w:val="24"/>
          <w:szCs w:val="24"/>
          <w:lang w:val="es-ES_tradnl"/>
        </w:rPr>
        <w:t xml:space="preserve"> </w:t>
      </w:r>
      <w:r w:rsidRPr="00F514E8">
        <w:rPr>
          <w:rFonts w:ascii="Arial" w:hAnsi="Arial" w:cs="Arial"/>
          <w:sz w:val="24"/>
          <w:szCs w:val="24"/>
          <w:lang w:val="es-ES_tradnl"/>
        </w:rPr>
        <w:t>l</w:t>
      </w:r>
      <w:r w:rsidR="00937C76" w:rsidRPr="00F514E8">
        <w:rPr>
          <w:rFonts w:ascii="Arial" w:hAnsi="Arial" w:cs="Arial"/>
          <w:sz w:val="24"/>
          <w:szCs w:val="24"/>
          <w:lang w:val="es-ES_tradnl"/>
        </w:rPr>
        <w:t>ey 1437 de 2011</w:t>
      </w:r>
      <w:r w:rsidR="00CF69F5" w:rsidRPr="00F514E8">
        <w:rPr>
          <w:rFonts w:ascii="Arial" w:hAnsi="Arial" w:cs="Arial"/>
          <w:sz w:val="24"/>
          <w:szCs w:val="24"/>
          <w:lang w:val="es-ES_tradnl"/>
        </w:rPr>
        <w:t>, establece que la Jurisdicción de lo Contencioso Administrativo no conoce de las “</w:t>
      </w:r>
      <w:r w:rsidR="00CF69F5" w:rsidRPr="00F514E8">
        <w:rPr>
          <w:rFonts w:ascii="Arial" w:hAnsi="Arial" w:cs="Arial"/>
          <w:i/>
          <w:sz w:val="24"/>
          <w:szCs w:val="24"/>
          <w:lang w:val="es-ES_tradnl"/>
        </w:rPr>
        <w:t>controversias relativas a la responsabilidad extracontractual y a los contratos celebrados por entidades públicas que tengan el carácter de instituciones financieras, aseguradoras, intermediarios de seguros o intermediarios de valores vigilados por la Superintendencia Financiera, cuando correspondan al giro ordinario de los negocios de dichas entidades, incluyendo los procesos ejecutivos”</w:t>
      </w:r>
      <w:r w:rsidR="00CF69F5" w:rsidRPr="00F514E8">
        <w:rPr>
          <w:rFonts w:ascii="Arial" w:hAnsi="Arial" w:cs="Arial"/>
          <w:sz w:val="24"/>
          <w:szCs w:val="24"/>
          <w:lang w:val="es-ES_tradnl"/>
        </w:rPr>
        <w:t>.</w:t>
      </w:r>
      <w:r w:rsidR="00CF69F5" w:rsidRPr="00F514E8">
        <w:rPr>
          <w:rFonts w:ascii="Arial" w:hAnsi="Arial" w:cs="Arial"/>
          <w:i/>
          <w:sz w:val="24"/>
          <w:szCs w:val="24"/>
          <w:lang w:val="es-ES_tradnl"/>
        </w:rPr>
        <w:t xml:space="preserve"> </w:t>
      </w:r>
      <w:r w:rsidR="00937C76" w:rsidRPr="00F514E8">
        <w:rPr>
          <w:rFonts w:ascii="Arial" w:hAnsi="Arial" w:cs="Arial"/>
          <w:i/>
          <w:sz w:val="24"/>
          <w:szCs w:val="24"/>
          <w:lang w:val="es-ES_tradnl"/>
        </w:rPr>
        <w:t xml:space="preserve"> </w:t>
      </w:r>
    </w:p>
    <w:p w14:paraId="6CB5A17E" w14:textId="77777777" w:rsidR="00DC0DE4" w:rsidRPr="00F514E8" w:rsidRDefault="00DC0DE4" w:rsidP="00725D19">
      <w:pPr>
        <w:spacing w:after="0" w:line="240" w:lineRule="auto"/>
        <w:ind w:right="-199"/>
        <w:jc w:val="both"/>
        <w:rPr>
          <w:rFonts w:ascii="Arial" w:hAnsi="Arial" w:cs="Arial"/>
          <w:i/>
          <w:sz w:val="24"/>
          <w:szCs w:val="24"/>
          <w:lang w:val="es-ES_tradnl"/>
        </w:rPr>
      </w:pPr>
    </w:p>
    <w:p w14:paraId="0F014521" w14:textId="77777777" w:rsidR="002276BF" w:rsidRPr="00F514E8" w:rsidRDefault="00485887" w:rsidP="00725D19">
      <w:p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 xml:space="preserve">6. </w:t>
      </w:r>
      <w:r w:rsidR="00CF69F5" w:rsidRPr="00F514E8">
        <w:rPr>
          <w:rFonts w:ascii="Arial" w:hAnsi="Arial" w:cs="Arial"/>
          <w:sz w:val="24"/>
          <w:szCs w:val="24"/>
          <w:lang w:val="es-ES_tradnl"/>
        </w:rPr>
        <w:t>Con base en dicho recuento</w:t>
      </w:r>
      <w:r w:rsidR="00E82BF9" w:rsidRPr="00F514E8">
        <w:rPr>
          <w:rFonts w:ascii="Arial" w:hAnsi="Arial" w:cs="Arial"/>
          <w:sz w:val="24"/>
          <w:szCs w:val="24"/>
          <w:lang w:val="es-ES_tradnl"/>
        </w:rPr>
        <w:t xml:space="preserve">, </w:t>
      </w:r>
      <w:r w:rsidR="00CF69F5" w:rsidRPr="00F514E8">
        <w:rPr>
          <w:rFonts w:ascii="Arial" w:hAnsi="Arial" w:cs="Arial"/>
          <w:sz w:val="24"/>
          <w:szCs w:val="24"/>
          <w:lang w:val="es-ES_tradnl"/>
        </w:rPr>
        <w:t xml:space="preserve">el </w:t>
      </w:r>
      <w:proofErr w:type="gramStart"/>
      <w:r w:rsidR="00E82BF9" w:rsidRPr="00F514E8">
        <w:rPr>
          <w:rFonts w:ascii="Arial" w:hAnsi="Arial" w:cs="Arial"/>
          <w:sz w:val="24"/>
          <w:szCs w:val="24"/>
          <w:lang w:val="es-ES_tradnl"/>
        </w:rPr>
        <w:t>Director</w:t>
      </w:r>
      <w:proofErr w:type="gramEnd"/>
      <w:r w:rsidR="00E82BF9" w:rsidRPr="00F514E8">
        <w:rPr>
          <w:rFonts w:ascii="Arial" w:hAnsi="Arial" w:cs="Arial"/>
          <w:sz w:val="24"/>
          <w:szCs w:val="24"/>
          <w:lang w:val="es-ES_tradnl"/>
        </w:rPr>
        <w:t xml:space="preserve"> del </w:t>
      </w:r>
      <w:r w:rsidR="00CF69F5" w:rsidRPr="00F514E8">
        <w:rPr>
          <w:rFonts w:ascii="Arial" w:hAnsi="Arial" w:cs="Arial"/>
          <w:sz w:val="24"/>
          <w:szCs w:val="24"/>
          <w:lang w:val="es-ES_tradnl"/>
        </w:rPr>
        <w:t>Departamento Nacional de Planeación concluye que, en principio, los contratos celebrados por FONADE</w:t>
      </w:r>
      <w:r w:rsidR="00DA355B" w:rsidRPr="00F514E8">
        <w:rPr>
          <w:rFonts w:ascii="Arial" w:hAnsi="Arial" w:cs="Arial"/>
          <w:sz w:val="24"/>
          <w:szCs w:val="24"/>
          <w:lang w:val="es-ES_tradnl"/>
        </w:rPr>
        <w:t xml:space="preserve">, como entidad financiera del Estado, cabrían en la excepción consagrada en el artículo 105, numeral 1º del CPACA, </w:t>
      </w:r>
      <w:r w:rsidR="002276BF" w:rsidRPr="00F514E8">
        <w:rPr>
          <w:rFonts w:ascii="Arial" w:hAnsi="Arial" w:cs="Arial"/>
          <w:sz w:val="24"/>
          <w:szCs w:val="24"/>
          <w:lang w:val="es-ES_tradnl"/>
        </w:rPr>
        <w:t>razón por la cual</w:t>
      </w:r>
      <w:r w:rsidR="00A81D99" w:rsidRPr="00F514E8">
        <w:rPr>
          <w:rFonts w:ascii="Arial" w:hAnsi="Arial" w:cs="Arial"/>
          <w:sz w:val="24"/>
          <w:szCs w:val="24"/>
          <w:lang w:val="es-ES_tradnl"/>
        </w:rPr>
        <w:t>,</w:t>
      </w:r>
      <w:r w:rsidR="002276BF" w:rsidRPr="00F514E8">
        <w:rPr>
          <w:rFonts w:ascii="Arial" w:hAnsi="Arial" w:cs="Arial"/>
          <w:sz w:val="24"/>
          <w:szCs w:val="24"/>
          <w:lang w:val="es-ES_tradnl"/>
        </w:rPr>
        <w:t xml:space="preserve"> </w:t>
      </w:r>
      <w:r w:rsidRPr="00F514E8">
        <w:rPr>
          <w:rFonts w:ascii="Arial" w:hAnsi="Arial" w:cs="Arial"/>
          <w:sz w:val="24"/>
          <w:szCs w:val="24"/>
          <w:lang w:val="es-ES_tradnl"/>
        </w:rPr>
        <w:t xml:space="preserve">de </w:t>
      </w:r>
      <w:r w:rsidR="002276BF" w:rsidRPr="00F514E8">
        <w:rPr>
          <w:rFonts w:ascii="Arial" w:hAnsi="Arial" w:cs="Arial"/>
          <w:sz w:val="24"/>
          <w:szCs w:val="24"/>
          <w:lang w:val="es-ES_tradnl"/>
        </w:rPr>
        <w:t xml:space="preserve">los conflictos que surjan en relación con </w:t>
      </w:r>
      <w:r w:rsidR="00870A4B" w:rsidRPr="00F514E8">
        <w:rPr>
          <w:rFonts w:ascii="Arial" w:hAnsi="Arial" w:cs="Arial"/>
          <w:sz w:val="24"/>
          <w:szCs w:val="24"/>
          <w:lang w:val="es-ES_tradnl"/>
        </w:rPr>
        <w:t xml:space="preserve">los mismos </w:t>
      </w:r>
      <w:r w:rsidR="00DA355B" w:rsidRPr="00F514E8">
        <w:rPr>
          <w:rFonts w:ascii="Arial" w:hAnsi="Arial" w:cs="Arial"/>
          <w:sz w:val="24"/>
          <w:szCs w:val="24"/>
          <w:lang w:val="es-ES_tradnl"/>
        </w:rPr>
        <w:t xml:space="preserve">no </w:t>
      </w:r>
      <w:r w:rsidRPr="00F514E8">
        <w:rPr>
          <w:rFonts w:ascii="Arial" w:hAnsi="Arial" w:cs="Arial"/>
          <w:sz w:val="24"/>
          <w:szCs w:val="24"/>
          <w:lang w:val="es-ES_tradnl"/>
        </w:rPr>
        <w:t>conocería</w:t>
      </w:r>
      <w:r w:rsidR="00DA355B" w:rsidRPr="00F514E8">
        <w:rPr>
          <w:rFonts w:ascii="Arial" w:hAnsi="Arial" w:cs="Arial"/>
          <w:sz w:val="24"/>
          <w:szCs w:val="24"/>
          <w:lang w:val="es-ES_tradnl"/>
        </w:rPr>
        <w:t xml:space="preserve"> la Jurisdicción de lo Contencioso Administrativo</w:t>
      </w:r>
      <w:r w:rsidR="002276BF" w:rsidRPr="00F514E8">
        <w:rPr>
          <w:rFonts w:ascii="Arial" w:hAnsi="Arial" w:cs="Arial"/>
          <w:sz w:val="24"/>
          <w:szCs w:val="24"/>
          <w:lang w:val="es-ES_tradnl"/>
        </w:rPr>
        <w:t>, sino la Ju</w:t>
      </w:r>
      <w:r w:rsidR="00ED62F4" w:rsidRPr="00F514E8">
        <w:rPr>
          <w:rFonts w:ascii="Arial" w:hAnsi="Arial" w:cs="Arial"/>
          <w:sz w:val="24"/>
          <w:szCs w:val="24"/>
          <w:lang w:val="es-ES_tradnl"/>
        </w:rPr>
        <w:t xml:space="preserve">sticia </w:t>
      </w:r>
      <w:r w:rsidRPr="00F514E8">
        <w:rPr>
          <w:rFonts w:ascii="Arial" w:hAnsi="Arial" w:cs="Arial"/>
          <w:sz w:val="24"/>
          <w:szCs w:val="24"/>
          <w:lang w:val="es-ES_tradnl"/>
        </w:rPr>
        <w:t xml:space="preserve">Ordinaria. </w:t>
      </w:r>
      <w:r w:rsidR="002276BF" w:rsidRPr="00F514E8">
        <w:rPr>
          <w:rFonts w:ascii="Arial" w:hAnsi="Arial" w:cs="Arial"/>
          <w:sz w:val="24"/>
          <w:szCs w:val="24"/>
          <w:lang w:val="es-ES_tradnl"/>
        </w:rPr>
        <w:t xml:space="preserve">Sin embargo, </w:t>
      </w:r>
      <w:r w:rsidR="00870A4B" w:rsidRPr="00F514E8">
        <w:rPr>
          <w:rFonts w:ascii="Arial" w:hAnsi="Arial" w:cs="Arial"/>
          <w:sz w:val="24"/>
          <w:szCs w:val="24"/>
          <w:lang w:val="es-ES_tradnl"/>
        </w:rPr>
        <w:t xml:space="preserve">manifiesta </w:t>
      </w:r>
      <w:r w:rsidR="002276BF" w:rsidRPr="00F514E8">
        <w:rPr>
          <w:rFonts w:ascii="Arial" w:hAnsi="Arial" w:cs="Arial"/>
          <w:sz w:val="24"/>
          <w:szCs w:val="24"/>
          <w:lang w:val="es-ES_tradnl"/>
        </w:rPr>
        <w:t xml:space="preserve">que esta solución no resulta del todo clara, habida consideración de las siguientes particularidades: </w:t>
      </w:r>
    </w:p>
    <w:p w14:paraId="3EC5BB43" w14:textId="77777777" w:rsidR="00DC0DE4" w:rsidRPr="00F514E8" w:rsidRDefault="00DC0DE4" w:rsidP="00725D19">
      <w:pPr>
        <w:spacing w:after="0" w:line="240" w:lineRule="auto"/>
        <w:ind w:right="-199"/>
        <w:jc w:val="both"/>
        <w:rPr>
          <w:rFonts w:ascii="Arial" w:hAnsi="Arial" w:cs="Arial"/>
          <w:sz w:val="24"/>
          <w:szCs w:val="24"/>
          <w:lang w:val="es-ES_tradnl"/>
        </w:rPr>
      </w:pPr>
    </w:p>
    <w:p w14:paraId="42ADBCA0" w14:textId="77777777" w:rsidR="003E3D39" w:rsidRPr="00F514E8" w:rsidRDefault="002276BF" w:rsidP="00725D19">
      <w:pPr>
        <w:numPr>
          <w:ilvl w:val="0"/>
          <w:numId w:val="22"/>
        </w:numPr>
        <w:tabs>
          <w:tab w:val="left" w:pos="284"/>
        </w:tabs>
        <w:spacing w:after="0" w:line="240" w:lineRule="auto"/>
        <w:ind w:left="0" w:right="-198" w:firstLine="0"/>
        <w:jc w:val="both"/>
        <w:rPr>
          <w:rFonts w:ascii="Arial" w:hAnsi="Arial" w:cs="Arial"/>
          <w:sz w:val="24"/>
          <w:szCs w:val="24"/>
          <w:lang w:val="es-ES_tradnl"/>
        </w:rPr>
      </w:pPr>
      <w:r w:rsidRPr="00F514E8">
        <w:rPr>
          <w:rFonts w:ascii="Arial" w:hAnsi="Arial" w:cs="Arial"/>
          <w:sz w:val="24"/>
          <w:szCs w:val="24"/>
          <w:lang w:val="es-ES_tradnl"/>
        </w:rPr>
        <w:t xml:space="preserve">Aunque FONADE es una entidad financiera del Estado, es una institución de carácter especial, sometida a una regulación </w:t>
      </w:r>
      <w:r w:rsidR="00485887" w:rsidRPr="00F514E8">
        <w:rPr>
          <w:rFonts w:ascii="Arial" w:hAnsi="Arial" w:cs="Arial"/>
          <w:sz w:val="24"/>
          <w:szCs w:val="24"/>
          <w:lang w:val="es-ES_tradnl"/>
        </w:rPr>
        <w:t>igualmente especial</w:t>
      </w:r>
      <w:r w:rsidRPr="00F514E8">
        <w:rPr>
          <w:rFonts w:ascii="Arial" w:hAnsi="Arial" w:cs="Arial"/>
          <w:sz w:val="24"/>
          <w:szCs w:val="24"/>
          <w:lang w:val="es-ES_tradnl"/>
        </w:rPr>
        <w:t xml:space="preserve">, </w:t>
      </w:r>
      <w:r w:rsidR="00485887" w:rsidRPr="00F514E8">
        <w:rPr>
          <w:rFonts w:ascii="Arial" w:hAnsi="Arial" w:cs="Arial"/>
          <w:sz w:val="24"/>
          <w:szCs w:val="24"/>
          <w:lang w:val="es-ES_tradnl"/>
        </w:rPr>
        <w:t xml:space="preserve">dado </w:t>
      </w:r>
      <w:r w:rsidRPr="00F514E8">
        <w:rPr>
          <w:rFonts w:ascii="Arial" w:hAnsi="Arial" w:cs="Arial"/>
          <w:sz w:val="24"/>
          <w:szCs w:val="24"/>
          <w:lang w:val="es-ES_tradnl"/>
        </w:rPr>
        <w:t xml:space="preserve">que no realiza </w:t>
      </w:r>
      <w:r w:rsidRPr="00F514E8">
        <w:rPr>
          <w:rFonts w:ascii="Arial" w:hAnsi="Arial" w:cs="Arial"/>
          <w:sz w:val="24"/>
          <w:szCs w:val="24"/>
          <w:lang w:val="es-ES_tradnl"/>
        </w:rPr>
        <w:lastRenderedPageBreak/>
        <w:t>so</w:t>
      </w:r>
      <w:r w:rsidR="00485887" w:rsidRPr="00F514E8">
        <w:rPr>
          <w:rFonts w:ascii="Arial" w:hAnsi="Arial" w:cs="Arial"/>
          <w:sz w:val="24"/>
          <w:szCs w:val="24"/>
          <w:lang w:val="es-ES_tradnl"/>
        </w:rPr>
        <w:t>lamente operaciones financieras</w:t>
      </w:r>
      <w:r w:rsidRPr="00F514E8">
        <w:rPr>
          <w:rFonts w:ascii="Arial" w:hAnsi="Arial" w:cs="Arial"/>
          <w:sz w:val="24"/>
          <w:szCs w:val="24"/>
          <w:lang w:val="es-ES_tradnl"/>
        </w:rPr>
        <w:t xml:space="preserve"> sino que, dentro del giro ordinario de sus negocios, celebra otr</w:t>
      </w:r>
      <w:r w:rsidR="00485887" w:rsidRPr="00F514E8">
        <w:rPr>
          <w:rFonts w:ascii="Arial" w:hAnsi="Arial" w:cs="Arial"/>
          <w:sz w:val="24"/>
          <w:szCs w:val="24"/>
          <w:lang w:val="es-ES_tradnl"/>
        </w:rPr>
        <w:t>a</w:t>
      </w:r>
      <w:r w:rsidRPr="00F514E8">
        <w:rPr>
          <w:rFonts w:ascii="Arial" w:hAnsi="Arial" w:cs="Arial"/>
          <w:sz w:val="24"/>
          <w:szCs w:val="24"/>
          <w:lang w:val="es-ES_tradnl"/>
        </w:rPr>
        <w:t xml:space="preserve"> </w:t>
      </w:r>
      <w:r w:rsidR="003E3D39" w:rsidRPr="00F514E8">
        <w:rPr>
          <w:rFonts w:ascii="Arial" w:hAnsi="Arial" w:cs="Arial"/>
          <w:sz w:val="24"/>
          <w:szCs w:val="24"/>
          <w:lang w:val="es-ES_tradnl"/>
        </w:rPr>
        <w:t>clase de contratos y realiza otro tipo de operaciones, incluyendo convenios interadministrativos para la gerencia integral de proyectos, así como los que se requieren para el cumplimiento de dichos convenios</w:t>
      </w:r>
      <w:r w:rsidR="00870A4B" w:rsidRPr="00F514E8">
        <w:rPr>
          <w:rFonts w:ascii="Arial" w:hAnsi="Arial" w:cs="Arial"/>
          <w:sz w:val="24"/>
          <w:szCs w:val="24"/>
          <w:lang w:val="es-ES_tradnl"/>
        </w:rPr>
        <w:t xml:space="preserve">, </w:t>
      </w:r>
      <w:r w:rsidR="003E3D39" w:rsidRPr="00F514E8">
        <w:rPr>
          <w:rFonts w:ascii="Arial" w:hAnsi="Arial" w:cs="Arial"/>
          <w:sz w:val="24"/>
          <w:szCs w:val="24"/>
          <w:lang w:val="es-ES_tradnl"/>
        </w:rPr>
        <w:t>tales como contratos de obra pública, de consultoría, de compraventa</w:t>
      </w:r>
      <w:r w:rsidR="00ED62F4" w:rsidRPr="00F514E8">
        <w:rPr>
          <w:rFonts w:ascii="Arial" w:hAnsi="Arial" w:cs="Arial"/>
          <w:sz w:val="24"/>
          <w:szCs w:val="24"/>
          <w:lang w:val="es-ES_tradnl"/>
        </w:rPr>
        <w:t xml:space="preserve"> </w:t>
      </w:r>
      <w:r w:rsidR="003E3D39" w:rsidRPr="00F514E8">
        <w:rPr>
          <w:rFonts w:ascii="Arial" w:hAnsi="Arial" w:cs="Arial"/>
          <w:sz w:val="24"/>
          <w:szCs w:val="24"/>
          <w:lang w:val="es-ES_tradnl"/>
        </w:rPr>
        <w:t xml:space="preserve">etc. </w:t>
      </w:r>
    </w:p>
    <w:p w14:paraId="1E2A2450" w14:textId="77777777" w:rsidR="00DC0DE4" w:rsidRPr="00F514E8" w:rsidRDefault="00DC0DE4" w:rsidP="00DC0DE4">
      <w:pPr>
        <w:tabs>
          <w:tab w:val="left" w:pos="284"/>
        </w:tabs>
        <w:spacing w:after="0" w:line="240" w:lineRule="auto"/>
        <w:ind w:right="-198"/>
        <w:jc w:val="both"/>
        <w:rPr>
          <w:rFonts w:ascii="Arial" w:hAnsi="Arial" w:cs="Arial"/>
          <w:sz w:val="24"/>
          <w:szCs w:val="24"/>
          <w:lang w:val="es-ES_tradnl"/>
        </w:rPr>
      </w:pPr>
    </w:p>
    <w:p w14:paraId="51BFD0E7" w14:textId="77777777" w:rsidR="00ED62F4" w:rsidRPr="00F514E8" w:rsidRDefault="00485887" w:rsidP="00725D19">
      <w:pPr>
        <w:numPr>
          <w:ilvl w:val="0"/>
          <w:numId w:val="22"/>
        </w:numPr>
        <w:tabs>
          <w:tab w:val="left" w:pos="284"/>
        </w:tabs>
        <w:spacing w:after="0" w:line="240" w:lineRule="auto"/>
        <w:ind w:left="0" w:right="-199" w:firstLine="0"/>
        <w:jc w:val="both"/>
        <w:rPr>
          <w:rFonts w:ascii="Arial" w:hAnsi="Arial" w:cs="Arial"/>
          <w:sz w:val="24"/>
          <w:szCs w:val="24"/>
          <w:lang w:val="es-ES_tradnl"/>
        </w:rPr>
      </w:pPr>
      <w:r w:rsidRPr="00F514E8">
        <w:rPr>
          <w:rFonts w:ascii="Arial" w:hAnsi="Arial" w:cs="Arial"/>
          <w:sz w:val="24"/>
          <w:szCs w:val="24"/>
          <w:lang w:val="es-ES_tradnl"/>
        </w:rPr>
        <w:t>Du</w:t>
      </w:r>
      <w:r w:rsidR="003E3D39" w:rsidRPr="00F514E8">
        <w:rPr>
          <w:rFonts w:ascii="Arial" w:hAnsi="Arial" w:cs="Arial"/>
          <w:sz w:val="24"/>
          <w:szCs w:val="24"/>
          <w:lang w:val="es-ES_tradnl"/>
        </w:rPr>
        <w:t>rante</w:t>
      </w:r>
      <w:r w:rsidR="004738C4" w:rsidRPr="00F514E8">
        <w:rPr>
          <w:rFonts w:ascii="Arial" w:hAnsi="Arial" w:cs="Arial"/>
          <w:sz w:val="24"/>
          <w:szCs w:val="24"/>
          <w:lang w:val="es-ES_tradnl"/>
        </w:rPr>
        <w:t xml:space="preserve"> el lapso comprendido entre las leyes 1150 de 2007 y </w:t>
      </w:r>
      <w:r w:rsidR="003E3D39" w:rsidRPr="00F514E8">
        <w:rPr>
          <w:rFonts w:ascii="Arial" w:hAnsi="Arial" w:cs="Arial"/>
          <w:sz w:val="24"/>
          <w:szCs w:val="24"/>
          <w:lang w:val="es-ES_tradnl"/>
        </w:rPr>
        <w:t>1450 de 2011, FONADE celebró contrat</w:t>
      </w:r>
      <w:r w:rsidR="004738C4" w:rsidRPr="00F514E8">
        <w:rPr>
          <w:rFonts w:ascii="Arial" w:hAnsi="Arial" w:cs="Arial"/>
          <w:sz w:val="24"/>
          <w:szCs w:val="24"/>
          <w:lang w:val="es-ES_tradnl"/>
        </w:rPr>
        <w:t>os sometidos íntegramente a la l</w:t>
      </w:r>
      <w:r w:rsidR="003E3D39" w:rsidRPr="00F514E8">
        <w:rPr>
          <w:rFonts w:ascii="Arial" w:hAnsi="Arial" w:cs="Arial"/>
          <w:sz w:val="24"/>
          <w:szCs w:val="24"/>
          <w:lang w:val="es-ES_tradnl"/>
        </w:rPr>
        <w:t>ey 80 de 1993 y sus modificaciones, en los cuales incluyó cláusulas exorbitantes</w:t>
      </w:r>
      <w:r w:rsidR="00781119" w:rsidRPr="00F514E8">
        <w:rPr>
          <w:rFonts w:ascii="Arial" w:hAnsi="Arial" w:cs="Arial"/>
          <w:sz w:val="24"/>
          <w:szCs w:val="24"/>
          <w:lang w:val="es-ES_tradnl"/>
        </w:rPr>
        <w:t xml:space="preserve"> propias de la contratación administrativa, como la de caducidad y las de interpretación, modificación y terminación unilateral</w:t>
      </w:r>
      <w:r w:rsidR="004738C4" w:rsidRPr="00F514E8">
        <w:rPr>
          <w:rFonts w:ascii="Arial" w:hAnsi="Arial" w:cs="Arial"/>
          <w:sz w:val="24"/>
          <w:szCs w:val="24"/>
          <w:lang w:val="es-ES_tradnl"/>
        </w:rPr>
        <w:t>es</w:t>
      </w:r>
      <w:r w:rsidR="00781119" w:rsidRPr="00F514E8">
        <w:rPr>
          <w:rFonts w:ascii="Arial" w:hAnsi="Arial" w:cs="Arial"/>
          <w:sz w:val="24"/>
          <w:szCs w:val="24"/>
          <w:lang w:val="es-ES_tradnl"/>
        </w:rPr>
        <w:t xml:space="preserve">. Algunos de dichos contratos se encuentran vigentes y podrían </w:t>
      </w:r>
      <w:r w:rsidR="00870A4B" w:rsidRPr="00F514E8">
        <w:rPr>
          <w:rFonts w:ascii="Arial" w:hAnsi="Arial" w:cs="Arial"/>
          <w:sz w:val="24"/>
          <w:szCs w:val="24"/>
          <w:lang w:val="es-ES_tradnl"/>
        </w:rPr>
        <w:t xml:space="preserve">generar </w:t>
      </w:r>
      <w:r w:rsidR="00781119" w:rsidRPr="00F514E8">
        <w:rPr>
          <w:rFonts w:ascii="Arial" w:hAnsi="Arial" w:cs="Arial"/>
          <w:sz w:val="24"/>
          <w:szCs w:val="24"/>
          <w:lang w:val="es-ES_tradnl"/>
        </w:rPr>
        <w:t>debates judiciales.</w:t>
      </w:r>
    </w:p>
    <w:p w14:paraId="46BDFE77" w14:textId="77777777" w:rsidR="00A81D99" w:rsidRPr="00F514E8" w:rsidRDefault="00A81D99" w:rsidP="00A81D99">
      <w:pPr>
        <w:pStyle w:val="Prrafodelista"/>
        <w:rPr>
          <w:rFonts w:ascii="Arial" w:hAnsi="Arial" w:cs="Arial"/>
          <w:sz w:val="24"/>
          <w:szCs w:val="24"/>
          <w:lang w:val="es-ES_tradnl"/>
        </w:rPr>
      </w:pPr>
    </w:p>
    <w:p w14:paraId="01D7FF30" w14:textId="77777777" w:rsidR="00DC0DE4" w:rsidRPr="00F514E8" w:rsidRDefault="00781119" w:rsidP="00725D19">
      <w:pPr>
        <w:numPr>
          <w:ilvl w:val="0"/>
          <w:numId w:val="22"/>
        </w:numPr>
        <w:tabs>
          <w:tab w:val="left" w:pos="284"/>
        </w:tabs>
        <w:spacing w:after="0" w:line="240" w:lineRule="auto"/>
        <w:ind w:left="0" w:right="-199" w:firstLine="0"/>
        <w:jc w:val="both"/>
        <w:rPr>
          <w:rFonts w:ascii="Arial" w:hAnsi="Arial" w:cs="Arial"/>
          <w:sz w:val="24"/>
          <w:szCs w:val="24"/>
          <w:lang w:val="es-ES_tradnl"/>
        </w:rPr>
      </w:pPr>
      <w:r w:rsidRPr="00F514E8">
        <w:rPr>
          <w:rFonts w:ascii="Arial" w:hAnsi="Arial" w:cs="Arial"/>
          <w:sz w:val="24"/>
          <w:szCs w:val="24"/>
          <w:lang w:val="es-ES_tradnl"/>
        </w:rPr>
        <w:t>La mayoría de los conflictos a los que podría</w:t>
      </w:r>
      <w:r w:rsidR="00793136" w:rsidRPr="00F514E8">
        <w:rPr>
          <w:rFonts w:ascii="Arial" w:hAnsi="Arial" w:cs="Arial"/>
          <w:sz w:val="24"/>
          <w:szCs w:val="24"/>
          <w:lang w:val="es-ES_tradnl"/>
        </w:rPr>
        <w:t>n</w:t>
      </w:r>
      <w:r w:rsidRPr="00F514E8">
        <w:rPr>
          <w:rFonts w:ascii="Arial" w:hAnsi="Arial" w:cs="Arial"/>
          <w:sz w:val="24"/>
          <w:szCs w:val="24"/>
          <w:lang w:val="es-ES_tradnl"/>
        </w:rPr>
        <w:t xml:space="preserve"> dar lugar los contratos</w:t>
      </w:r>
      <w:r w:rsidR="009B2A26" w:rsidRPr="00F514E8">
        <w:rPr>
          <w:rFonts w:ascii="Arial" w:hAnsi="Arial" w:cs="Arial"/>
          <w:sz w:val="24"/>
          <w:szCs w:val="24"/>
          <w:lang w:val="es-ES_tradnl"/>
        </w:rPr>
        <w:t xml:space="preserve"> suscritos </w:t>
      </w:r>
      <w:r w:rsidRPr="00F514E8">
        <w:rPr>
          <w:rFonts w:ascii="Arial" w:hAnsi="Arial" w:cs="Arial"/>
          <w:sz w:val="24"/>
          <w:szCs w:val="24"/>
          <w:lang w:val="es-ES_tradnl"/>
        </w:rPr>
        <w:t xml:space="preserve">por FONADE no son, en consecuencia, típicos negocios financieros, sino contratos de diversa índole celebrados por el Fondo para </w:t>
      </w:r>
      <w:r w:rsidR="00793136" w:rsidRPr="00F514E8">
        <w:rPr>
          <w:rFonts w:ascii="Arial" w:hAnsi="Arial" w:cs="Arial"/>
          <w:sz w:val="24"/>
          <w:szCs w:val="24"/>
          <w:lang w:val="es-ES_tradnl"/>
        </w:rPr>
        <w:t>ejecutar los</w:t>
      </w:r>
      <w:r w:rsidRPr="00F514E8">
        <w:rPr>
          <w:rFonts w:ascii="Arial" w:hAnsi="Arial" w:cs="Arial"/>
          <w:sz w:val="24"/>
          <w:szCs w:val="24"/>
          <w:lang w:val="es-ES_tradnl"/>
        </w:rPr>
        <w:t xml:space="preserve"> convenios interadministrativos que suscribe con </w:t>
      </w:r>
      <w:r w:rsidR="00ED62F4" w:rsidRPr="00F514E8">
        <w:rPr>
          <w:rFonts w:ascii="Arial" w:hAnsi="Arial" w:cs="Arial"/>
          <w:sz w:val="24"/>
          <w:szCs w:val="24"/>
          <w:lang w:val="es-ES_tradnl"/>
        </w:rPr>
        <w:t>di</w:t>
      </w:r>
      <w:r w:rsidR="004667E7" w:rsidRPr="00F514E8">
        <w:rPr>
          <w:rFonts w:ascii="Arial" w:hAnsi="Arial" w:cs="Arial"/>
          <w:sz w:val="24"/>
          <w:szCs w:val="24"/>
          <w:lang w:val="es-ES_tradnl"/>
        </w:rPr>
        <w:t xml:space="preserve">ferentes </w:t>
      </w:r>
      <w:r w:rsidRPr="00F514E8">
        <w:rPr>
          <w:rFonts w:ascii="Arial" w:hAnsi="Arial" w:cs="Arial"/>
          <w:sz w:val="24"/>
          <w:szCs w:val="24"/>
          <w:lang w:val="es-ES_tradnl"/>
        </w:rPr>
        <w:t>entidades públicas</w:t>
      </w:r>
      <w:r w:rsidR="00E82BF9" w:rsidRPr="00F514E8">
        <w:rPr>
          <w:rFonts w:ascii="Arial" w:hAnsi="Arial" w:cs="Arial"/>
          <w:sz w:val="24"/>
          <w:szCs w:val="24"/>
          <w:lang w:val="es-ES_tradnl"/>
        </w:rPr>
        <w:t>,</w:t>
      </w:r>
      <w:r w:rsidRPr="00F514E8">
        <w:rPr>
          <w:rFonts w:ascii="Arial" w:hAnsi="Arial" w:cs="Arial"/>
          <w:sz w:val="24"/>
          <w:szCs w:val="24"/>
          <w:lang w:val="es-ES_tradnl"/>
        </w:rPr>
        <w:t xml:space="preserve"> </w:t>
      </w:r>
      <w:r w:rsidR="00793136" w:rsidRPr="00F514E8">
        <w:rPr>
          <w:rFonts w:ascii="Arial" w:hAnsi="Arial" w:cs="Arial"/>
          <w:sz w:val="24"/>
          <w:szCs w:val="24"/>
          <w:lang w:val="es-ES_tradnl"/>
        </w:rPr>
        <w:t>y así</w:t>
      </w:r>
      <w:r w:rsidRPr="00F514E8">
        <w:rPr>
          <w:rFonts w:ascii="Arial" w:hAnsi="Arial" w:cs="Arial"/>
          <w:sz w:val="24"/>
          <w:szCs w:val="24"/>
          <w:lang w:val="es-ES_tradnl"/>
        </w:rPr>
        <w:t xml:space="preserve"> cumplir su misi</w:t>
      </w:r>
      <w:r w:rsidR="001930C1" w:rsidRPr="00F514E8">
        <w:rPr>
          <w:rFonts w:ascii="Arial" w:hAnsi="Arial" w:cs="Arial"/>
          <w:sz w:val="24"/>
          <w:szCs w:val="24"/>
          <w:lang w:val="es-ES_tradnl"/>
        </w:rPr>
        <w:t xml:space="preserve">ón como agente en cualquiera de las etapas del ciclo de proyectos de desarrollo. </w:t>
      </w:r>
    </w:p>
    <w:p w14:paraId="566593C0" w14:textId="77777777" w:rsidR="00CF69F5" w:rsidRPr="00F514E8" w:rsidRDefault="00781119" w:rsidP="00DC0DE4">
      <w:pPr>
        <w:tabs>
          <w:tab w:val="left" w:pos="284"/>
        </w:tabs>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 xml:space="preserve">     </w:t>
      </w:r>
      <w:r w:rsidR="003E3D39" w:rsidRPr="00F514E8">
        <w:rPr>
          <w:rFonts w:ascii="Arial" w:hAnsi="Arial" w:cs="Arial"/>
          <w:sz w:val="24"/>
          <w:szCs w:val="24"/>
          <w:lang w:val="es-ES_tradnl"/>
        </w:rPr>
        <w:t xml:space="preserve">    </w:t>
      </w:r>
      <w:r w:rsidR="002276BF" w:rsidRPr="00F514E8">
        <w:rPr>
          <w:rFonts w:ascii="Arial" w:hAnsi="Arial" w:cs="Arial"/>
          <w:sz w:val="24"/>
          <w:szCs w:val="24"/>
          <w:lang w:val="es-ES_tradnl"/>
        </w:rPr>
        <w:t xml:space="preserve">  </w:t>
      </w:r>
      <w:r w:rsidR="00DA355B" w:rsidRPr="00F514E8">
        <w:rPr>
          <w:rFonts w:ascii="Arial" w:hAnsi="Arial" w:cs="Arial"/>
          <w:sz w:val="24"/>
          <w:szCs w:val="24"/>
          <w:lang w:val="es-ES_tradnl"/>
        </w:rPr>
        <w:t xml:space="preserve"> </w:t>
      </w:r>
      <w:r w:rsidR="00CF69F5" w:rsidRPr="00F514E8">
        <w:rPr>
          <w:rFonts w:ascii="Arial" w:hAnsi="Arial" w:cs="Arial"/>
          <w:sz w:val="24"/>
          <w:szCs w:val="24"/>
          <w:lang w:val="es-ES_tradnl"/>
        </w:rPr>
        <w:t xml:space="preserve"> </w:t>
      </w:r>
    </w:p>
    <w:p w14:paraId="11E21940" w14:textId="77777777" w:rsidR="00BF11CD" w:rsidRPr="00F514E8" w:rsidRDefault="00BF11CD" w:rsidP="00725D19">
      <w:p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Los anteriores planteamientos conducen a las siguientes</w:t>
      </w:r>
    </w:p>
    <w:p w14:paraId="29EF7754" w14:textId="77777777" w:rsidR="00BF11CD" w:rsidRPr="00F514E8" w:rsidRDefault="00BF11CD" w:rsidP="00725D19">
      <w:pPr>
        <w:spacing w:after="0" w:line="240" w:lineRule="auto"/>
        <w:ind w:right="-199"/>
        <w:jc w:val="both"/>
        <w:rPr>
          <w:rFonts w:ascii="Arial" w:hAnsi="Arial" w:cs="Arial"/>
          <w:sz w:val="24"/>
          <w:szCs w:val="24"/>
          <w:lang w:val="es-ES_tradnl"/>
        </w:rPr>
      </w:pPr>
    </w:p>
    <w:p w14:paraId="62C1AB81" w14:textId="77777777" w:rsidR="004862A9" w:rsidRPr="00F514E8" w:rsidRDefault="004862A9" w:rsidP="00725D19">
      <w:pPr>
        <w:spacing w:after="0" w:line="240" w:lineRule="auto"/>
        <w:ind w:right="-199"/>
        <w:jc w:val="both"/>
        <w:rPr>
          <w:rFonts w:ascii="Arial" w:hAnsi="Arial" w:cs="Arial"/>
          <w:sz w:val="24"/>
          <w:szCs w:val="24"/>
          <w:lang w:val="es-ES_tradnl"/>
        </w:rPr>
      </w:pPr>
    </w:p>
    <w:p w14:paraId="3ADD5379" w14:textId="77777777" w:rsidR="008C70F2" w:rsidRDefault="00BF11CD" w:rsidP="00BF11CD">
      <w:pPr>
        <w:spacing w:after="0" w:line="240" w:lineRule="auto"/>
        <w:ind w:right="-199"/>
        <w:jc w:val="center"/>
        <w:rPr>
          <w:rFonts w:ascii="Arial" w:hAnsi="Arial" w:cs="Arial"/>
          <w:b/>
          <w:sz w:val="24"/>
          <w:szCs w:val="24"/>
          <w:lang w:val="es-ES_tradnl"/>
        </w:rPr>
      </w:pPr>
      <w:r w:rsidRPr="00F514E8">
        <w:rPr>
          <w:rFonts w:ascii="Arial" w:hAnsi="Arial" w:cs="Arial"/>
          <w:b/>
          <w:sz w:val="24"/>
          <w:szCs w:val="24"/>
          <w:lang w:val="es-ES_tradnl"/>
        </w:rPr>
        <w:t>PREGUNTAS:</w:t>
      </w:r>
    </w:p>
    <w:p w14:paraId="57D81A1A" w14:textId="77777777" w:rsidR="007D7D76" w:rsidRPr="00F514E8" w:rsidRDefault="007D7D76" w:rsidP="00BF11CD">
      <w:pPr>
        <w:spacing w:after="0" w:line="240" w:lineRule="auto"/>
        <w:ind w:right="-199"/>
        <w:jc w:val="center"/>
        <w:rPr>
          <w:rFonts w:ascii="Arial" w:hAnsi="Arial" w:cs="Arial"/>
          <w:b/>
          <w:sz w:val="24"/>
          <w:szCs w:val="24"/>
          <w:lang w:val="es-ES_tradnl"/>
        </w:rPr>
      </w:pPr>
    </w:p>
    <w:p w14:paraId="186E4CC9" w14:textId="77777777" w:rsidR="00DC0DE4" w:rsidRPr="00F514E8" w:rsidRDefault="00DC0DE4" w:rsidP="00725D19">
      <w:pPr>
        <w:spacing w:after="0" w:line="240" w:lineRule="auto"/>
        <w:ind w:right="-199"/>
        <w:jc w:val="both"/>
        <w:rPr>
          <w:rFonts w:ascii="Arial" w:hAnsi="Arial" w:cs="Arial"/>
          <w:sz w:val="24"/>
          <w:szCs w:val="24"/>
          <w:lang w:val="es-ES_tradnl"/>
        </w:rPr>
      </w:pPr>
    </w:p>
    <w:p w14:paraId="5A847FBA" w14:textId="77777777" w:rsidR="00E41929" w:rsidRPr="00F514E8" w:rsidRDefault="004B5803" w:rsidP="00725D19">
      <w:pPr>
        <w:spacing w:after="0" w:line="240" w:lineRule="auto"/>
        <w:ind w:right="-199"/>
        <w:jc w:val="both"/>
        <w:rPr>
          <w:rFonts w:ascii="Arial" w:hAnsi="Arial" w:cs="Arial"/>
          <w:i/>
          <w:lang w:val="es-ES_tradnl"/>
        </w:rPr>
      </w:pPr>
      <w:r w:rsidRPr="00F514E8">
        <w:rPr>
          <w:rFonts w:ascii="Arial" w:hAnsi="Arial" w:cs="Arial"/>
          <w:i/>
          <w:lang w:val="es-ES_tradnl"/>
        </w:rPr>
        <w:t>“</w:t>
      </w:r>
      <w:r w:rsidR="00256191" w:rsidRPr="00F514E8">
        <w:rPr>
          <w:rFonts w:ascii="Arial" w:hAnsi="Arial" w:cs="Arial"/>
          <w:i/>
          <w:lang w:val="es-ES_tradnl"/>
        </w:rPr>
        <w:t xml:space="preserve">1) </w:t>
      </w:r>
      <w:r w:rsidR="00362BC6" w:rsidRPr="00F514E8">
        <w:rPr>
          <w:rFonts w:ascii="Arial" w:hAnsi="Arial" w:cs="Arial"/>
          <w:i/>
          <w:lang w:val="es-ES_tradnl"/>
        </w:rPr>
        <w:t>¿</w:t>
      </w:r>
      <w:r w:rsidR="001930C1" w:rsidRPr="00F514E8">
        <w:rPr>
          <w:rFonts w:ascii="Arial" w:hAnsi="Arial" w:cs="Arial"/>
          <w:i/>
          <w:lang w:val="es-ES_tradnl"/>
        </w:rPr>
        <w:t xml:space="preserve">Cuál es el Juez competente para conocer las controversias en las que sería parte el Fondo Financiero de Proyectos de Desarrollo – </w:t>
      </w:r>
      <w:r w:rsidR="001930C1" w:rsidRPr="00F514E8">
        <w:rPr>
          <w:rFonts w:ascii="Arial" w:hAnsi="Arial" w:cs="Arial"/>
          <w:b/>
          <w:i/>
          <w:lang w:val="es-ES_tradnl"/>
        </w:rPr>
        <w:t>FONADE,</w:t>
      </w:r>
      <w:r w:rsidR="001930C1" w:rsidRPr="00F514E8">
        <w:rPr>
          <w:rFonts w:ascii="Arial" w:hAnsi="Arial" w:cs="Arial"/>
          <w:i/>
          <w:lang w:val="es-ES_tradnl"/>
        </w:rPr>
        <w:t xml:space="preserve"> diferentes a las derivadas de las actividades financieras que realice la Entidad, ya sea que actúe como demandante o como demandado, en aplicación de las disposiciones contenidas en la Ley 1437 de 2011 –Código de </w:t>
      </w:r>
      <w:r w:rsidR="009B2A26" w:rsidRPr="00F514E8">
        <w:rPr>
          <w:rFonts w:ascii="Arial" w:hAnsi="Arial" w:cs="Arial"/>
          <w:i/>
          <w:lang w:val="es-ES_tradnl"/>
        </w:rPr>
        <w:t>P</w:t>
      </w:r>
      <w:r w:rsidR="001930C1" w:rsidRPr="00F514E8">
        <w:rPr>
          <w:rFonts w:ascii="Arial" w:hAnsi="Arial" w:cs="Arial"/>
          <w:i/>
          <w:lang w:val="es-ES_tradnl"/>
        </w:rPr>
        <w:t>rocedimiento Administrativo y de lo Contencioso Administrativo y en armonía con las disposiciones contenidas en el Decreto 288 de 2004?</w:t>
      </w:r>
    </w:p>
    <w:p w14:paraId="2824F211" w14:textId="77777777" w:rsidR="00725D19" w:rsidRDefault="00725D19" w:rsidP="00725D19">
      <w:pPr>
        <w:spacing w:after="0" w:line="240" w:lineRule="auto"/>
        <w:ind w:right="-199"/>
        <w:jc w:val="both"/>
        <w:rPr>
          <w:rFonts w:ascii="Arial" w:hAnsi="Arial" w:cs="Arial"/>
          <w:i/>
          <w:lang w:val="es-ES_tradnl"/>
        </w:rPr>
      </w:pPr>
    </w:p>
    <w:p w14:paraId="2C673471" w14:textId="77777777" w:rsidR="007D7D76" w:rsidRPr="00F514E8" w:rsidRDefault="007D7D76" w:rsidP="00725D19">
      <w:pPr>
        <w:spacing w:after="0" w:line="240" w:lineRule="auto"/>
        <w:ind w:right="-199"/>
        <w:jc w:val="both"/>
        <w:rPr>
          <w:rFonts w:ascii="Arial" w:hAnsi="Arial" w:cs="Arial"/>
          <w:i/>
          <w:lang w:val="es-ES_tradnl"/>
        </w:rPr>
      </w:pPr>
    </w:p>
    <w:p w14:paraId="0E53AAB8" w14:textId="77777777" w:rsidR="00256191" w:rsidRPr="00F514E8" w:rsidRDefault="00256191" w:rsidP="00725D19">
      <w:pPr>
        <w:spacing w:after="0" w:line="240" w:lineRule="auto"/>
        <w:ind w:right="-199"/>
        <w:jc w:val="both"/>
        <w:rPr>
          <w:rFonts w:ascii="Arial" w:hAnsi="Arial" w:cs="Arial"/>
          <w:i/>
          <w:lang w:val="es-ES_tradnl"/>
        </w:rPr>
      </w:pPr>
      <w:r w:rsidRPr="00F514E8">
        <w:rPr>
          <w:rFonts w:ascii="Arial" w:hAnsi="Arial" w:cs="Arial"/>
          <w:i/>
          <w:lang w:val="es-ES_tradnl"/>
        </w:rPr>
        <w:t>2) ¿</w:t>
      </w:r>
      <w:r w:rsidR="001930C1" w:rsidRPr="00F514E8">
        <w:rPr>
          <w:rFonts w:ascii="Arial" w:hAnsi="Arial" w:cs="Arial"/>
          <w:i/>
          <w:lang w:val="es-ES_tradnl"/>
        </w:rPr>
        <w:t xml:space="preserve">Cuál es el Juez competente para conocer las controversias en las que sería parte el Fondo Financiero de Proyectos de Desarrollo – </w:t>
      </w:r>
      <w:r w:rsidR="001930C1" w:rsidRPr="00F514E8">
        <w:rPr>
          <w:rFonts w:ascii="Arial" w:hAnsi="Arial" w:cs="Arial"/>
          <w:b/>
          <w:i/>
          <w:lang w:val="es-ES_tradnl"/>
        </w:rPr>
        <w:t xml:space="preserve">FONADE, </w:t>
      </w:r>
      <w:r w:rsidR="001930C1" w:rsidRPr="00F514E8">
        <w:rPr>
          <w:rFonts w:ascii="Arial" w:hAnsi="Arial" w:cs="Arial"/>
          <w:i/>
          <w:lang w:val="es-ES_tradnl"/>
        </w:rPr>
        <w:t>en las que estén involucradas la celebración, ejecución, terminación y liquidación de convenios in</w:t>
      </w:r>
      <w:r w:rsidR="00D9135C" w:rsidRPr="00F514E8">
        <w:rPr>
          <w:rFonts w:ascii="Arial" w:hAnsi="Arial" w:cs="Arial"/>
          <w:i/>
          <w:lang w:val="es-ES_tradnl"/>
        </w:rPr>
        <w:t xml:space="preserve">teradministrativos que celebre esta </w:t>
      </w:r>
      <w:r w:rsidR="001930C1" w:rsidRPr="00F514E8">
        <w:rPr>
          <w:rFonts w:ascii="Arial" w:hAnsi="Arial" w:cs="Arial"/>
          <w:i/>
          <w:lang w:val="es-ES_tradnl"/>
        </w:rPr>
        <w:t>Entidad con otras Entidades Estatales que tengan o no el carácter de financieras?</w:t>
      </w:r>
    </w:p>
    <w:p w14:paraId="3AC91C40" w14:textId="77777777" w:rsidR="00725D19" w:rsidRDefault="00725D19" w:rsidP="00725D19">
      <w:pPr>
        <w:spacing w:after="0" w:line="240" w:lineRule="auto"/>
        <w:ind w:right="-199"/>
        <w:jc w:val="both"/>
        <w:rPr>
          <w:rFonts w:ascii="Arial" w:hAnsi="Arial" w:cs="Arial"/>
          <w:i/>
          <w:lang w:val="es-ES_tradnl"/>
        </w:rPr>
      </w:pPr>
    </w:p>
    <w:p w14:paraId="504DA10F" w14:textId="77777777" w:rsidR="007D7D76" w:rsidRPr="00F514E8" w:rsidRDefault="007D7D76" w:rsidP="00725D19">
      <w:pPr>
        <w:spacing w:after="0" w:line="240" w:lineRule="auto"/>
        <w:ind w:right="-199"/>
        <w:jc w:val="both"/>
        <w:rPr>
          <w:rFonts w:ascii="Arial" w:hAnsi="Arial" w:cs="Arial"/>
          <w:i/>
          <w:lang w:val="es-ES_tradnl"/>
        </w:rPr>
      </w:pPr>
    </w:p>
    <w:p w14:paraId="4D28A62C" w14:textId="77777777" w:rsidR="00BB2E01" w:rsidRPr="00F514E8" w:rsidRDefault="005D6C1D" w:rsidP="00725D19">
      <w:pPr>
        <w:spacing w:after="0" w:line="240" w:lineRule="auto"/>
        <w:ind w:right="-199"/>
        <w:jc w:val="both"/>
        <w:rPr>
          <w:rFonts w:ascii="Arial" w:hAnsi="Arial" w:cs="Arial"/>
          <w:i/>
          <w:lang w:val="es-ES_tradnl"/>
        </w:rPr>
      </w:pPr>
      <w:r w:rsidRPr="00F514E8">
        <w:rPr>
          <w:rFonts w:ascii="Arial" w:hAnsi="Arial" w:cs="Arial"/>
          <w:i/>
          <w:lang w:val="es-ES_tradnl"/>
        </w:rPr>
        <w:t>3)</w:t>
      </w:r>
      <w:r w:rsidR="00C568D3" w:rsidRPr="00F514E8">
        <w:rPr>
          <w:rFonts w:ascii="Arial" w:hAnsi="Arial" w:cs="Arial"/>
          <w:i/>
          <w:lang w:val="es-ES_tradnl"/>
        </w:rPr>
        <w:t xml:space="preserve"> </w:t>
      </w:r>
      <w:r w:rsidR="006A4EDD" w:rsidRPr="00F514E8">
        <w:rPr>
          <w:rFonts w:ascii="Arial" w:hAnsi="Arial" w:cs="Arial"/>
          <w:i/>
          <w:lang w:val="es-ES_tradnl"/>
        </w:rPr>
        <w:t>¿</w:t>
      </w:r>
      <w:r w:rsidR="001930C1" w:rsidRPr="00F514E8">
        <w:rPr>
          <w:rFonts w:ascii="Arial" w:hAnsi="Arial" w:cs="Arial"/>
          <w:i/>
          <w:lang w:val="es-ES_tradnl"/>
        </w:rPr>
        <w:t>Cuáles son los términos de caducidad o de prescripción de las acciones judiciales, para el caso de acudir a la Jurisdicción Ordinaria?</w:t>
      </w:r>
    </w:p>
    <w:p w14:paraId="2B7BCB24" w14:textId="77777777" w:rsidR="00725D19" w:rsidRDefault="00725D19" w:rsidP="00725D19">
      <w:pPr>
        <w:spacing w:after="0" w:line="240" w:lineRule="auto"/>
        <w:ind w:right="-199"/>
        <w:jc w:val="both"/>
        <w:rPr>
          <w:rFonts w:ascii="Arial" w:hAnsi="Arial" w:cs="Arial"/>
          <w:i/>
          <w:lang w:val="es-ES_tradnl"/>
        </w:rPr>
      </w:pPr>
    </w:p>
    <w:p w14:paraId="472CDFCC" w14:textId="77777777" w:rsidR="007D7D76" w:rsidRPr="00F514E8" w:rsidRDefault="007D7D76" w:rsidP="00725D19">
      <w:pPr>
        <w:spacing w:after="0" w:line="240" w:lineRule="auto"/>
        <w:ind w:right="-199"/>
        <w:jc w:val="both"/>
        <w:rPr>
          <w:rFonts w:ascii="Arial" w:hAnsi="Arial" w:cs="Arial"/>
          <w:i/>
          <w:lang w:val="es-ES_tradnl"/>
        </w:rPr>
      </w:pPr>
    </w:p>
    <w:p w14:paraId="1F926609" w14:textId="77777777" w:rsidR="00E113E1" w:rsidRPr="00F514E8" w:rsidRDefault="00BB2E01" w:rsidP="00725D19">
      <w:pPr>
        <w:spacing w:after="0" w:line="240" w:lineRule="auto"/>
        <w:ind w:right="-199"/>
        <w:jc w:val="both"/>
        <w:rPr>
          <w:rFonts w:ascii="Arial" w:hAnsi="Arial" w:cs="Arial"/>
          <w:i/>
          <w:lang w:val="es-ES_tradnl"/>
        </w:rPr>
      </w:pPr>
      <w:r w:rsidRPr="00F514E8">
        <w:rPr>
          <w:rFonts w:ascii="Arial" w:hAnsi="Arial" w:cs="Arial"/>
          <w:i/>
          <w:lang w:val="es-ES_tradnl"/>
        </w:rPr>
        <w:t xml:space="preserve">4) </w:t>
      </w:r>
      <w:r w:rsidR="004E5D58" w:rsidRPr="00F514E8">
        <w:rPr>
          <w:rFonts w:ascii="Arial" w:hAnsi="Arial" w:cs="Arial"/>
          <w:i/>
          <w:lang w:val="es-ES_tradnl"/>
        </w:rPr>
        <w:t xml:space="preserve">¿FONADE puede pactar cláusulas excepcionales o exorbitantes en los contratos que celebre con particulares, sean en cumplimiento de actividades financieras o como agente en cualquiera de las etapas del ciclo de proyectos de desarrollo? </w:t>
      </w:r>
    </w:p>
    <w:p w14:paraId="4E612157" w14:textId="77777777" w:rsidR="00084445" w:rsidRPr="00F514E8" w:rsidRDefault="00084445" w:rsidP="00725D19">
      <w:pPr>
        <w:spacing w:after="0" w:line="240" w:lineRule="auto"/>
        <w:ind w:right="-199"/>
        <w:jc w:val="both"/>
        <w:rPr>
          <w:rFonts w:ascii="Arial" w:hAnsi="Arial" w:cs="Arial"/>
          <w:b/>
          <w:kern w:val="36"/>
          <w:sz w:val="24"/>
          <w:szCs w:val="24"/>
          <w:lang w:val="es-ES_tradnl"/>
        </w:rPr>
      </w:pPr>
    </w:p>
    <w:p w14:paraId="7F48D7AD" w14:textId="77777777" w:rsidR="004862A9" w:rsidRPr="00F514E8" w:rsidRDefault="004862A9" w:rsidP="00725D19">
      <w:pPr>
        <w:spacing w:after="0" w:line="240" w:lineRule="auto"/>
        <w:ind w:right="-199"/>
        <w:jc w:val="both"/>
        <w:rPr>
          <w:rFonts w:ascii="Arial" w:hAnsi="Arial" w:cs="Arial"/>
          <w:b/>
          <w:kern w:val="36"/>
          <w:sz w:val="24"/>
          <w:szCs w:val="24"/>
          <w:lang w:val="es-ES_tradnl"/>
        </w:rPr>
      </w:pPr>
    </w:p>
    <w:p w14:paraId="2886F638" w14:textId="77777777" w:rsidR="00644D90" w:rsidRPr="00F514E8" w:rsidRDefault="00084445" w:rsidP="00725D19">
      <w:pPr>
        <w:spacing w:after="0" w:line="240" w:lineRule="auto"/>
        <w:ind w:right="-198"/>
        <w:jc w:val="center"/>
        <w:rPr>
          <w:rFonts w:ascii="Arial" w:hAnsi="Arial" w:cs="Arial"/>
          <w:b/>
          <w:kern w:val="36"/>
          <w:sz w:val="24"/>
          <w:szCs w:val="24"/>
          <w:lang w:val="es-ES_tradnl"/>
        </w:rPr>
      </w:pPr>
      <w:r w:rsidRPr="00F514E8">
        <w:rPr>
          <w:rFonts w:ascii="Arial" w:hAnsi="Arial" w:cs="Arial"/>
          <w:b/>
          <w:kern w:val="36"/>
          <w:sz w:val="24"/>
          <w:szCs w:val="24"/>
          <w:lang w:val="es-ES_tradnl"/>
        </w:rPr>
        <w:t xml:space="preserve">II. </w:t>
      </w:r>
      <w:r w:rsidR="00952A40" w:rsidRPr="00F514E8">
        <w:rPr>
          <w:rFonts w:ascii="Arial" w:hAnsi="Arial" w:cs="Arial"/>
          <w:b/>
          <w:kern w:val="36"/>
          <w:sz w:val="24"/>
          <w:szCs w:val="24"/>
          <w:lang w:val="es-ES_tradnl"/>
        </w:rPr>
        <w:t>CONSIDERACIONES</w:t>
      </w:r>
    </w:p>
    <w:p w14:paraId="5CA08B3F" w14:textId="77777777" w:rsidR="00C05F86" w:rsidRDefault="00C05F86" w:rsidP="00725D19">
      <w:pPr>
        <w:spacing w:after="0" w:line="240" w:lineRule="auto"/>
        <w:ind w:right="-198"/>
        <w:jc w:val="center"/>
        <w:rPr>
          <w:rFonts w:ascii="Arial" w:hAnsi="Arial" w:cs="Arial"/>
          <w:b/>
          <w:kern w:val="36"/>
          <w:sz w:val="24"/>
          <w:szCs w:val="24"/>
          <w:lang w:val="es-ES_tradnl"/>
        </w:rPr>
      </w:pPr>
    </w:p>
    <w:p w14:paraId="160AE5FA" w14:textId="77777777" w:rsidR="007D7D76" w:rsidRPr="00F514E8" w:rsidRDefault="007D7D76" w:rsidP="00725D19">
      <w:pPr>
        <w:spacing w:after="0" w:line="240" w:lineRule="auto"/>
        <w:ind w:right="-198"/>
        <w:jc w:val="center"/>
        <w:rPr>
          <w:rFonts w:ascii="Arial" w:hAnsi="Arial" w:cs="Arial"/>
          <w:b/>
          <w:kern w:val="36"/>
          <w:sz w:val="24"/>
          <w:szCs w:val="24"/>
          <w:lang w:val="es-ES_tradnl"/>
        </w:rPr>
      </w:pPr>
    </w:p>
    <w:p w14:paraId="3B25657D" w14:textId="77777777" w:rsidR="004E5D58" w:rsidRPr="00F514E8" w:rsidRDefault="00407026" w:rsidP="00725D19">
      <w:p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 xml:space="preserve">Para </w:t>
      </w:r>
      <w:r w:rsidR="00BF11CD" w:rsidRPr="00F514E8">
        <w:rPr>
          <w:rFonts w:ascii="Arial" w:hAnsi="Arial" w:cs="Arial"/>
          <w:sz w:val="24"/>
          <w:szCs w:val="24"/>
          <w:lang w:val="es-ES_tradnl"/>
        </w:rPr>
        <w:t>responder</w:t>
      </w:r>
      <w:r w:rsidRPr="00F514E8">
        <w:rPr>
          <w:rFonts w:ascii="Arial" w:hAnsi="Arial" w:cs="Arial"/>
          <w:sz w:val="24"/>
          <w:szCs w:val="24"/>
          <w:lang w:val="es-ES_tradnl"/>
        </w:rPr>
        <w:t xml:space="preserve"> los interro</w:t>
      </w:r>
      <w:r w:rsidR="005F3D21" w:rsidRPr="00F514E8">
        <w:rPr>
          <w:rFonts w:ascii="Arial" w:hAnsi="Arial" w:cs="Arial"/>
          <w:sz w:val="24"/>
          <w:szCs w:val="24"/>
          <w:lang w:val="es-ES_tradnl"/>
        </w:rPr>
        <w:t>gantes formulados</w:t>
      </w:r>
      <w:r w:rsidR="004E5D58" w:rsidRPr="00F514E8">
        <w:rPr>
          <w:rFonts w:ascii="Arial" w:hAnsi="Arial" w:cs="Arial"/>
          <w:sz w:val="24"/>
          <w:szCs w:val="24"/>
          <w:lang w:val="es-ES_tradnl"/>
        </w:rPr>
        <w:t xml:space="preserve">, </w:t>
      </w:r>
      <w:r w:rsidRPr="00F514E8">
        <w:rPr>
          <w:rFonts w:ascii="Arial" w:hAnsi="Arial" w:cs="Arial"/>
          <w:sz w:val="24"/>
          <w:szCs w:val="24"/>
          <w:lang w:val="es-ES_tradnl"/>
        </w:rPr>
        <w:t xml:space="preserve">la Sala </w:t>
      </w:r>
      <w:r w:rsidR="00BF11CD" w:rsidRPr="00F514E8">
        <w:rPr>
          <w:rFonts w:ascii="Arial" w:hAnsi="Arial" w:cs="Arial"/>
          <w:sz w:val="24"/>
          <w:szCs w:val="24"/>
          <w:lang w:val="es-ES_tradnl"/>
        </w:rPr>
        <w:t>analizará</w:t>
      </w:r>
      <w:r w:rsidR="00375337" w:rsidRPr="00F514E8">
        <w:rPr>
          <w:rFonts w:ascii="Arial" w:hAnsi="Arial" w:cs="Arial"/>
          <w:sz w:val="24"/>
          <w:szCs w:val="24"/>
          <w:lang w:val="es-ES_tradnl"/>
        </w:rPr>
        <w:t xml:space="preserve"> </w:t>
      </w:r>
      <w:r w:rsidR="007B20C1" w:rsidRPr="00F514E8">
        <w:rPr>
          <w:rFonts w:ascii="Arial" w:hAnsi="Arial" w:cs="Arial"/>
          <w:sz w:val="24"/>
          <w:szCs w:val="24"/>
          <w:lang w:val="es-ES_tradnl"/>
        </w:rPr>
        <w:t xml:space="preserve">los siguientes </w:t>
      </w:r>
      <w:r w:rsidR="00BF11CD" w:rsidRPr="00F514E8">
        <w:rPr>
          <w:rFonts w:ascii="Arial" w:hAnsi="Arial" w:cs="Arial"/>
          <w:sz w:val="24"/>
          <w:szCs w:val="24"/>
          <w:lang w:val="es-ES_tradnl"/>
        </w:rPr>
        <w:t>aspec</w:t>
      </w:r>
      <w:r w:rsidR="007B20C1" w:rsidRPr="00F514E8">
        <w:rPr>
          <w:rFonts w:ascii="Arial" w:hAnsi="Arial" w:cs="Arial"/>
          <w:sz w:val="24"/>
          <w:szCs w:val="24"/>
          <w:lang w:val="es-ES_tradnl"/>
        </w:rPr>
        <w:t>tos:</w:t>
      </w:r>
      <w:r w:rsidR="004E5D58" w:rsidRPr="00F514E8">
        <w:rPr>
          <w:rFonts w:ascii="Arial" w:hAnsi="Arial" w:cs="Arial"/>
          <w:sz w:val="24"/>
          <w:szCs w:val="24"/>
          <w:lang w:val="es-ES_tradnl"/>
        </w:rPr>
        <w:t xml:space="preserve"> </w:t>
      </w:r>
      <w:r w:rsidR="00BF11CD" w:rsidRPr="00F514E8">
        <w:rPr>
          <w:rFonts w:ascii="Arial" w:hAnsi="Arial" w:cs="Arial"/>
          <w:sz w:val="24"/>
          <w:szCs w:val="24"/>
          <w:lang w:val="es-ES_tradnl"/>
        </w:rPr>
        <w:t>i</w:t>
      </w:r>
      <w:r w:rsidR="004E5D58" w:rsidRPr="00F514E8">
        <w:rPr>
          <w:rFonts w:ascii="Arial" w:hAnsi="Arial" w:cs="Arial"/>
          <w:sz w:val="24"/>
          <w:szCs w:val="24"/>
          <w:lang w:val="es-ES_tradnl"/>
        </w:rPr>
        <w:t xml:space="preserve">) La naturaleza jurídica y el objeto de FONADE; </w:t>
      </w:r>
      <w:r w:rsidR="00BF11CD" w:rsidRPr="00F514E8">
        <w:rPr>
          <w:rFonts w:ascii="Arial" w:hAnsi="Arial" w:cs="Arial"/>
          <w:sz w:val="24"/>
          <w:szCs w:val="24"/>
          <w:lang w:val="es-ES_tradnl"/>
        </w:rPr>
        <w:t>ii</w:t>
      </w:r>
      <w:r w:rsidR="004E5D58" w:rsidRPr="00F514E8">
        <w:rPr>
          <w:rFonts w:ascii="Arial" w:hAnsi="Arial" w:cs="Arial"/>
          <w:sz w:val="24"/>
          <w:szCs w:val="24"/>
          <w:lang w:val="es-ES_tradnl"/>
        </w:rPr>
        <w:t>) el régimen jurídico aplicable a sus contratos</w:t>
      </w:r>
      <w:r w:rsidR="00ED62F4" w:rsidRPr="00F514E8">
        <w:rPr>
          <w:rFonts w:ascii="Arial" w:hAnsi="Arial" w:cs="Arial"/>
          <w:sz w:val="24"/>
          <w:szCs w:val="24"/>
          <w:lang w:val="es-ES_tradnl"/>
        </w:rPr>
        <w:t>;</w:t>
      </w:r>
      <w:r w:rsidR="004E5D58" w:rsidRPr="00F514E8">
        <w:rPr>
          <w:rFonts w:ascii="Arial" w:hAnsi="Arial" w:cs="Arial"/>
          <w:sz w:val="24"/>
          <w:szCs w:val="24"/>
          <w:lang w:val="es-ES_tradnl"/>
        </w:rPr>
        <w:t xml:space="preserve"> </w:t>
      </w:r>
      <w:r w:rsidR="00BF11CD" w:rsidRPr="00F514E8">
        <w:rPr>
          <w:rFonts w:ascii="Arial" w:hAnsi="Arial" w:cs="Arial"/>
          <w:sz w:val="24"/>
          <w:szCs w:val="24"/>
          <w:lang w:val="es-ES_tradnl"/>
        </w:rPr>
        <w:t>iii</w:t>
      </w:r>
      <w:r w:rsidR="004E5D58" w:rsidRPr="00F514E8">
        <w:rPr>
          <w:rFonts w:ascii="Arial" w:hAnsi="Arial" w:cs="Arial"/>
          <w:sz w:val="24"/>
          <w:szCs w:val="24"/>
          <w:lang w:val="es-ES_tradnl"/>
        </w:rPr>
        <w:t xml:space="preserve">) la jurisdicción competente para conocer de las </w:t>
      </w:r>
      <w:r w:rsidR="004E5D58" w:rsidRPr="00F514E8">
        <w:rPr>
          <w:rFonts w:ascii="Arial" w:hAnsi="Arial" w:cs="Arial"/>
          <w:sz w:val="24"/>
          <w:szCs w:val="24"/>
          <w:lang w:val="es-ES_tradnl"/>
        </w:rPr>
        <w:lastRenderedPageBreak/>
        <w:t>controversias contractuales en las que sea parte</w:t>
      </w:r>
      <w:r w:rsidR="009B2A26" w:rsidRPr="00F514E8">
        <w:rPr>
          <w:rFonts w:ascii="Arial" w:hAnsi="Arial" w:cs="Arial"/>
          <w:sz w:val="24"/>
          <w:szCs w:val="24"/>
          <w:lang w:val="es-ES_tradnl"/>
        </w:rPr>
        <w:t xml:space="preserve">, y </w:t>
      </w:r>
      <w:proofErr w:type="spellStart"/>
      <w:r w:rsidR="00BF11CD" w:rsidRPr="00F514E8">
        <w:rPr>
          <w:rFonts w:ascii="Arial" w:hAnsi="Arial" w:cs="Arial"/>
          <w:sz w:val="24"/>
          <w:szCs w:val="24"/>
          <w:lang w:val="es-ES_tradnl"/>
        </w:rPr>
        <w:t>iv</w:t>
      </w:r>
      <w:proofErr w:type="spellEnd"/>
      <w:r w:rsidR="009B2A26" w:rsidRPr="00F514E8">
        <w:rPr>
          <w:rFonts w:ascii="Arial" w:hAnsi="Arial" w:cs="Arial"/>
          <w:sz w:val="24"/>
          <w:szCs w:val="24"/>
          <w:lang w:val="es-ES_tradnl"/>
        </w:rPr>
        <w:t>) los términos de prescripción y caducidad de las acciones</w:t>
      </w:r>
      <w:r w:rsidR="00ED62F4" w:rsidRPr="00F514E8">
        <w:rPr>
          <w:rFonts w:ascii="Arial" w:hAnsi="Arial" w:cs="Arial"/>
          <w:sz w:val="24"/>
          <w:szCs w:val="24"/>
          <w:lang w:val="es-ES_tradnl"/>
        </w:rPr>
        <w:t>.</w:t>
      </w:r>
      <w:r w:rsidR="004E5D58" w:rsidRPr="00F514E8">
        <w:rPr>
          <w:rFonts w:ascii="Arial" w:hAnsi="Arial" w:cs="Arial"/>
          <w:sz w:val="24"/>
          <w:szCs w:val="24"/>
          <w:lang w:val="es-ES_tradnl"/>
        </w:rPr>
        <w:t xml:space="preserve"> </w:t>
      </w:r>
    </w:p>
    <w:p w14:paraId="24B332B2" w14:textId="77777777" w:rsidR="00737831" w:rsidRPr="00F514E8" w:rsidRDefault="004E5D58" w:rsidP="00725D19">
      <w:p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 xml:space="preserve"> </w:t>
      </w:r>
    </w:p>
    <w:p w14:paraId="09AC98AE" w14:textId="77777777" w:rsidR="001A0C54" w:rsidRPr="00F514E8" w:rsidRDefault="00204084" w:rsidP="00120A65">
      <w:pPr>
        <w:spacing w:after="0" w:line="240" w:lineRule="auto"/>
        <w:ind w:left="426" w:right="-198" w:hanging="426"/>
        <w:jc w:val="center"/>
        <w:rPr>
          <w:rFonts w:ascii="Arial" w:hAnsi="Arial" w:cs="Arial"/>
          <w:b/>
          <w:sz w:val="24"/>
          <w:szCs w:val="24"/>
          <w:lang w:val="es-ES_tradnl"/>
        </w:rPr>
      </w:pPr>
      <w:r w:rsidRPr="00F514E8">
        <w:rPr>
          <w:rFonts w:ascii="Arial" w:hAnsi="Arial" w:cs="Arial"/>
          <w:b/>
          <w:sz w:val="24"/>
          <w:szCs w:val="24"/>
          <w:lang w:val="es-ES_tradnl"/>
        </w:rPr>
        <w:t xml:space="preserve">A. </w:t>
      </w:r>
      <w:r w:rsidR="009B2A26" w:rsidRPr="00F514E8">
        <w:rPr>
          <w:rFonts w:ascii="Arial" w:hAnsi="Arial" w:cs="Arial"/>
          <w:b/>
          <w:sz w:val="24"/>
          <w:szCs w:val="24"/>
          <w:lang w:val="es-ES_tradnl"/>
        </w:rPr>
        <w:t xml:space="preserve"> </w:t>
      </w:r>
      <w:r w:rsidRPr="00F514E8">
        <w:rPr>
          <w:rFonts w:ascii="Arial" w:hAnsi="Arial" w:cs="Arial"/>
          <w:b/>
          <w:sz w:val="24"/>
          <w:szCs w:val="24"/>
          <w:lang w:val="es-ES_tradnl"/>
        </w:rPr>
        <w:t>L</w:t>
      </w:r>
      <w:r w:rsidR="004E5D58" w:rsidRPr="00F514E8">
        <w:rPr>
          <w:rFonts w:ascii="Arial" w:hAnsi="Arial" w:cs="Arial"/>
          <w:b/>
          <w:sz w:val="24"/>
          <w:szCs w:val="24"/>
          <w:lang w:val="es-ES_tradnl"/>
        </w:rPr>
        <w:t xml:space="preserve">a naturaleza jurídica y el objeto </w:t>
      </w:r>
      <w:r w:rsidR="00932210" w:rsidRPr="00F514E8">
        <w:rPr>
          <w:rFonts w:ascii="Arial" w:hAnsi="Arial" w:cs="Arial"/>
          <w:b/>
          <w:sz w:val="24"/>
          <w:szCs w:val="24"/>
          <w:lang w:val="es-ES_tradnl"/>
        </w:rPr>
        <w:t>de FONADE</w:t>
      </w:r>
    </w:p>
    <w:p w14:paraId="3D69FFA9" w14:textId="77777777" w:rsidR="001A0C54" w:rsidRDefault="001A0C54" w:rsidP="00725D19">
      <w:pPr>
        <w:spacing w:after="0" w:line="240" w:lineRule="auto"/>
        <w:ind w:right="-198"/>
        <w:jc w:val="both"/>
        <w:rPr>
          <w:rFonts w:ascii="Arial" w:hAnsi="Arial" w:cs="Arial"/>
          <w:b/>
          <w:sz w:val="24"/>
          <w:szCs w:val="24"/>
          <w:lang w:val="es-ES_tradnl"/>
        </w:rPr>
      </w:pPr>
    </w:p>
    <w:p w14:paraId="2681D5EE" w14:textId="77777777" w:rsidR="007D7D76" w:rsidRPr="00F514E8" w:rsidRDefault="007D7D76" w:rsidP="00725D19">
      <w:pPr>
        <w:spacing w:after="0" w:line="240" w:lineRule="auto"/>
        <w:ind w:right="-198"/>
        <w:jc w:val="both"/>
        <w:rPr>
          <w:rFonts w:ascii="Arial" w:hAnsi="Arial" w:cs="Arial"/>
          <w:b/>
          <w:sz w:val="24"/>
          <w:szCs w:val="24"/>
          <w:lang w:val="es-ES_tradnl"/>
        </w:rPr>
      </w:pPr>
    </w:p>
    <w:p w14:paraId="5DF8D5A3" w14:textId="77777777" w:rsidR="005332C1" w:rsidRPr="00F514E8" w:rsidRDefault="00A7323F" w:rsidP="00A7323F">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1. </w:t>
      </w:r>
      <w:r w:rsidR="00363F11" w:rsidRPr="00F514E8">
        <w:rPr>
          <w:rFonts w:ascii="Arial" w:hAnsi="Arial" w:cs="Arial"/>
          <w:sz w:val="24"/>
          <w:szCs w:val="24"/>
          <w:lang w:val="es-ES_tradnl"/>
        </w:rPr>
        <w:t>FONADE</w:t>
      </w:r>
      <w:r w:rsidR="00454466" w:rsidRPr="00F514E8">
        <w:rPr>
          <w:rFonts w:ascii="Arial" w:hAnsi="Arial" w:cs="Arial"/>
          <w:sz w:val="24"/>
          <w:szCs w:val="24"/>
          <w:lang w:val="es-ES_tradnl"/>
        </w:rPr>
        <w:t>, como persona jurídica</w:t>
      </w:r>
      <w:r w:rsidR="00932210" w:rsidRPr="00F514E8">
        <w:rPr>
          <w:rFonts w:ascii="Arial" w:hAnsi="Arial" w:cs="Arial"/>
          <w:sz w:val="24"/>
          <w:szCs w:val="24"/>
          <w:lang w:val="es-ES_tradnl"/>
        </w:rPr>
        <w:t xml:space="preserve"> pública</w:t>
      </w:r>
      <w:r w:rsidR="00454466" w:rsidRPr="00F514E8">
        <w:rPr>
          <w:rStyle w:val="Refdenotaalpie"/>
          <w:rFonts w:ascii="Arial" w:hAnsi="Arial" w:cs="Arial"/>
          <w:sz w:val="24"/>
          <w:szCs w:val="24"/>
          <w:lang w:val="es-ES_tradnl"/>
        </w:rPr>
        <w:footnoteReference w:id="1"/>
      </w:r>
      <w:r w:rsidR="00454466" w:rsidRPr="00F514E8">
        <w:rPr>
          <w:rFonts w:ascii="Arial" w:hAnsi="Arial" w:cs="Arial"/>
          <w:sz w:val="24"/>
          <w:szCs w:val="24"/>
          <w:lang w:val="es-ES_tradnl"/>
        </w:rPr>
        <w:t xml:space="preserve">, </w:t>
      </w:r>
      <w:r w:rsidR="00363F11" w:rsidRPr="00F514E8">
        <w:rPr>
          <w:rFonts w:ascii="Arial" w:hAnsi="Arial" w:cs="Arial"/>
          <w:sz w:val="24"/>
          <w:szCs w:val="24"/>
          <w:lang w:val="es-ES_tradnl"/>
        </w:rPr>
        <w:t xml:space="preserve">fue creado por el Gobierno Nacional mediante el </w:t>
      </w:r>
      <w:r w:rsidR="004667E7" w:rsidRPr="00F514E8">
        <w:rPr>
          <w:rFonts w:ascii="Arial" w:hAnsi="Arial" w:cs="Arial"/>
          <w:sz w:val="24"/>
          <w:szCs w:val="24"/>
          <w:lang w:val="es-ES_tradnl"/>
        </w:rPr>
        <w:t>d</w:t>
      </w:r>
      <w:r w:rsidR="00363F11" w:rsidRPr="00F514E8">
        <w:rPr>
          <w:rFonts w:ascii="Arial" w:hAnsi="Arial" w:cs="Arial"/>
          <w:sz w:val="24"/>
          <w:szCs w:val="24"/>
          <w:lang w:val="es-ES_tradnl"/>
        </w:rPr>
        <w:t xml:space="preserve">ecreto 3068 de 1968, en ejercicio de las facultades </w:t>
      </w:r>
      <w:r w:rsidR="00E82BF9" w:rsidRPr="00F514E8">
        <w:rPr>
          <w:rFonts w:ascii="Arial" w:hAnsi="Arial" w:cs="Arial"/>
          <w:sz w:val="24"/>
          <w:szCs w:val="24"/>
          <w:lang w:val="es-ES_tradnl"/>
        </w:rPr>
        <w:t xml:space="preserve">que le fueron </w:t>
      </w:r>
      <w:r w:rsidR="00363F11" w:rsidRPr="00F514E8">
        <w:rPr>
          <w:rFonts w:ascii="Arial" w:hAnsi="Arial" w:cs="Arial"/>
          <w:sz w:val="24"/>
          <w:szCs w:val="24"/>
          <w:lang w:val="es-ES_tradnl"/>
        </w:rPr>
        <w:t xml:space="preserve">conferidas por la </w:t>
      </w:r>
      <w:r w:rsidR="004667E7" w:rsidRPr="00F514E8">
        <w:rPr>
          <w:rFonts w:ascii="Arial" w:hAnsi="Arial" w:cs="Arial"/>
          <w:sz w:val="24"/>
          <w:szCs w:val="24"/>
          <w:lang w:val="es-ES_tradnl"/>
        </w:rPr>
        <w:t>l</w:t>
      </w:r>
      <w:r w:rsidR="00363F11" w:rsidRPr="00F514E8">
        <w:rPr>
          <w:rFonts w:ascii="Arial" w:hAnsi="Arial" w:cs="Arial"/>
          <w:sz w:val="24"/>
          <w:szCs w:val="24"/>
          <w:lang w:val="es-ES_tradnl"/>
        </w:rPr>
        <w:t xml:space="preserve">ey 65 de 1967, como un establecimiento público denominado Fondo Nacional de Proyectos de Desarrollo, adscrito al Departamento Nacional de Planeación, con autonomía administrativa y patrimonio propio, </w:t>
      </w:r>
      <w:r w:rsidR="00454466" w:rsidRPr="00F514E8">
        <w:rPr>
          <w:rFonts w:ascii="Arial" w:hAnsi="Arial" w:cs="Arial"/>
          <w:sz w:val="24"/>
          <w:szCs w:val="24"/>
          <w:lang w:val="es-ES_tradnl"/>
        </w:rPr>
        <w:t xml:space="preserve">y cuya </w:t>
      </w:r>
      <w:r w:rsidR="00363F11" w:rsidRPr="00F514E8">
        <w:rPr>
          <w:rFonts w:ascii="Arial" w:hAnsi="Arial" w:cs="Arial"/>
          <w:sz w:val="24"/>
          <w:szCs w:val="24"/>
          <w:lang w:val="es-ES_tradnl"/>
        </w:rPr>
        <w:t xml:space="preserve">función </w:t>
      </w:r>
      <w:r w:rsidR="00454466" w:rsidRPr="00F514E8">
        <w:rPr>
          <w:rFonts w:ascii="Arial" w:hAnsi="Arial" w:cs="Arial"/>
          <w:sz w:val="24"/>
          <w:szCs w:val="24"/>
          <w:lang w:val="es-ES_tradnl"/>
        </w:rPr>
        <w:t xml:space="preserve">era </w:t>
      </w:r>
      <w:r w:rsidR="00363F11" w:rsidRPr="00F514E8">
        <w:rPr>
          <w:rFonts w:ascii="Arial" w:hAnsi="Arial" w:cs="Arial"/>
          <w:sz w:val="24"/>
          <w:szCs w:val="24"/>
          <w:lang w:val="es-ES_tradnl"/>
        </w:rPr>
        <w:t>financiar</w:t>
      </w:r>
      <w:r w:rsidR="005332C1" w:rsidRPr="00F514E8">
        <w:rPr>
          <w:rFonts w:ascii="Arial" w:hAnsi="Arial" w:cs="Arial"/>
          <w:sz w:val="24"/>
          <w:szCs w:val="24"/>
          <w:lang w:val="es-ES_tradnl"/>
        </w:rPr>
        <w:t xml:space="preserve"> </w:t>
      </w:r>
      <w:r w:rsidR="00932210" w:rsidRPr="00F514E8">
        <w:rPr>
          <w:rFonts w:ascii="Arial" w:hAnsi="Arial" w:cs="Arial"/>
          <w:sz w:val="24"/>
          <w:szCs w:val="24"/>
          <w:lang w:val="es-ES_tradnl"/>
        </w:rPr>
        <w:t xml:space="preserve">a entidades de derecho público o privado </w:t>
      </w:r>
      <w:r w:rsidR="00454466" w:rsidRPr="00F514E8">
        <w:rPr>
          <w:rFonts w:ascii="Arial" w:hAnsi="Arial" w:cs="Arial"/>
          <w:sz w:val="24"/>
          <w:szCs w:val="24"/>
          <w:lang w:val="es-ES_tradnl"/>
        </w:rPr>
        <w:t>los estudios mencionados en el</w:t>
      </w:r>
      <w:r w:rsidR="00932210" w:rsidRPr="00F514E8">
        <w:rPr>
          <w:rFonts w:ascii="Arial" w:hAnsi="Arial" w:cs="Arial"/>
          <w:sz w:val="24"/>
          <w:szCs w:val="24"/>
          <w:lang w:val="es-ES_tradnl"/>
        </w:rPr>
        <w:t xml:space="preserve"> artículo 1º del citado </w:t>
      </w:r>
      <w:r w:rsidR="004667E7" w:rsidRPr="00F514E8">
        <w:rPr>
          <w:rFonts w:ascii="Arial" w:hAnsi="Arial" w:cs="Arial"/>
          <w:sz w:val="24"/>
          <w:szCs w:val="24"/>
          <w:lang w:val="es-ES_tradnl"/>
        </w:rPr>
        <w:t>d</w:t>
      </w:r>
      <w:r w:rsidR="00932210" w:rsidRPr="00F514E8">
        <w:rPr>
          <w:rFonts w:ascii="Arial" w:hAnsi="Arial" w:cs="Arial"/>
          <w:sz w:val="24"/>
          <w:szCs w:val="24"/>
          <w:lang w:val="es-ES_tradnl"/>
        </w:rPr>
        <w:t>ecreto</w:t>
      </w:r>
      <w:r w:rsidR="00363F11" w:rsidRPr="00F514E8">
        <w:rPr>
          <w:rFonts w:ascii="Arial" w:hAnsi="Arial" w:cs="Arial"/>
          <w:sz w:val="24"/>
          <w:szCs w:val="24"/>
          <w:lang w:val="es-ES_tradnl"/>
        </w:rPr>
        <w:t>.</w:t>
      </w:r>
    </w:p>
    <w:p w14:paraId="2E28C7AD" w14:textId="77777777" w:rsidR="005332C1" w:rsidRPr="00F514E8" w:rsidRDefault="005332C1" w:rsidP="00725D19">
      <w:pPr>
        <w:spacing w:after="0" w:line="240" w:lineRule="auto"/>
        <w:ind w:right="-198"/>
        <w:jc w:val="both"/>
        <w:rPr>
          <w:rFonts w:ascii="Arial" w:hAnsi="Arial" w:cs="Arial"/>
          <w:sz w:val="24"/>
          <w:szCs w:val="24"/>
          <w:lang w:val="es-ES_tradnl"/>
        </w:rPr>
      </w:pPr>
    </w:p>
    <w:p w14:paraId="6D80FC2E" w14:textId="77777777" w:rsidR="004E5D58" w:rsidRPr="00F514E8" w:rsidRDefault="004667E7"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Luego </w:t>
      </w:r>
      <w:r w:rsidR="00932210" w:rsidRPr="00F514E8">
        <w:rPr>
          <w:rFonts w:ascii="Arial" w:hAnsi="Arial" w:cs="Arial"/>
          <w:sz w:val="24"/>
          <w:szCs w:val="24"/>
          <w:lang w:val="es-ES_tradnl"/>
        </w:rPr>
        <w:t>se reestructuró</w:t>
      </w:r>
      <w:r w:rsidR="005332C1" w:rsidRPr="00F514E8">
        <w:rPr>
          <w:rFonts w:ascii="Arial" w:hAnsi="Arial" w:cs="Arial"/>
          <w:sz w:val="24"/>
          <w:szCs w:val="24"/>
          <w:lang w:val="es-ES_tradnl"/>
        </w:rPr>
        <w:t xml:space="preserve"> mediante el </w:t>
      </w:r>
      <w:r w:rsidRPr="00F514E8">
        <w:rPr>
          <w:rFonts w:ascii="Arial" w:hAnsi="Arial" w:cs="Arial"/>
          <w:sz w:val="24"/>
          <w:szCs w:val="24"/>
          <w:lang w:val="es-ES_tradnl"/>
        </w:rPr>
        <w:t>d</w:t>
      </w:r>
      <w:r w:rsidR="005332C1" w:rsidRPr="00F514E8">
        <w:rPr>
          <w:rFonts w:ascii="Arial" w:hAnsi="Arial" w:cs="Arial"/>
          <w:sz w:val="24"/>
          <w:szCs w:val="24"/>
          <w:lang w:val="es-ES_tradnl"/>
        </w:rPr>
        <w:t xml:space="preserve">ecreto 2168 de 1992, expedido por el </w:t>
      </w:r>
      <w:proofErr w:type="gramStart"/>
      <w:r w:rsidR="005332C1" w:rsidRPr="00F514E8">
        <w:rPr>
          <w:rFonts w:ascii="Arial" w:hAnsi="Arial" w:cs="Arial"/>
          <w:sz w:val="24"/>
          <w:szCs w:val="24"/>
          <w:lang w:val="es-ES_tradnl"/>
        </w:rPr>
        <w:t>Presidente</w:t>
      </w:r>
      <w:proofErr w:type="gramEnd"/>
      <w:r w:rsidR="005332C1" w:rsidRPr="00F514E8">
        <w:rPr>
          <w:rFonts w:ascii="Arial" w:hAnsi="Arial" w:cs="Arial"/>
          <w:sz w:val="24"/>
          <w:szCs w:val="24"/>
          <w:lang w:val="es-ES_tradnl"/>
        </w:rPr>
        <w:t xml:space="preserve"> de la República en </w:t>
      </w:r>
      <w:r w:rsidR="009B2A26" w:rsidRPr="00F514E8">
        <w:rPr>
          <w:rFonts w:ascii="Arial" w:hAnsi="Arial" w:cs="Arial"/>
          <w:sz w:val="24"/>
          <w:szCs w:val="24"/>
          <w:lang w:val="es-ES_tradnl"/>
        </w:rPr>
        <w:t xml:space="preserve">desarrollo </w:t>
      </w:r>
      <w:r w:rsidR="005332C1" w:rsidRPr="00F514E8">
        <w:rPr>
          <w:rFonts w:ascii="Arial" w:hAnsi="Arial" w:cs="Arial"/>
          <w:sz w:val="24"/>
          <w:szCs w:val="24"/>
          <w:lang w:val="es-ES_tradnl"/>
        </w:rPr>
        <w:t xml:space="preserve">de las atribuciones </w:t>
      </w:r>
      <w:r w:rsidR="00E82BF9" w:rsidRPr="00F514E8">
        <w:rPr>
          <w:rFonts w:ascii="Arial" w:hAnsi="Arial" w:cs="Arial"/>
          <w:sz w:val="24"/>
          <w:szCs w:val="24"/>
          <w:lang w:val="es-ES_tradnl"/>
        </w:rPr>
        <w:t xml:space="preserve">otorgadas </w:t>
      </w:r>
      <w:r w:rsidR="005332C1" w:rsidRPr="00F514E8">
        <w:rPr>
          <w:rFonts w:ascii="Arial" w:hAnsi="Arial" w:cs="Arial"/>
          <w:sz w:val="24"/>
          <w:szCs w:val="24"/>
          <w:lang w:val="es-ES_tradnl"/>
        </w:rPr>
        <w:t>por el artículo transitorio 20 de la Constitución Política, pasando a ser una “</w:t>
      </w:r>
      <w:r w:rsidR="005332C1" w:rsidRPr="00F514E8">
        <w:rPr>
          <w:rFonts w:ascii="Arial" w:hAnsi="Arial" w:cs="Arial"/>
          <w:i/>
          <w:sz w:val="24"/>
          <w:szCs w:val="24"/>
          <w:lang w:val="es-ES_tradnl"/>
        </w:rPr>
        <w:t>Empresa Industrial y Comercial del Estado, de carácter financiero denominada Fondo Financiero de Proyectos de Desarrollo</w:t>
      </w:r>
      <w:r w:rsidR="005332C1" w:rsidRPr="00F514E8">
        <w:rPr>
          <w:rFonts w:ascii="Arial" w:hAnsi="Arial" w:cs="Arial"/>
          <w:sz w:val="24"/>
          <w:szCs w:val="24"/>
          <w:lang w:val="es-ES_tradnl"/>
        </w:rPr>
        <w:t>”</w:t>
      </w:r>
      <w:r w:rsidR="005332C1" w:rsidRPr="00F514E8">
        <w:rPr>
          <w:rStyle w:val="Refdenotaalpie"/>
          <w:rFonts w:ascii="Arial" w:hAnsi="Arial" w:cs="Arial"/>
          <w:sz w:val="24"/>
          <w:szCs w:val="24"/>
          <w:lang w:val="es-ES_tradnl"/>
        </w:rPr>
        <w:footnoteReference w:id="2"/>
      </w:r>
      <w:r w:rsidR="005332C1" w:rsidRPr="00F514E8">
        <w:rPr>
          <w:rFonts w:ascii="Arial" w:hAnsi="Arial" w:cs="Arial"/>
          <w:sz w:val="24"/>
          <w:szCs w:val="24"/>
          <w:lang w:val="es-ES_tradnl"/>
        </w:rPr>
        <w:t>.</w:t>
      </w:r>
      <w:r w:rsidR="005332C1" w:rsidRPr="00F514E8">
        <w:rPr>
          <w:rFonts w:ascii="Arial" w:hAnsi="Arial" w:cs="Arial"/>
          <w:i/>
          <w:sz w:val="24"/>
          <w:szCs w:val="24"/>
          <w:lang w:val="es-ES_tradnl"/>
        </w:rPr>
        <w:t xml:space="preserve">  </w:t>
      </w:r>
      <w:r w:rsidR="00363F11" w:rsidRPr="00F514E8">
        <w:rPr>
          <w:rFonts w:ascii="Arial" w:hAnsi="Arial" w:cs="Arial"/>
          <w:sz w:val="24"/>
          <w:szCs w:val="24"/>
          <w:lang w:val="es-ES_tradnl"/>
        </w:rPr>
        <w:t xml:space="preserve">    </w:t>
      </w:r>
    </w:p>
    <w:p w14:paraId="085763BB" w14:textId="77777777" w:rsidR="004E5D58" w:rsidRPr="00F514E8" w:rsidRDefault="004E5D58" w:rsidP="00725D19">
      <w:pPr>
        <w:spacing w:after="0" w:line="240" w:lineRule="auto"/>
        <w:ind w:right="-198"/>
        <w:jc w:val="both"/>
        <w:rPr>
          <w:rFonts w:ascii="Arial" w:hAnsi="Arial" w:cs="Arial"/>
          <w:sz w:val="24"/>
          <w:szCs w:val="24"/>
          <w:lang w:val="es-ES_tradnl"/>
        </w:rPr>
      </w:pPr>
    </w:p>
    <w:p w14:paraId="1B99A985" w14:textId="77777777" w:rsidR="00D22032" w:rsidRPr="00F514E8" w:rsidRDefault="00932210"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Posteriormente l</w:t>
      </w:r>
      <w:r w:rsidR="00D22032" w:rsidRPr="00F514E8">
        <w:rPr>
          <w:rFonts w:ascii="Arial" w:hAnsi="Arial" w:cs="Arial"/>
          <w:sz w:val="24"/>
          <w:szCs w:val="24"/>
          <w:lang w:val="es-ES_tradnl"/>
        </w:rPr>
        <w:t xml:space="preserve">as disposiciones de este </w:t>
      </w:r>
      <w:r w:rsidR="004667E7" w:rsidRPr="00F514E8">
        <w:rPr>
          <w:rFonts w:ascii="Arial" w:hAnsi="Arial" w:cs="Arial"/>
          <w:sz w:val="24"/>
          <w:szCs w:val="24"/>
          <w:lang w:val="es-ES_tradnl"/>
        </w:rPr>
        <w:t>d</w:t>
      </w:r>
      <w:r w:rsidR="00D22032" w:rsidRPr="00F514E8">
        <w:rPr>
          <w:rFonts w:ascii="Arial" w:hAnsi="Arial" w:cs="Arial"/>
          <w:sz w:val="24"/>
          <w:szCs w:val="24"/>
          <w:lang w:val="es-ES_tradnl"/>
        </w:rPr>
        <w:t>ecreto fueron incorporadas en la Parte Décima</w:t>
      </w:r>
      <w:r w:rsidR="00D22032" w:rsidRPr="00F514E8">
        <w:rPr>
          <w:rStyle w:val="Refdenotaalpie"/>
          <w:rFonts w:ascii="Arial" w:hAnsi="Arial" w:cs="Arial"/>
          <w:sz w:val="24"/>
          <w:szCs w:val="24"/>
          <w:lang w:val="es-ES_tradnl"/>
        </w:rPr>
        <w:footnoteReference w:id="3"/>
      </w:r>
      <w:r w:rsidR="00D22032" w:rsidRPr="00F514E8">
        <w:rPr>
          <w:rFonts w:ascii="Arial" w:hAnsi="Arial" w:cs="Arial"/>
          <w:sz w:val="24"/>
          <w:szCs w:val="24"/>
          <w:lang w:val="es-ES_tradnl"/>
        </w:rPr>
        <w:t>,</w:t>
      </w:r>
      <w:r w:rsidR="00327013" w:rsidRPr="00F514E8">
        <w:rPr>
          <w:rFonts w:ascii="Arial" w:hAnsi="Arial" w:cs="Arial"/>
          <w:sz w:val="24"/>
          <w:szCs w:val="24"/>
          <w:lang w:val="es-ES_tradnl"/>
        </w:rPr>
        <w:t xml:space="preserve"> Capítulo XII, artículos 286 a 289 del Estatuto Orgánico del Sistema Financiero</w:t>
      </w:r>
      <w:r w:rsidR="00E82BF9" w:rsidRPr="00F514E8">
        <w:rPr>
          <w:rFonts w:ascii="Arial" w:hAnsi="Arial" w:cs="Arial"/>
          <w:sz w:val="24"/>
          <w:szCs w:val="24"/>
          <w:lang w:val="es-ES_tradnl"/>
        </w:rPr>
        <w:t xml:space="preserve"> (E.O.S.F.)</w:t>
      </w:r>
      <w:r w:rsidR="00327013" w:rsidRPr="00F514E8">
        <w:rPr>
          <w:rFonts w:ascii="Arial" w:hAnsi="Arial" w:cs="Arial"/>
          <w:sz w:val="24"/>
          <w:szCs w:val="24"/>
          <w:lang w:val="es-ES_tradnl"/>
        </w:rPr>
        <w:t xml:space="preserve">, expedido por el Gobierno Nacional mediante el Decreto 663 de 1993. </w:t>
      </w:r>
      <w:r w:rsidR="00D22032" w:rsidRPr="00F514E8">
        <w:rPr>
          <w:rFonts w:ascii="Arial" w:hAnsi="Arial" w:cs="Arial"/>
          <w:sz w:val="24"/>
          <w:szCs w:val="24"/>
          <w:lang w:val="es-ES_tradnl"/>
        </w:rPr>
        <w:t xml:space="preserve">  </w:t>
      </w:r>
    </w:p>
    <w:p w14:paraId="710909B6" w14:textId="77777777" w:rsidR="00D22032" w:rsidRPr="00F514E8" w:rsidRDefault="00D22032" w:rsidP="00725D19">
      <w:pPr>
        <w:spacing w:after="0" w:line="240" w:lineRule="auto"/>
        <w:ind w:right="-198"/>
        <w:jc w:val="both"/>
        <w:rPr>
          <w:rFonts w:ascii="Arial" w:hAnsi="Arial" w:cs="Arial"/>
          <w:sz w:val="24"/>
          <w:szCs w:val="24"/>
          <w:lang w:val="es-ES_tradnl"/>
        </w:rPr>
      </w:pPr>
    </w:p>
    <w:p w14:paraId="02C68661" w14:textId="77777777" w:rsidR="005332C1" w:rsidRPr="00F514E8" w:rsidRDefault="00932210"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Más adelante</w:t>
      </w:r>
      <w:r w:rsidR="00327013" w:rsidRPr="00F514E8">
        <w:rPr>
          <w:rFonts w:ascii="Arial" w:hAnsi="Arial" w:cs="Arial"/>
          <w:sz w:val="24"/>
          <w:szCs w:val="24"/>
          <w:lang w:val="es-ES_tradnl"/>
        </w:rPr>
        <w:t xml:space="preserve"> </w:t>
      </w:r>
      <w:r w:rsidR="005332C1" w:rsidRPr="00F514E8">
        <w:rPr>
          <w:rFonts w:ascii="Arial" w:hAnsi="Arial" w:cs="Arial"/>
          <w:sz w:val="24"/>
          <w:szCs w:val="24"/>
          <w:lang w:val="es-ES_tradnl"/>
        </w:rPr>
        <w:t xml:space="preserve">el </w:t>
      </w:r>
      <w:r w:rsidR="004667E7" w:rsidRPr="00F514E8">
        <w:rPr>
          <w:rFonts w:ascii="Arial" w:hAnsi="Arial" w:cs="Arial"/>
          <w:sz w:val="24"/>
          <w:szCs w:val="24"/>
          <w:lang w:val="es-ES_tradnl"/>
        </w:rPr>
        <w:t>d</w:t>
      </w:r>
      <w:r w:rsidR="005332C1" w:rsidRPr="00F514E8">
        <w:rPr>
          <w:rFonts w:ascii="Arial" w:hAnsi="Arial" w:cs="Arial"/>
          <w:sz w:val="24"/>
          <w:szCs w:val="24"/>
          <w:lang w:val="es-ES_tradnl"/>
        </w:rPr>
        <w:t xml:space="preserve">ecreto 288 de 2004 modificó la estructura de FONADE, pero </w:t>
      </w:r>
      <w:r w:rsidRPr="00F514E8">
        <w:rPr>
          <w:rFonts w:ascii="Arial" w:hAnsi="Arial" w:cs="Arial"/>
          <w:sz w:val="24"/>
          <w:szCs w:val="24"/>
          <w:lang w:val="es-ES_tradnl"/>
        </w:rPr>
        <w:t>conservó</w:t>
      </w:r>
      <w:r w:rsidR="005332C1" w:rsidRPr="00F514E8">
        <w:rPr>
          <w:rFonts w:ascii="Arial" w:hAnsi="Arial" w:cs="Arial"/>
          <w:sz w:val="24"/>
          <w:szCs w:val="24"/>
          <w:lang w:val="es-ES_tradnl"/>
        </w:rPr>
        <w:t xml:space="preserve"> su </w:t>
      </w:r>
      <w:r w:rsidRPr="00F514E8">
        <w:rPr>
          <w:rFonts w:ascii="Arial" w:hAnsi="Arial" w:cs="Arial"/>
          <w:sz w:val="24"/>
          <w:szCs w:val="24"/>
          <w:lang w:val="es-ES_tradnl"/>
        </w:rPr>
        <w:t>denominación</w:t>
      </w:r>
      <w:r w:rsidR="005332C1" w:rsidRPr="00F514E8">
        <w:rPr>
          <w:rFonts w:ascii="Arial" w:hAnsi="Arial" w:cs="Arial"/>
          <w:sz w:val="24"/>
          <w:szCs w:val="24"/>
          <w:lang w:val="es-ES_tradnl"/>
        </w:rPr>
        <w:t xml:space="preserve"> y su naturaleza como empresa industrial y comercial del Estado, de carácter financiero. </w:t>
      </w:r>
    </w:p>
    <w:p w14:paraId="151DE313" w14:textId="77777777" w:rsidR="005332C1" w:rsidRPr="00F514E8" w:rsidRDefault="005332C1" w:rsidP="00725D19">
      <w:pPr>
        <w:spacing w:after="0" w:line="240" w:lineRule="auto"/>
        <w:ind w:right="-198"/>
        <w:jc w:val="both"/>
        <w:rPr>
          <w:rFonts w:ascii="Arial" w:hAnsi="Arial" w:cs="Arial"/>
          <w:sz w:val="24"/>
          <w:szCs w:val="24"/>
          <w:lang w:val="es-ES_tradnl"/>
        </w:rPr>
      </w:pPr>
    </w:p>
    <w:p w14:paraId="369D0D59" w14:textId="77777777" w:rsidR="00D22032" w:rsidRPr="00F514E8" w:rsidRDefault="005332C1" w:rsidP="00725D19">
      <w:pPr>
        <w:spacing w:after="0" w:line="240" w:lineRule="auto"/>
        <w:ind w:right="-198"/>
        <w:jc w:val="both"/>
        <w:rPr>
          <w:rFonts w:ascii="Arial" w:hAnsi="Arial" w:cs="Arial"/>
          <w:i/>
          <w:sz w:val="24"/>
          <w:szCs w:val="24"/>
          <w:lang w:val="es-ES_tradnl"/>
        </w:rPr>
      </w:pPr>
      <w:r w:rsidRPr="00F514E8">
        <w:rPr>
          <w:rFonts w:ascii="Arial" w:hAnsi="Arial" w:cs="Arial"/>
          <w:sz w:val="24"/>
          <w:szCs w:val="24"/>
          <w:lang w:val="es-ES_tradnl"/>
        </w:rPr>
        <w:t xml:space="preserve">En relación con su objeto, el artículo 2º del </w:t>
      </w:r>
      <w:r w:rsidR="004667E7" w:rsidRPr="00F514E8">
        <w:rPr>
          <w:rFonts w:ascii="Arial" w:hAnsi="Arial" w:cs="Arial"/>
          <w:sz w:val="24"/>
          <w:szCs w:val="24"/>
          <w:lang w:val="es-ES_tradnl"/>
        </w:rPr>
        <w:t>d</w:t>
      </w:r>
      <w:r w:rsidRPr="00F514E8">
        <w:rPr>
          <w:rFonts w:ascii="Arial" w:hAnsi="Arial" w:cs="Arial"/>
          <w:sz w:val="24"/>
          <w:szCs w:val="24"/>
          <w:lang w:val="es-ES_tradnl"/>
        </w:rPr>
        <w:t>ecreto 288 de 2004 estableció que FONADE “</w:t>
      </w:r>
      <w:r w:rsidRPr="00F514E8">
        <w:rPr>
          <w:rFonts w:ascii="Arial" w:hAnsi="Arial" w:cs="Arial"/>
          <w:i/>
          <w:sz w:val="24"/>
          <w:szCs w:val="24"/>
          <w:lang w:val="es-ES_tradnl"/>
        </w:rPr>
        <w:t xml:space="preserve">tiene por objeto principal ser Agente en cualquiera de las etapas del ciclo de </w:t>
      </w:r>
      <w:r w:rsidR="00D22032" w:rsidRPr="00F514E8">
        <w:rPr>
          <w:rFonts w:ascii="Arial" w:hAnsi="Arial" w:cs="Arial"/>
          <w:i/>
          <w:sz w:val="24"/>
          <w:szCs w:val="24"/>
          <w:lang w:val="es-ES_tradnl"/>
        </w:rPr>
        <w:t>proyectos de desarrollo, mediante la preparación, financiación y administración de estudios, y la preparación, financiación, administración y ejecución de proyectos de desarrollo en cualquiera de sus etapas</w:t>
      </w:r>
      <w:r w:rsidR="00D22032" w:rsidRPr="00F514E8">
        <w:rPr>
          <w:rFonts w:ascii="Arial" w:hAnsi="Arial" w:cs="Arial"/>
          <w:sz w:val="24"/>
          <w:szCs w:val="24"/>
          <w:lang w:val="es-ES_tradnl"/>
        </w:rPr>
        <w:t>”.</w:t>
      </w:r>
      <w:r w:rsidR="00067FAA" w:rsidRPr="00F514E8">
        <w:rPr>
          <w:rStyle w:val="Refdenotaalpie"/>
          <w:rFonts w:ascii="Arial" w:hAnsi="Arial" w:cs="Arial"/>
          <w:sz w:val="24"/>
          <w:szCs w:val="24"/>
          <w:lang w:val="es-ES_tradnl"/>
        </w:rPr>
        <w:footnoteReference w:id="4"/>
      </w:r>
      <w:r w:rsidR="00D22032" w:rsidRPr="00F514E8">
        <w:rPr>
          <w:rFonts w:ascii="Arial" w:hAnsi="Arial" w:cs="Arial"/>
          <w:i/>
          <w:sz w:val="24"/>
          <w:szCs w:val="24"/>
          <w:lang w:val="es-ES_tradnl"/>
        </w:rPr>
        <w:t xml:space="preserve"> </w:t>
      </w:r>
    </w:p>
    <w:p w14:paraId="4215D7B7" w14:textId="77777777" w:rsidR="00D22032" w:rsidRPr="00F514E8" w:rsidRDefault="00D22032" w:rsidP="00725D19">
      <w:pPr>
        <w:spacing w:after="0" w:line="240" w:lineRule="auto"/>
        <w:ind w:right="-198"/>
        <w:jc w:val="both"/>
        <w:rPr>
          <w:rFonts w:ascii="Arial" w:hAnsi="Arial" w:cs="Arial"/>
          <w:i/>
          <w:sz w:val="24"/>
          <w:szCs w:val="24"/>
          <w:lang w:val="es-ES_tradnl"/>
        </w:rPr>
      </w:pPr>
    </w:p>
    <w:p w14:paraId="5B014CCA" w14:textId="77777777" w:rsidR="00327013" w:rsidRPr="00F514E8" w:rsidRDefault="00327013"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En desarrollo de este objeto, el artículo 3º del </w:t>
      </w:r>
      <w:r w:rsidR="002224F4" w:rsidRPr="00F514E8">
        <w:rPr>
          <w:rFonts w:ascii="Arial" w:hAnsi="Arial" w:cs="Arial"/>
          <w:sz w:val="24"/>
          <w:szCs w:val="24"/>
          <w:lang w:val="es-ES_tradnl"/>
        </w:rPr>
        <w:t>d</w:t>
      </w:r>
      <w:r w:rsidRPr="00F514E8">
        <w:rPr>
          <w:rFonts w:ascii="Arial" w:hAnsi="Arial" w:cs="Arial"/>
          <w:sz w:val="24"/>
          <w:szCs w:val="24"/>
          <w:lang w:val="es-ES_tradnl"/>
        </w:rPr>
        <w:t>ecreto 288 de 2004 dispuso que FONADE pod</w:t>
      </w:r>
      <w:r w:rsidR="00454466" w:rsidRPr="00F514E8">
        <w:rPr>
          <w:rFonts w:ascii="Arial" w:hAnsi="Arial" w:cs="Arial"/>
          <w:sz w:val="24"/>
          <w:szCs w:val="24"/>
          <w:lang w:val="es-ES_tradnl"/>
        </w:rPr>
        <w:t>r</w:t>
      </w:r>
      <w:r w:rsidRPr="00F514E8">
        <w:rPr>
          <w:rFonts w:ascii="Arial" w:hAnsi="Arial" w:cs="Arial"/>
          <w:sz w:val="24"/>
          <w:szCs w:val="24"/>
          <w:lang w:val="es-ES_tradnl"/>
        </w:rPr>
        <w:t xml:space="preserve">ía </w:t>
      </w:r>
      <w:r w:rsidR="00067FAA" w:rsidRPr="00F514E8">
        <w:rPr>
          <w:rFonts w:ascii="Arial" w:hAnsi="Arial" w:cs="Arial"/>
          <w:sz w:val="24"/>
          <w:szCs w:val="24"/>
          <w:lang w:val="es-ES_tradnl"/>
        </w:rPr>
        <w:t xml:space="preserve">realizar </w:t>
      </w:r>
      <w:r w:rsidRPr="00F514E8">
        <w:rPr>
          <w:rFonts w:ascii="Arial" w:hAnsi="Arial" w:cs="Arial"/>
          <w:sz w:val="24"/>
          <w:szCs w:val="24"/>
          <w:lang w:val="es-ES_tradnl"/>
        </w:rPr>
        <w:t xml:space="preserve">las siguientes </w:t>
      </w:r>
      <w:r w:rsidR="00454466" w:rsidRPr="00F514E8">
        <w:rPr>
          <w:rFonts w:ascii="Arial" w:hAnsi="Arial" w:cs="Arial"/>
          <w:sz w:val="24"/>
          <w:szCs w:val="24"/>
          <w:lang w:val="es-ES_tradnl"/>
        </w:rPr>
        <w:t xml:space="preserve">actividades </w:t>
      </w:r>
      <w:r w:rsidRPr="00F514E8">
        <w:rPr>
          <w:rFonts w:ascii="Arial" w:hAnsi="Arial" w:cs="Arial"/>
          <w:sz w:val="24"/>
          <w:szCs w:val="24"/>
          <w:lang w:val="es-ES_tradnl"/>
        </w:rPr>
        <w:t xml:space="preserve">específicas: </w:t>
      </w:r>
    </w:p>
    <w:p w14:paraId="5BEBBBE5" w14:textId="77777777" w:rsidR="00327013" w:rsidRPr="00F514E8" w:rsidRDefault="00327013" w:rsidP="00725D19">
      <w:pPr>
        <w:spacing w:after="0" w:line="240" w:lineRule="auto"/>
        <w:ind w:right="-198"/>
        <w:jc w:val="both"/>
        <w:rPr>
          <w:rFonts w:ascii="Arial" w:hAnsi="Arial" w:cs="Arial"/>
          <w:sz w:val="24"/>
          <w:szCs w:val="24"/>
          <w:lang w:val="es-ES_tradnl"/>
        </w:rPr>
      </w:pPr>
    </w:p>
    <w:p w14:paraId="7D942A36" w14:textId="77777777" w:rsidR="00EC56E3" w:rsidRPr="00F514E8" w:rsidRDefault="00327013" w:rsidP="00EC56E3">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Promover, estructurar, gerenciar, ejecutar y evaluar proyectos de desarrollo financiados con recursos de fuentes nacionales o internacionales.</w:t>
      </w:r>
    </w:p>
    <w:p w14:paraId="38245AA5" w14:textId="77777777" w:rsidR="00EC56E3" w:rsidRPr="00F514E8" w:rsidRDefault="00327013" w:rsidP="00EC56E3">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Realizar las gestiones necesarias para garantizar la viabilidad financiera del Fondo y la de los proyectos que administra o ejecuta.</w:t>
      </w:r>
    </w:p>
    <w:p w14:paraId="65B63DB0" w14:textId="77777777" w:rsidR="00ED62F4" w:rsidRPr="00F514E8" w:rsidRDefault="00327013" w:rsidP="00EC56E3">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Celebrar contratos de financiamiento y descontar operaciones para estudios y proyectos de desarrollo.</w:t>
      </w:r>
    </w:p>
    <w:p w14:paraId="1B69694C" w14:textId="77777777" w:rsidR="00EC56E3" w:rsidRPr="00F514E8" w:rsidRDefault="00327013" w:rsidP="00EC56E3">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Realizar operaciones de crédito externo o interno</w:t>
      </w:r>
      <w:r w:rsidR="00ED62F4" w:rsidRPr="00F514E8">
        <w:rPr>
          <w:rFonts w:ascii="Arial" w:hAnsi="Arial" w:cs="Arial"/>
          <w:sz w:val="24"/>
          <w:szCs w:val="24"/>
          <w:lang w:val="es-ES_tradnl"/>
        </w:rPr>
        <w:t>.</w:t>
      </w:r>
    </w:p>
    <w:p w14:paraId="35F952B7" w14:textId="77777777" w:rsidR="005C7D00" w:rsidRPr="00F514E8" w:rsidRDefault="005C7D00" w:rsidP="00EC56E3">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lastRenderedPageBreak/>
        <w:t>Captar ahorro interno mediante la emisión de bonos, celebrando los contratos de garantía y agencia o pago a que hubiere lugar para estos efectos</w:t>
      </w:r>
      <w:r w:rsidR="00ED62F4" w:rsidRPr="00F514E8">
        <w:rPr>
          <w:rFonts w:ascii="Arial" w:hAnsi="Arial" w:cs="Arial"/>
          <w:sz w:val="24"/>
          <w:szCs w:val="24"/>
          <w:lang w:val="es-ES_tradnl"/>
        </w:rPr>
        <w:t xml:space="preserve">. </w:t>
      </w:r>
    </w:p>
    <w:p w14:paraId="38E7029C" w14:textId="77777777" w:rsidR="00ED62F4" w:rsidRPr="00F514E8" w:rsidRDefault="005C7D00" w:rsidP="00EC56E3">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Celebrar contratos para administrar recursos destinados a la ejecución de proyectos y para el desarrollo de esquemas de gerencia de proyectos.</w:t>
      </w:r>
    </w:p>
    <w:p w14:paraId="115BE321" w14:textId="77777777" w:rsidR="00ED62F4" w:rsidRPr="00F514E8" w:rsidRDefault="005C7D00" w:rsidP="00EC56E3">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Realizar operaciones de financiamiento no reembolsable con recursos del presupuesto nacional o con utilidades líquidas asignadas a la entidad</w:t>
      </w:r>
      <w:r w:rsidR="00ED62F4" w:rsidRPr="00F514E8">
        <w:rPr>
          <w:rFonts w:ascii="Arial" w:hAnsi="Arial" w:cs="Arial"/>
          <w:sz w:val="24"/>
          <w:szCs w:val="24"/>
          <w:lang w:val="es-ES_tradnl"/>
        </w:rPr>
        <w:t>.</w:t>
      </w:r>
    </w:p>
    <w:p w14:paraId="0D253545" w14:textId="77777777" w:rsidR="009117E0" w:rsidRPr="00F514E8" w:rsidRDefault="005C7D00" w:rsidP="009117E0">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Vender o negociar su cartera o efectuar titularización pasiva de la misma.</w:t>
      </w:r>
    </w:p>
    <w:p w14:paraId="67794818" w14:textId="77777777" w:rsidR="005C7D00" w:rsidRPr="00F514E8" w:rsidRDefault="005C7D00" w:rsidP="009117E0">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 xml:space="preserve">Prestar asesoría y asistencia técnica a entidades públicas y privadas en materias relacionadas con proyectos de desarrollo. </w:t>
      </w:r>
    </w:p>
    <w:p w14:paraId="32CFAB1E" w14:textId="77777777" w:rsidR="005C7D00" w:rsidRPr="00F514E8" w:rsidRDefault="005C7D00" w:rsidP="009117E0">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Prestar servicios de asesoría, estructuración y reestructuración financiera y de banca de inversión.</w:t>
      </w:r>
    </w:p>
    <w:p w14:paraId="63E4750A" w14:textId="77777777" w:rsidR="005C7D00" w:rsidRPr="00F514E8" w:rsidRDefault="005C7D00" w:rsidP="009117E0">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Impulsar la consultoría nacional en sectores vinculados con el desarrollo.</w:t>
      </w:r>
    </w:p>
    <w:p w14:paraId="4E6AE3FD" w14:textId="77777777" w:rsidR="005C7D00" w:rsidRPr="00F514E8" w:rsidRDefault="005C7D00" w:rsidP="009117E0">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Realizar inversiones de portafolio con los recursos que reciba en desarrollo de su objeto social.</w:t>
      </w:r>
    </w:p>
    <w:p w14:paraId="75B93534" w14:textId="77777777" w:rsidR="005C7D00" w:rsidRPr="00F514E8" w:rsidRDefault="005C7D00" w:rsidP="009117E0">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 xml:space="preserve">Manejar las cuentas en moneda nacional o extranjera </w:t>
      </w:r>
      <w:r w:rsidR="00067FAA" w:rsidRPr="00F514E8">
        <w:rPr>
          <w:rFonts w:ascii="Arial" w:hAnsi="Arial" w:cs="Arial"/>
          <w:sz w:val="24"/>
          <w:szCs w:val="24"/>
          <w:lang w:val="es-ES_tradnl"/>
        </w:rPr>
        <w:t xml:space="preserve">que requiera </w:t>
      </w:r>
      <w:r w:rsidRPr="00F514E8">
        <w:rPr>
          <w:rFonts w:ascii="Arial" w:hAnsi="Arial" w:cs="Arial"/>
          <w:sz w:val="24"/>
          <w:szCs w:val="24"/>
          <w:lang w:val="es-ES_tradnl"/>
        </w:rPr>
        <w:t xml:space="preserve">para su operación o para </w:t>
      </w:r>
      <w:r w:rsidR="00067FAA" w:rsidRPr="00F514E8">
        <w:rPr>
          <w:rFonts w:ascii="Arial" w:hAnsi="Arial" w:cs="Arial"/>
          <w:sz w:val="24"/>
          <w:szCs w:val="24"/>
          <w:lang w:val="es-ES_tradnl"/>
        </w:rPr>
        <w:t xml:space="preserve">el desarrollo </w:t>
      </w:r>
      <w:r w:rsidRPr="00F514E8">
        <w:rPr>
          <w:rFonts w:ascii="Arial" w:hAnsi="Arial" w:cs="Arial"/>
          <w:sz w:val="24"/>
          <w:szCs w:val="24"/>
          <w:lang w:val="es-ES_tradnl"/>
        </w:rPr>
        <w:t xml:space="preserve">de </w:t>
      </w:r>
      <w:r w:rsidR="00067FAA" w:rsidRPr="00F514E8">
        <w:rPr>
          <w:rFonts w:ascii="Arial" w:hAnsi="Arial" w:cs="Arial"/>
          <w:sz w:val="24"/>
          <w:szCs w:val="24"/>
          <w:lang w:val="es-ES_tradnl"/>
        </w:rPr>
        <w:t xml:space="preserve">los </w:t>
      </w:r>
      <w:r w:rsidRPr="00F514E8">
        <w:rPr>
          <w:rFonts w:ascii="Arial" w:hAnsi="Arial" w:cs="Arial"/>
          <w:sz w:val="24"/>
          <w:szCs w:val="24"/>
          <w:lang w:val="es-ES_tradnl"/>
        </w:rPr>
        <w:t>proyectos que ejecute o administre, y</w:t>
      </w:r>
    </w:p>
    <w:p w14:paraId="5D3AF2FE" w14:textId="77777777" w:rsidR="005C7D00" w:rsidRPr="00F514E8" w:rsidRDefault="005C7D00" w:rsidP="009117E0">
      <w:pPr>
        <w:numPr>
          <w:ilvl w:val="0"/>
          <w:numId w:val="24"/>
        </w:numPr>
        <w:spacing w:after="0" w:line="240" w:lineRule="auto"/>
        <w:ind w:left="425" w:right="-198" w:hanging="425"/>
        <w:jc w:val="both"/>
        <w:rPr>
          <w:rFonts w:ascii="Arial" w:hAnsi="Arial" w:cs="Arial"/>
          <w:sz w:val="24"/>
          <w:szCs w:val="24"/>
          <w:lang w:val="es-ES_tradnl"/>
        </w:rPr>
      </w:pPr>
      <w:r w:rsidRPr="00F514E8">
        <w:rPr>
          <w:rFonts w:ascii="Arial" w:hAnsi="Arial" w:cs="Arial"/>
          <w:sz w:val="24"/>
          <w:szCs w:val="24"/>
          <w:lang w:val="es-ES_tradnl"/>
        </w:rPr>
        <w:t>Las demás que le sean asignadas</w:t>
      </w:r>
      <w:r w:rsidR="00CC118B" w:rsidRPr="00F514E8">
        <w:rPr>
          <w:rStyle w:val="Refdenotaalpie"/>
          <w:rFonts w:ascii="Arial" w:hAnsi="Arial" w:cs="Arial"/>
          <w:sz w:val="24"/>
          <w:szCs w:val="24"/>
          <w:lang w:val="es-ES_tradnl"/>
        </w:rPr>
        <w:footnoteReference w:id="5"/>
      </w:r>
      <w:r w:rsidRPr="00F514E8">
        <w:rPr>
          <w:rFonts w:ascii="Arial" w:hAnsi="Arial" w:cs="Arial"/>
          <w:sz w:val="24"/>
          <w:szCs w:val="24"/>
          <w:lang w:val="es-ES_tradnl"/>
        </w:rPr>
        <w:t xml:space="preserve">. </w:t>
      </w:r>
    </w:p>
    <w:p w14:paraId="3988D1B7" w14:textId="77777777" w:rsidR="005C7D00" w:rsidRPr="00F514E8" w:rsidRDefault="005C7D00" w:rsidP="00725D19">
      <w:pPr>
        <w:spacing w:after="0" w:line="240" w:lineRule="auto"/>
        <w:ind w:right="-198"/>
        <w:jc w:val="both"/>
        <w:rPr>
          <w:rFonts w:ascii="Arial" w:hAnsi="Arial" w:cs="Arial"/>
          <w:sz w:val="24"/>
          <w:szCs w:val="24"/>
          <w:lang w:val="es-ES_tradnl"/>
        </w:rPr>
      </w:pPr>
    </w:p>
    <w:p w14:paraId="50E23258" w14:textId="77777777" w:rsidR="00ED34E8" w:rsidRPr="00F514E8" w:rsidRDefault="00A7323F"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2. </w:t>
      </w:r>
      <w:r w:rsidR="009660C1" w:rsidRPr="00F514E8">
        <w:rPr>
          <w:rFonts w:ascii="Arial" w:hAnsi="Arial" w:cs="Arial"/>
          <w:sz w:val="24"/>
          <w:szCs w:val="24"/>
          <w:lang w:val="es-ES_tradnl"/>
        </w:rPr>
        <w:t xml:space="preserve">Ahora bien, </w:t>
      </w:r>
      <w:r w:rsidR="00772C9C" w:rsidRPr="00F514E8">
        <w:rPr>
          <w:rFonts w:ascii="Arial" w:hAnsi="Arial" w:cs="Arial"/>
          <w:sz w:val="24"/>
          <w:szCs w:val="24"/>
          <w:lang w:val="es-ES_tradnl"/>
        </w:rPr>
        <w:t xml:space="preserve">lo indicado en el artículo 1º del </w:t>
      </w:r>
      <w:r w:rsidR="004667E7" w:rsidRPr="00F514E8">
        <w:rPr>
          <w:rFonts w:ascii="Arial" w:hAnsi="Arial" w:cs="Arial"/>
          <w:sz w:val="24"/>
          <w:szCs w:val="24"/>
          <w:lang w:val="es-ES_tradnl"/>
        </w:rPr>
        <w:t>d</w:t>
      </w:r>
      <w:r w:rsidR="00772C9C" w:rsidRPr="00F514E8">
        <w:rPr>
          <w:rFonts w:ascii="Arial" w:hAnsi="Arial" w:cs="Arial"/>
          <w:sz w:val="24"/>
          <w:szCs w:val="24"/>
          <w:lang w:val="es-ES_tradnl"/>
        </w:rPr>
        <w:t xml:space="preserve">ecreto 288 de 2004 y en el artículo 286, numeral 1º del E.O.S.F., en el sentido de que FONADE es una empresa industrial y comercial del Estado </w:t>
      </w:r>
      <w:r w:rsidR="00772C9C" w:rsidRPr="00F514E8">
        <w:rPr>
          <w:rFonts w:ascii="Arial" w:hAnsi="Arial" w:cs="Arial"/>
          <w:i/>
          <w:sz w:val="24"/>
          <w:szCs w:val="24"/>
          <w:lang w:val="es-ES_tradnl"/>
        </w:rPr>
        <w:t>“de carácter financiero”</w:t>
      </w:r>
      <w:r w:rsidR="00772C9C" w:rsidRPr="00F514E8">
        <w:rPr>
          <w:rFonts w:ascii="Arial" w:hAnsi="Arial" w:cs="Arial"/>
          <w:sz w:val="24"/>
          <w:szCs w:val="24"/>
          <w:lang w:val="es-ES_tradnl"/>
        </w:rPr>
        <w:t xml:space="preserve">, </w:t>
      </w:r>
      <w:r w:rsidR="00CC118B" w:rsidRPr="00F514E8">
        <w:rPr>
          <w:rFonts w:ascii="Arial" w:hAnsi="Arial" w:cs="Arial"/>
          <w:sz w:val="24"/>
          <w:szCs w:val="24"/>
          <w:lang w:val="es-ES_tradnl"/>
        </w:rPr>
        <w:t xml:space="preserve">así como el hecho de que se encuentra facultada para realizar </w:t>
      </w:r>
      <w:r w:rsidR="008C580F" w:rsidRPr="00F514E8">
        <w:rPr>
          <w:rFonts w:ascii="Arial" w:hAnsi="Arial" w:cs="Arial"/>
          <w:sz w:val="24"/>
          <w:szCs w:val="24"/>
          <w:lang w:val="es-ES_tradnl"/>
        </w:rPr>
        <w:t xml:space="preserve">algunas </w:t>
      </w:r>
      <w:r w:rsidR="00CC118B" w:rsidRPr="00F514E8">
        <w:rPr>
          <w:rFonts w:ascii="Arial" w:hAnsi="Arial" w:cs="Arial"/>
          <w:sz w:val="24"/>
          <w:szCs w:val="24"/>
          <w:lang w:val="es-ES_tradnl"/>
        </w:rPr>
        <w:t xml:space="preserve">actividades y operaciones financieras, </w:t>
      </w:r>
      <w:r w:rsidR="00772C9C" w:rsidRPr="00F514E8">
        <w:rPr>
          <w:rFonts w:ascii="Arial" w:hAnsi="Arial" w:cs="Arial"/>
          <w:sz w:val="24"/>
          <w:szCs w:val="24"/>
          <w:lang w:val="es-ES_tradnl"/>
        </w:rPr>
        <w:t>podría</w:t>
      </w:r>
      <w:r w:rsidR="00CC118B" w:rsidRPr="00F514E8">
        <w:rPr>
          <w:rFonts w:ascii="Arial" w:hAnsi="Arial" w:cs="Arial"/>
          <w:sz w:val="24"/>
          <w:szCs w:val="24"/>
          <w:lang w:val="es-ES_tradnl"/>
        </w:rPr>
        <w:t>n</w:t>
      </w:r>
      <w:r w:rsidR="00772C9C" w:rsidRPr="00F514E8">
        <w:rPr>
          <w:rFonts w:ascii="Arial" w:hAnsi="Arial" w:cs="Arial"/>
          <w:sz w:val="24"/>
          <w:szCs w:val="24"/>
          <w:lang w:val="es-ES_tradnl"/>
        </w:rPr>
        <w:t xml:space="preserve"> ser </w:t>
      </w:r>
      <w:r w:rsidR="00CC118B" w:rsidRPr="00F514E8">
        <w:rPr>
          <w:rFonts w:ascii="Arial" w:hAnsi="Arial" w:cs="Arial"/>
          <w:sz w:val="24"/>
          <w:szCs w:val="24"/>
          <w:lang w:val="es-ES_tradnl"/>
        </w:rPr>
        <w:t xml:space="preserve">argumentos </w:t>
      </w:r>
      <w:r w:rsidR="00067FAA" w:rsidRPr="00F514E8">
        <w:rPr>
          <w:rFonts w:ascii="Arial" w:hAnsi="Arial" w:cs="Arial"/>
          <w:sz w:val="24"/>
          <w:szCs w:val="24"/>
          <w:lang w:val="es-ES_tradnl"/>
        </w:rPr>
        <w:t>in</w:t>
      </w:r>
      <w:r w:rsidR="00772C9C" w:rsidRPr="00F514E8">
        <w:rPr>
          <w:rFonts w:ascii="Arial" w:hAnsi="Arial" w:cs="Arial"/>
          <w:sz w:val="24"/>
          <w:szCs w:val="24"/>
          <w:lang w:val="es-ES_tradnl"/>
        </w:rPr>
        <w:t>suficiente</w:t>
      </w:r>
      <w:r w:rsidR="00CC118B" w:rsidRPr="00F514E8">
        <w:rPr>
          <w:rFonts w:ascii="Arial" w:hAnsi="Arial" w:cs="Arial"/>
          <w:sz w:val="24"/>
          <w:szCs w:val="24"/>
          <w:lang w:val="es-ES_tradnl"/>
        </w:rPr>
        <w:t>s</w:t>
      </w:r>
      <w:r w:rsidR="00772C9C" w:rsidRPr="00F514E8">
        <w:rPr>
          <w:rFonts w:ascii="Arial" w:hAnsi="Arial" w:cs="Arial"/>
          <w:sz w:val="24"/>
          <w:szCs w:val="24"/>
          <w:lang w:val="es-ES_tradnl"/>
        </w:rPr>
        <w:t xml:space="preserve"> para concluir que dicho Fondo tiene la calidad de “entidad financiera” o “institución financiera”</w:t>
      </w:r>
      <w:r w:rsidR="00ED62F4" w:rsidRPr="00F514E8">
        <w:rPr>
          <w:rFonts w:ascii="Arial" w:hAnsi="Arial" w:cs="Arial"/>
          <w:sz w:val="24"/>
          <w:szCs w:val="24"/>
          <w:lang w:val="es-ES_tradnl"/>
        </w:rPr>
        <w:t xml:space="preserve">. Por ello, </w:t>
      </w:r>
      <w:r w:rsidR="00CC118B" w:rsidRPr="00F514E8">
        <w:rPr>
          <w:rFonts w:ascii="Arial" w:hAnsi="Arial" w:cs="Arial"/>
          <w:sz w:val="24"/>
          <w:szCs w:val="24"/>
          <w:lang w:val="es-ES_tradnl"/>
        </w:rPr>
        <w:t xml:space="preserve">la Sala </w:t>
      </w:r>
      <w:r w:rsidRPr="00F514E8">
        <w:rPr>
          <w:rFonts w:ascii="Arial" w:hAnsi="Arial" w:cs="Arial"/>
          <w:sz w:val="24"/>
          <w:szCs w:val="24"/>
          <w:lang w:val="es-ES_tradnl"/>
        </w:rPr>
        <w:t>estima necesario</w:t>
      </w:r>
      <w:r w:rsidR="00CC118B" w:rsidRPr="00F514E8">
        <w:rPr>
          <w:rFonts w:ascii="Arial" w:hAnsi="Arial" w:cs="Arial"/>
          <w:sz w:val="24"/>
          <w:szCs w:val="24"/>
          <w:lang w:val="es-ES_tradnl"/>
        </w:rPr>
        <w:t xml:space="preserve"> </w:t>
      </w:r>
      <w:r w:rsidRPr="00F514E8">
        <w:rPr>
          <w:rFonts w:ascii="Arial" w:hAnsi="Arial" w:cs="Arial"/>
          <w:sz w:val="24"/>
          <w:szCs w:val="24"/>
          <w:lang w:val="es-ES_tradnl"/>
        </w:rPr>
        <w:t xml:space="preserve">extenderse en el análisis que </w:t>
      </w:r>
      <w:r w:rsidR="008D2A8E" w:rsidRPr="00F514E8">
        <w:rPr>
          <w:rFonts w:ascii="Arial" w:hAnsi="Arial" w:cs="Arial"/>
          <w:sz w:val="24"/>
          <w:szCs w:val="24"/>
          <w:lang w:val="es-ES_tradnl"/>
        </w:rPr>
        <w:t xml:space="preserve">le </w:t>
      </w:r>
      <w:r w:rsidRPr="00F514E8">
        <w:rPr>
          <w:rFonts w:ascii="Arial" w:hAnsi="Arial" w:cs="Arial"/>
          <w:sz w:val="24"/>
          <w:szCs w:val="24"/>
          <w:lang w:val="es-ES_tradnl"/>
        </w:rPr>
        <w:t>permita establecer</w:t>
      </w:r>
      <w:r w:rsidR="00067FAA" w:rsidRPr="00F514E8">
        <w:rPr>
          <w:rFonts w:ascii="Arial" w:hAnsi="Arial" w:cs="Arial"/>
          <w:sz w:val="24"/>
          <w:szCs w:val="24"/>
          <w:lang w:val="es-ES_tradnl"/>
        </w:rPr>
        <w:t xml:space="preserve"> </w:t>
      </w:r>
      <w:r w:rsidR="00CC118B" w:rsidRPr="00F514E8">
        <w:rPr>
          <w:rFonts w:ascii="Arial" w:hAnsi="Arial" w:cs="Arial"/>
          <w:sz w:val="24"/>
          <w:szCs w:val="24"/>
          <w:lang w:val="es-ES_tradnl"/>
        </w:rPr>
        <w:t xml:space="preserve">si </w:t>
      </w:r>
      <w:r w:rsidR="008C580F" w:rsidRPr="00F514E8">
        <w:rPr>
          <w:rFonts w:ascii="Arial" w:hAnsi="Arial" w:cs="Arial"/>
          <w:sz w:val="24"/>
          <w:szCs w:val="24"/>
          <w:lang w:val="es-ES_tradnl"/>
        </w:rPr>
        <w:t xml:space="preserve">FONADE </w:t>
      </w:r>
      <w:r w:rsidR="009660C1" w:rsidRPr="00F514E8">
        <w:rPr>
          <w:rFonts w:ascii="Arial" w:hAnsi="Arial" w:cs="Arial"/>
          <w:sz w:val="24"/>
          <w:szCs w:val="24"/>
          <w:lang w:val="es-ES_tradnl"/>
        </w:rPr>
        <w:t xml:space="preserve">puede </w:t>
      </w:r>
      <w:r w:rsidRPr="00F514E8">
        <w:rPr>
          <w:rFonts w:ascii="Arial" w:hAnsi="Arial" w:cs="Arial"/>
          <w:sz w:val="24"/>
          <w:szCs w:val="24"/>
          <w:lang w:val="es-ES_tradnl"/>
        </w:rPr>
        <w:t>o no s</w:t>
      </w:r>
      <w:r w:rsidR="009660C1" w:rsidRPr="00F514E8">
        <w:rPr>
          <w:rFonts w:ascii="Arial" w:hAnsi="Arial" w:cs="Arial"/>
          <w:sz w:val="24"/>
          <w:szCs w:val="24"/>
          <w:lang w:val="es-ES_tradnl"/>
        </w:rPr>
        <w:t>er calificado</w:t>
      </w:r>
      <w:r w:rsidR="00CC118B" w:rsidRPr="00F514E8">
        <w:rPr>
          <w:rFonts w:ascii="Arial" w:hAnsi="Arial" w:cs="Arial"/>
          <w:sz w:val="24"/>
          <w:szCs w:val="24"/>
          <w:lang w:val="es-ES_tradnl"/>
        </w:rPr>
        <w:t xml:space="preserve"> como una </w:t>
      </w:r>
      <w:r w:rsidR="00CC118B" w:rsidRPr="00F514E8">
        <w:rPr>
          <w:rFonts w:ascii="Arial" w:hAnsi="Arial" w:cs="Arial"/>
          <w:b/>
          <w:sz w:val="24"/>
          <w:szCs w:val="24"/>
          <w:lang w:val="es-ES_tradnl"/>
        </w:rPr>
        <w:t>entidad o institución financiera</w:t>
      </w:r>
      <w:r w:rsidR="008C580F" w:rsidRPr="00F514E8">
        <w:rPr>
          <w:rFonts w:ascii="Arial" w:hAnsi="Arial" w:cs="Arial"/>
          <w:sz w:val="24"/>
          <w:szCs w:val="24"/>
          <w:lang w:val="es-ES_tradnl"/>
        </w:rPr>
        <w:t xml:space="preserve"> </w:t>
      </w:r>
      <w:r w:rsidR="009660C1" w:rsidRPr="00F514E8">
        <w:rPr>
          <w:rFonts w:ascii="Arial" w:hAnsi="Arial" w:cs="Arial"/>
          <w:sz w:val="24"/>
          <w:szCs w:val="24"/>
          <w:lang w:val="es-ES_tradnl"/>
        </w:rPr>
        <w:t xml:space="preserve">a la luz de las </w:t>
      </w:r>
      <w:r w:rsidR="008C580F" w:rsidRPr="00F514E8">
        <w:rPr>
          <w:rFonts w:ascii="Arial" w:hAnsi="Arial" w:cs="Arial"/>
          <w:sz w:val="24"/>
          <w:szCs w:val="24"/>
          <w:lang w:val="es-ES_tradnl"/>
        </w:rPr>
        <w:t xml:space="preserve">disposiciones vigentes. </w:t>
      </w:r>
    </w:p>
    <w:p w14:paraId="10B24425" w14:textId="77777777" w:rsidR="00ED34E8" w:rsidRPr="00F514E8" w:rsidRDefault="00ED34E8" w:rsidP="00725D19">
      <w:pPr>
        <w:spacing w:after="0" w:line="240" w:lineRule="auto"/>
        <w:ind w:right="-198"/>
        <w:jc w:val="both"/>
        <w:rPr>
          <w:rFonts w:ascii="Arial" w:hAnsi="Arial" w:cs="Arial"/>
          <w:sz w:val="24"/>
          <w:szCs w:val="24"/>
          <w:lang w:val="es-ES_tradnl"/>
        </w:rPr>
      </w:pPr>
    </w:p>
    <w:p w14:paraId="21ED01AE" w14:textId="77777777" w:rsidR="003B3D8E" w:rsidRPr="00F514E8" w:rsidRDefault="00ED34E8"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En primer lugar, </w:t>
      </w:r>
      <w:r w:rsidR="00A7323F" w:rsidRPr="00F514E8">
        <w:rPr>
          <w:rFonts w:ascii="Arial" w:hAnsi="Arial" w:cs="Arial"/>
          <w:sz w:val="24"/>
          <w:szCs w:val="24"/>
          <w:lang w:val="es-ES_tradnl"/>
        </w:rPr>
        <w:t>la revisión de</w:t>
      </w:r>
      <w:r w:rsidRPr="00F514E8">
        <w:rPr>
          <w:rFonts w:ascii="Arial" w:hAnsi="Arial" w:cs="Arial"/>
          <w:sz w:val="24"/>
          <w:szCs w:val="24"/>
          <w:lang w:val="es-ES_tradnl"/>
        </w:rPr>
        <w:t xml:space="preserve"> la legislación vigente en materia financiera, </w:t>
      </w:r>
      <w:r w:rsidR="00A7323F" w:rsidRPr="00F514E8">
        <w:rPr>
          <w:rFonts w:ascii="Arial" w:hAnsi="Arial" w:cs="Arial"/>
          <w:sz w:val="24"/>
          <w:szCs w:val="24"/>
          <w:lang w:val="es-ES_tradnl"/>
        </w:rPr>
        <w:t>en especial</w:t>
      </w:r>
      <w:r w:rsidRPr="00F514E8">
        <w:rPr>
          <w:rFonts w:ascii="Arial" w:hAnsi="Arial" w:cs="Arial"/>
          <w:sz w:val="24"/>
          <w:szCs w:val="24"/>
          <w:lang w:val="es-ES_tradnl"/>
        </w:rPr>
        <w:t xml:space="preserve"> el Estatuto Orgánico del Sistema Financiero, el </w:t>
      </w:r>
      <w:r w:rsidR="004667E7" w:rsidRPr="00F514E8">
        <w:rPr>
          <w:rFonts w:ascii="Arial" w:hAnsi="Arial" w:cs="Arial"/>
          <w:sz w:val="24"/>
          <w:szCs w:val="24"/>
          <w:lang w:val="es-ES_tradnl"/>
        </w:rPr>
        <w:t>d</w:t>
      </w:r>
      <w:r w:rsidRPr="00F514E8">
        <w:rPr>
          <w:rFonts w:ascii="Arial" w:hAnsi="Arial" w:cs="Arial"/>
          <w:sz w:val="24"/>
          <w:szCs w:val="24"/>
          <w:lang w:val="es-ES_tradnl"/>
        </w:rPr>
        <w:t xml:space="preserve">ecreto 2555 de 2010 y algunas resoluciones y circulares expedidas por la extinta Superintendencia Bancaria y la actual Superintendencia Financiera de Colombia, </w:t>
      </w:r>
      <w:r w:rsidR="008D2A8E" w:rsidRPr="00F514E8">
        <w:rPr>
          <w:rFonts w:ascii="Arial" w:hAnsi="Arial" w:cs="Arial"/>
          <w:sz w:val="24"/>
          <w:szCs w:val="24"/>
          <w:lang w:val="es-ES_tradnl"/>
        </w:rPr>
        <w:t>evidencia</w:t>
      </w:r>
      <w:r w:rsidR="00A7323F" w:rsidRPr="00F514E8">
        <w:rPr>
          <w:rFonts w:ascii="Arial" w:hAnsi="Arial" w:cs="Arial"/>
          <w:sz w:val="24"/>
          <w:szCs w:val="24"/>
          <w:lang w:val="es-ES_tradnl"/>
        </w:rPr>
        <w:t xml:space="preserve"> </w:t>
      </w:r>
      <w:r w:rsidR="00ED01B2" w:rsidRPr="00F514E8">
        <w:rPr>
          <w:rFonts w:ascii="Arial" w:hAnsi="Arial" w:cs="Arial"/>
          <w:sz w:val="24"/>
          <w:szCs w:val="24"/>
          <w:lang w:val="es-ES_tradnl"/>
        </w:rPr>
        <w:t xml:space="preserve">que </w:t>
      </w:r>
      <w:r w:rsidRPr="00F514E8">
        <w:rPr>
          <w:rFonts w:ascii="Arial" w:hAnsi="Arial" w:cs="Arial"/>
          <w:sz w:val="24"/>
          <w:szCs w:val="24"/>
          <w:lang w:val="es-ES_tradnl"/>
        </w:rPr>
        <w:t>no existe una distinción</w:t>
      </w:r>
      <w:r w:rsidR="00ED01B2" w:rsidRPr="00F514E8">
        <w:rPr>
          <w:rFonts w:ascii="Arial" w:hAnsi="Arial" w:cs="Arial"/>
          <w:sz w:val="24"/>
          <w:szCs w:val="24"/>
          <w:lang w:val="es-ES_tradnl"/>
        </w:rPr>
        <w:t>, a nivel normativo,</w:t>
      </w:r>
      <w:r w:rsidRPr="00F514E8">
        <w:rPr>
          <w:rFonts w:ascii="Arial" w:hAnsi="Arial" w:cs="Arial"/>
          <w:sz w:val="24"/>
          <w:szCs w:val="24"/>
          <w:lang w:val="es-ES_tradnl"/>
        </w:rPr>
        <w:t xml:space="preserve"> entre las expresiones “entidad financiera” </w:t>
      </w:r>
      <w:r w:rsidR="002D0B07" w:rsidRPr="00F514E8">
        <w:rPr>
          <w:rFonts w:ascii="Arial" w:hAnsi="Arial" w:cs="Arial"/>
          <w:sz w:val="24"/>
          <w:szCs w:val="24"/>
          <w:lang w:val="es-ES_tradnl"/>
        </w:rPr>
        <w:t>e</w:t>
      </w:r>
      <w:r w:rsidRPr="00F514E8">
        <w:rPr>
          <w:rFonts w:ascii="Arial" w:hAnsi="Arial" w:cs="Arial"/>
          <w:sz w:val="24"/>
          <w:szCs w:val="24"/>
          <w:lang w:val="es-ES_tradnl"/>
        </w:rPr>
        <w:t xml:space="preserve"> “institución financiera”, dado que dichos términos son utilizados indistintamente para denominar a la misma clase de personas jurídicas, públicas o privadas, autorizadas legalmente para realizar actividades financieras, aseguradoras y otras que implican el manejo, inversión y aprovechamiento d</w:t>
      </w:r>
      <w:r w:rsidR="00A7323F" w:rsidRPr="00F514E8">
        <w:rPr>
          <w:rFonts w:ascii="Arial" w:hAnsi="Arial" w:cs="Arial"/>
          <w:sz w:val="24"/>
          <w:szCs w:val="24"/>
          <w:lang w:val="es-ES_tradnl"/>
        </w:rPr>
        <w:t>e recursos captados del público, motivos por los cuales</w:t>
      </w:r>
      <w:r w:rsidRPr="00F514E8">
        <w:rPr>
          <w:rFonts w:ascii="Arial" w:hAnsi="Arial" w:cs="Arial"/>
          <w:sz w:val="24"/>
          <w:szCs w:val="24"/>
          <w:lang w:val="es-ES_tradnl"/>
        </w:rPr>
        <w:t xml:space="preserve"> entiende la Sala que se trata de locuciones sinónimas</w:t>
      </w:r>
      <w:r w:rsidR="00096B5A" w:rsidRPr="00F514E8">
        <w:rPr>
          <w:rFonts w:ascii="Arial" w:hAnsi="Arial" w:cs="Arial"/>
          <w:sz w:val="24"/>
          <w:szCs w:val="24"/>
          <w:lang w:val="es-ES_tradnl"/>
        </w:rPr>
        <w:t>.</w:t>
      </w:r>
      <w:r w:rsidR="00950CD1" w:rsidRPr="00F514E8">
        <w:rPr>
          <w:rStyle w:val="Refdenotaalpie"/>
          <w:rFonts w:ascii="Arial" w:hAnsi="Arial" w:cs="Arial"/>
          <w:sz w:val="24"/>
          <w:szCs w:val="24"/>
          <w:lang w:val="es-ES_tradnl"/>
        </w:rPr>
        <w:footnoteReference w:id="6"/>
      </w:r>
    </w:p>
    <w:p w14:paraId="1C663991" w14:textId="77777777" w:rsidR="003B3D8E" w:rsidRPr="00F514E8" w:rsidRDefault="003B3D8E" w:rsidP="00725D19">
      <w:pPr>
        <w:spacing w:after="0" w:line="240" w:lineRule="auto"/>
        <w:ind w:right="-198"/>
        <w:jc w:val="both"/>
        <w:rPr>
          <w:rFonts w:ascii="Arial" w:hAnsi="Arial" w:cs="Arial"/>
          <w:sz w:val="24"/>
          <w:szCs w:val="24"/>
          <w:lang w:val="es-ES_tradnl"/>
        </w:rPr>
      </w:pPr>
    </w:p>
    <w:p w14:paraId="18BB42D9" w14:textId="77777777" w:rsidR="004E5D58" w:rsidRPr="00F514E8" w:rsidRDefault="008D2318"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Ahora bien,</w:t>
      </w:r>
      <w:r w:rsidR="00050235" w:rsidRPr="00F514E8">
        <w:rPr>
          <w:rFonts w:ascii="Arial" w:hAnsi="Arial" w:cs="Arial"/>
          <w:sz w:val="24"/>
          <w:szCs w:val="24"/>
          <w:lang w:val="es-ES_tradnl"/>
        </w:rPr>
        <w:t xml:space="preserve"> el artículo 90 de la l</w:t>
      </w:r>
      <w:r w:rsidR="00116C64" w:rsidRPr="00F514E8">
        <w:rPr>
          <w:rFonts w:ascii="Arial" w:hAnsi="Arial" w:cs="Arial"/>
          <w:sz w:val="24"/>
          <w:szCs w:val="24"/>
          <w:lang w:val="es-ES_tradnl"/>
        </w:rPr>
        <w:t>ey 45 de 1990</w:t>
      </w:r>
      <w:r w:rsidR="00096B5A" w:rsidRPr="00F514E8">
        <w:rPr>
          <w:rStyle w:val="Refdenotaalpie"/>
          <w:rFonts w:ascii="Arial" w:hAnsi="Arial" w:cs="Arial"/>
          <w:sz w:val="24"/>
          <w:szCs w:val="24"/>
          <w:lang w:val="es-ES_tradnl"/>
        </w:rPr>
        <w:footnoteReference w:id="7"/>
      </w:r>
      <w:r w:rsidR="00116C64" w:rsidRPr="00F514E8">
        <w:rPr>
          <w:rFonts w:ascii="Arial" w:hAnsi="Arial" w:cs="Arial"/>
          <w:sz w:val="24"/>
          <w:szCs w:val="24"/>
          <w:lang w:val="es-ES_tradnl"/>
        </w:rPr>
        <w:t xml:space="preserve"> </w:t>
      </w:r>
      <w:r w:rsidRPr="00F514E8">
        <w:rPr>
          <w:rFonts w:ascii="Arial" w:hAnsi="Arial" w:cs="Arial"/>
          <w:sz w:val="24"/>
          <w:szCs w:val="24"/>
          <w:lang w:val="es-ES_tradnl"/>
        </w:rPr>
        <w:t>contribuye a clarificar la naturaleza jurídica de FONADE al disponer</w:t>
      </w:r>
      <w:r w:rsidR="00116C64" w:rsidRPr="00F514E8">
        <w:rPr>
          <w:rFonts w:ascii="Arial" w:hAnsi="Arial" w:cs="Arial"/>
          <w:sz w:val="24"/>
          <w:szCs w:val="24"/>
          <w:lang w:val="es-ES_tradnl"/>
        </w:rPr>
        <w:t xml:space="preserve">: </w:t>
      </w:r>
    </w:p>
    <w:p w14:paraId="63004A22" w14:textId="77777777" w:rsidR="00116C64" w:rsidRPr="00F514E8" w:rsidRDefault="00116C64" w:rsidP="00725D19">
      <w:pPr>
        <w:spacing w:after="0" w:line="240" w:lineRule="auto"/>
        <w:ind w:right="-198"/>
        <w:jc w:val="both"/>
        <w:rPr>
          <w:rFonts w:ascii="Arial" w:hAnsi="Arial" w:cs="Arial"/>
          <w:sz w:val="24"/>
          <w:szCs w:val="24"/>
          <w:lang w:val="es-ES_tradnl"/>
        </w:rPr>
      </w:pPr>
    </w:p>
    <w:p w14:paraId="1D28E93F" w14:textId="77777777" w:rsidR="00116C64" w:rsidRPr="00F514E8" w:rsidRDefault="00116C64" w:rsidP="00725D19">
      <w:pPr>
        <w:spacing w:after="0" w:line="240" w:lineRule="auto"/>
        <w:ind w:left="426" w:right="-198"/>
        <w:jc w:val="both"/>
        <w:rPr>
          <w:rFonts w:ascii="Arial" w:hAnsi="Arial" w:cs="Arial"/>
          <w:i/>
          <w:lang w:val="es-ES_tradnl"/>
        </w:rPr>
      </w:pPr>
      <w:r w:rsidRPr="00F514E8">
        <w:rPr>
          <w:rFonts w:ascii="Arial" w:hAnsi="Arial" w:cs="Arial"/>
          <w:lang w:val="es-ES_tradnl"/>
        </w:rPr>
        <w:t>“</w:t>
      </w:r>
      <w:r w:rsidRPr="00F514E8">
        <w:rPr>
          <w:rFonts w:ascii="Arial" w:hAnsi="Arial" w:cs="Arial"/>
          <w:i/>
          <w:lang w:val="es-ES_tradnl"/>
        </w:rPr>
        <w:t xml:space="preserve">Artículo 90.- Instituciones financieras. Para los efectos de la presente ley se entiende por instituciones financieras las entidades sometidas al control y vigilancia de la Superintendencia Bancaria, con excepción de los intermediarios de seguros, a quienes se aplicarán las reglas previstas en los artículos 23, 28, 73, 74 y 75 de esta ley”. </w:t>
      </w:r>
    </w:p>
    <w:p w14:paraId="4588E922" w14:textId="77777777" w:rsidR="00116C64" w:rsidRPr="00F514E8" w:rsidRDefault="00116C64" w:rsidP="00725D19">
      <w:pPr>
        <w:spacing w:after="0" w:line="240" w:lineRule="auto"/>
        <w:ind w:right="-198"/>
        <w:jc w:val="both"/>
        <w:rPr>
          <w:rFonts w:ascii="Arial" w:hAnsi="Arial" w:cs="Arial"/>
          <w:i/>
          <w:sz w:val="24"/>
          <w:szCs w:val="24"/>
          <w:lang w:val="es-ES_tradnl"/>
        </w:rPr>
      </w:pPr>
    </w:p>
    <w:p w14:paraId="30648FA0" w14:textId="77777777" w:rsidR="004C79CF" w:rsidRPr="00F514E8" w:rsidRDefault="00050235"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A</w:t>
      </w:r>
      <w:r w:rsidR="004C79CF" w:rsidRPr="00F514E8">
        <w:rPr>
          <w:rFonts w:ascii="Arial" w:hAnsi="Arial" w:cs="Arial"/>
          <w:sz w:val="24"/>
          <w:szCs w:val="24"/>
          <w:lang w:val="es-ES_tradnl"/>
        </w:rPr>
        <w:t xml:space="preserve"> la luz de </w:t>
      </w:r>
      <w:r w:rsidRPr="00F514E8">
        <w:rPr>
          <w:rFonts w:ascii="Arial" w:hAnsi="Arial" w:cs="Arial"/>
          <w:sz w:val="24"/>
          <w:szCs w:val="24"/>
          <w:lang w:val="es-ES_tradnl"/>
        </w:rPr>
        <w:t>esta definición legal</w:t>
      </w:r>
      <w:r w:rsidR="009117E0" w:rsidRPr="00F514E8">
        <w:rPr>
          <w:rFonts w:ascii="Arial" w:hAnsi="Arial" w:cs="Arial"/>
          <w:sz w:val="24"/>
          <w:szCs w:val="24"/>
          <w:lang w:val="es-ES_tradnl"/>
        </w:rPr>
        <w:t>,</w:t>
      </w:r>
      <w:r w:rsidRPr="00F514E8">
        <w:rPr>
          <w:rFonts w:ascii="Arial" w:hAnsi="Arial" w:cs="Arial"/>
          <w:sz w:val="24"/>
          <w:szCs w:val="24"/>
          <w:lang w:val="es-ES_tradnl"/>
        </w:rPr>
        <w:t xml:space="preserve"> </w:t>
      </w:r>
      <w:r w:rsidR="004C79CF" w:rsidRPr="00F514E8">
        <w:rPr>
          <w:rFonts w:ascii="Arial" w:hAnsi="Arial" w:cs="Arial"/>
          <w:sz w:val="24"/>
          <w:szCs w:val="24"/>
          <w:lang w:val="es-ES_tradnl"/>
        </w:rPr>
        <w:t>FONADE es una “institución financiera”, pues</w:t>
      </w:r>
      <w:r w:rsidR="00096B5A" w:rsidRPr="00F514E8">
        <w:rPr>
          <w:rFonts w:ascii="Arial" w:hAnsi="Arial" w:cs="Arial"/>
          <w:sz w:val="24"/>
          <w:szCs w:val="24"/>
          <w:lang w:val="es-ES_tradnl"/>
        </w:rPr>
        <w:t>,</w:t>
      </w:r>
      <w:r w:rsidR="004C79CF" w:rsidRPr="00F514E8">
        <w:rPr>
          <w:rFonts w:ascii="Arial" w:hAnsi="Arial" w:cs="Arial"/>
          <w:sz w:val="24"/>
          <w:szCs w:val="24"/>
          <w:lang w:val="es-ES_tradnl"/>
        </w:rPr>
        <w:t xml:space="preserve"> según lo dispuesto en el artículo 11 del Decreto 2168 de 1992, recogido en el artículo 289 del Estatuto Orgánico del Sistema Financiero</w:t>
      </w:r>
      <w:r w:rsidR="004667E7" w:rsidRPr="00F514E8">
        <w:rPr>
          <w:rFonts w:ascii="Arial" w:hAnsi="Arial" w:cs="Arial"/>
          <w:sz w:val="24"/>
          <w:szCs w:val="24"/>
          <w:lang w:val="es-ES_tradnl"/>
        </w:rPr>
        <w:t>,</w:t>
      </w:r>
      <w:r w:rsidR="00C075C7" w:rsidRPr="00F514E8">
        <w:rPr>
          <w:rFonts w:ascii="Arial" w:hAnsi="Arial" w:cs="Arial"/>
          <w:sz w:val="24"/>
          <w:szCs w:val="24"/>
          <w:lang w:val="es-ES_tradnl"/>
        </w:rPr>
        <w:t xml:space="preserve"> </w:t>
      </w:r>
      <w:r w:rsidRPr="00F514E8">
        <w:rPr>
          <w:rFonts w:ascii="Arial" w:hAnsi="Arial" w:cs="Arial"/>
          <w:sz w:val="24"/>
          <w:szCs w:val="24"/>
          <w:lang w:val="es-ES_tradnl"/>
        </w:rPr>
        <w:t xml:space="preserve">FONADE estaba sometida al control y vigilancia de la Superintendencia Bancaria, cuyas </w:t>
      </w:r>
      <w:r w:rsidR="004C79CF" w:rsidRPr="00F514E8">
        <w:rPr>
          <w:rFonts w:ascii="Arial" w:hAnsi="Arial" w:cs="Arial"/>
          <w:sz w:val="24"/>
          <w:szCs w:val="24"/>
          <w:lang w:val="es-ES_tradnl"/>
        </w:rPr>
        <w:t>funci</w:t>
      </w:r>
      <w:r w:rsidR="00067FAA" w:rsidRPr="00F514E8">
        <w:rPr>
          <w:rFonts w:ascii="Arial" w:hAnsi="Arial" w:cs="Arial"/>
          <w:sz w:val="24"/>
          <w:szCs w:val="24"/>
          <w:lang w:val="es-ES_tradnl"/>
        </w:rPr>
        <w:t xml:space="preserve">ones </w:t>
      </w:r>
      <w:r w:rsidR="004C79CF" w:rsidRPr="00F514E8">
        <w:rPr>
          <w:rFonts w:ascii="Arial" w:hAnsi="Arial" w:cs="Arial"/>
          <w:sz w:val="24"/>
          <w:szCs w:val="24"/>
          <w:lang w:val="es-ES_tradnl"/>
        </w:rPr>
        <w:t>actualmente corresponde</w:t>
      </w:r>
      <w:r w:rsidRPr="00F514E8">
        <w:rPr>
          <w:rFonts w:ascii="Arial" w:hAnsi="Arial" w:cs="Arial"/>
          <w:sz w:val="24"/>
          <w:szCs w:val="24"/>
          <w:lang w:val="es-ES_tradnl"/>
        </w:rPr>
        <w:t>n</w:t>
      </w:r>
      <w:r w:rsidR="004C79CF" w:rsidRPr="00F514E8">
        <w:rPr>
          <w:rFonts w:ascii="Arial" w:hAnsi="Arial" w:cs="Arial"/>
          <w:sz w:val="24"/>
          <w:szCs w:val="24"/>
          <w:lang w:val="es-ES_tradnl"/>
        </w:rPr>
        <w:t xml:space="preserve"> a la Superintendencia Financiera</w:t>
      </w:r>
      <w:r w:rsidR="004C79CF" w:rsidRPr="00F514E8">
        <w:rPr>
          <w:rStyle w:val="Refdenotaalpie"/>
          <w:rFonts w:ascii="Arial" w:hAnsi="Arial" w:cs="Arial"/>
          <w:sz w:val="24"/>
          <w:szCs w:val="24"/>
          <w:lang w:val="es-ES_tradnl"/>
        </w:rPr>
        <w:footnoteReference w:id="8"/>
      </w:r>
      <w:r w:rsidR="004C79CF" w:rsidRPr="00F514E8">
        <w:rPr>
          <w:rFonts w:ascii="Arial" w:hAnsi="Arial" w:cs="Arial"/>
          <w:sz w:val="24"/>
          <w:szCs w:val="24"/>
          <w:lang w:val="es-ES_tradnl"/>
        </w:rPr>
        <w:t xml:space="preserve">.  </w:t>
      </w:r>
    </w:p>
    <w:p w14:paraId="1CE6B189" w14:textId="77777777" w:rsidR="004C79CF" w:rsidRPr="00F514E8" w:rsidRDefault="004C79CF" w:rsidP="00725D19">
      <w:pPr>
        <w:spacing w:after="0" w:line="240" w:lineRule="auto"/>
        <w:ind w:right="-198"/>
        <w:jc w:val="both"/>
        <w:rPr>
          <w:rFonts w:ascii="Arial" w:hAnsi="Arial" w:cs="Arial"/>
          <w:sz w:val="24"/>
          <w:szCs w:val="24"/>
          <w:lang w:val="es-ES_tradnl"/>
        </w:rPr>
      </w:pPr>
    </w:p>
    <w:p w14:paraId="5935A863" w14:textId="77777777" w:rsidR="00B8107D" w:rsidRPr="00F514E8" w:rsidRDefault="00096B5A"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Esta </w:t>
      </w:r>
      <w:r w:rsidR="004C79CF" w:rsidRPr="00F514E8">
        <w:rPr>
          <w:rFonts w:ascii="Arial" w:hAnsi="Arial" w:cs="Arial"/>
          <w:sz w:val="24"/>
          <w:szCs w:val="24"/>
          <w:lang w:val="es-ES_tradnl"/>
        </w:rPr>
        <w:t>definición de “in</w:t>
      </w:r>
      <w:r w:rsidR="00050235" w:rsidRPr="00F514E8">
        <w:rPr>
          <w:rFonts w:ascii="Arial" w:hAnsi="Arial" w:cs="Arial"/>
          <w:sz w:val="24"/>
          <w:szCs w:val="24"/>
          <w:lang w:val="es-ES_tradnl"/>
        </w:rPr>
        <w:t xml:space="preserve">stitución financiera” no pugna </w:t>
      </w:r>
      <w:r w:rsidR="004C79CF" w:rsidRPr="00F514E8">
        <w:rPr>
          <w:rFonts w:ascii="Arial" w:hAnsi="Arial" w:cs="Arial"/>
          <w:sz w:val="24"/>
          <w:szCs w:val="24"/>
          <w:lang w:val="es-ES_tradnl"/>
        </w:rPr>
        <w:t>con lo dispuesto en el E</w:t>
      </w:r>
      <w:r w:rsidR="00C075C7" w:rsidRPr="00F514E8">
        <w:rPr>
          <w:rFonts w:ascii="Arial" w:hAnsi="Arial" w:cs="Arial"/>
          <w:sz w:val="24"/>
          <w:szCs w:val="24"/>
          <w:lang w:val="es-ES_tradnl"/>
        </w:rPr>
        <w:t xml:space="preserve">.O.S.F. </w:t>
      </w:r>
      <w:r w:rsidR="00050235" w:rsidRPr="00F514E8">
        <w:rPr>
          <w:rFonts w:ascii="Arial" w:hAnsi="Arial" w:cs="Arial"/>
          <w:sz w:val="24"/>
          <w:szCs w:val="24"/>
          <w:lang w:val="es-ES_tradnl"/>
        </w:rPr>
        <w:t>ni e</w:t>
      </w:r>
      <w:r w:rsidR="004C79CF" w:rsidRPr="00F514E8">
        <w:rPr>
          <w:rFonts w:ascii="Arial" w:hAnsi="Arial" w:cs="Arial"/>
          <w:sz w:val="24"/>
          <w:szCs w:val="24"/>
          <w:lang w:val="es-ES_tradnl"/>
        </w:rPr>
        <w:t xml:space="preserve">n </w:t>
      </w:r>
      <w:r w:rsidR="00050235" w:rsidRPr="00F514E8">
        <w:rPr>
          <w:rFonts w:ascii="Arial" w:hAnsi="Arial" w:cs="Arial"/>
          <w:sz w:val="24"/>
          <w:szCs w:val="24"/>
          <w:lang w:val="es-ES_tradnl"/>
        </w:rPr>
        <w:t xml:space="preserve">ninguna </w:t>
      </w:r>
      <w:r w:rsidR="004C79CF" w:rsidRPr="00F514E8">
        <w:rPr>
          <w:rFonts w:ascii="Arial" w:hAnsi="Arial" w:cs="Arial"/>
          <w:sz w:val="24"/>
          <w:szCs w:val="24"/>
          <w:lang w:val="es-ES_tradnl"/>
        </w:rPr>
        <w:t xml:space="preserve">otra </w:t>
      </w:r>
      <w:r w:rsidRPr="00F514E8">
        <w:rPr>
          <w:rFonts w:ascii="Arial" w:hAnsi="Arial" w:cs="Arial"/>
          <w:sz w:val="24"/>
          <w:szCs w:val="24"/>
          <w:lang w:val="es-ES_tradnl"/>
        </w:rPr>
        <w:t xml:space="preserve">disposición </w:t>
      </w:r>
      <w:r w:rsidR="004C79CF" w:rsidRPr="00F514E8">
        <w:rPr>
          <w:rFonts w:ascii="Arial" w:hAnsi="Arial" w:cs="Arial"/>
          <w:sz w:val="24"/>
          <w:szCs w:val="24"/>
          <w:lang w:val="es-ES_tradnl"/>
        </w:rPr>
        <w:t>posterior</w:t>
      </w:r>
      <w:r w:rsidRPr="00F514E8">
        <w:rPr>
          <w:rFonts w:ascii="Arial" w:hAnsi="Arial" w:cs="Arial"/>
          <w:sz w:val="24"/>
          <w:szCs w:val="24"/>
          <w:lang w:val="es-ES_tradnl"/>
        </w:rPr>
        <w:t xml:space="preserve">, ya que </w:t>
      </w:r>
      <w:r w:rsidR="00C075C7" w:rsidRPr="00F514E8">
        <w:rPr>
          <w:rFonts w:ascii="Arial" w:hAnsi="Arial" w:cs="Arial"/>
          <w:sz w:val="24"/>
          <w:szCs w:val="24"/>
          <w:lang w:val="es-ES_tradnl"/>
        </w:rPr>
        <w:t xml:space="preserve">en </w:t>
      </w:r>
      <w:r w:rsidRPr="00F514E8">
        <w:rPr>
          <w:rFonts w:ascii="Arial" w:hAnsi="Arial" w:cs="Arial"/>
          <w:sz w:val="24"/>
          <w:szCs w:val="24"/>
          <w:lang w:val="es-ES_tradnl"/>
        </w:rPr>
        <w:t>tal</w:t>
      </w:r>
      <w:r w:rsidR="00127741" w:rsidRPr="00F514E8">
        <w:rPr>
          <w:rFonts w:ascii="Arial" w:hAnsi="Arial" w:cs="Arial"/>
          <w:sz w:val="24"/>
          <w:szCs w:val="24"/>
          <w:lang w:val="es-ES_tradnl"/>
        </w:rPr>
        <w:t>es normas</w:t>
      </w:r>
      <w:r w:rsidRPr="00F514E8">
        <w:rPr>
          <w:rFonts w:ascii="Arial" w:hAnsi="Arial" w:cs="Arial"/>
          <w:sz w:val="24"/>
          <w:szCs w:val="24"/>
          <w:lang w:val="es-ES_tradnl"/>
        </w:rPr>
        <w:t xml:space="preserve"> no </w:t>
      </w:r>
      <w:r w:rsidR="00C075C7" w:rsidRPr="00F514E8">
        <w:rPr>
          <w:rFonts w:ascii="Arial" w:hAnsi="Arial" w:cs="Arial"/>
          <w:sz w:val="24"/>
          <w:szCs w:val="24"/>
          <w:lang w:val="es-ES_tradnl"/>
        </w:rPr>
        <w:t xml:space="preserve">se encuentra </w:t>
      </w:r>
      <w:r w:rsidRPr="00F514E8">
        <w:rPr>
          <w:rFonts w:ascii="Arial" w:hAnsi="Arial" w:cs="Arial"/>
          <w:sz w:val="24"/>
          <w:szCs w:val="24"/>
          <w:lang w:val="es-ES_tradnl"/>
        </w:rPr>
        <w:t>una definición distinta</w:t>
      </w:r>
      <w:r w:rsidR="00C075C7" w:rsidRPr="00F514E8">
        <w:rPr>
          <w:rFonts w:ascii="Arial" w:hAnsi="Arial" w:cs="Arial"/>
          <w:sz w:val="24"/>
          <w:szCs w:val="24"/>
          <w:lang w:val="es-ES_tradnl"/>
        </w:rPr>
        <w:t xml:space="preserve"> del mismo término</w:t>
      </w:r>
      <w:r w:rsidR="004C79CF" w:rsidRPr="00F514E8">
        <w:rPr>
          <w:rFonts w:ascii="Arial" w:hAnsi="Arial" w:cs="Arial"/>
          <w:sz w:val="24"/>
          <w:szCs w:val="24"/>
          <w:lang w:val="es-ES_tradnl"/>
        </w:rPr>
        <w:t xml:space="preserve">. </w:t>
      </w:r>
      <w:r w:rsidR="00B8107D" w:rsidRPr="00F514E8">
        <w:rPr>
          <w:rFonts w:ascii="Arial" w:hAnsi="Arial" w:cs="Arial"/>
          <w:sz w:val="24"/>
          <w:szCs w:val="24"/>
          <w:lang w:val="es-ES_tradnl"/>
        </w:rPr>
        <w:t xml:space="preserve">Por el contrario, dicha legislación </w:t>
      </w:r>
      <w:r w:rsidR="00050235" w:rsidRPr="00F514E8">
        <w:rPr>
          <w:rFonts w:ascii="Arial" w:hAnsi="Arial" w:cs="Arial"/>
          <w:sz w:val="24"/>
          <w:szCs w:val="24"/>
          <w:lang w:val="es-ES_tradnl"/>
        </w:rPr>
        <w:t>confirma</w:t>
      </w:r>
      <w:r w:rsidR="00B8107D" w:rsidRPr="00F514E8">
        <w:rPr>
          <w:rFonts w:ascii="Arial" w:hAnsi="Arial" w:cs="Arial"/>
          <w:sz w:val="24"/>
          <w:szCs w:val="24"/>
          <w:lang w:val="es-ES_tradnl"/>
        </w:rPr>
        <w:t xml:space="preserve"> que FONADE es una institución o entidad financiera de propiedad estatal.</w:t>
      </w:r>
    </w:p>
    <w:p w14:paraId="7A89D313" w14:textId="77777777" w:rsidR="00B8107D" w:rsidRPr="00F514E8" w:rsidRDefault="00B8107D" w:rsidP="00725D19">
      <w:pPr>
        <w:spacing w:after="0" w:line="240" w:lineRule="auto"/>
        <w:ind w:right="-198"/>
        <w:jc w:val="both"/>
        <w:rPr>
          <w:rFonts w:ascii="Arial" w:hAnsi="Arial" w:cs="Arial"/>
          <w:sz w:val="24"/>
          <w:szCs w:val="24"/>
          <w:lang w:val="es-ES_tradnl"/>
        </w:rPr>
      </w:pPr>
    </w:p>
    <w:p w14:paraId="14737C70" w14:textId="77777777" w:rsidR="00B8107D" w:rsidRPr="00F514E8" w:rsidRDefault="00B8107D"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En efecto, si bien </w:t>
      </w:r>
      <w:r w:rsidR="00C075C7" w:rsidRPr="00F514E8">
        <w:rPr>
          <w:rFonts w:ascii="Arial" w:hAnsi="Arial" w:cs="Arial"/>
          <w:sz w:val="24"/>
          <w:szCs w:val="24"/>
          <w:lang w:val="es-ES_tradnl"/>
        </w:rPr>
        <w:t xml:space="preserve">es cierto que </w:t>
      </w:r>
      <w:r w:rsidRPr="00F514E8">
        <w:rPr>
          <w:rFonts w:ascii="Arial" w:hAnsi="Arial" w:cs="Arial"/>
          <w:sz w:val="24"/>
          <w:szCs w:val="24"/>
          <w:lang w:val="es-ES_tradnl"/>
        </w:rPr>
        <w:t>el artículo 1º de</w:t>
      </w:r>
      <w:r w:rsidR="00050235" w:rsidRPr="00F514E8">
        <w:rPr>
          <w:rFonts w:ascii="Arial" w:hAnsi="Arial" w:cs="Arial"/>
          <w:sz w:val="24"/>
          <w:szCs w:val="24"/>
          <w:lang w:val="es-ES_tradnl"/>
        </w:rPr>
        <w:t>l</w:t>
      </w:r>
      <w:r w:rsidRPr="00F514E8">
        <w:rPr>
          <w:rFonts w:ascii="Arial" w:hAnsi="Arial" w:cs="Arial"/>
          <w:sz w:val="24"/>
          <w:szCs w:val="24"/>
          <w:lang w:val="es-ES_tradnl"/>
        </w:rPr>
        <w:t xml:space="preserve"> </w:t>
      </w:r>
      <w:r w:rsidR="00050235" w:rsidRPr="00F514E8">
        <w:rPr>
          <w:rFonts w:ascii="Arial" w:hAnsi="Arial" w:cs="Arial"/>
          <w:sz w:val="24"/>
          <w:szCs w:val="24"/>
          <w:lang w:val="es-ES_tradnl"/>
        </w:rPr>
        <w:t>E.O.S.F</w:t>
      </w:r>
      <w:r w:rsidR="004667E7" w:rsidRPr="00F514E8">
        <w:rPr>
          <w:rFonts w:ascii="Arial" w:hAnsi="Arial" w:cs="Arial"/>
          <w:sz w:val="24"/>
          <w:szCs w:val="24"/>
          <w:lang w:val="es-ES_tradnl"/>
        </w:rPr>
        <w:t>.</w:t>
      </w:r>
      <w:r w:rsidRPr="00F514E8">
        <w:rPr>
          <w:rFonts w:ascii="Arial" w:hAnsi="Arial" w:cs="Arial"/>
          <w:sz w:val="24"/>
          <w:szCs w:val="24"/>
          <w:lang w:val="es-ES_tradnl"/>
        </w:rPr>
        <w:t xml:space="preserve">, </w:t>
      </w:r>
      <w:r w:rsidR="00050235" w:rsidRPr="00F514E8">
        <w:rPr>
          <w:rFonts w:ascii="Arial" w:hAnsi="Arial" w:cs="Arial"/>
          <w:sz w:val="24"/>
          <w:szCs w:val="24"/>
          <w:lang w:val="es-ES_tradnl"/>
        </w:rPr>
        <w:t>donde se</w:t>
      </w:r>
      <w:r w:rsidRPr="00F514E8">
        <w:rPr>
          <w:rFonts w:ascii="Arial" w:hAnsi="Arial" w:cs="Arial"/>
          <w:sz w:val="24"/>
          <w:szCs w:val="24"/>
          <w:lang w:val="es-ES_tradnl"/>
        </w:rPr>
        <w:t xml:space="preserve"> </w:t>
      </w:r>
      <w:r w:rsidR="00050235" w:rsidRPr="00F514E8">
        <w:rPr>
          <w:rFonts w:ascii="Arial" w:hAnsi="Arial" w:cs="Arial"/>
          <w:sz w:val="24"/>
          <w:szCs w:val="24"/>
          <w:lang w:val="es-ES_tradnl"/>
        </w:rPr>
        <w:t>determina</w:t>
      </w:r>
      <w:r w:rsidR="00C075C7" w:rsidRPr="00F514E8">
        <w:rPr>
          <w:rFonts w:ascii="Arial" w:hAnsi="Arial" w:cs="Arial"/>
          <w:sz w:val="24"/>
          <w:szCs w:val="24"/>
          <w:lang w:val="es-ES_tradnl"/>
        </w:rPr>
        <w:t xml:space="preserve"> </w:t>
      </w:r>
      <w:r w:rsidRPr="00F514E8">
        <w:rPr>
          <w:rFonts w:ascii="Arial" w:hAnsi="Arial" w:cs="Arial"/>
          <w:sz w:val="24"/>
          <w:szCs w:val="24"/>
          <w:lang w:val="es-ES_tradnl"/>
        </w:rPr>
        <w:t xml:space="preserve">la estructura general del sistema financiero y asegurador colombiano, no menciona a FONADE ni, en general, a las entidades financieras estatales, </w:t>
      </w:r>
      <w:r w:rsidR="0009758A" w:rsidRPr="00F514E8">
        <w:rPr>
          <w:rFonts w:ascii="Arial" w:hAnsi="Arial" w:cs="Arial"/>
          <w:sz w:val="24"/>
          <w:szCs w:val="24"/>
          <w:lang w:val="es-ES_tradnl"/>
        </w:rPr>
        <w:t xml:space="preserve">el artículo 2º del mismo Estatuto, que describe las diferentes clases de establecimientos de crédito y su </w:t>
      </w:r>
      <w:r w:rsidR="00127741" w:rsidRPr="00F514E8">
        <w:rPr>
          <w:rFonts w:ascii="Arial" w:hAnsi="Arial" w:cs="Arial"/>
          <w:sz w:val="24"/>
          <w:szCs w:val="24"/>
          <w:lang w:val="es-ES_tradnl"/>
        </w:rPr>
        <w:t xml:space="preserve">objeto </w:t>
      </w:r>
      <w:r w:rsidR="00050235" w:rsidRPr="00F514E8">
        <w:rPr>
          <w:rFonts w:ascii="Arial" w:hAnsi="Arial" w:cs="Arial"/>
          <w:sz w:val="24"/>
          <w:szCs w:val="24"/>
          <w:lang w:val="es-ES_tradnl"/>
        </w:rPr>
        <w:t>principal, señala</w:t>
      </w:r>
      <w:r w:rsidR="009117E0" w:rsidRPr="00F514E8">
        <w:rPr>
          <w:rFonts w:ascii="Arial" w:hAnsi="Arial" w:cs="Arial"/>
          <w:sz w:val="24"/>
          <w:szCs w:val="24"/>
          <w:lang w:val="es-ES_tradnl"/>
        </w:rPr>
        <w:t>,</w:t>
      </w:r>
      <w:r w:rsidR="00050235" w:rsidRPr="00F514E8">
        <w:rPr>
          <w:rFonts w:ascii="Arial" w:hAnsi="Arial" w:cs="Arial"/>
          <w:sz w:val="24"/>
          <w:szCs w:val="24"/>
          <w:lang w:val="es-ES_tradnl"/>
        </w:rPr>
        <w:t xml:space="preserve"> </w:t>
      </w:r>
      <w:r w:rsidR="0009758A" w:rsidRPr="00F514E8">
        <w:rPr>
          <w:rFonts w:ascii="Arial" w:hAnsi="Arial" w:cs="Arial"/>
          <w:sz w:val="24"/>
          <w:szCs w:val="24"/>
          <w:lang w:val="es-ES_tradnl"/>
        </w:rPr>
        <w:t>en el primer inciso del numeral 8º</w:t>
      </w:r>
      <w:r w:rsidR="009117E0" w:rsidRPr="00F514E8">
        <w:rPr>
          <w:rFonts w:ascii="Arial" w:hAnsi="Arial" w:cs="Arial"/>
          <w:sz w:val="24"/>
          <w:szCs w:val="24"/>
          <w:lang w:val="es-ES_tradnl"/>
        </w:rPr>
        <w:t>,</w:t>
      </w:r>
      <w:r w:rsidR="00050235" w:rsidRPr="00F514E8">
        <w:rPr>
          <w:rFonts w:ascii="Arial" w:hAnsi="Arial" w:cs="Arial"/>
          <w:sz w:val="24"/>
          <w:szCs w:val="24"/>
          <w:lang w:val="es-ES_tradnl"/>
        </w:rPr>
        <w:t xml:space="preserve"> que lo dispuesto en esa norma </w:t>
      </w:r>
      <w:r w:rsidR="0009758A" w:rsidRPr="00F514E8">
        <w:rPr>
          <w:rFonts w:ascii="Arial" w:hAnsi="Arial" w:cs="Arial"/>
          <w:sz w:val="24"/>
          <w:szCs w:val="24"/>
          <w:lang w:val="es-ES_tradnl"/>
        </w:rPr>
        <w:t>“</w:t>
      </w:r>
      <w:r w:rsidR="0009758A" w:rsidRPr="00F514E8">
        <w:rPr>
          <w:rFonts w:ascii="Arial" w:hAnsi="Arial" w:cs="Arial"/>
          <w:i/>
          <w:sz w:val="24"/>
          <w:szCs w:val="24"/>
          <w:lang w:val="es-ES_tradnl"/>
        </w:rPr>
        <w:t>se entenderá sin perjuicio del régimen de las instituciones financieras reguladas por normas especiales</w:t>
      </w:r>
      <w:r w:rsidR="00050235" w:rsidRPr="00F514E8">
        <w:rPr>
          <w:rFonts w:ascii="Arial" w:hAnsi="Arial" w:cs="Arial"/>
          <w:i/>
          <w:sz w:val="24"/>
          <w:szCs w:val="24"/>
          <w:lang w:val="es-ES_tradnl"/>
        </w:rPr>
        <w:t xml:space="preserve">”, </w:t>
      </w:r>
      <w:r w:rsidR="00050235" w:rsidRPr="00F514E8">
        <w:rPr>
          <w:rFonts w:ascii="Arial" w:hAnsi="Arial" w:cs="Arial"/>
          <w:sz w:val="24"/>
          <w:szCs w:val="24"/>
          <w:lang w:val="es-ES_tradnl"/>
        </w:rPr>
        <w:t>de donde</w:t>
      </w:r>
      <w:r w:rsidR="0009758A" w:rsidRPr="00F514E8">
        <w:rPr>
          <w:rFonts w:ascii="Arial" w:hAnsi="Arial" w:cs="Arial"/>
          <w:sz w:val="24"/>
          <w:szCs w:val="24"/>
          <w:lang w:val="es-ES_tradnl"/>
        </w:rPr>
        <w:t xml:space="preserve"> </w:t>
      </w:r>
      <w:r w:rsidR="00C075C7" w:rsidRPr="00F514E8">
        <w:rPr>
          <w:rFonts w:ascii="Arial" w:hAnsi="Arial" w:cs="Arial"/>
          <w:sz w:val="24"/>
          <w:szCs w:val="24"/>
          <w:lang w:val="es-ES_tradnl"/>
        </w:rPr>
        <w:t xml:space="preserve">resulta </w:t>
      </w:r>
      <w:r w:rsidR="0009758A" w:rsidRPr="00F514E8">
        <w:rPr>
          <w:rFonts w:ascii="Arial" w:hAnsi="Arial" w:cs="Arial"/>
          <w:sz w:val="24"/>
          <w:szCs w:val="24"/>
          <w:lang w:val="es-ES_tradnl"/>
        </w:rPr>
        <w:t>claro</w:t>
      </w:r>
      <w:r w:rsidR="00C075C7" w:rsidRPr="00F514E8">
        <w:rPr>
          <w:rFonts w:ascii="Arial" w:hAnsi="Arial" w:cs="Arial"/>
          <w:sz w:val="24"/>
          <w:szCs w:val="24"/>
          <w:lang w:val="es-ES_tradnl"/>
        </w:rPr>
        <w:t xml:space="preserve"> </w:t>
      </w:r>
      <w:r w:rsidR="0009758A" w:rsidRPr="00F514E8">
        <w:rPr>
          <w:rFonts w:ascii="Arial" w:hAnsi="Arial" w:cs="Arial"/>
          <w:sz w:val="24"/>
          <w:szCs w:val="24"/>
          <w:lang w:val="es-ES_tradnl"/>
        </w:rPr>
        <w:t xml:space="preserve">que el E.O.S.F. reconoce la existencia de </w:t>
      </w:r>
      <w:r w:rsidR="0009758A" w:rsidRPr="00F514E8">
        <w:rPr>
          <w:rFonts w:ascii="Arial" w:hAnsi="Arial" w:cs="Arial"/>
          <w:b/>
          <w:sz w:val="24"/>
          <w:szCs w:val="24"/>
          <w:lang w:val="es-ES_tradnl"/>
        </w:rPr>
        <w:t>otras</w:t>
      </w:r>
      <w:r w:rsidR="0009758A" w:rsidRPr="00F514E8">
        <w:rPr>
          <w:rFonts w:ascii="Arial" w:hAnsi="Arial" w:cs="Arial"/>
          <w:sz w:val="24"/>
          <w:szCs w:val="24"/>
          <w:lang w:val="es-ES_tradnl"/>
        </w:rPr>
        <w:t xml:space="preserve"> instituciones financieras</w:t>
      </w:r>
      <w:r w:rsidR="00050235" w:rsidRPr="00F514E8">
        <w:rPr>
          <w:rFonts w:ascii="Arial" w:hAnsi="Arial" w:cs="Arial"/>
          <w:sz w:val="24"/>
          <w:szCs w:val="24"/>
          <w:lang w:val="es-ES_tradnl"/>
        </w:rPr>
        <w:t>,</w:t>
      </w:r>
      <w:r w:rsidR="0009758A" w:rsidRPr="00F514E8">
        <w:rPr>
          <w:rFonts w:ascii="Arial" w:hAnsi="Arial" w:cs="Arial"/>
          <w:sz w:val="24"/>
          <w:szCs w:val="24"/>
          <w:lang w:val="es-ES_tradnl"/>
        </w:rPr>
        <w:t xml:space="preserve"> distintas de las mencionadas en el artículo 1º</w:t>
      </w:r>
      <w:r w:rsidR="00127741" w:rsidRPr="00F514E8">
        <w:rPr>
          <w:rFonts w:ascii="Arial" w:hAnsi="Arial" w:cs="Arial"/>
          <w:sz w:val="24"/>
          <w:szCs w:val="24"/>
          <w:lang w:val="es-ES_tradnl"/>
        </w:rPr>
        <w:t xml:space="preserve">, las cuales </w:t>
      </w:r>
      <w:r w:rsidR="00C075C7" w:rsidRPr="00F514E8">
        <w:rPr>
          <w:rFonts w:ascii="Arial" w:hAnsi="Arial" w:cs="Arial"/>
          <w:sz w:val="24"/>
          <w:szCs w:val="24"/>
          <w:lang w:val="es-ES_tradnl"/>
        </w:rPr>
        <w:t xml:space="preserve">pueden pertenecer, </w:t>
      </w:r>
      <w:r w:rsidR="0009758A" w:rsidRPr="00F514E8">
        <w:rPr>
          <w:rFonts w:ascii="Arial" w:hAnsi="Arial" w:cs="Arial"/>
          <w:sz w:val="24"/>
          <w:szCs w:val="24"/>
          <w:lang w:val="es-ES_tradnl"/>
        </w:rPr>
        <w:t>incluso</w:t>
      </w:r>
      <w:r w:rsidR="00C075C7" w:rsidRPr="00F514E8">
        <w:rPr>
          <w:rFonts w:ascii="Arial" w:hAnsi="Arial" w:cs="Arial"/>
          <w:sz w:val="24"/>
          <w:szCs w:val="24"/>
          <w:lang w:val="es-ES_tradnl"/>
        </w:rPr>
        <w:t>,</w:t>
      </w:r>
      <w:r w:rsidR="0009758A" w:rsidRPr="00F514E8">
        <w:rPr>
          <w:rFonts w:ascii="Arial" w:hAnsi="Arial" w:cs="Arial"/>
          <w:sz w:val="24"/>
          <w:szCs w:val="24"/>
          <w:lang w:val="es-ES_tradnl"/>
        </w:rPr>
        <w:t xml:space="preserve"> al tipo de los “establecimientos de crédito”.   </w:t>
      </w:r>
    </w:p>
    <w:p w14:paraId="2D7983F8" w14:textId="77777777" w:rsidR="00B8107D" w:rsidRPr="00F514E8" w:rsidRDefault="00B8107D" w:rsidP="00725D19">
      <w:pPr>
        <w:spacing w:after="0" w:line="240" w:lineRule="auto"/>
        <w:ind w:right="-198"/>
        <w:jc w:val="both"/>
        <w:rPr>
          <w:rFonts w:ascii="Arial" w:hAnsi="Arial" w:cs="Arial"/>
          <w:sz w:val="24"/>
          <w:szCs w:val="24"/>
          <w:lang w:val="es-ES_tradnl"/>
        </w:rPr>
      </w:pPr>
    </w:p>
    <w:p w14:paraId="29C88C2C" w14:textId="77777777" w:rsidR="00B8107D" w:rsidRPr="00F514E8" w:rsidRDefault="0009758A"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En armonía con </w:t>
      </w:r>
      <w:r w:rsidR="002F2CC2" w:rsidRPr="00F514E8">
        <w:rPr>
          <w:rFonts w:ascii="Arial" w:hAnsi="Arial" w:cs="Arial"/>
          <w:sz w:val="24"/>
          <w:szCs w:val="24"/>
          <w:lang w:val="es-ES_tradnl"/>
        </w:rPr>
        <w:t>este análisis</w:t>
      </w:r>
      <w:r w:rsidRPr="00F514E8">
        <w:rPr>
          <w:rFonts w:ascii="Arial" w:hAnsi="Arial" w:cs="Arial"/>
          <w:sz w:val="24"/>
          <w:szCs w:val="24"/>
          <w:lang w:val="es-ES_tradnl"/>
        </w:rPr>
        <w:t>, el mismo Estatuto dedica toda una parte (la Décima) a compilar la normatividad aplicable a l</w:t>
      </w:r>
      <w:r w:rsidR="00127741" w:rsidRPr="00F514E8">
        <w:rPr>
          <w:rFonts w:ascii="Arial" w:hAnsi="Arial" w:cs="Arial"/>
          <w:sz w:val="24"/>
          <w:szCs w:val="24"/>
          <w:lang w:val="es-ES_tradnl"/>
        </w:rPr>
        <w:t>as</w:t>
      </w:r>
      <w:r w:rsidRPr="00F514E8">
        <w:rPr>
          <w:rFonts w:ascii="Arial" w:hAnsi="Arial" w:cs="Arial"/>
          <w:sz w:val="24"/>
          <w:szCs w:val="24"/>
          <w:lang w:val="es-ES_tradnl"/>
        </w:rPr>
        <w:t xml:space="preserve"> que </w:t>
      </w:r>
      <w:r w:rsidR="00C075C7" w:rsidRPr="00F514E8">
        <w:rPr>
          <w:rFonts w:ascii="Arial" w:hAnsi="Arial" w:cs="Arial"/>
          <w:sz w:val="24"/>
          <w:szCs w:val="24"/>
          <w:lang w:val="es-ES_tradnl"/>
        </w:rPr>
        <w:t xml:space="preserve">allí se </w:t>
      </w:r>
      <w:r w:rsidRPr="00F514E8">
        <w:rPr>
          <w:rFonts w:ascii="Arial" w:hAnsi="Arial" w:cs="Arial"/>
          <w:sz w:val="24"/>
          <w:szCs w:val="24"/>
          <w:lang w:val="es-ES_tradnl"/>
        </w:rPr>
        <w:t>denomina</w:t>
      </w:r>
      <w:r w:rsidR="00127741" w:rsidRPr="00F514E8">
        <w:rPr>
          <w:rFonts w:ascii="Arial" w:hAnsi="Arial" w:cs="Arial"/>
          <w:sz w:val="24"/>
          <w:szCs w:val="24"/>
          <w:lang w:val="es-ES_tradnl"/>
        </w:rPr>
        <w:t>n</w:t>
      </w:r>
      <w:r w:rsidRPr="00F514E8">
        <w:rPr>
          <w:rFonts w:ascii="Arial" w:hAnsi="Arial" w:cs="Arial"/>
          <w:sz w:val="24"/>
          <w:szCs w:val="24"/>
          <w:lang w:val="es-ES_tradnl"/>
        </w:rPr>
        <w:t xml:space="preserve"> “</w:t>
      </w:r>
      <w:r w:rsidRPr="00F514E8">
        <w:rPr>
          <w:rFonts w:ascii="Arial" w:hAnsi="Arial" w:cs="Arial"/>
          <w:i/>
          <w:sz w:val="24"/>
          <w:szCs w:val="24"/>
          <w:lang w:val="es-ES_tradnl"/>
        </w:rPr>
        <w:t>Entidades con regímenes especiales</w:t>
      </w:r>
      <w:r w:rsidRPr="00F514E8">
        <w:rPr>
          <w:rFonts w:ascii="Arial" w:hAnsi="Arial" w:cs="Arial"/>
          <w:sz w:val="24"/>
          <w:szCs w:val="24"/>
          <w:lang w:val="es-ES_tradnl"/>
        </w:rPr>
        <w:t xml:space="preserve">”, </w:t>
      </w:r>
      <w:r w:rsidR="00127741" w:rsidRPr="00F514E8">
        <w:rPr>
          <w:rFonts w:ascii="Arial" w:hAnsi="Arial" w:cs="Arial"/>
          <w:sz w:val="24"/>
          <w:szCs w:val="24"/>
          <w:lang w:val="es-ES_tradnl"/>
        </w:rPr>
        <w:t xml:space="preserve">las cuales </w:t>
      </w:r>
      <w:r w:rsidR="003C6CA7" w:rsidRPr="00F514E8">
        <w:rPr>
          <w:rFonts w:ascii="Arial" w:hAnsi="Arial" w:cs="Arial"/>
          <w:sz w:val="24"/>
          <w:szCs w:val="24"/>
          <w:lang w:val="es-ES_tradnl"/>
        </w:rPr>
        <w:t>son entidades públicas</w:t>
      </w:r>
      <w:r w:rsidR="003C6CA7" w:rsidRPr="00F514E8">
        <w:rPr>
          <w:rStyle w:val="Refdenotaalpie"/>
          <w:rFonts w:ascii="Arial" w:hAnsi="Arial" w:cs="Arial"/>
          <w:sz w:val="24"/>
          <w:szCs w:val="24"/>
          <w:lang w:val="es-ES_tradnl"/>
        </w:rPr>
        <w:footnoteReference w:id="9"/>
      </w:r>
      <w:r w:rsidR="003C6CA7" w:rsidRPr="00F514E8">
        <w:rPr>
          <w:rFonts w:ascii="Arial" w:hAnsi="Arial" w:cs="Arial"/>
          <w:sz w:val="24"/>
          <w:szCs w:val="24"/>
          <w:lang w:val="es-ES_tradnl"/>
        </w:rPr>
        <w:t xml:space="preserve"> que realizan actividades financieras o aseguradoras, y </w:t>
      </w:r>
      <w:r w:rsidRPr="00F514E8">
        <w:rPr>
          <w:rFonts w:ascii="Arial" w:hAnsi="Arial" w:cs="Arial"/>
          <w:sz w:val="24"/>
          <w:szCs w:val="24"/>
          <w:lang w:val="es-ES_tradnl"/>
        </w:rPr>
        <w:t xml:space="preserve">cuyo </w:t>
      </w:r>
      <w:r w:rsidR="00C075C7" w:rsidRPr="00F514E8">
        <w:rPr>
          <w:rFonts w:ascii="Arial" w:hAnsi="Arial" w:cs="Arial"/>
          <w:sz w:val="24"/>
          <w:szCs w:val="24"/>
          <w:lang w:val="es-ES_tradnl"/>
        </w:rPr>
        <w:t>C</w:t>
      </w:r>
      <w:r w:rsidRPr="00F514E8">
        <w:rPr>
          <w:rFonts w:ascii="Arial" w:hAnsi="Arial" w:cs="Arial"/>
          <w:sz w:val="24"/>
          <w:szCs w:val="24"/>
          <w:lang w:val="es-ES_tradnl"/>
        </w:rPr>
        <w:t>apítulo XII</w:t>
      </w:r>
      <w:r w:rsidR="003C6CA7" w:rsidRPr="00F514E8">
        <w:rPr>
          <w:rFonts w:ascii="Arial" w:hAnsi="Arial" w:cs="Arial"/>
          <w:sz w:val="24"/>
          <w:szCs w:val="24"/>
          <w:lang w:val="es-ES_tradnl"/>
        </w:rPr>
        <w:t xml:space="preserve"> está dedicado a FONADE. Vale la pena aclarar que</w:t>
      </w:r>
      <w:r w:rsidR="00C075C7" w:rsidRPr="00F514E8">
        <w:rPr>
          <w:rFonts w:ascii="Arial" w:hAnsi="Arial" w:cs="Arial"/>
          <w:sz w:val="24"/>
          <w:szCs w:val="24"/>
          <w:lang w:val="es-ES_tradnl"/>
        </w:rPr>
        <w:t>,</w:t>
      </w:r>
      <w:r w:rsidR="003C6CA7" w:rsidRPr="00F514E8">
        <w:rPr>
          <w:rFonts w:ascii="Arial" w:hAnsi="Arial" w:cs="Arial"/>
          <w:sz w:val="24"/>
          <w:szCs w:val="24"/>
          <w:lang w:val="es-ES_tradnl"/>
        </w:rPr>
        <w:t xml:space="preserve"> aun cuando la Parte Décima del E.O.S.F. no utiliza expresamente la denominación “</w:t>
      </w:r>
      <w:r w:rsidR="003C6CA7" w:rsidRPr="00F514E8">
        <w:rPr>
          <w:rFonts w:ascii="Arial" w:hAnsi="Arial" w:cs="Arial"/>
          <w:i/>
          <w:sz w:val="24"/>
          <w:szCs w:val="24"/>
          <w:lang w:val="es-ES_tradnl"/>
        </w:rPr>
        <w:t>entidades financieras</w:t>
      </w:r>
      <w:r w:rsidR="00127741" w:rsidRPr="00F514E8">
        <w:rPr>
          <w:rFonts w:ascii="Arial" w:hAnsi="Arial" w:cs="Arial"/>
          <w:i/>
          <w:sz w:val="24"/>
          <w:szCs w:val="24"/>
          <w:lang w:val="es-ES_tradnl"/>
        </w:rPr>
        <w:t>”</w:t>
      </w:r>
      <w:r w:rsidR="003C6CA7" w:rsidRPr="00F514E8">
        <w:rPr>
          <w:rFonts w:ascii="Arial" w:hAnsi="Arial" w:cs="Arial"/>
          <w:sz w:val="24"/>
          <w:szCs w:val="24"/>
          <w:lang w:val="es-ES_tradnl"/>
        </w:rPr>
        <w:t xml:space="preserve">, la incorporación de dicha Parte </w:t>
      </w:r>
      <w:r w:rsidR="00C075C7" w:rsidRPr="00F514E8">
        <w:rPr>
          <w:rFonts w:ascii="Arial" w:hAnsi="Arial" w:cs="Arial"/>
          <w:sz w:val="24"/>
          <w:szCs w:val="24"/>
          <w:lang w:val="es-ES_tradnl"/>
        </w:rPr>
        <w:t>en el</w:t>
      </w:r>
      <w:r w:rsidR="003C6CA7" w:rsidRPr="00F514E8">
        <w:rPr>
          <w:rFonts w:ascii="Arial" w:hAnsi="Arial" w:cs="Arial"/>
          <w:sz w:val="24"/>
          <w:szCs w:val="24"/>
          <w:lang w:val="es-ES_tradnl"/>
        </w:rPr>
        <w:t xml:space="preserve"> Estatuto</w:t>
      </w:r>
      <w:r w:rsidR="00C075C7" w:rsidRPr="00F514E8">
        <w:rPr>
          <w:rFonts w:ascii="Arial" w:hAnsi="Arial" w:cs="Arial"/>
          <w:sz w:val="24"/>
          <w:szCs w:val="24"/>
          <w:lang w:val="es-ES_tradnl"/>
        </w:rPr>
        <w:t xml:space="preserve"> Orgánico del Sistema Financiero</w:t>
      </w:r>
      <w:r w:rsidR="003C6CA7" w:rsidRPr="00F514E8">
        <w:rPr>
          <w:rFonts w:ascii="Arial" w:hAnsi="Arial" w:cs="Arial"/>
          <w:sz w:val="24"/>
          <w:szCs w:val="24"/>
          <w:lang w:val="es-ES_tradnl"/>
        </w:rPr>
        <w:t xml:space="preserve">, así como las explicaciones </w:t>
      </w:r>
      <w:r w:rsidR="00C075C7" w:rsidRPr="00F514E8">
        <w:rPr>
          <w:rFonts w:ascii="Arial" w:hAnsi="Arial" w:cs="Arial"/>
          <w:sz w:val="24"/>
          <w:szCs w:val="24"/>
          <w:lang w:val="es-ES_tradnl"/>
        </w:rPr>
        <w:t xml:space="preserve">dadas previamente </w:t>
      </w:r>
      <w:r w:rsidR="003C6CA7" w:rsidRPr="00F514E8">
        <w:rPr>
          <w:rFonts w:ascii="Arial" w:hAnsi="Arial" w:cs="Arial"/>
          <w:sz w:val="24"/>
          <w:szCs w:val="24"/>
          <w:lang w:val="es-ES_tradnl"/>
        </w:rPr>
        <w:t xml:space="preserve">sobre la noción de </w:t>
      </w:r>
      <w:r w:rsidR="002F2CC2" w:rsidRPr="00F514E8">
        <w:rPr>
          <w:rFonts w:ascii="Arial" w:hAnsi="Arial" w:cs="Arial"/>
          <w:sz w:val="24"/>
          <w:szCs w:val="24"/>
          <w:lang w:val="es-ES_tradnl"/>
        </w:rPr>
        <w:t>“</w:t>
      </w:r>
      <w:r w:rsidR="00C075C7" w:rsidRPr="00F514E8">
        <w:rPr>
          <w:rFonts w:ascii="Arial" w:hAnsi="Arial" w:cs="Arial"/>
          <w:sz w:val="24"/>
          <w:szCs w:val="24"/>
          <w:lang w:val="es-ES_tradnl"/>
        </w:rPr>
        <w:t>i</w:t>
      </w:r>
      <w:r w:rsidR="003C6CA7" w:rsidRPr="00F514E8">
        <w:rPr>
          <w:rFonts w:ascii="Arial" w:hAnsi="Arial" w:cs="Arial"/>
          <w:sz w:val="24"/>
          <w:szCs w:val="24"/>
          <w:lang w:val="es-ES_tradnl"/>
        </w:rPr>
        <w:t xml:space="preserve">nstitución” o “entidad financiera”, permiten concluir que </w:t>
      </w:r>
      <w:r w:rsidR="00127741" w:rsidRPr="00F514E8">
        <w:rPr>
          <w:rFonts w:ascii="Arial" w:hAnsi="Arial" w:cs="Arial"/>
          <w:sz w:val="24"/>
          <w:szCs w:val="24"/>
          <w:lang w:val="es-ES_tradnl"/>
        </w:rPr>
        <w:t xml:space="preserve">todas las instituciones reguladas en esa Parte </w:t>
      </w:r>
      <w:r w:rsidR="004862E0" w:rsidRPr="00F514E8">
        <w:rPr>
          <w:rFonts w:ascii="Arial" w:hAnsi="Arial" w:cs="Arial"/>
          <w:sz w:val="24"/>
          <w:szCs w:val="24"/>
          <w:lang w:val="es-ES_tradnl"/>
        </w:rPr>
        <w:t xml:space="preserve">Décima </w:t>
      </w:r>
      <w:r w:rsidR="00127741" w:rsidRPr="00F514E8">
        <w:rPr>
          <w:rFonts w:ascii="Arial" w:hAnsi="Arial" w:cs="Arial"/>
          <w:sz w:val="24"/>
          <w:szCs w:val="24"/>
          <w:lang w:val="es-ES_tradnl"/>
        </w:rPr>
        <w:t xml:space="preserve">son, efectivamente, </w:t>
      </w:r>
      <w:r w:rsidR="003C6CA7" w:rsidRPr="00F514E8">
        <w:rPr>
          <w:rFonts w:ascii="Arial" w:hAnsi="Arial" w:cs="Arial"/>
          <w:sz w:val="24"/>
          <w:szCs w:val="24"/>
          <w:lang w:val="es-ES_tradnl"/>
        </w:rPr>
        <w:t xml:space="preserve">entidades </w:t>
      </w:r>
      <w:r w:rsidR="003C6CA7" w:rsidRPr="00F514E8">
        <w:rPr>
          <w:rFonts w:ascii="Arial" w:hAnsi="Arial" w:cs="Arial"/>
          <w:b/>
          <w:sz w:val="24"/>
          <w:szCs w:val="24"/>
          <w:lang w:val="es-ES_tradnl"/>
        </w:rPr>
        <w:t>financieras</w:t>
      </w:r>
      <w:r w:rsidR="003C6CA7" w:rsidRPr="00F514E8">
        <w:rPr>
          <w:rFonts w:ascii="Arial" w:hAnsi="Arial" w:cs="Arial"/>
          <w:sz w:val="24"/>
          <w:szCs w:val="24"/>
          <w:lang w:val="es-ES_tradnl"/>
        </w:rPr>
        <w:t xml:space="preserve"> con regímenes especiales.   </w:t>
      </w:r>
      <w:r w:rsidR="003C6CA7" w:rsidRPr="00F514E8">
        <w:rPr>
          <w:rFonts w:ascii="Arial" w:hAnsi="Arial" w:cs="Arial"/>
          <w:i/>
          <w:sz w:val="24"/>
          <w:szCs w:val="24"/>
          <w:lang w:val="es-ES_tradnl"/>
        </w:rPr>
        <w:t xml:space="preserve"> </w:t>
      </w:r>
      <w:r w:rsidR="003C6CA7" w:rsidRPr="00F514E8">
        <w:rPr>
          <w:rFonts w:ascii="Arial" w:hAnsi="Arial" w:cs="Arial"/>
          <w:sz w:val="24"/>
          <w:szCs w:val="24"/>
          <w:lang w:val="es-ES_tradnl"/>
        </w:rPr>
        <w:t xml:space="preserve">  </w:t>
      </w:r>
    </w:p>
    <w:p w14:paraId="0DB64DFA" w14:textId="77777777" w:rsidR="00116C64" w:rsidRPr="00F514E8" w:rsidRDefault="00B8107D"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 </w:t>
      </w:r>
      <w:r w:rsidR="004C79CF" w:rsidRPr="00F514E8">
        <w:rPr>
          <w:rFonts w:ascii="Arial" w:hAnsi="Arial" w:cs="Arial"/>
          <w:sz w:val="24"/>
          <w:szCs w:val="24"/>
          <w:lang w:val="es-ES_tradnl"/>
        </w:rPr>
        <w:t xml:space="preserve"> </w:t>
      </w:r>
    </w:p>
    <w:p w14:paraId="25DA2911" w14:textId="77777777" w:rsidR="00283B15" w:rsidRPr="00F514E8" w:rsidRDefault="00604403"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3. </w:t>
      </w:r>
      <w:r w:rsidR="004862E0" w:rsidRPr="00F514E8">
        <w:rPr>
          <w:rFonts w:ascii="Arial" w:hAnsi="Arial" w:cs="Arial"/>
          <w:sz w:val="24"/>
          <w:szCs w:val="24"/>
          <w:lang w:val="es-ES_tradnl"/>
        </w:rPr>
        <w:t>Para abundar en este sentido, e</w:t>
      </w:r>
      <w:r w:rsidR="003C6CA7" w:rsidRPr="00F514E8">
        <w:rPr>
          <w:rFonts w:ascii="Arial" w:hAnsi="Arial" w:cs="Arial"/>
          <w:sz w:val="24"/>
          <w:szCs w:val="24"/>
          <w:lang w:val="es-ES_tradnl"/>
        </w:rPr>
        <w:t xml:space="preserve">l </w:t>
      </w:r>
      <w:r w:rsidR="004667E7" w:rsidRPr="00F514E8">
        <w:rPr>
          <w:rFonts w:ascii="Arial" w:hAnsi="Arial" w:cs="Arial"/>
          <w:sz w:val="24"/>
          <w:szCs w:val="24"/>
          <w:lang w:val="es-ES_tradnl"/>
        </w:rPr>
        <w:t>d</w:t>
      </w:r>
      <w:r w:rsidR="003C6CA7" w:rsidRPr="00F514E8">
        <w:rPr>
          <w:rFonts w:ascii="Arial" w:hAnsi="Arial" w:cs="Arial"/>
          <w:sz w:val="24"/>
          <w:szCs w:val="24"/>
          <w:lang w:val="es-ES_tradnl"/>
        </w:rPr>
        <w:t>ecreto</w:t>
      </w:r>
      <w:r w:rsidR="00283B15" w:rsidRPr="00F514E8">
        <w:rPr>
          <w:rFonts w:ascii="Arial" w:hAnsi="Arial" w:cs="Arial"/>
          <w:sz w:val="24"/>
          <w:szCs w:val="24"/>
          <w:lang w:val="es-ES_tradnl"/>
        </w:rPr>
        <w:t xml:space="preserve"> 2555 de 2010, “</w:t>
      </w:r>
      <w:r w:rsidR="00283B15" w:rsidRPr="00F514E8">
        <w:rPr>
          <w:rFonts w:ascii="Arial" w:hAnsi="Arial" w:cs="Arial"/>
          <w:i/>
          <w:sz w:val="24"/>
          <w:szCs w:val="24"/>
          <w:lang w:val="es-ES_tradnl"/>
        </w:rPr>
        <w:t>por el cual se recogen y reexpiden las normas en materia del sector financiero, asegurador y del mercado de valores y se dictan otras disposiciones”</w:t>
      </w:r>
      <w:r w:rsidR="00EF4242" w:rsidRPr="00F514E8">
        <w:rPr>
          <w:rFonts w:ascii="Arial" w:hAnsi="Arial" w:cs="Arial"/>
          <w:sz w:val="24"/>
          <w:szCs w:val="24"/>
          <w:lang w:val="es-ES_tradnl"/>
        </w:rPr>
        <w:t xml:space="preserve">, confirma esta interpretación en </w:t>
      </w:r>
      <w:r w:rsidR="00283B15" w:rsidRPr="00F514E8">
        <w:rPr>
          <w:rFonts w:ascii="Arial" w:hAnsi="Arial" w:cs="Arial"/>
          <w:sz w:val="24"/>
          <w:szCs w:val="24"/>
          <w:lang w:val="es-ES_tradnl"/>
        </w:rPr>
        <w:t>su Parte Décima, denominada “</w:t>
      </w:r>
      <w:r w:rsidR="00283B15" w:rsidRPr="00F514E8">
        <w:rPr>
          <w:rFonts w:ascii="Arial" w:hAnsi="Arial" w:cs="Arial"/>
          <w:i/>
          <w:sz w:val="24"/>
          <w:szCs w:val="24"/>
          <w:lang w:val="es-ES_tradnl"/>
        </w:rPr>
        <w:t>Entidades con regímenes especiales</w:t>
      </w:r>
      <w:r w:rsidR="00283B15" w:rsidRPr="00F514E8">
        <w:rPr>
          <w:rFonts w:ascii="Arial" w:hAnsi="Arial" w:cs="Arial"/>
          <w:sz w:val="24"/>
          <w:szCs w:val="24"/>
          <w:lang w:val="es-ES_tradnl"/>
        </w:rPr>
        <w:t xml:space="preserve">”, </w:t>
      </w:r>
      <w:r w:rsidR="00EF4242" w:rsidRPr="00F514E8">
        <w:rPr>
          <w:rFonts w:ascii="Arial" w:hAnsi="Arial" w:cs="Arial"/>
          <w:sz w:val="24"/>
          <w:szCs w:val="24"/>
          <w:lang w:val="es-ES_tradnl"/>
        </w:rPr>
        <w:t xml:space="preserve">que </w:t>
      </w:r>
      <w:r w:rsidR="00283B15" w:rsidRPr="00F514E8">
        <w:rPr>
          <w:rFonts w:ascii="Arial" w:hAnsi="Arial" w:cs="Arial"/>
          <w:sz w:val="24"/>
          <w:szCs w:val="24"/>
          <w:lang w:val="es-ES_tradnl"/>
        </w:rPr>
        <w:t xml:space="preserve">dedica el Libro VI a regular </w:t>
      </w:r>
      <w:r w:rsidR="00C075C7" w:rsidRPr="00F514E8">
        <w:rPr>
          <w:rFonts w:ascii="Arial" w:hAnsi="Arial" w:cs="Arial"/>
          <w:sz w:val="24"/>
          <w:szCs w:val="24"/>
          <w:lang w:val="es-ES_tradnl"/>
        </w:rPr>
        <w:t xml:space="preserve">ciertas </w:t>
      </w:r>
      <w:r w:rsidR="00283B15" w:rsidRPr="00F514E8">
        <w:rPr>
          <w:rFonts w:ascii="Arial" w:hAnsi="Arial" w:cs="Arial"/>
          <w:sz w:val="24"/>
          <w:szCs w:val="24"/>
          <w:lang w:val="es-ES_tradnl"/>
        </w:rPr>
        <w:t xml:space="preserve">operaciones de FONADE. </w:t>
      </w:r>
      <w:r w:rsidR="00411E3B" w:rsidRPr="00F514E8">
        <w:rPr>
          <w:rFonts w:ascii="Arial" w:hAnsi="Arial" w:cs="Arial"/>
          <w:sz w:val="24"/>
          <w:szCs w:val="24"/>
          <w:lang w:val="es-ES_tradnl"/>
        </w:rPr>
        <w:t xml:space="preserve">Adicionalmente, </w:t>
      </w:r>
      <w:r w:rsidR="007F57E4" w:rsidRPr="00F514E8">
        <w:rPr>
          <w:rFonts w:ascii="Arial" w:hAnsi="Arial" w:cs="Arial"/>
          <w:sz w:val="24"/>
          <w:szCs w:val="24"/>
          <w:lang w:val="es-ES_tradnl"/>
        </w:rPr>
        <w:t xml:space="preserve">el artículo 1.2.1.6.6 del mismo </w:t>
      </w:r>
      <w:r w:rsidR="004667E7" w:rsidRPr="00F514E8">
        <w:rPr>
          <w:rFonts w:ascii="Arial" w:hAnsi="Arial" w:cs="Arial"/>
          <w:sz w:val="24"/>
          <w:szCs w:val="24"/>
          <w:lang w:val="es-ES_tradnl"/>
        </w:rPr>
        <w:t>d</w:t>
      </w:r>
      <w:r w:rsidR="007F57E4" w:rsidRPr="00F514E8">
        <w:rPr>
          <w:rFonts w:ascii="Arial" w:hAnsi="Arial" w:cs="Arial"/>
          <w:sz w:val="24"/>
          <w:szCs w:val="24"/>
          <w:lang w:val="es-ES_tradnl"/>
        </w:rPr>
        <w:t xml:space="preserve">ecreto, que subrogó el artículo 77 del </w:t>
      </w:r>
      <w:r w:rsidR="004667E7" w:rsidRPr="00F514E8">
        <w:rPr>
          <w:rFonts w:ascii="Arial" w:hAnsi="Arial" w:cs="Arial"/>
          <w:sz w:val="24"/>
          <w:szCs w:val="24"/>
          <w:lang w:val="es-ES_tradnl"/>
        </w:rPr>
        <w:t>d</w:t>
      </w:r>
      <w:r w:rsidR="007F57E4" w:rsidRPr="00F514E8">
        <w:rPr>
          <w:rFonts w:ascii="Arial" w:hAnsi="Arial" w:cs="Arial"/>
          <w:sz w:val="24"/>
          <w:szCs w:val="24"/>
          <w:lang w:val="es-ES_tradnl"/>
        </w:rPr>
        <w:t>ecreto 4327 de 2005, señala que</w:t>
      </w:r>
      <w:r w:rsidR="00EF4242" w:rsidRPr="00F514E8">
        <w:rPr>
          <w:rFonts w:ascii="Arial" w:hAnsi="Arial" w:cs="Arial"/>
          <w:sz w:val="24"/>
          <w:szCs w:val="24"/>
          <w:lang w:val="es-ES_tradnl"/>
        </w:rPr>
        <w:t xml:space="preserve"> </w:t>
      </w:r>
      <w:r w:rsidR="007F57E4" w:rsidRPr="00F514E8">
        <w:rPr>
          <w:rFonts w:ascii="Arial" w:hAnsi="Arial" w:cs="Arial"/>
          <w:sz w:val="24"/>
          <w:szCs w:val="24"/>
          <w:lang w:val="es-ES_tradnl"/>
        </w:rPr>
        <w:t>“</w:t>
      </w:r>
      <w:r w:rsidR="007F57E4" w:rsidRPr="00F514E8">
        <w:rPr>
          <w:rFonts w:ascii="Arial" w:hAnsi="Arial" w:cs="Arial"/>
          <w:i/>
          <w:sz w:val="24"/>
          <w:szCs w:val="24"/>
          <w:lang w:val="es-ES_tradnl"/>
        </w:rPr>
        <w:t xml:space="preserve">para los efectos del presente Título </w:t>
      </w:r>
      <w:r w:rsidR="007F57E4" w:rsidRPr="00F514E8">
        <w:rPr>
          <w:rFonts w:ascii="Arial" w:hAnsi="Arial" w:cs="Arial"/>
          <w:sz w:val="24"/>
          <w:szCs w:val="24"/>
          <w:lang w:val="es-ES_tradnl"/>
        </w:rPr>
        <w:t>(</w:t>
      </w:r>
      <w:r w:rsidR="00C075C7" w:rsidRPr="00F514E8">
        <w:rPr>
          <w:rFonts w:ascii="Arial" w:hAnsi="Arial" w:cs="Arial"/>
          <w:sz w:val="24"/>
          <w:szCs w:val="24"/>
          <w:lang w:val="es-ES_tradnl"/>
        </w:rPr>
        <w:t xml:space="preserve">se refiere </w:t>
      </w:r>
      <w:r w:rsidR="007F57E4" w:rsidRPr="00F514E8">
        <w:rPr>
          <w:rFonts w:ascii="Arial" w:hAnsi="Arial" w:cs="Arial"/>
          <w:sz w:val="24"/>
          <w:szCs w:val="24"/>
          <w:lang w:val="es-ES_tradnl"/>
        </w:rPr>
        <w:t>a</w:t>
      </w:r>
      <w:r w:rsidR="00127741" w:rsidRPr="00F514E8">
        <w:rPr>
          <w:rFonts w:ascii="Arial" w:hAnsi="Arial" w:cs="Arial"/>
          <w:sz w:val="24"/>
          <w:szCs w:val="24"/>
          <w:lang w:val="es-ES_tradnl"/>
        </w:rPr>
        <w:t xml:space="preserve"> </w:t>
      </w:r>
      <w:r w:rsidR="007F57E4" w:rsidRPr="00F514E8">
        <w:rPr>
          <w:rFonts w:ascii="Arial" w:hAnsi="Arial" w:cs="Arial"/>
          <w:sz w:val="24"/>
          <w:szCs w:val="24"/>
          <w:lang w:val="es-ES_tradnl"/>
        </w:rPr>
        <w:t xml:space="preserve">las funciones de la Superintendencia Financiera) </w:t>
      </w:r>
      <w:r w:rsidR="007F57E4" w:rsidRPr="00F514E8">
        <w:rPr>
          <w:rFonts w:ascii="Arial" w:hAnsi="Arial" w:cs="Arial"/>
          <w:i/>
          <w:sz w:val="24"/>
          <w:szCs w:val="24"/>
          <w:lang w:val="es-ES_tradnl"/>
        </w:rPr>
        <w:t xml:space="preserve">son </w:t>
      </w:r>
      <w:r w:rsidR="007F57E4" w:rsidRPr="00F514E8">
        <w:rPr>
          <w:rFonts w:ascii="Arial" w:hAnsi="Arial" w:cs="Arial"/>
          <w:b/>
          <w:i/>
          <w:sz w:val="24"/>
          <w:szCs w:val="24"/>
          <w:lang w:val="es-ES_tradnl"/>
        </w:rPr>
        <w:t>intermediarios financieros</w:t>
      </w:r>
      <w:r w:rsidR="007F57E4" w:rsidRPr="00F514E8">
        <w:rPr>
          <w:rFonts w:ascii="Arial" w:hAnsi="Arial" w:cs="Arial"/>
          <w:i/>
          <w:sz w:val="24"/>
          <w:szCs w:val="24"/>
          <w:lang w:val="es-ES_tradnl"/>
        </w:rPr>
        <w:t xml:space="preserve"> los bancos, las corporaciones financieras, las compañías de financiamiento, las cooperativas financieras, las secciones de ahorro y crédito de las cajas de compensación, las oficinas de representación de entidades financieras del exterior, y las </w:t>
      </w:r>
      <w:r w:rsidR="007F57E4" w:rsidRPr="00F514E8">
        <w:rPr>
          <w:rFonts w:ascii="Arial" w:hAnsi="Arial" w:cs="Arial"/>
          <w:b/>
          <w:i/>
          <w:sz w:val="24"/>
          <w:szCs w:val="24"/>
          <w:lang w:val="es-ES_tradnl"/>
        </w:rPr>
        <w:t>entidades públicas de carácter especial</w:t>
      </w:r>
      <w:r w:rsidR="007F57E4" w:rsidRPr="00F514E8">
        <w:rPr>
          <w:rFonts w:ascii="Arial" w:hAnsi="Arial" w:cs="Arial"/>
          <w:i/>
          <w:sz w:val="24"/>
          <w:szCs w:val="24"/>
          <w:lang w:val="es-ES_tradnl"/>
        </w:rPr>
        <w:t xml:space="preserve"> como el Banco de la República, FINAGRO, FOGACOOP, FOGAFIN, </w:t>
      </w:r>
      <w:r w:rsidR="007F57E4" w:rsidRPr="00F514E8">
        <w:rPr>
          <w:rFonts w:ascii="Arial" w:hAnsi="Arial" w:cs="Arial"/>
          <w:b/>
          <w:i/>
          <w:sz w:val="24"/>
          <w:szCs w:val="24"/>
          <w:lang w:val="es-ES_tradnl"/>
        </w:rPr>
        <w:t>FONADE</w:t>
      </w:r>
      <w:r w:rsidR="007F57E4" w:rsidRPr="00F514E8">
        <w:rPr>
          <w:rFonts w:ascii="Arial" w:hAnsi="Arial" w:cs="Arial"/>
          <w:i/>
          <w:sz w:val="24"/>
          <w:szCs w:val="24"/>
          <w:lang w:val="es-ES_tradnl"/>
        </w:rPr>
        <w:t>, FINDETER</w:t>
      </w:r>
      <w:r w:rsidR="00C075C7" w:rsidRPr="00F514E8">
        <w:rPr>
          <w:rFonts w:ascii="Arial" w:hAnsi="Arial" w:cs="Arial"/>
          <w:i/>
          <w:sz w:val="24"/>
          <w:szCs w:val="24"/>
          <w:lang w:val="es-ES_tradnl"/>
        </w:rPr>
        <w:t>…</w:t>
      </w:r>
      <w:r w:rsidR="007F57E4" w:rsidRPr="00F514E8">
        <w:rPr>
          <w:rFonts w:ascii="Arial" w:hAnsi="Arial" w:cs="Arial"/>
          <w:i/>
          <w:sz w:val="24"/>
          <w:szCs w:val="24"/>
          <w:lang w:val="es-ES_tradnl"/>
        </w:rPr>
        <w:t xml:space="preserve">” </w:t>
      </w:r>
      <w:r w:rsidR="007F57E4" w:rsidRPr="00F514E8">
        <w:rPr>
          <w:rFonts w:ascii="Arial" w:hAnsi="Arial" w:cs="Arial"/>
          <w:sz w:val="24"/>
          <w:szCs w:val="24"/>
          <w:lang w:val="es-ES_tradnl"/>
        </w:rPr>
        <w:t>(</w:t>
      </w:r>
      <w:r w:rsidR="004862E0" w:rsidRPr="00F514E8">
        <w:rPr>
          <w:rFonts w:ascii="Arial" w:hAnsi="Arial" w:cs="Arial"/>
          <w:sz w:val="24"/>
          <w:szCs w:val="24"/>
          <w:lang w:val="es-ES_tradnl"/>
        </w:rPr>
        <w:t>destaca la Sala</w:t>
      </w:r>
      <w:r w:rsidR="007F57E4" w:rsidRPr="00F514E8">
        <w:rPr>
          <w:rFonts w:ascii="Arial" w:hAnsi="Arial" w:cs="Arial"/>
          <w:sz w:val="24"/>
          <w:szCs w:val="24"/>
          <w:lang w:val="es-ES_tradnl"/>
        </w:rPr>
        <w:t>)</w:t>
      </w:r>
      <w:r w:rsidR="004667E7" w:rsidRPr="00F514E8">
        <w:rPr>
          <w:rFonts w:ascii="Arial" w:hAnsi="Arial" w:cs="Arial"/>
          <w:sz w:val="24"/>
          <w:szCs w:val="24"/>
          <w:lang w:val="es-ES_tradnl"/>
        </w:rPr>
        <w:t xml:space="preserve">, siendo pertinente recordar que </w:t>
      </w:r>
      <w:r w:rsidR="004667E7" w:rsidRPr="00F514E8">
        <w:rPr>
          <w:rFonts w:ascii="Arial" w:hAnsi="Arial" w:cs="Arial"/>
          <w:sz w:val="24"/>
          <w:szCs w:val="24"/>
          <w:lang w:val="es-ES_tradnl"/>
        </w:rPr>
        <w:lastRenderedPageBreak/>
        <w:t>los “intermediarios financieros” son una especie o clase de entidad o institución financiera</w:t>
      </w:r>
      <w:r w:rsidR="007F57E4" w:rsidRPr="00F514E8">
        <w:rPr>
          <w:rFonts w:ascii="Arial" w:hAnsi="Arial" w:cs="Arial"/>
          <w:sz w:val="24"/>
          <w:szCs w:val="24"/>
          <w:lang w:val="es-ES_tradnl"/>
        </w:rPr>
        <w:t xml:space="preserve">. </w:t>
      </w:r>
    </w:p>
    <w:p w14:paraId="3D664253" w14:textId="77777777" w:rsidR="00283B15" w:rsidRPr="00F514E8" w:rsidRDefault="00283B15" w:rsidP="00725D19">
      <w:pPr>
        <w:spacing w:after="0" w:line="240" w:lineRule="auto"/>
        <w:ind w:right="-198"/>
        <w:jc w:val="both"/>
        <w:rPr>
          <w:rFonts w:ascii="Arial" w:hAnsi="Arial" w:cs="Arial"/>
          <w:sz w:val="24"/>
          <w:szCs w:val="24"/>
          <w:lang w:val="es-ES_tradnl"/>
        </w:rPr>
      </w:pPr>
    </w:p>
    <w:p w14:paraId="170B3921" w14:textId="77777777" w:rsidR="00772C9C" w:rsidRPr="00F514E8" w:rsidRDefault="00604403"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4.</w:t>
      </w:r>
      <w:r w:rsidR="004667E7" w:rsidRPr="00F514E8">
        <w:rPr>
          <w:rFonts w:ascii="Arial" w:hAnsi="Arial" w:cs="Arial"/>
          <w:sz w:val="24"/>
          <w:szCs w:val="24"/>
          <w:lang w:val="es-ES_tradnl"/>
        </w:rPr>
        <w:t xml:space="preserve"> Por otra parte</w:t>
      </w:r>
      <w:r w:rsidR="00772C9C" w:rsidRPr="00F514E8">
        <w:rPr>
          <w:rFonts w:ascii="Arial" w:hAnsi="Arial" w:cs="Arial"/>
          <w:sz w:val="24"/>
          <w:szCs w:val="24"/>
          <w:lang w:val="es-ES_tradnl"/>
        </w:rPr>
        <w:t xml:space="preserve">, esta Sala, en </w:t>
      </w:r>
      <w:r w:rsidR="004862E0" w:rsidRPr="00F514E8">
        <w:rPr>
          <w:rFonts w:ascii="Arial" w:hAnsi="Arial" w:cs="Arial"/>
          <w:sz w:val="24"/>
          <w:szCs w:val="24"/>
          <w:lang w:val="es-ES_tradnl"/>
        </w:rPr>
        <w:t xml:space="preserve">diversas </w:t>
      </w:r>
      <w:r w:rsidR="00772C9C" w:rsidRPr="00F514E8">
        <w:rPr>
          <w:rFonts w:ascii="Arial" w:hAnsi="Arial" w:cs="Arial"/>
          <w:sz w:val="24"/>
          <w:szCs w:val="24"/>
          <w:lang w:val="es-ES_tradnl"/>
        </w:rPr>
        <w:t>oportunidades, así como la</w:t>
      </w:r>
      <w:r w:rsidR="00041A3F" w:rsidRPr="00F514E8">
        <w:rPr>
          <w:rFonts w:ascii="Arial" w:hAnsi="Arial" w:cs="Arial"/>
          <w:sz w:val="24"/>
          <w:szCs w:val="24"/>
          <w:lang w:val="es-ES_tradnl"/>
        </w:rPr>
        <w:t xml:space="preserve"> doctrina de la antigua Superintendencia Bancaria y de la actual Superintendencia Financiera, </w:t>
      </w:r>
      <w:r w:rsidR="00772C9C" w:rsidRPr="00F514E8">
        <w:rPr>
          <w:rFonts w:ascii="Arial" w:hAnsi="Arial" w:cs="Arial"/>
          <w:sz w:val="24"/>
          <w:szCs w:val="24"/>
          <w:lang w:val="es-ES_tradnl"/>
        </w:rPr>
        <w:t>han reconocido el carácter de “entidad financiera” que tiene FONADE</w:t>
      </w:r>
      <w:r w:rsidR="004667E7" w:rsidRPr="00F514E8">
        <w:rPr>
          <w:rFonts w:ascii="Arial" w:hAnsi="Arial" w:cs="Arial"/>
          <w:sz w:val="24"/>
          <w:szCs w:val="24"/>
          <w:lang w:val="es-ES_tradnl"/>
        </w:rPr>
        <w:t>, en particular,</w:t>
      </w:r>
      <w:r w:rsidR="00772C9C" w:rsidRPr="00F514E8">
        <w:rPr>
          <w:rFonts w:ascii="Arial" w:hAnsi="Arial" w:cs="Arial"/>
          <w:sz w:val="24"/>
          <w:szCs w:val="24"/>
          <w:lang w:val="es-ES_tradnl"/>
        </w:rPr>
        <w:t xml:space="preserve"> </w:t>
      </w:r>
      <w:r w:rsidR="00411E3B" w:rsidRPr="00F514E8">
        <w:rPr>
          <w:rFonts w:ascii="Arial" w:hAnsi="Arial" w:cs="Arial"/>
          <w:sz w:val="24"/>
          <w:szCs w:val="24"/>
          <w:lang w:val="es-ES_tradnl"/>
        </w:rPr>
        <w:t>y</w:t>
      </w:r>
      <w:r w:rsidR="00772C9C" w:rsidRPr="00F514E8">
        <w:rPr>
          <w:rFonts w:ascii="Arial" w:hAnsi="Arial" w:cs="Arial"/>
          <w:sz w:val="24"/>
          <w:szCs w:val="24"/>
          <w:lang w:val="es-ES_tradnl"/>
        </w:rPr>
        <w:t xml:space="preserve"> en general, las entidades públicas u oficiales facultadas por la ley para realizar actividades </w:t>
      </w:r>
      <w:r w:rsidR="005079D1" w:rsidRPr="00F514E8">
        <w:rPr>
          <w:rFonts w:ascii="Arial" w:hAnsi="Arial" w:cs="Arial"/>
          <w:sz w:val="24"/>
          <w:szCs w:val="24"/>
          <w:lang w:val="es-ES_tradnl"/>
        </w:rPr>
        <w:t xml:space="preserve">financieras o </w:t>
      </w:r>
      <w:r w:rsidR="00772C9C" w:rsidRPr="00F514E8">
        <w:rPr>
          <w:rFonts w:ascii="Arial" w:hAnsi="Arial" w:cs="Arial"/>
          <w:sz w:val="24"/>
          <w:szCs w:val="24"/>
          <w:lang w:val="es-ES_tradnl"/>
        </w:rPr>
        <w:t>asegurador</w:t>
      </w:r>
      <w:r w:rsidR="005079D1" w:rsidRPr="00F514E8">
        <w:rPr>
          <w:rFonts w:ascii="Arial" w:hAnsi="Arial" w:cs="Arial"/>
          <w:sz w:val="24"/>
          <w:szCs w:val="24"/>
          <w:lang w:val="es-ES_tradnl"/>
        </w:rPr>
        <w:t xml:space="preserve">as. </w:t>
      </w:r>
    </w:p>
    <w:p w14:paraId="249B6BB3" w14:textId="77777777" w:rsidR="00772C9C" w:rsidRPr="00F514E8" w:rsidRDefault="00772C9C" w:rsidP="00725D19">
      <w:pPr>
        <w:spacing w:after="0" w:line="240" w:lineRule="auto"/>
        <w:ind w:right="-198"/>
        <w:jc w:val="both"/>
        <w:rPr>
          <w:rFonts w:ascii="Arial" w:hAnsi="Arial" w:cs="Arial"/>
          <w:sz w:val="24"/>
          <w:szCs w:val="24"/>
          <w:lang w:val="es-ES_tradnl"/>
        </w:rPr>
      </w:pPr>
    </w:p>
    <w:p w14:paraId="797F7B27" w14:textId="77777777" w:rsidR="00CA0929" w:rsidRPr="00F514E8" w:rsidRDefault="00772C9C"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Así, por ejemplo, en el concepto </w:t>
      </w:r>
      <w:proofErr w:type="spellStart"/>
      <w:r w:rsidRPr="00F514E8">
        <w:rPr>
          <w:rFonts w:ascii="Arial" w:hAnsi="Arial" w:cs="Arial"/>
          <w:sz w:val="24"/>
          <w:szCs w:val="24"/>
          <w:lang w:val="es-ES_tradnl"/>
        </w:rPr>
        <w:t>Nº</w:t>
      </w:r>
      <w:proofErr w:type="spellEnd"/>
      <w:r w:rsidRPr="00F514E8">
        <w:rPr>
          <w:rFonts w:ascii="Arial" w:hAnsi="Arial" w:cs="Arial"/>
          <w:sz w:val="24"/>
          <w:szCs w:val="24"/>
          <w:lang w:val="es-ES_tradnl"/>
        </w:rPr>
        <w:t xml:space="preserve"> </w:t>
      </w:r>
      <w:r w:rsidR="00CA0929" w:rsidRPr="00F514E8">
        <w:rPr>
          <w:rFonts w:ascii="Arial" w:hAnsi="Arial" w:cs="Arial"/>
          <w:sz w:val="24"/>
          <w:szCs w:val="24"/>
          <w:lang w:val="es-ES_tradnl"/>
        </w:rPr>
        <w:t>1773</w:t>
      </w:r>
      <w:r w:rsidR="005079D1" w:rsidRPr="00F514E8">
        <w:rPr>
          <w:rStyle w:val="Refdenotaalpie"/>
          <w:rFonts w:ascii="Arial" w:hAnsi="Arial" w:cs="Arial"/>
          <w:sz w:val="24"/>
          <w:szCs w:val="24"/>
          <w:lang w:val="es-ES_tradnl"/>
        </w:rPr>
        <w:footnoteReference w:id="10"/>
      </w:r>
      <w:r w:rsidR="005079D1" w:rsidRPr="00F514E8">
        <w:rPr>
          <w:rFonts w:ascii="Arial" w:hAnsi="Arial" w:cs="Arial"/>
          <w:sz w:val="24"/>
          <w:szCs w:val="24"/>
          <w:lang w:val="es-ES_tradnl"/>
        </w:rPr>
        <w:t>,</w:t>
      </w:r>
      <w:r w:rsidR="00CA0929" w:rsidRPr="00F514E8">
        <w:rPr>
          <w:rFonts w:ascii="Arial" w:hAnsi="Arial" w:cs="Arial"/>
          <w:sz w:val="24"/>
          <w:szCs w:val="24"/>
          <w:lang w:val="es-ES_tradnl"/>
        </w:rPr>
        <w:t xml:space="preserve"> referente a la propiedad de los rendimientos financieros provenientes de recursos ejecutados por los establecimientos públicos </w:t>
      </w:r>
      <w:r w:rsidR="005079D1" w:rsidRPr="00F514E8">
        <w:rPr>
          <w:rFonts w:ascii="Arial" w:hAnsi="Arial" w:cs="Arial"/>
          <w:sz w:val="24"/>
          <w:szCs w:val="24"/>
          <w:lang w:val="es-ES_tradnl"/>
        </w:rPr>
        <w:t xml:space="preserve">del </w:t>
      </w:r>
      <w:r w:rsidR="00CA0929" w:rsidRPr="00F514E8">
        <w:rPr>
          <w:rFonts w:ascii="Arial" w:hAnsi="Arial" w:cs="Arial"/>
          <w:sz w:val="24"/>
          <w:szCs w:val="24"/>
          <w:lang w:val="es-ES_tradnl"/>
        </w:rPr>
        <w:t xml:space="preserve">nivel nacional, la Sala manifestó: </w:t>
      </w:r>
    </w:p>
    <w:p w14:paraId="2AA49229" w14:textId="77777777" w:rsidR="00CA0929" w:rsidRPr="00F514E8" w:rsidRDefault="00CA0929" w:rsidP="00725D19">
      <w:pPr>
        <w:spacing w:after="0" w:line="240" w:lineRule="auto"/>
        <w:ind w:right="-198"/>
        <w:jc w:val="both"/>
        <w:rPr>
          <w:rFonts w:ascii="Arial" w:hAnsi="Arial" w:cs="Arial"/>
          <w:sz w:val="24"/>
          <w:szCs w:val="24"/>
          <w:lang w:val="es-ES_tradnl"/>
        </w:rPr>
      </w:pPr>
    </w:p>
    <w:p w14:paraId="068806A4" w14:textId="77777777" w:rsidR="00CA0929" w:rsidRPr="00F514E8" w:rsidRDefault="00CA0929" w:rsidP="004862E0">
      <w:pPr>
        <w:spacing w:after="0" w:line="240" w:lineRule="auto"/>
        <w:ind w:left="426" w:right="-198"/>
        <w:jc w:val="both"/>
        <w:rPr>
          <w:rFonts w:ascii="Arial" w:hAnsi="Arial" w:cs="Arial"/>
          <w:i/>
          <w:lang w:val="es-ES_tradnl"/>
        </w:rPr>
      </w:pPr>
      <w:r w:rsidRPr="00F514E8">
        <w:rPr>
          <w:rFonts w:ascii="Arial" w:hAnsi="Arial" w:cs="Arial"/>
          <w:lang w:val="es-ES_tradnl"/>
        </w:rPr>
        <w:t>“</w:t>
      </w:r>
      <w:r w:rsidRPr="00F514E8">
        <w:rPr>
          <w:rFonts w:ascii="Arial" w:hAnsi="Arial" w:cs="Arial"/>
          <w:i/>
          <w:lang w:val="es-ES_tradnl"/>
        </w:rPr>
        <w:t xml:space="preserve">(…) El artículo 40 se refiere en concreto a los recursos del Presupuesto General de la Nación que se ejecutan a través de convenios o contratos que celebran los órganos que conforman ese presupuesto, </w:t>
      </w:r>
      <w:r w:rsidRPr="00F514E8">
        <w:rPr>
          <w:rFonts w:ascii="Arial" w:hAnsi="Arial" w:cs="Arial"/>
          <w:b/>
          <w:i/>
          <w:lang w:val="es-ES_tradnl"/>
        </w:rPr>
        <w:t>con entidades financieras</w:t>
      </w:r>
      <w:r w:rsidRPr="00F514E8">
        <w:rPr>
          <w:rFonts w:ascii="Arial" w:hAnsi="Arial" w:cs="Arial"/>
          <w:i/>
          <w:lang w:val="es-ES_tradnl"/>
        </w:rPr>
        <w:t>. Desagrega</w:t>
      </w:r>
      <w:r w:rsidR="004862E0" w:rsidRPr="00F514E8">
        <w:rPr>
          <w:rFonts w:ascii="Arial" w:hAnsi="Arial" w:cs="Arial"/>
          <w:i/>
          <w:lang w:val="es-ES_tradnl"/>
        </w:rPr>
        <w:t xml:space="preserve">ndo su contenido se tiene que: </w:t>
      </w:r>
    </w:p>
    <w:p w14:paraId="2B736997" w14:textId="77777777" w:rsidR="00283B15" w:rsidRPr="00F514E8" w:rsidRDefault="00CA0929" w:rsidP="00725D19">
      <w:pPr>
        <w:spacing w:after="0" w:line="240" w:lineRule="auto"/>
        <w:ind w:left="426" w:right="-198"/>
        <w:jc w:val="both"/>
        <w:rPr>
          <w:rFonts w:ascii="Arial" w:hAnsi="Arial" w:cs="Arial"/>
          <w:lang w:val="es-ES_tradnl"/>
        </w:rPr>
      </w:pPr>
      <w:r w:rsidRPr="00F514E8">
        <w:rPr>
          <w:rFonts w:ascii="Arial" w:hAnsi="Arial" w:cs="Arial"/>
          <w:i/>
          <w:lang w:val="es-ES_tradnl"/>
        </w:rPr>
        <w:t xml:space="preserve">“a) </w:t>
      </w:r>
      <w:r w:rsidRPr="00F514E8">
        <w:rPr>
          <w:rFonts w:ascii="Arial" w:hAnsi="Arial" w:cs="Arial"/>
          <w:b/>
          <w:i/>
          <w:lang w:val="es-ES_tradnl"/>
        </w:rPr>
        <w:t>aplica a las entidades financieras en general; FONADE tiene ese carácter</w:t>
      </w:r>
      <w:r w:rsidR="004862E0" w:rsidRPr="00F514E8">
        <w:rPr>
          <w:rFonts w:ascii="Arial" w:hAnsi="Arial" w:cs="Arial"/>
          <w:i/>
          <w:lang w:val="es-ES_tradnl"/>
        </w:rPr>
        <w:t xml:space="preserve"> </w:t>
      </w:r>
      <w:r w:rsidRPr="00F514E8">
        <w:rPr>
          <w:rFonts w:ascii="Arial" w:hAnsi="Arial" w:cs="Arial"/>
          <w:i/>
          <w:lang w:val="es-ES_tradnl"/>
        </w:rPr>
        <w:t>(…)”</w:t>
      </w:r>
      <w:r w:rsidR="00411E3B" w:rsidRPr="00F514E8">
        <w:rPr>
          <w:rFonts w:ascii="Arial" w:hAnsi="Arial" w:cs="Arial"/>
          <w:lang w:val="es-ES_tradnl"/>
        </w:rPr>
        <w:t xml:space="preserve"> (Resalta la Sala).</w:t>
      </w:r>
      <w:r w:rsidRPr="00F514E8">
        <w:rPr>
          <w:rFonts w:ascii="Arial" w:hAnsi="Arial" w:cs="Arial"/>
          <w:i/>
          <w:lang w:val="es-ES_tradnl"/>
        </w:rPr>
        <w:t xml:space="preserve"> </w:t>
      </w:r>
    </w:p>
    <w:p w14:paraId="05A69F8C" w14:textId="77777777" w:rsidR="00283B15" w:rsidRPr="00F514E8" w:rsidRDefault="00283B15" w:rsidP="00725D19">
      <w:pPr>
        <w:spacing w:after="0" w:line="240" w:lineRule="auto"/>
        <w:ind w:right="-198"/>
        <w:jc w:val="both"/>
        <w:rPr>
          <w:rFonts w:ascii="Arial" w:hAnsi="Arial" w:cs="Arial"/>
          <w:sz w:val="24"/>
          <w:szCs w:val="24"/>
          <w:lang w:val="es-ES_tradnl"/>
        </w:rPr>
      </w:pPr>
    </w:p>
    <w:p w14:paraId="64438198" w14:textId="77777777" w:rsidR="00CA0929" w:rsidRPr="00F514E8" w:rsidRDefault="00041A3F"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Y en el concepto </w:t>
      </w:r>
      <w:proofErr w:type="spellStart"/>
      <w:r w:rsidRPr="00F514E8">
        <w:rPr>
          <w:rFonts w:ascii="Arial" w:hAnsi="Arial" w:cs="Arial"/>
          <w:sz w:val="24"/>
          <w:szCs w:val="24"/>
          <w:lang w:val="es-ES_tradnl"/>
        </w:rPr>
        <w:t>Nº</w:t>
      </w:r>
      <w:proofErr w:type="spellEnd"/>
      <w:r w:rsidRPr="00F514E8">
        <w:rPr>
          <w:rFonts w:ascii="Arial" w:hAnsi="Arial" w:cs="Arial"/>
          <w:sz w:val="24"/>
          <w:szCs w:val="24"/>
          <w:lang w:val="es-ES_tradnl"/>
        </w:rPr>
        <w:t xml:space="preserve"> 1488</w:t>
      </w:r>
      <w:r w:rsidR="005079D1" w:rsidRPr="00F514E8">
        <w:rPr>
          <w:rStyle w:val="Refdenotaalpie"/>
          <w:rFonts w:ascii="Arial" w:hAnsi="Arial" w:cs="Arial"/>
          <w:sz w:val="24"/>
          <w:szCs w:val="24"/>
          <w:lang w:val="es-ES_tradnl"/>
        </w:rPr>
        <w:footnoteReference w:id="11"/>
      </w:r>
      <w:r w:rsidR="005079D1" w:rsidRPr="00F514E8">
        <w:rPr>
          <w:rFonts w:ascii="Arial" w:hAnsi="Arial" w:cs="Arial"/>
          <w:sz w:val="24"/>
          <w:szCs w:val="24"/>
          <w:lang w:val="es-ES_tradnl"/>
        </w:rPr>
        <w:t>,</w:t>
      </w:r>
      <w:r w:rsidRPr="00F514E8">
        <w:rPr>
          <w:rFonts w:ascii="Arial" w:hAnsi="Arial" w:cs="Arial"/>
          <w:sz w:val="24"/>
          <w:szCs w:val="24"/>
          <w:lang w:val="es-ES_tradnl"/>
        </w:rPr>
        <w:t xml:space="preserve"> </w:t>
      </w:r>
      <w:r w:rsidR="001246D3" w:rsidRPr="00F514E8">
        <w:rPr>
          <w:rFonts w:ascii="Arial" w:hAnsi="Arial" w:cs="Arial"/>
          <w:sz w:val="24"/>
          <w:szCs w:val="24"/>
          <w:lang w:val="es-ES_tradnl"/>
        </w:rPr>
        <w:t xml:space="preserve">la Sala de Consulta y Servicio Civil señaló: </w:t>
      </w:r>
    </w:p>
    <w:p w14:paraId="0CCF85DB" w14:textId="77777777" w:rsidR="001246D3" w:rsidRDefault="001246D3" w:rsidP="00725D19">
      <w:pPr>
        <w:spacing w:after="0" w:line="240" w:lineRule="auto"/>
        <w:ind w:right="-198"/>
        <w:jc w:val="both"/>
        <w:rPr>
          <w:rFonts w:ascii="Arial" w:hAnsi="Arial" w:cs="Arial"/>
          <w:sz w:val="24"/>
          <w:szCs w:val="24"/>
          <w:lang w:val="es-ES_tradnl"/>
        </w:rPr>
      </w:pPr>
    </w:p>
    <w:p w14:paraId="104EC9AD" w14:textId="77777777" w:rsidR="007D7D76" w:rsidRPr="00F514E8" w:rsidRDefault="007D7D76" w:rsidP="00725D19">
      <w:pPr>
        <w:spacing w:after="0" w:line="240" w:lineRule="auto"/>
        <w:ind w:right="-198"/>
        <w:jc w:val="both"/>
        <w:rPr>
          <w:rFonts w:ascii="Arial" w:hAnsi="Arial" w:cs="Arial"/>
          <w:sz w:val="24"/>
          <w:szCs w:val="24"/>
          <w:lang w:val="es-ES_tradnl"/>
        </w:rPr>
      </w:pPr>
    </w:p>
    <w:p w14:paraId="399B9E48" w14:textId="77777777" w:rsidR="001246D3" w:rsidRPr="00F514E8" w:rsidRDefault="001246D3" w:rsidP="00725D19">
      <w:pPr>
        <w:spacing w:after="0" w:line="240" w:lineRule="auto"/>
        <w:ind w:left="426" w:right="-198"/>
        <w:jc w:val="both"/>
        <w:rPr>
          <w:rFonts w:ascii="Arial" w:hAnsi="Arial" w:cs="Arial"/>
          <w:lang w:val="es-ES_tradnl"/>
        </w:rPr>
      </w:pPr>
      <w:r w:rsidRPr="00F514E8">
        <w:rPr>
          <w:rFonts w:ascii="Arial" w:hAnsi="Arial" w:cs="Arial"/>
          <w:lang w:val="es-ES_tradnl"/>
        </w:rPr>
        <w:t>“</w:t>
      </w:r>
      <w:r w:rsidRPr="00F514E8">
        <w:rPr>
          <w:rFonts w:ascii="Arial" w:hAnsi="Arial" w:cs="Arial"/>
          <w:i/>
          <w:lang w:val="es-ES_tradnl"/>
        </w:rPr>
        <w:t>Dado este carácter reglado de la actividad financiera y del sector asegurador, las actividades principales que se incluyen en el objeto social serán las previstas en el Estatuto Orgánico del Sistema Financiero, en los estatutos internos que las rijan y en los certificados de autorización, como también las que de orden especial se consagren para entidades determinadas, tal es el caso de las disposiciones aplicables a las entidades de participación estatal, como FINAGRO, BCH en liquidación, Caja de Crédito Agrar</w:t>
      </w:r>
      <w:r w:rsidR="00EF4242" w:rsidRPr="00F514E8">
        <w:rPr>
          <w:rFonts w:ascii="Arial" w:hAnsi="Arial" w:cs="Arial"/>
          <w:i/>
          <w:lang w:val="es-ES_tradnl"/>
        </w:rPr>
        <w:t>io en liquidación, IFI, FEN …”</w:t>
      </w:r>
    </w:p>
    <w:p w14:paraId="2213FEFC" w14:textId="77777777" w:rsidR="001246D3" w:rsidRDefault="001246D3" w:rsidP="00725D19">
      <w:pPr>
        <w:spacing w:after="0" w:line="240" w:lineRule="auto"/>
        <w:ind w:right="-198"/>
        <w:jc w:val="both"/>
        <w:rPr>
          <w:rFonts w:ascii="Arial" w:hAnsi="Arial" w:cs="Arial"/>
          <w:sz w:val="24"/>
          <w:szCs w:val="24"/>
          <w:lang w:val="es-ES_tradnl"/>
        </w:rPr>
      </w:pPr>
    </w:p>
    <w:p w14:paraId="7429C051" w14:textId="77777777" w:rsidR="007D7D76" w:rsidRPr="00F514E8" w:rsidRDefault="007D7D76" w:rsidP="00725D19">
      <w:pPr>
        <w:spacing w:after="0" w:line="240" w:lineRule="auto"/>
        <w:ind w:right="-198"/>
        <w:jc w:val="both"/>
        <w:rPr>
          <w:rFonts w:ascii="Arial" w:hAnsi="Arial" w:cs="Arial"/>
          <w:sz w:val="24"/>
          <w:szCs w:val="24"/>
          <w:lang w:val="es-ES_tradnl"/>
        </w:rPr>
      </w:pPr>
    </w:p>
    <w:p w14:paraId="00C3DB2A" w14:textId="77777777" w:rsidR="003138BE" w:rsidRPr="00F514E8" w:rsidRDefault="001246D3"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En cuanto a la doctrina de la extinta Superintendencia Bancaria y de la actual Superintendencia Financiera, aun cuando en ocasiones</w:t>
      </w:r>
      <w:r w:rsidR="005079D1" w:rsidRPr="00F514E8">
        <w:rPr>
          <w:rFonts w:ascii="Arial" w:hAnsi="Arial" w:cs="Arial"/>
          <w:sz w:val="24"/>
          <w:szCs w:val="24"/>
          <w:lang w:val="es-ES_tradnl"/>
        </w:rPr>
        <w:t xml:space="preserve"> dichas autoridades </w:t>
      </w:r>
      <w:r w:rsidRPr="00F514E8">
        <w:rPr>
          <w:rFonts w:ascii="Arial" w:hAnsi="Arial" w:cs="Arial"/>
          <w:sz w:val="24"/>
          <w:szCs w:val="24"/>
          <w:lang w:val="es-ES_tradnl"/>
        </w:rPr>
        <w:t>ha</w:t>
      </w:r>
      <w:r w:rsidR="005079D1" w:rsidRPr="00F514E8">
        <w:rPr>
          <w:rFonts w:ascii="Arial" w:hAnsi="Arial" w:cs="Arial"/>
          <w:sz w:val="24"/>
          <w:szCs w:val="24"/>
          <w:lang w:val="es-ES_tradnl"/>
        </w:rPr>
        <w:t>n</w:t>
      </w:r>
      <w:r w:rsidRPr="00F514E8">
        <w:rPr>
          <w:rFonts w:ascii="Arial" w:hAnsi="Arial" w:cs="Arial"/>
          <w:sz w:val="24"/>
          <w:szCs w:val="24"/>
          <w:lang w:val="es-ES_tradnl"/>
        </w:rPr>
        <w:t xml:space="preserve"> manifestado que el concepto de “institución financiera” debe reservarse a los tipos de entidades señalados en el artículo 1º del Estatuto Orgánico del Sistema Financiero</w:t>
      </w:r>
      <w:r w:rsidR="00021A42" w:rsidRPr="00F514E8">
        <w:rPr>
          <w:rStyle w:val="Refdenotaalpie"/>
          <w:rFonts w:ascii="Arial" w:hAnsi="Arial" w:cs="Arial"/>
          <w:sz w:val="24"/>
          <w:szCs w:val="24"/>
          <w:lang w:val="es-ES_tradnl"/>
        </w:rPr>
        <w:footnoteReference w:id="12"/>
      </w:r>
      <w:r w:rsidRPr="00F514E8">
        <w:rPr>
          <w:rFonts w:ascii="Arial" w:hAnsi="Arial" w:cs="Arial"/>
          <w:sz w:val="24"/>
          <w:szCs w:val="24"/>
          <w:lang w:val="es-ES_tradnl"/>
        </w:rPr>
        <w:t xml:space="preserve">, en otros conceptos </w:t>
      </w:r>
      <w:r w:rsidR="00127741" w:rsidRPr="00F514E8">
        <w:rPr>
          <w:rFonts w:ascii="Arial" w:hAnsi="Arial" w:cs="Arial"/>
          <w:sz w:val="24"/>
          <w:szCs w:val="24"/>
          <w:lang w:val="es-ES_tradnl"/>
        </w:rPr>
        <w:t xml:space="preserve">han reconocido </w:t>
      </w:r>
      <w:r w:rsidRPr="00F514E8">
        <w:rPr>
          <w:rFonts w:ascii="Arial" w:hAnsi="Arial" w:cs="Arial"/>
          <w:sz w:val="24"/>
          <w:szCs w:val="24"/>
          <w:lang w:val="es-ES_tradnl"/>
        </w:rPr>
        <w:t xml:space="preserve">el carácter de “entidad financiera” de </w:t>
      </w:r>
      <w:r w:rsidR="005079D1" w:rsidRPr="00F514E8">
        <w:rPr>
          <w:rFonts w:ascii="Arial" w:hAnsi="Arial" w:cs="Arial"/>
          <w:sz w:val="24"/>
          <w:szCs w:val="24"/>
          <w:lang w:val="es-ES_tradnl"/>
        </w:rPr>
        <w:t xml:space="preserve">las entidades públicas creadas o autorizadas por la ley </w:t>
      </w:r>
      <w:r w:rsidRPr="00F514E8">
        <w:rPr>
          <w:rFonts w:ascii="Arial" w:hAnsi="Arial" w:cs="Arial"/>
          <w:sz w:val="24"/>
          <w:szCs w:val="24"/>
          <w:lang w:val="es-ES_tradnl"/>
        </w:rPr>
        <w:t>para realizar actividades financieras o aseguradoras, tales como</w:t>
      </w:r>
      <w:r w:rsidR="003138BE" w:rsidRPr="00F514E8">
        <w:rPr>
          <w:rFonts w:ascii="Arial" w:hAnsi="Arial" w:cs="Arial"/>
          <w:sz w:val="24"/>
          <w:szCs w:val="24"/>
          <w:lang w:val="es-ES_tradnl"/>
        </w:rPr>
        <w:t xml:space="preserve"> el Fondo de Garantías de Instituciones Financieras - FOGAFÍN</w:t>
      </w:r>
      <w:r w:rsidR="003138BE" w:rsidRPr="00F514E8">
        <w:rPr>
          <w:rStyle w:val="Refdenotaalpie"/>
          <w:rFonts w:ascii="Arial" w:hAnsi="Arial" w:cs="Arial"/>
          <w:sz w:val="24"/>
          <w:szCs w:val="24"/>
          <w:lang w:val="es-ES_tradnl"/>
        </w:rPr>
        <w:footnoteReference w:id="13"/>
      </w:r>
      <w:r w:rsidR="003138BE" w:rsidRPr="00F514E8">
        <w:rPr>
          <w:rFonts w:ascii="Arial" w:hAnsi="Arial" w:cs="Arial"/>
          <w:sz w:val="24"/>
          <w:szCs w:val="24"/>
          <w:lang w:val="es-ES_tradnl"/>
        </w:rPr>
        <w:t>.</w:t>
      </w:r>
    </w:p>
    <w:p w14:paraId="74BB97EC" w14:textId="77777777" w:rsidR="003138BE" w:rsidRPr="00F514E8" w:rsidRDefault="003138BE" w:rsidP="00725D19">
      <w:pPr>
        <w:spacing w:after="0" w:line="240" w:lineRule="auto"/>
        <w:ind w:right="-198"/>
        <w:jc w:val="both"/>
        <w:rPr>
          <w:rFonts w:ascii="Arial" w:hAnsi="Arial" w:cs="Arial"/>
          <w:sz w:val="24"/>
          <w:szCs w:val="24"/>
          <w:lang w:val="es-ES_tradnl"/>
        </w:rPr>
      </w:pPr>
    </w:p>
    <w:p w14:paraId="5BC02561" w14:textId="77777777" w:rsidR="001246D3" w:rsidRPr="00F514E8" w:rsidRDefault="003101C6" w:rsidP="00725D19">
      <w:pPr>
        <w:spacing w:after="0" w:line="240" w:lineRule="auto"/>
        <w:ind w:right="-198"/>
        <w:jc w:val="both"/>
        <w:rPr>
          <w:rFonts w:ascii="Arial" w:hAnsi="Arial" w:cs="Arial"/>
          <w:sz w:val="24"/>
          <w:szCs w:val="24"/>
          <w:lang w:val="es-ES_tradnl"/>
        </w:rPr>
      </w:pPr>
      <w:r w:rsidRPr="00F514E8">
        <w:rPr>
          <w:rFonts w:ascii="Arial" w:hAnsi="Arial" w:cs="Arial"/>
          <w:sz w:val="24"/>
          <w:szCs w:val="24"/>
          <w:lang w:val="es-ES_tradnl"/>
        </w:rPr>
        <w:t xml:space="preserve">Las razones expuestas llevan a la Sala a concluir </w:t>
      </w:r>
      <w:r w:rsidR="003138BE" w:rsidRPr="00F514E8">
        <w:rPr>
          <w:rFonts w:ascii="Arial" w:hAnsi="Arial" w:cs="Arial"/>
          <w:sz w:val="24"/>
          <w:szCs w:val="24"/>
          <w:lang w:val="es-ES_tradnl"/>
        </w:rPr>
        <w:t>que el Fondo Financi</w:t>
      </w:r>
      <w:r w:rsidR="008B2F80" w:rsidRPr="00F514E8">
        <w:rPr>
          <w:rFonts w:ascii="Arial" w:hAnsi="Arial" w:cs="Arial"/>
          <w:sz w:val="24"/>
          <w:szCs w:val="24"/>
          <w:lang w:val="es-ES_tradnl"/>
        </w:rPr>
        <w:t>ero de Proyectos de Desarrollo - FONADE</w:t>
      </w:r>
      <w:r w:rsidR="003138BE" w:rsidRPr="00F514E8">
        <w:rPr>
          <w:rFonts w:ascii="Arial" w:hAnsi="Arial" w:cs="Arial"/>
          <w:sz w:val="24"/>
          <w:szCs w:val="24"/>
          <w:lang w:val="es-ES_tradnl"/>
        </w:rPr>
        <w:t xml:space="preserve"> es una entidad o institución financiera de carácter público.</w:t>
      </w:r>
      <w:r w:rsidR="001246D3" w:rsidRPr="00F514E8">
        <w:rPr>
          <w:rFonts w:ascii="Arial" w:hAnsi="Arial" w:cs="Arial"/>
          <w:sz w:val="24"/>
          <w:szCs w:val="24"/>
          <w:lang w:val="es-ES_tradnl"/>
        </w:rPr>
        <w:t xml:space="preserve">   </w:t>
      </w:r>
    </w:p>
    <w:p w14:paraId="7566EE26" w14:textId="77777777" w:rsidR="004E5D58" w:rsidRDefault="004E5D58" w:rsidP="00725D19">
      <w:pPr>
        <w:spacing w:after="0" w:line="240" w:lineRule="auto"/>
        <w:ind w:right="-198"/>
        <w:jc w:val="both"/>
        <w:rPr>
          <w:rFonts w:ascii="Arial" w:hAnsi="Arial" w:cs="Arial"/>
          <w:sz w:val="24"/>
          <w:szCs w:val="24"/>
          <w:lang w:val="es-ES_tradnl"/>
        </w:rPr>
      </w:pPr>
    </w:p>
    <w:p w14:paraId="08CB27F0" w14:textId="77777777" w:rsidR="007D7D76" w:rsidRPr="00F514E8" w:rsidRDefault="007D7D76" w:rsidP="00725D19">
      <w:pPr>
        <w:spacing w:after="0" w:line="240" w:lineRule="auto"/>
        <w:ind w:right="-198"/>
        <w:jc w:val="both"/>
        <w:rPr>
          <w:rFonts w:ascii="Arial" w:hAnsi="Arial" w:cs="Arial"/>
          <w:sz w:val="24"/>
          <w:szCs w:val="24"/>
          <w:lang w:val="es-ES_tradnl"/>
        </w:rPr>
      </w:pPr>
    </w:p>
    <w:p w14:paraId="74C7C6AD" w14:textId="77777777" w:rsidR="008840B1" w:rsidRPr="00F514E8" w:rsidRDefault="001A58F4" w:rsidP="004862A9">
      <w:pPr>
        <w:tabs>
          <w:tab w:val="left" w:pos="6825"/>
        </w:tabs>
        <w:spacing w:after="0" w:line="240" w:lineRule="auto"/>
        <w:jc w:val="center"/>
        <w:rPr>
          <w:rFonts w:ascii="Arial" w:hAnsi="Arial" w:cs="Arial"/>
          <w:b/>
          <w:sz w:val="24"/>
          <w:szCs w:val="24"/>
          <w:lang w:val="es-CO"/>
        </w:rPr>
      </w:pPr>
      <w:r w:rsidRPr="00F514E8">
        <w:rPr>
          <w:rFonts w:ascii="Arial" w:hAnsi="Arial" w:cs="Arial"/>
          <w:b/>
          <w:sz w:val="24"/>
          <w:szCs w:val="24"/>
          <w:lang w:val="es-CO"/>
        </w:rPr>
        <w:t xml:space="preserve">B. </w:t>
      </w:r>
      <w:r w:rsidR="005079D1" w:rsidRPr="00F514E8">
        <w:rPr>
          <w:rFonts w:ascii="Arial" w:hAnsi="Arial" w:cs="Arial"/>
          <w:b/>
          <w:sz w:val="24"/>
          <w:szCs w:val="24"/>
          <w:lang w:val="es-CO"/>
        </w:rPr>
        <w:t xml:space="preserve"> </w:t>
      </w:r>
      <w:r w:rsidR="004E5D58" w:rsidRPr="00F514E8">
        <w:rPr>
          <w:rFonts w:ascii="Arial" w:hAnsi="Arial" w:cs="Arial"/>
          <w:b/>
          <w:sz w:val="24"/>
          <w:szCs w:val="24"/>
          <w:lang w:val="es-CO"/>
        </w:rPr>
        <w:t xml:space="preserve">Régimen jurídico aplicable a los contratos celebrados </w:t>
      </w:r>
      <w:r w:rsidR="00EF4242" w:rsidRPr="00F514E8">
        <w:rPr>
          <w:rFonts w:ascii="Arial" w:hAnsi="Arial" w:cs="Arial"/>
          <w:b/>
          <w:sz w:val="24"/>
          <w:szCs w:val="24"/>
          <w:lang w:val="es-CO"/>
        </w:rPr>
        <w:t>por FONADE</w:t>
      </w:r>
    </w:p>
    <w:p w14:paraId="2F1DC64C" w14:textId="77777777" w:rsidR="00EF4242" w:rsidRPr="00F514E8" w:rsidRDefault="00EF4242" w:rsidP="00725D19">
      <w:pPr>
        <w:tabs>
          <w:tab w:val="left" w:pos="6825"/>
        </w:tabs>
        <w:spacing w:after="0" w:line="240" w:lineRule="auto"/>
        <w:rPr>
          <w:rFonts w:ascii="Arial" w:hAnsi="Arial" w:cs="Arial"/>
          <w:b/>
          <w:sz w:val="24"/>
          <w:szCs w:val="24"/>
          <w:lang w:val="es-CO"/>
        </w:rPr>
      </w:pPr>
    </w:p>
    <w:p w14:paraId="244D175F" w14:textId="77777777" w:rsidR="003138BE" w:rsidRPr="00F514E8" w:rsidRDefault="004624C9" w:rsidP="00725D19">
      <w:pPr>
        <w:tabs>
          <w:tab w:val="left" w:pos="6825"/>
        </w:tabs>
        <w:spacing w:after="0" w:line="240" w:lineRule="auto"/>
        <w:jc w:val="both"/>
        <w:rPr>
          <w:rFonts w:ascii="Arial" w:hAnsi="Arial" w:cs="Arial"/>
          <w:sz w:val="24"/>
          <w:szCs w:val="24"/>
          <w:lang w:val="es-CO"/>
        </w:rPr>
      </w:pPr>
      <w:r w:rsidRPr="00F514E8">
        <w:rPr>
          <w:rFonts w:ascii="Arial" w:hAnsi="Arial" w:cs="Arial"/>
          <w:sz w:val="24"/>
          <w:szCs w:val="24"/>
          <w:lang w:val="es-CO"/>
        </w:rPr>
        <w:t>I</w:t>
      </w:r>
      <w:r w:rsidR="00FE33A1" w:rsidRPr="00F514E8">
        <w:rPr>
          <w:rFonts w:ascii="Arial" w:hAnsi="Arial" w:cs="Arial"/>
          <w:sz w:val="24"/>
          <w:szCs w:val="24"/>
          <w:lang w:val="es-CO"/>
        </w:rPr>
        <w:t xml:space="preserve">ndica </w:t>
      </w:r>
      <w:r w:rsidR="003138BE" w:rsidRPr="00F514E8">
        <w:rPr>
          <w:rFonts w:ascii="Arial" w:hAnsi="Arial" w:cs="Arial"/>
          <w:sz w:val="24"/>
          <w:szCs w:val="24"/>
          <w:lang w:val="es-CO"/>
        </w:rPr>
        <w:t>el Departamento Nacional de Planeación</w:t>
      </w:r>
      <w:r w:rsidR="00FE33A1" w:rsidRPr="00F514E8">
        <w:rPr>
          <w:rFonts w:ascii="Arial" w:hAnsi="Arial" w:cs="Arial"/>
          <w:sz w:val="24"/>
          <w:szCs w:val="24"/>
          <w:lang w:val="es-CO"/>
        </w:rPr>
        <w:t xml:space="preserve"> en la consulta</w:t>
      </w:r>
      <w:r w:rsidRPr="00F514E8">
        <w:rPr>
          <w:rFonts w:ascii="Arial" w:hAnsi="Arial" w:cs="Arial"/>
          <w:sz w:val="24"/>
          <w:szCs w:val="24"/>
          <w:lang w:val="es-CO"/>
        </w:rPr>
        <w:t xml:space="preserve"> que</w:t>
      </w:r>
      <w:r w:rsidR="003138BE" w:rsidRPr="00F514E8">
        <w:rPr>
          <w:rFonts w:ascii="Arial" w:hAnsi="Arial" w:cs="Arial"/>
          <w:sz w:val="24"/>
          <w:szCs w:val="24"/>
          <w:lang w:val="es-CO"/>
        </w:rPr>
        <w:t xml:space="preserve"> FONADE ha estado sometido, desde hace varios años, a diferentes regímenes en materia de contratación, los cuales </w:t>
      </w:r>
      <w:r w:rsidR="005079D1" w:rsidRPr="00F514E8">
        <w:rPr>
          <w:rFonts w:ascii="Arial" w:hAnsi="Arial" w:cs="Arial"/>
          <w:sz w:val="24"/>
          <w:szCs w:val="24"/>
          <w:lang w:val="es-CO"/>
        </w:rPr>
        <w:t xml:space="preserve">se </w:t>
      </w:r>
      <w:r w:rsidR="003138BE" w:rsidRPr="00F514E8">
        <w:rPr>
          <w:rFonts w:ascii="Arial" w:hAnsi="Arial" w:cs="Arial"/>
          <w:sz w:val="24"/>
          <w:szCs w:val="24"/>
          <w:lang w:val="es-CO"/>
        </w:rPr>
        <w:t xml:space="preserve">pueden resumir así: </w:t>
      </w:r>
    </w:p>
    <w:p w14:paraId="3C864F1C" w14:textId="77777777" w:rsidR="00EF4242" w:rsidRPr="00F514E8" w:rsidRDefault="00EF4242" w:rsidP="00725D19">
      <w:pPr>
        <w:tabs>
          <w:tab w:val="left" w:pos="6825"/>
        </w:tabs>
        <w:spacing w:after="0" w:line="240" w:lineRule="auto"/>
        <w:jc w:val="both"/>
        <w:rPr>
          <w:rFonts w:ascii="Arial" w:hAnsi="Arial" w:cs="Arial"/>
          <w:sz w:val="24"/>
          <w:szCs w:val="24"/>
          <w:lang w:val="es-CO"/>
        </w:rPr>
      </w:pPr>
    </w:p>
    <w:p w14:paraId="0795B679" w14:textId="77777777" w:rsidR="003138BE" w:rsidRPr="00F514E8" w:rsidRDefault="00604403" w:rsidP="00604403">
      <w:pPr>
        <w:spacing w:after="0" w:line="240" w:lineRule="auto"/>
        <w:jc w:val="both"/>
        <w:rPr>
          <w:rFonts w:ascii="Arial" w:eastAsia="Times New Roman" w:hAnsi="Arial" w:cs="Arial"/>
          <w:b/>
          <w:sz w:val="24"/>
          <w:szCs w:val="24"/>
          <w:lang w:eastAsia="es-ES"/>
        </w:rPr>
      </w:pPr>
      <w:r w:rsidRPr="00F514E8">
        <w:rPr>
          <w:rFonts w:ascii="Arial" w:eastAsia="Times New Roman" w:hAnsi="Arial" w:cs="Arial"/>
          <w:b/>
          <w:sz w:val="24"/>
          <w:szCs w:val="24"/>
          <w:lang w:eastAsia="es-ES"/>
        </w:rPr>
        <w:t xml:space="preserve">1. </w:t>
      </w:r>
      <w:r w:rsidR="005C759E" w:rsidRPr="00F514E8">
        <w:rPr>
          <w:rFonts w:ascii="Arial" w:eastAsia="Times New Roman" w:hAnsi="Arial" w:cs="Arial"/>
          <w:b/>
          <w:sz w:val="24"/>
          <w:szCs w:val="24"/>
          <w:lang w:eastAsia="es-ES"/>
        </w:rPr>
        <w:t>Desde la l</w:t>
      </w:r>
      <w:r w:rsidR="003138BE" w:rsidRPr="00F514E8">
        <w:rPr>
          <w:rFonts w:ascii="Arial" w:eastAsia="Times New Roman" w:hAnsi="Arial" w:cs="Arial"/>
          <w:b/>
          <w:sz w:val="24"/>
          <w:szCs w:val="24"/>
          <w:lang w:eastAsia="es-ES"/>
        </w:rPr>
        <w:t xml:space="preserve">ey 80 de 1993 hasta la </w:t>
      </w:r>
      <w:r w:rsidR="005C759E" w:rsidRPr="00F514E8">
        <w:rPr>
          <w:rFonts w:ascii="Arial" w:eastAsia="Times New Roman" w:hAnsi="Arial" w:cs="Arial"/>
          <w:b/>
          <w:sz w:val="24"/>
          <w:szCs w:val="24"/>
          <w:lang w:eastAsia="es-ES"/>
        </w:rPr>
        <w:t>l</w:t>
      </w:r>
      <w:r w:rsidR="00EF4242" w:rsidRPr="00F514E8">
        <w:rPr>
          <w:rFonts w:ascii="Arial" w:eastAsia="Times New Roman" w:hAnsi="Arial" w:cs="Arial"/>
          <w:b/>
          <w:sz w:val="24"/>
          <w:szCs w:val="24"/>
          <w:lang w:eastAsia="es-ES"/>
        </w:rPr>
        <w:t>ey 1150 de 2007</w:t>
      </w:r>
    </w:p>
    <w:p w14:paraId="1585F682" w14:textId="77777777" w:rsidR="003138BE" w:rsidRPr="00F514E8" w:rsidRDefault="003138BE" w:rsidP="00725D19">
      <w:pPr>
        <w:spacing w:after="0" w:line="240" w:lineRule="auto"/>
        <w:jc w:val="both"/>
        <w:rPr>
          <w:rFonts w:ascii="Arial" w:eastAsia="Times New Roman" w:hAnsi="Arial" w:cs="Arial"/>
          <w:sz w:val="24"/>
          <w:szCs w:val="24"/>
          <w:lang w:eastAsia="es-ES"/>
        </w:rPr>
      </w:pPr>
    </w:p>
    <w:p w14:paraId="4F4E95B1" w14:textId="77777777" w:rsidR="003138BE" w:rsidRPr="00F514E8" w:rsidRDefault="005C759E"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Con</w:t>
      </w:r>
      <w:r w:rsidR="005079D1" w:rsidRPr="00F514E8">
        <w:rPr>
          <w:rFonts w:ascii="Arial" w:eastAsia="Times New Roman" w:hAnsi="Arial" w:cs="Arial"/>
          <w:sz w:val="24"/>
          <w:szCs w:val="24"/>
          <w:lang w:eastAsia="es-ES"/>
        </w:rPr>
        <w:t xml:space="preserve"> </w:t>
      </w:r>
      <w:r w:rsidR="00794C3C" w:rsidRPr="00F514E8">
        <w:rPr>
          <w:rFonts w:ascii="Arial" w:eastAsia="Times New Roman" w:hAnsi="Arial" w:cs="Arial"/>
          <w:sz w:val="24"/>
          <w:szCs w:val="24"/>
          <w:lang w:eastAsia="es-ES"/>
        </w:rPr>
        <w:t xml:space="preserve">el propósito de universalizar el régimen de la contratación pública en Colombia, </w:t>
      </w:r>
      <w:r w:rsidRPr="00F514E8">
        <w:rPr>
          <w:rFonts w:ascii="Arial" w:eastAsia="Times New Roman" w:hAnsi="Arial" w:cs="Arial"/>
          <w:sz w:val="24"/>
          <w:szCs w:val="24"/>
          <w:lang w:eastAsia="es-ES"/>
        </w:rPr>
        <w:t>la l</w:t>
      </w:r>
      <w:r w:rsidR="004624C9" w:rsidRPr="00F514E8">
        <w:rPr>
          <w:rFonts w:ascii="Arial" w:eastAsia="Times New Roman" w:hAnsi="Arial" w:cs="Arial"/>
          <w:sz w:val="24"/>
          <w:szCs w:val="24"/>
          <w:lang w:eastAsia="es-ES"/>
        </w:rPr>
        <w:t>ey 80 de 1993 incluyó en su campo de aplicación</w:t>
      </w:r>
      <w:r w:rsidR="00794C3C" w:rsidRPr="00F514E8">
        <w:rPr>
          <w:rFonts w:ascii="Arial" w:eastAsia="Times New Roman" w:hAnsi="Arial" w:cs="Arial"/>
          <w:sz w:val="24"/>
          <w:szCs w:val="24"/>
          <w:lang w:eastAsia="es-ES"/>
        </w:rPr>
        <w:t xml:space="preserve"> a las empresas industriales y comerciales del Estado y a las sociedades de economía mixta en las que el Estado t</w:t>
      </w:r>
      <w:r w:rsidR="004624C9" w:rsidRPr="00F514E8">
        <w:rPr>
          <w:rFonts w:ascii="Arial" w:eastAsia="Times New Roman" w:hAnsi="Arial" w:cs="Arial"/>
          <w:sz w:val="24"/>
          <w:szCs w:val="24"/>
          <w:lang w:eastAsia="es-ES"/>
        </w:rPr>
        <w:t>uviere</w:t>
      </w:r>
      <w:r w:rsidR="00794C3C" w:rsidRPr="00F514E8">
        <w:rPr>
          <w:rFonts w:ascii="Arial" w:eastAsia="Times New Roman" w:hAnsi="Arial" w:cs="Arial"/>
          <w:sz w:val="24"/>
          <w:szCs w:val="24"/>
          <w:lang w:eastAsia="es-ES"/>
        </w:rPr>
        <w:t xml:space="preserve"> </w:t>
      </w:r>
      <w:r w:rsidR="00885AF4" w:rsidRPr="00F514E8">
        <w:rPr>
          <w:rFonts w:ascii="Arial" w:eastAsia="Times New Roman" w:hAnsi="Arial" w:cs="Arial"/>
          <w:sz w:val="24"/>
          <w:szCs w:val="24"/>
          <w:lang w:eastAsia="es-ES"/>
        </w:rPr>
        <w:t xml:space="preserve">una </w:t>
      </w:r>
      <w:r w:rsidR="00794C3C" w:rsidRPr="00F514E8">
        <w:rPr>
          <w:rFonts w:ascii="Arial" w:eastAsia="Times New Roman" w:hAnsi="Arial" w:cs="Arial"/>
          <w:sz w:val="24"/>
          <w:szCs w:val="24"/>
          <w:lang w:eastAsia="es-ES"/>
        </w:rPr>
        <w:t>participación superior al 50%, tal como se desprende claramente de lo precep</w:t>
      </w:r>
      <w:r w:rsidR="004624C9" w:rsidRPr="00F514E8">
        <w:rPr>
          <w:rFonts w:ascii="Arial" w:eastAsia="Times New Roman" w:hAnsi="Arial" w:cs="Arial"/>
          <w:sz w:val="24"/>
          <w:szCs w:val="24"/>
          <w:lang w:eastAsia="es-ES"/>
        </w:rPr>
        <w:t>tuado en los artículos 1º y 2º</w:t>
      </w:r>
      <w:r w:rsidR="00794C3C" w:rsidRPr="00F514E8">
        <w:rPr>
          <w:rFonts w:ascii="Arial" w:eastAsia="Times New Roman" w:hAnsi="Arial" w:cs="Arial"/>
          <w:sz w:val="24"/>
          <w:szCs w:val="24"/>
          <w:lang w:eastAsia="es-ES"/>
        </w:rPr>
        <w:t xml:space="preserve">. </w:t>
      </w:r>
    </w:p>
    <w:p w14:paraId="14D1978C" w14:textId="77777777" w:rsidR="00794C3C" w:rsidRPr="00F514E8" w:rsidRDefault="00794C3C" w:rsidP="00725D19">
      <w:pPr>
        <w:spacing w:after="0" w:line="240" w:lineRule="auto"/>
        <w:jc w:val="both"/>
        <w:rPr>
          <w:rFonts w:ascii="Arial" w:eastAsia="Times New Roman" w:hAnsi="Arial" w:cs="Arial"/>
          <w:sz w:val="24"/>
          <w:szCs w:val="24"/>
          <w:lang w:eastAsia="es-ES"/>
        </w:rPr>
      </w:pPr>
    </w:p>
    <w:p w14:paraId="47AF8D15" w14:textId="77777777" w:rsidR="0021210B" w:rsidRPr="00F514E8" w:rsidRDefault="004624C9"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No obstante</w:t>
      </w:r>
      <w:r w:rsidR="00794C3C" w:rsidRPr="00F514E8">
        <w:rPr>
          <w:rFonts w:ascii="Arial" w:eastAsia="Times New Roman" w:hAnsi="Arial" w:cs="Arial"/>
          <w:sz w:val="24"/>
          <w:szCs w:val="24"/>
          <w:lang w:eastAsia="es-ES"/>
        </w:rPr>
        <w:t>, el parágrafo</w:t>
      </w:r>
      <w:r w:rsidRPr="00F514E8">
        <w:rPr>
          <w:rFonts w:ascii="Arial" w:eastAsia="Times New Roman" w:hAnsi="Arial" w:cs="Arial"/>
          <w:sz w:val="24"/>
          <w:szCs w:val="24"/>
          <w:lang w:eastAsia="es-ES"/>
        </w:rPr>
        <w:t xml:space="preserve"> primero del artículo 32 de la l</w:t>
      </w:r>
      <w:r w:rsidR="00794C3C" w:rsidRPr="00F514E8">
        <w:rPr>
          <w:rFonts w:ascii="Arial" w:eastAsia="Times New Roman" w:hAnsi="Arial" w:cs="Arial"/>
          <w:sz w:val="24"/>
          <w:szCs w:val="24"/>
          <w:lang w:eastAsia="es-ES"/>
        </w:rPr>
        <w:t>ey 80 estableció una excepción</w:t>
      </w:r>
      <w:r w:rsidR="00127741" w:rsidRPr="00F514E8">
        <w:rPr>
          <w:rFonts w:ascii="Arial" w:eastAsia="Times New Roman" w:hAnsi="Arial" w:cs="Arial"/>
          <w:sz w:val="24"/>
          <w:szCs w:val="24"/>
          <w:lang w:eastAsia="es-ES"/>
        </w:rPr>
        <w:t xml:space="preserve"> </w:t>
      </w:r>
      <w:r w:rsidR="00794C3C" w:rsidRPr="00F514E8">
        <w:rPr>
          <w:rFonts w:ascii="Arial" w:eastAsia="Times New Roman" w:hAnsi="Arial" w:cs="Arial"/>
          <w:sz w:val="24"/>
          <w:szCs w:val="24"/>
          <w:lang w:eastAsia="es-ES"/>
        </w:rPr>
        <w:t xml:space="preserve">para los contratos celebrados por los establecimientos de crédito, </w:t>
      </w:r>
      <w:r w:rsidR="0021210B" w:rsidRPr="00F514E8">
        <w:rPr>
          <w:rFonts w:ascii="Arial" w:eastAsia="Times New Roman" w:hAnsi="Arial" w:cs="Arial"/>
          <w:sz w:val="24"/>
          <w:szCs w:val="24"/>
          <w:lang w:eastAsia="es-ES"/>
        </w:rPr>
        <w:t xml:space="preserve">las compañías de seguros y las demás entidades financieras de carácter estatal, dentro del giro ordinario de las actividades propias de su objeto, así: </w:t>
      </w:r>
    </w:p>
    <w:p w14:paraId="34C43373" w14:textId="77777777" w:rsidR="0021210B" w:rsidRDefault="0021210B" w:rsidP="00725D19">
      <w:pPr>
        <w:spacing w:after="0" w:line="240" w:lineRule="auto"/>
        <w:jc w:val="both"/>
        <w:rPr>
          <w:rFonts w:ascii="Arial" w:eastAsia="Times New Roman" w:hAnsi="Arial" w:cs="Arial"/>
          <w:sz w:val="24"/>
          <w:szCs w:val="24"/>
          <w:lang w:eastAsia="es-ES"/>
        </w:rPr>
      </w:pPr>
    </w:p>
    <w:p w14:paraId="65F68DEE" w14:textId="77777777" w:rsidR="007D7D76" w:rsidRPr="00F514E8" w:rsidRDefault="007D7D76" w:rsidP="00725D19">
      <w:pPr>
        <w:spacing w:after="0" w:line="240" w:lineRule="auto"/>
        <w:jc w:val="both"/>
        <w:rPr>
          <w:rFonts w:ascii="Arial" w:eastAsia="Times New Roman" w:hAnsi="Arial" w:cs="Arial"/>
          <w:sz w:val="24"/>
          <w:szCs w:val="24"/>
          <w:lang w:eastAsia="es-ES"/>
        </w:rPr>
      </w:pPr>
    </w:p>
    <w:p w14:paraId="3EAFC46B" w14:textId="77777777" w:rsidR="0021210B" w:rsidRPr="00F514E8" w:rsidRDefault="0021210B" w:rsidP="00725D19">
      <w:pPr>
        <w:spacing w:after="0" w:line="240" w:lineRule="auto"/>
        <w:ind w:left="426"/>
        <w:jc w:val="both"/>
        <w:rPr>
          <w:rFonts w:ascii="Arial" w:eastAsia="Times New Roman" w:hAnsi="Arial" w:cs="Arial"/>
          <w:i/>
          <w:lang w:eastAsia="es-ES"/>
        </w:rPr>
      </w:pPr>
      <w:r w:rsidRPr="00F514E8">
        <w:rPr>
          <w:rFonts w:ascii="Arial" w:eastAsia="Times New Roman" w:hAnsi="Arial" w:cs="Arial"/>
          <w:lang w:eastAsia="es-ES"/>
        </w:rPr>
        <w:t>“</w:t>
      </w:r>
      <w:r w:rsidRPr="00F514E8">
        <w:rPr>
          <w:rFonts w:ascii="Arial" w:eastAsia="Times New Roman" w:hAnsi="Arial" w:cs="Arial"/>
          <w:i/>
          <w:lang w:eastAsia="es-ES"/>
        </w:rPr>
        <w:t>Artículo 32. De los contratos estatales…</w:t>
      </w:r>
    </w:p>
    <w:p w14:paraId="780F185B" w14:textId="77777777" w:rsidR="0021210B" w:rsidRPr="00F514E8" w:rsidRDefault="0021210B" w:rsidP="00725D19">
      <w:pPr>
        <w:spacing w:after="0" w:line="240" w:lineRule="auto"/>
        <w:ind w:left="426"/>
        <w:jc w:val="both"/>
        <w:rPr>
          <w:rFonts w:ascii="Arial" w:eastAsia="Times New Roman" w:hAnsi="Arial" w:cs="Arial"/>
          <w:i/>
          <w:lang w:eastAsia="es-ES"/>
        </w:rPr>
      </w:pPr>
    </w:p>
    <w:p w14:paraId="762652F1" w14:textId="77777777" w:rsidR="0021210B" w:rsidRPr="00F514E8" w:rsidRDefault="0021210B" w:rsidP="00725D19">
      <w:pPr>
        <w:spacing w:after="0" w:line="240" w:lineRule="auto"/>
        <w:ind w:left="426"/>
        <w:jc w:val="both"/>
        <w:rPr>
          <w:rFonts w:ascii="Arial" w:eastAsia="Times New Roman" w:hAnsi="Arial" w:cs="Arial"/>
          <w:lang w:eastAsia="es-ES"/>
        </w:rPr>
      </w:pPr>
      <w:r w:rsidRPr="00F514E8">
        <w:rPr>
          <w:rFonts w:ascii="Arial" w:eastAsia="Times New Roman" w:hAnsi="Arial" w:cs="Arial"/>
          <w:i/>
          <w:lang w:eastAsia="es-ES"/>
        </w:rPr>
        <w:t>“Parágrafo 1º.</w:t>
      </w:r>
      <w:r w:rsidRPr="00F514E8">
        <w:rPr>
          <w:rFonts w:ascii="Arial" w:eastAsia="Times New Roman" w:hAnsi="Arial" w:cs="Arial"/>
          <w:b/>
          <w:i/>
          <w:lang w:eastAsia="es-ES"/>
        </w:rPr>
        <w:t xml:space="preserve"> </w:t>
      </w:r>
      <w:r w:rsidRPr="00F514E8">
        <w:rPr>
          <w:rFonts w:ascii="Arial" w:eastAsia="Times New Roman" w:hAnsi="Arial" w:cs="Arial"/>
          <w:i/>
          <w:lang w:eastAsia="es-ES"/>
        </w:rPr>
        <w:t>Sin perjuicio de lo dispuesto en esta ley sobre fiducia y encargo fiduciario, los contratos que celebren los establecimientos de crédito, las compañías de seguros y las demás entidades financieras de carácter estatal, que correspondan al giro ordinario de las actividades propias de su objeto social, no estarán sujetos a las disposiciones del presente estatuto y se regirán por las disposiciones legales y reglamentarias aplicables a dichas actividades”.</w:t>
      </w:r>
      <w:r w:rsidR="00127741" w:rsidRPr="00F514E8">
        <w:rPr>
          <w:rFonts w:ascii="Arial" w:eastAsia="Times New Roman" w:hAnsi="Arial" w:cs="Arial"/>
          <w:i/>
          <w:lang w:eastAsia="es-ES"/>
        </w:rPr>
        <w:t xml:space="preserve"> </w:t>
      </w:r>
    </w:p>
    <w:p w14:paraId="3748D95E" w14:textId="77777777" w:rsidR="0021210B" w:rsidRDefault="0021210B" w:rsidP="00725D19">
      <w:pPr>
        <w:spacing w:after="0" w:line="240" w:lineRule="auto"/>
        <w:jc w:val="both"/>
        <w:rPr>
          <w:rFonts w:ascii="Arial" w:eastAsia="Times New Roman" w:hAnsi="Arial" w:cs="Arial"/>
          <w:i/>
          <w:sz w:val="24"/>
          <w:szCs w:val="24"/>
          <w:lang w:eastAsia="es-ES"/>
        </w:rPr>
      </w:pPr>
    </w:p>
    <w:p w14:paraId="00C7C1B2" w14:textId="77777777" w:rsidR="007D7D76" w:rsidRPr="00F514E8" w:rsidRDefault="007D7D76" w:rsidP="00725D19">
      <w:pPr>
        <w:spacing w:after="0" w:line="240" w:lineRule="auto"/>
        <w:jc w:val="both"/>
        <w:rPr>
          <w:rFonts w:ascii="Arial" w:eastAsia="Times New Roman" w:hAnsi="Arial" w:cs="Arial"/>
          <w:i/>
          <w:sz w:val="24"/>
          <w:szCs w:val="24"/>
          <w:lang w:eastAsia="es-ES"/>
        </w:rPr>
      </w:pPr>
    </w:p>
    <w:p w14:paraId="0A5E7547" w14:textId="77777777" w:rsidR="00727F93" w:rsidRPr="00F514E8" w:rsidRDefault="0021210B"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 xml:space="preserve">Por lo tanto, </w:t>
      </w:r>
      <w:r w:rsidR="00097625" w:rsidRPr="00F514E8">
        <w:rPr>
          <w:rFonts w:ascii="Arial" w:eastAsia="Times New Roman" w:hAnsi="Arial" w:cs="Arial"/>
          <w:sz w:val="24"/>
          <w:szCs w:val="24"/>
          <w:lang w:eastAsia="es-ES"/>
        </w:rPr>
        <w:t>al ser</w:t>
      </w:r>
      <w:r w:rsidR="00727F93" w:rsidRPr="00F514E8">
        <w:rPr>
          <w:rFonts w:ascii="Arial" w:eastAsia="Times New Roman" w:hAnsi="Arial" w:cs="Arial"/>
          <w:sz w:val="24"/>
          <w:szCs w:val="24"/>
          <w:lang w:eastAsia="es-ES"/>
        </w:rPr>
        <w:t xml:space="preserve"> FONADE</w:t>
      </w:r>
      <w:r w:rsidR="00885AF4" w:rsidRPr="00F514E8">
        <w:rPr>
          <w:rFonts w:ascii="Arial" w:eastAsia="Times New Roman" w:hAnsi="Arial" w:cs="Arial"/>
          <w:sz w:val="24"/>
          <w:szCs w:val="24"/>
          <w:lang w:eastAsia="es-ES"/>
        </w:rPr>
        <w:t xml:space="preserve"> una entidad financiera de carácter estatal</w:t>
      </w:r>
      <w:r w:rsidR="00727F93" w:rsidRPr="00F514E8">
        <w:rPr>
          <w:rFonts w:ascii="Arial" w:eastAsia="Times New Roman" w:hAnsi="Arial" w:cs="Arial"/>
          <w:sz w:val="24"/>
          <w:szCs w:val="24"/>
          <w:lang w:eastAsia="es-ES"/>
        </w:rPr>
        <w:t>,</w:t>
      </w:r>
      <w:r w:rsidR="00885AF4" w:rsidRPr="00F514E8">
        <w:rPr>
          <w:rFonts w:ascii="Arial" w:eastAsia="Times New Roman" w:hAnsi="Arial" w:cs="Arial"/>
          <w:sz w:val="24"/>
          <w:szCs w:val="24"/>
          <w:lang w:eastAsia="es-ES"/>
        </w:rPr>
        <w:t xml:space="preserve"> </w:t>
      </w:r>
      <w:r w:rsidRPr="00F514E8">
        <w:rPr>
          <w:rFonts w:ascii="Arial" w:eastAsia="Times New Roman" w:hAnsi="Arial" w:cs="Arial"/>
          <w:sz w:val="24"/>
          <w:szCs w:val="24"/>
          <w:lang w:eastAsia="es-ES"/>
        </w:rPr>
        <w:t>los contratos que</w:t>
      </w:r>
      <w:r w:rsidR="00727F93" w:rsidRPr="00F514E8">
        <w:rPr>
          <w:rFonts w:ascii="Arial" w:eastAsia="Times New Roman" w:hAnsi="Arial" w:cs="Arial"/>
          <w:sz w:val="24"/>
          <w:szCs w:val="24"/>
          <w:lang w:eastAsia="es-ES"/>
        </w:rPr>
        <w:t xml:space="preserve"> </w:t>
      </w:r>
      <w:r w:rsidRPr="00F514E8">
        <w:rPr>
          <w:rFonts w:ascii="Arial" w:eastAsia="Times New Roman" w:hAnsi="Arial" w:cs="Arial"/>
          <w:sz w:val="24"/>
          <w:szCs w:val="24"/>
          <w:lang w:eastAsia="es-ES"/>
        </w:rPr>
        <w:t>celebr</w:t>
      </w:r>
      <w:r w:rsidR="00097625" w:rsidRPr="00F514E8">
        <w:rPr>
          <w:rFonts w:ascii="Arial" w:eastAsia="Times New Roman" w:hAnsi="Arial" w:cs="Arial"/>
          <w:sz w:val="24"/>
          <w:szCs w:val="24"/>
          <w:lang w:eastAsia="es-ES"/>
        </w:rPr>
        <w:t>a</w:t>
      </w:r>
      <w:r w:rsidR="004667E7" w:rsidRPr="00F514E8">
        <w:rPr>
          <w:rFonts w:ascii="Arial" w:eastAsia="Times New Roman" w:hAnsi="Arial" w:cs="Arial"/>
          <w:sz w:val="24"/>
          <w:szCs w:val="24"/>
          <w:lang w:eastAsia="es-ES"/>
        </w:rPr>
        <w:t>b</w:t>
      </w:r>
      <w:r w:rsidR="00097625" w:rsidRPr="00F514E8">
        <w:rPr>
          <w:rFonts w:ascii="Arial" w:eastAsia="Times New Roman" w:hAnsi="Arial" w:cs="Arial"/>
          <w:sz w:val="24"/>
          <w:szCs w:val="24"/>
          <w:lang w:eastAsia="es-ES"/>
        </w:rPr>
        <w:t xml:space="preserve">a </w:t>
      </w:r>
      <w:r w:rsidR="00727F93" w:rsidRPr="00F514E8">
        <w:rPr>
          <w:rFonts w:ascii="Arial" w:eastAsia="Times New Roman" w:hAnsi="Arial" w:cs="Arial"/>
          <w:sz w:val="24"/>
          <w:szCs w:val="24"/>
          <w:lang w:eastAsia="es-ES"/>
        </w:rPr>
        <w:t>dentro del giro ordinario de las actividades propias de su objeto</w:t>
      </w:r>
      <w:r w:rsidR="00727F93" w:rsidRPr="00F514E8">
        <w:rPr>
          <w:rStyle w:val="Refdenotaalpie"/>
          <w:rFonts w:ascii="Arial" w:eastAsia="Times New Roman" w:hAnsi="Arial" w:cs="Arial"/>
          <w:sz w:val="24"/>
          <w:szCs w:val="24"/>
          <w:lang w:eastAsia="es-ES"/>
        </w:rPr>
        <w:footnoteReference w:id="14"/>
      </w:r>
      <w:r w:rsidR="004624C9" w:rsidRPr="00F514E8">
        <w:rPr>
          <w:rFonts w:ascii="Arial" w:eastAsia="Times New Roman" w:hAnsi="Arial" w:cs="Arial"/>
          <w:sz w:val="24"/>
          <w:szCs w:val="24"/>
          <w:lang w:eastAsia="es-ES"/>
        </w:rPr>
        <w:t xml:space="preserve"> no estaban sometidos a la l</w:t>
      </w:r>
      <w:r w:rsidR="00727F93" w:rsidRPr="00F514E8">
        <w:rPr>
          <w:rFonts w:ascii="Arial" w:eastAsia="Times New Roman" w:hAnsi="Arial" w:cs="Arial"/>
          <w:sz w:val="24"/>
          <w:szCs w:val="24"/>
          <w:lang w:eastAsia="es-ES"/>
        </w:rPr>
        <w:t>ey 80 de 1993 y se regían por las disposiciones que les fueran aplicables (E</w:t>
      </w:r>
      <w:r w:rsidR="00755837" w:rsidRPr="00F514E8">
        <w:rPr>
          <w:rFonts w:ascii="Arial" w:eastAsia="Times New Roman" w:hAnsi="Arial" w:cs="Arial"/>
          <w:sz w:val="24"/>
          <w:szCs w:val="24"/>
          <w:lang w:eastAsia="es-ES"/>
        </w:rPr>
        <w:t>.</w:t>
      </w:r>
      <w:r w:rsidR="00727F93" w:rsidRPr="00F514E8">
        <w:rPr>
          <w:rFonts w:ascii="Arial" w:eastAsia="Times New Roman" w:hAnsi="Arial" w:cs="Arial"/>
          <w:sz w:val="24"/>
          <w:szCs w:val="24"/>
          <w:lang w:eastAsia="es-ES"/>
        </w:rPr>
        <w:t>O</w:t>
      </w:r>
      <w:r w:rsidR="00755837" w:rsidRPr="00F514E8">
        <w:rPr>
          <w:rFonts w:ascii="Arial" w:eastAsia="Times New Roman" w:hAnsi="Arial" w:cs="Arial"/>
          <w:sz w:val="24"/>
          <w:szCs w:val="24"/>
          <w:lang w:eastAsia="es-ES"/>
        </w:rPr>
        <w:t>.</w:t>
      </w:r>
      <w:r w:rsidR="00727F93" w:rsidRPr="00F514E8">
        <w:rPr>
          <w:rFonts w:ascii="Arial" w:eastAsia="Times New Roman" w:hAnsi="Arial" w:cs="Arial"/>
          <w:sz w:val="24"/>
          <w:szCs w:val="24"/>
          <w:lang w:eastAsia="es-ES"/>
        </w:rPr>
        <w:t>S</w:t>
      </w:r>
      <w:r w:rsidR="00755837" w:rsidRPr="00F514E8">
        <w:rPr>
          <w:rFonts w:ascii="Arial" w:eastAsia="Times New Roman" w:hAnsi="Arial" w:cs="Arial"/>
          <w:sz w:val="24"/>
          <w:szCs w:val="24"/>
          <w:lang w:eastAsia="es-ES"/>
        </w:rPr>
        <w:t>.</w:t>
      </w:r>
      <w:r w:rsidR="00727F93" w:rsidRPr="00F514E8">
        <w:rPr>
          <w:rFonts w:ascii="Arial" w:eastAsia="Times New Roman" w:hAnsi="Arial" w:cs="Arial"/>
          <w:sz w:val="24"/>
          <w:szCs w:val="24"/>
          <w:lang w:eastAsia="es-ES"/>
        </w:rPr>
        <w:t>F</w:t>
      </w:r>
      <w:r w:rsidR="00755837" w:rsidRPr="00F514E8">
        <w:rPr>
          <w:rFonts w:ascii="Arial" w:eastAsia="Times New Roman" w:hAnsi="Arial" w:cs="Arial"/>
          <w:sz w:val="24"/>
          <w:szCs w:val="24"/>
          <w:lang w:eastAsia="es-ES"/>
        </w:rPr>
        <w:t xml:space="preserve">. </w:t>
      </w:r>
      <w:r w:rsidR="00727F93" w:rsidRPr="00F514E8">
        <w:rPr>
          <w:rFonts w:ascii="Arial" w:eastAsia="Times New Roman" w:hAnsi="Arial" w:cs="Arial"/>
          <w:sz w:val="24"/>
          <w:szCs w:val="24"/>
          <w:lang w:eastAsia="es-ES"/>
        </w:rPr>
        <w:t xml:space="preserve">y demás normas financieras, Código de Comercio, Código Civil, entre otras). </w:t>
      </w:r>
    </w:p>
    <w:p w14:paraId="64C5CD54" w14:textId="77777777" w:rsidR="00727F93" w:rsidRPr="00F514E8" w:rsidRDefault="00727F93" w:rsidP="00725D19">
      <w:pPr>
        <w:spacing w:after="0" w:line="240" w:lineRule="auto"/>
        <w:jc w:val="both"/>
        <w:rPr>
          <w:rFonts w:ascii="Arial" w:eastAsia="Times New Roman" w:hAnsi="Arial" w:cs="Arial"/>
          <w:sz w:val="24"/>
          <w:szCs w:val="24"/>
          <w:lang w:eastAsia="es-ES"/>
        </w:rPr>
      </w:pPr>
    </w:p>
    <w:p w14:paraId="1362FF20" w14:textId="77777777" w:rsidR="00727F93" w:rsidRPr="00F514E8" w:rsidRDefault="00727F93"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 xml:space="preserve">Por el contrario, los contratos que no correspondían al giro ordinario de las actividades propias de su </w:t>
      </w:r>
      <w:proofErr w:type="gramStart"/>
      <w:r w:rsidRPr="00F514E8">
        <w:rPr>
          <w:rFonts w:ascii="Arial" w:eastAsia="Times New Roman" w:hAnsi="Arial" w:cs="Arial"/>
          <w:sz w:val="24"/>
          <w:szCs w:val="24"/>
          <w:lang w:eastAsia="es-ES"/>
        </w:rPr>
        <w:t>objeto,</w:t>
      </w:r>
      <w:proofErr w:type="gramEnd"/>
      <w:r w:rsidRPr="00F514E8">
        <w:rPr>
          <w:rFonts w:ascii="Arial" w:eastAsia="Times New Roman" w:hAnsi="Arial" w:cs="Arial"/>
          <w:sz w:val="24"/>
          <w:szCs w:val="24"/>
          <w:lang w:eastAsia="es-ES"/>
        </w:rPr>
        <w:t xml:space="preserve"> est</w:t>
      </w:r>
      <w:r w:rsidR="00097625" w:rsidRPr="00F514E8">
        <w:rPr>
          <w:rFonts w:ascii="Arial" w:eastAsia="Times New Roman" w:hAnsi="Arial" w:cs="Arial"/>
          <w:sz w:val="24"/>
          <w:szCs w:val="24"/>
          <w:lang w:eastAsia="es-ES"/>
        </w:rPr>
        <w:t>aban sujetos íntegramente a la l</w:t>
      </w:r>
      <w:r w:rsidRPr="00F514E8">
        <w:rPr>
          <w:rFonts w:ascii="Arial" w:eastAsia="Times New Roman" w:hAnsi="Arial" w:cs="Arial"/>
          <w:sz w:val="24"/>
          <w:szCs w:val="24"/>
          <w:lang w:eastAsia="es-ES"/>
        </w:rPr>
        <w:t xml:space="preserve">ey 80 de 1993, norma que, como es sabido, remite parcialmente al derecho privado, especialmente en lo relacionado con el </w:t>
      </w:r>
      <w:r w:rsidR="00644E50" w:rsidRPr="00F514E8">
        <w:rPr>
          <w:rFonts w:ascii="Arial" w:eastAsia="Times New Roman" w:hAnsi="Arial" w:cs="Arial"/>
          <w:sz w:val="24"/>
          <w:szCs w:val="24"/>
          <w:lang w:eastAsia="es-ES"/>
        </w:rPr>
        <w:t>objeto de los contratos (artículos 32 y 40).</w:t>
      </w:r>
    </w:p>
    <w:p w14:paraId="57E2241F" w14:textId="77777777" w:rsidR="00644E50" w:rsidRPr="00F514E8" w:rsidRDefault="00644E50" w:rsidP="00725D19">
      <w:pPr>
        <w:spacing w:after="0" w:line="240" w:lineRule="auto"/>
        <w:jc w:val="both"/>
        <w:rPr>
          <w:rFonts w:ascii="Arial" w:eastAsia="Times New Roman" w:hAnsi="Arial" w:cs="Arial"/>
          <w:sz w:val="24"/>
          <w:szCs w:val="24"/>
          <w:lang w:eastAsia="es-ES"/>
        </w:rPr>
      </w:pPr>
    </w:p>
    <w:p w14:paraId="1990ADA1" w14:textId="77777777" w:rsidR="00644E50" w:rsidRPr="00F514E8" w:rsidRDefault="00644E50"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 xml:space="preserve">En este sentido se pronunció la Sala de Consulta y Servicio Civil, </w:t>
      </w:r>
      <w:r w:rsidR="00257AB6" w:rsidRPr="00F514E8">
        <w:rPr>
          <w:rFonts w:ascii="Arial" w:eastAsia="Times New Roman" w:hAnsi="Arial" w:cs="Arial"/>
          <w:sz w:val="24"/>
          <w:szCs w:val="24"/>
          <w:lang w:eastAsia="es-ES"/>
        </w:rPr>
        <w:t xml:space="preserve">con relación a FONADE, </w:t>
      </w:r>
      <w:r w:rsidRPr="00F514E8">
        <w:rPr>
          <w:rFonts w:ascii="Arial" w:eastAsia="Times New Roman" w:hAnsi="Arial" w:cs="Arial"/>
          <w:sz w:val="24"/>
          <w:szCs w:val="24"/>
          <w:lang w:eastAsia="es-ES"/>
        </w:rPr>
        <w:t xml:space="preserve">en el concepto </w:t>
      </w:r>
      <w:proofErr w:type="spellStart"/>
      <w:r w:rsidRPr="00F514E8">
        <w:rPr>
          <w:rFonts w:ascii="Arial" w:eastAsia="Times New Roman" w:hAnsi="Arial" w:cs="Arial"/>
          <w:sz w:val="24"/>
          <w:szCs w:val="24"/>
          <w:lang w:eastAsia="es-ES"/>
        </w:rPr>
        <w:t>Nº</w:t>
      </w:r>
      <w:proofErr w:type="spellEnd"/>
      <w:r w:rsidRPr="00F514E8">
        <w:rPr>
          <w:rFonts w:ascii="Arial" w:eastAsia="Times New Roman" w:hAnsi="Arial" w:cs="Arial"/>
          <w:sz w:val="24"/>
          <w:szCs w:val="24"/>
          <w:lang w:eastAsia="es-ES"/>
        </w:rPr>
        <w:t xml:space="preserve"> 1.773, antes citado, cuando expresó: </w:t>
      </w:r>
    </w:p>
    <w:p w14:paraId="5E61B056" w14:textId="77777777" w:rsidR="00644E50" w:rsidRDefault="00644E50" w:rsidP="00725D19">
      <w:pPr>
        <w:spacing w:after="0" w:line="240" w:lineRule="auto"/>
        <w:jc w:val="both"/>
        <w:rPr>
          <w:rFonts w:ascii="Arial" w:eastAsia="Times New Roman" w:hAnsi="Arial" w:cs="Arial"/>
          <w:sz w:val="24"/>
          <w:szCs w:val="24"/>
          <w:lang w:eastAsia="es-ES"/>
        </w:rPr>
      </w:pPr>
    </w:p>
    <w:p w14:paraId="64B6AB95" w14:textId="77777777" w:rsidR="007D7D76" w:rsidRPr="00F514E8" w:rsidRDefault="007D7D76" w:rsidP="00725D19">
      <w:pPr>
        <w:spacing w:after="0" w:line="240" w:lineRule="auto"/>
        <w:jc w:val="both"/>
        <w:rPr>
          <w:rFonts w:ascii="Arial" w:eastAsia="Times New Roman" w:hAnsi="Arial" w:cs="Arial"/>
          <w:sz w:val="24"/>
          <w:szCs w:val="24"/>
          <w:lang w:eastAsia="es-ES"/>
        </w:rPr>
      </w:pPr>
    </w:p>
    <w:p w14:paraId="4EE152E3" w14:textId="77777777" w:rsidR="00644E50" w:rsidRPr="00F514E8" w:rsidRDefault="00644E50" w:rsidP="00725D19">
      <w:pPr>
        <w:spacing w:after="0" w:line="240" w:lineRule="auto"/>
        <w:ind w:left="426"/>
        <w:jc w:val="both"/>
        <w:rPr>
          <w:rFonts w:ascii="Arial" w:eastAsia="Times New Roman" w:hAnsi="Arial" w:cs="Arial"/>
          <w:lang w:eastAsia="es-ES"/>
        </w:rPr>
      </w:pPr>
      <w:r w:rsidRPr="00F514E8">
        <w:rPr>
          <w:rFonts w:ascii="Arial" w:eastAsia="Times New Roman" w:hAnsi="Arial" w:cs="Arial"/>
          <w:lang w:eastAsia="es-ES"/>
        </w:rPr>
        <w:t>“</w:t>
      </w:r>
      <w:r w:rsidRPr="00F514E8">
        <w:rPr>
          <w:rFonts w:ascii="Arial" w:eastAsia="Times New Roman" w:hAnsi="Arial" w:cs="Arial"/>
          <w:i/>
          <w:lang w:eastAsia="es-ES"/>
        </w:rPr>
        <w:t xml:space="preserve">Con fundamento en el parágrafo 1 del artículo 32 de la ley 80 de 1993, </w:t>
      </w:r>
      <w:r w:rsidR="00AF3ABD" w:rsidRPr="00F514E8">
        <w:rPr>
          <w:rFonts w:ascii="Arial" w:eastAsia="Times New Roman" w:hAnsi="Arial" w:cs="Arial"/>
          <w:i/>
          <w:lang w:eastAsia="es-ES"/>
        </w:rPr>
        <w:t xml:space="preserve">los bienes y servicios </w:t>
      </w:r>
      <w:r w:rsidR="005C5866" w:rsidRPr="00F514E8">
        <w:rPr>
          <w:rFonts w:ascii="Arial" w:eastAsia="Times New Roman" w:hAnsi="Arial" w:cs="Arial"/>
          <w:i/>
          <w:lang w:eastAsia="es-ES"/>
        </w:rPr>
        <w:t>requeridos para su funcionamiento debe contratarlos como toda entidad estatal, en tanto que las actividades propias del giro ordinario de sus negocios se rigen por el derecho que les sea aplicable (…)</w:t>
      </w:r>
      <w:r w:rsidR="005C5866" w:rsidRPr="00F514E8">
        <w:rPr>
          <w:rFonts w:ascii="Arial" w:eastAsia="Times New Roman" w:hAnsi="Arial" w:cs="Arial"/>
          <w:lang w:eastAsia="es-ES"/>
        </w:rPr>
        <w:t>”.</w:t>
      </w:r>
    </w:p>
    <w:p w14:paraId="3535AD8D" w14:textId="77777777" w:rsidR="005C5866" w:rsidRPr="00F514E8" w:rsidRDefault="005C5866" w:rsidP="00725D19">
      <w:pPr>
        <w:spacing w:after="0" w:line="240" w:lineRule="auto"/>
        <w:jc w:val="both"/>
        <w:rPr>
          <w:rFonts w:ascii="Arial" w:eastAsia="Times New Roman" w:hAnsi="Arial" w:cs="Arial"/>
          <w:sz w:val="24"/>
          <w:szCs w:val="24"/>
          <w:lang w:eastAsia="es-ES"/>
        </w:rPr>
      </w:pPr>
    </w:p>
    <w:p w14:paraId="674FC0F4" w14:textId="77777777" w:rsidR="00BB2A5D" w:rsidRPr="00F514E8" w:rsidRDefault="005C5866"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 xml:space="preserve">Igualmente, en el concepto </w:t>
      </w:r>
      <w:proofErr w:type="spellStart"/>
      <w:r w:rsidRPr="00F514E8">
        <w:rPr>
          <w:rFonts w:ascii="Arial" w:eastAsia="Times New Roman" w:hAnsi="Arial" w:cs="Arial"/>
          <w:sz w:val="24"/>
          <w:szCs w:val="24"/>
          <w:lang w:eastAsia="es-ES"/>
        </w:rPr>
        <w:t>Nº</w:t>
      </w:r>
      <w:proofErr w:type="spellEnd"/>
      <w:r w:rsidRPr="00F514E8">
        <w:rPr>
          <w:rFonts w:ascii="Arial" w:eastAsia="Times New Roman" w:hAnsi="Arial" w:cs="Arial"/>
          <w:sz w:val="24"/>
          <w:szCs w:val="24"/>
          <w:lang w:eastAsia="es-ES"/>
        </w:rPr>
        <w:t xml:space="preserve"> 1488 de 2003</w:t>
      </w:r>
      <w:r w:rsidR="00BB2A5D" w:rsidRPr="00F514E8">
        <w:rPr>
          <w:rFonts w:ascii="Arial" w:eastAsia="Times New Roman" w:hAnsi="Arial" w:cs="Arial"/>
          <w:sz w:val="24"/>
          <w:szCs w:val="24"/>
          <w:lang w:eastAsia="es-ES"/>
        </w:rPr>
        <w:t xml:space="preserve">, </w:t>
      </w:r>
      <w:r w:rsidR="00755837" w:rsidRPr="00F514E8">
        <w:rPr>
          <w:rFonts w:ascii="Arial" w:eastAsia="Times New Roman" w:hAnsi="Arial" w:cs="Arial"/>
          <w:sz w:val="24"/>
          <w:szCs w:val="24"/>
          <w:lang w:eastAsia="es-ES"/>
        </w:rPr>
        <w:t xml:space="preserve">ya </w:t>
      </w:r>
      <w:r w:rsidR="00BB2A5D" w:rsidRPr="00F514E8">
        <w:rPr>
          <w:rFonts w:ascii="Arial" w:eastAsia="Times New Roman" w:hAnsi="Arial" w:cs="Arial"/>
          <w:sz w:val="24"/>
          <w:szCs w:val="24"/>
          <w:lang w:eastAsia="es-ES"/>
        </w:rPr>
        <w:t xml:space="preserve">citado, la Sala analizó extensamente el régimen aplicable a los contratos celebrados por los establecimientos de crédito, las compañías aseguradoras y las demás entidades financieras estatales, y al respecto concluyó: </w:t>
      </w:r>
    </w:p>
    <w:p w14:paraId="79AA3C76" w14:textId="77777777" w:rsidR="00BB2A5D" w:rsidRDefault="00BB2A5D" w:rsidP="00725D19">
      <w:pPr>
        <w:spacing w:after="0" w:line="240" w:lineRule="auto"/>
        <w:jc w:val="both"/>
        <w:rPr>
          <w:rFonts w:ascii="Arial" w:eastAsia="Times New Roman" w:hAnsi="Arial" w:cs="Arial"/>
          <w:sz w:val="24"/>
          <w:szCs w:val="24"/>
          <w:lang w:eastAsia="es-ES"/>
        </w:rPr>
      </w:pPr>
    </w:p>
    <w:p w14:paraId="12DE6352" w14:textId="77777777" w:rsidR="007D7D76" w:rsidRPr="00F514E8" w:rsidRDefault="007D7D76" w:rsidP="00725D19">
      <w:pPr>
        <w:spacing w:after="0" w:line="240" w:lineRule="auto"/>
        <w:jc w:val="both"/>
        <w:rPr>
          <w:rFonts w:ascii="Arial" w:eastAsia="Times New Roman" w:hAnsi="Arial" w:cs="Arial"/>
          <w:sz w:val="24"/>
          <w:szCs w:val="24"/>
          <w:lang w:eastAsia="es-ES"/>
        </w:rPr>
      </w:pPr>
    </w:p>
    <w:p w14:paraId="7894FC5B" w14:textId="77777777" w:rsidR="00B123CB" w:rsidRPr="00F514E8" w:rsidRDefault="00BB2A5D" w:rsidP="00725D19">
      <w:pPr>
        <w:spacing w:after="0" w:line="240" w:lineRule="auto"/>
        <w:ind w:left="426"/>
        <w:jc w:val="both"/>
        <w:rPr>
          <w:rFonts w:ascii="Arial" w:eastAsia="Times New Roman" w:hAnsi="Arial" w:cs="Arial"/>
          <w:lang w:eastAsia="es-ES"/>
        </w:rPr>
      </w:pPr>
      <w:r w:rsidRPr="00F514E8">
        <w:rPr>
          <w:rFonts w:ascii="Arial" w:eastAsia="Times New Roman" w:hAnsi="Arial" w:cs="Arial"/>
          <w:lang w:eastAsia="es-ES"/>
        </w:rPr>
        <w:t>“</w:t>
      </w:r>
      <w:r w:rsidRPr="00F514E8">
        <w:rPr>
          <w:rFonts w:ascii="Arial" w:eastAsia="Times New Roman" w:hAnsi="Arial" w:cs="Arial"/>
          <w:i/>
          <w:lang w:eastAsia="es-ES"/>
        </w:rPr>
        <w:t xml:space="preserve">Estas primeras consideraciones conducen a la Sala a afirmar que existe un régimen mixto, de derecho público y de derecho privado, aplicable a las entidades financieras y </w:t>
      </w:r>
      <w:r w:rsidRPr="00F514E8">
        <w:rPr>
          <w:rFonts w:ascii="Arial" w:eastAsia="Times New Roman" w:hAnsi="Arial" w:cs="Arial"/>
          <w:i/>
          <w:lang w:eastAsia="es-ES"/>
        </w:rPr>
        <w:lastRenderedPageBreak/>
        <w:t>del sector asegurador de carácter estatal en su contratación y que, por lo mismo, en cada caso particular deberá definirse la norma aplicable</w:t>
      </w:r>
      <w:r w:rsidR="00B123CB" w:rsidRPr="00F514E8">
        <w:rPr>
          <w:rFonts w:ascii="Arial" w:eastAsia="Times New Roman" w:hAnsi="Arial" w:cs="Arial"/>
          <w:i/>
          <w:lang w:eastAsia="es-ES"/>
        </w:rPr>
        <w:t xml:space="preserve"> según el tipo o clase de vinculación del acto o contrato que se propone con las funciones administrativas o las actividades propias del denominado ‘giro ordinario’ del objeto social</w:t>
      </w:r>
      <w:r w:rsidR="00257AB6" w:rsidRPr="00F514E8">
        <w:rPr>
          <w:rFonts w:ascii="Arial" w:eastAsia="Times New Roman" w:hAnsi="Arial" w:cs="Arial"/>
          <w:i/>
          <w:lang w:eastAsia="es-ES"/>
        </w:rPr>
        <w:t>’</w:t>
      </w:r>
      <w:r w:rsidR="00B123CB" w:rsidRPr="00F514E8">
        <w:rPr>
          <w:rFonts w:ascii="Arial" w:eastAsia="Times New Roman" w:hAnsi="Arial" w:cs="Arial"/>
          <w:i/>
          <w:lang w:eastAsia="es-ES"/>
        </w:rPr>
        <w:t xml:space="preserve">, que por disposición expresa del Estatuto Orgánico del Sistema Financiero es de carácter reglado”. </w:t>
      </w:r>
    </w:p>
    <w:p w14:paraId="06A21869" w14:textId="77777777" w:rsidR="00B123CB" w:rsidRPr="00F514E8" w:rsidRDefault="00B123CB" w:rsidP="00725D19">
      <w:pPr>
        <w:spacing w:after="0" w:line="240" w:lineRule="auto"/>
        <w:jc w:val="both"/>
        <w:rPr>
          <w:rFonts w:ascii="Arial" w:eastAsia="Times New Roman" w:hAnsi="Arial" w:cs="Arial"/>
          <w:i/>
          <w:sz w:val="24"/>
          <w:szCs w:val="24"/>
          <w:lang w:eastAsia="es-ES"/>
        </w:rPr>
      </w:pPr>
    </w:p>
    <w:p w14:paraId="138F369C" w14:textId="77777777" w:rsidR="003138BE" w:rsidRPr="00F514E8" w:rsidRDefault="00604403" w:rsidP="00604403">
      <w:pPr>
        <w:spacing w:after="0" w:line="240" w:lineRule="auto"/>
        <w:jc w:val="both"/>
        <w:rPr>
          <w:rFonts w:ascii="Arial" w:eastAsia="Times New Roman" w:hAnsi="Arial" w:cs="Arial"/>
          <w:b/>
          <w:sz w:val="24"/>
          <w:szCs w:val="24"/>
          <w:lang w:eastAsia="es-ES"/>
        </w:rPr>
      </w:pPr>
      <w:r w:rsidRPr="00F514E8">
        <w:rPr>
          <w:rFonts w:ascii="Arial" w:eastAsia="Times New Roman" w:hAnsi="Arial" w:cs="Arial"/>
          <w:b/>
          <w:sz w:val="24"/>
          <w:szCs w:val="24"/>
          <w:lang w:eastAsia="es-ES"/>
        </w:rPr>
        <w:t>2.</w:t>
      </w:r>
      <w:r w:rsidRPr="00F514E8">
        <w:rPr>
          <w:rFonts w:ascii="Arial" w:eastAsia="Times New Roman" w:hAnsi="Arial" w:cs="Arial"/>
          <w:sz w:val="24"/>
          <w:szCs w:val="24"/>
          <w:lang w:eastAsia="es-ES"/>
        </w:rPr>
        <w:t xml:space="preserve"> </w:t>
      </w:r>
      <w:r w:rsidR="005F347A" w:rsidRPr="00F514E8">
        <w:rPr>
          <w:rFonts w:ascii="Arial" w:eastAsia="Times New Roman" w:hAnsi="Arial" w:cs="Arial"/>
          <w:b/>
          <w:sz w:val="24"/>
          <w:szCs w:val="24"/>
          <w:lang w:eastAsia="es-ES"/>
        </w:rPr>
        <w:t>Desde la l</w:t>
      </w:r>
      <w:r w:rsidR="003138BE" w:rsidRPr="00F514E8">
        <w:rPr>
          <w:rFonts w:ascii="Arial" w:eastAsia="Times New Roman" w:hAnsi="Arial" w:cs="Arial"/>
          <w:b/>
          <w:sz w:val="24"/>
          <w:szCs w:val="24"/>
          <w:lang w:eastAsia="es-ES"/>
        </w:rPr>
        <w:t>ey 1150 de</w:t>
      </w:r>
      <w:r w:rsidR="00276B30" w:rsidRPr="00F514E8">
        <w:rPr>
          <w:rFonts w:ascii="Arial" w:eastAsia="Times New Roman" w:hAnsi="Arial" w:cs="Arial"/>
          <w:b/>
          <w:sz w:val="24"/>
          <w:szCs w:val="24"/>
          <w:lang w:eastAsia="es-ES"/>
        </w:rPr>
        <w:t xml:space="preserve"> 2007 hasta la l</w:t>
      </w:r>
      <w:r w:rsidRPr="00F514E8">
        <w:rPr>
          <w:rFonts w:ascii="Arial" w:eastAsia="Times New Roman" w:hAnsi="Arial" w:cs="Arial"/>
          <w:b/>
          <w:sz w:val="24"/>
          <w:szCs w:val="24"/>
          <w:lang w:eastAsia="es-ES"/>
        </w:rPr>
        <w:t>ey 1450 de 2011</w:t>
      </w:r>
    </w:p>
    <w:p w14:paraId="782EB691" w14:textId="77777777" w:rsidR="00B123CB" w:rsidRPr="00F514E8" w:rsidRDefault="00B123CB" w:rsidP="00725D19">
      <w:pPr>
        <w:spacing w:after="0" w:line="240" w:lineRule="auto"/>
        <w:jc w:val="both"/>
        <w:rPr>
          <w:rFonts w:ascii="Arial" w:eastAsia="Times New Roman" w:hAnsi="Arial" w:cs="Arial"/>
          <w:sz w:val="24"/>
          <w:szCs w:val="24"/>
          <w:lang w:eastAsia="es-ES"/>
        </w:rPr>
      </w:pPr>
    </w:p>
    <w:p w14:paraId="331EC5D9" w14:textId="77777777" w:rsidR="00B123CB" w:rsidRPr="00F514E8" w:rsidRDefault="000A43A4"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La l</w:t>
      </w:r>
      <w:r w:rsidR="00B123CB" w:rsidRPr="00F514E8">
        <w:rPr>
          <w:rFonts w:ascii="Arial" w:eastAsia="Times New Roman" w:hAnsi="Arial" w:cs="Arial"/>
          <w:sz w:val="24"/>
          <w:szCs w:val="24"/>
          <w:lang w:eastAsia="es-ES"/>
        </w:rPr>
        <w:t>ey 1150 de 2007, “</w:t>
      </w:r>
      <w:r w:rsidR="00B123CB" w:rsidRPr="00F514E8">
        <w:rPr>
          <w:rFonts w:ascii="Arial" w:eastAsia="Times New Roman" w:hAnsi="Arial" w:cs="Arial"/>
          <w:i/>
          <w:sz w:val="24"/>
          <w:szCs w:val="24"/>
          <w:lang w:eastAsia="es-ES"/>
        </w:rPr>
        <w:t>por medio de la cual se introducen medidas para la eficiencia y la transparencia en la Ley 80 de 1993 y se dictan otras disposiciones generales sobre la contratación con Recur</w:t>
      </w:r>
      <w:r w:rsidRPr="00F514E8">
        <w:rPr>
          <w:rFonts w:ascii="Arial" w:eastAsia="Times New Roman" w:hAnsi="Arial" w:cs="Arial"/>
          <w:i/>
          <w:sz w:val="24"/>
          <w:szCs w:val="24"/>
          <w:lang w:eastAsia="es-ES"/>
        </w:rPr>
        <w:t xml:space="preserve">sos Públicos”, </w:t>
      </w:r>
      <w:r w:rsidRPr="00F514E8">
        <w:rPr>
          <w:rFonts w:ascii="Arial" w:eastAsia="Times New Roman" w:hAnsi="Arial" w:cs="Arial"/>
          <w:sz w:val="24"/>
          <w:szCs w:val="24"/>
          <w:lang w:eastAsia="es-ES"/>
        </w:rPr>
        <w:t xml:space="preserve">introdujo a la ley 80 de 1993 una reforma integral, aunque no total. </w:t>
      </w:r>
      <w:r w:rsidR="00B123CB" w:rsidRPr="00F514E8">
        <w:rPr>
          <w:rFonts w:ascii="Arial" w:eastAsia="Times New Roman" w:hAnsi="Arial" w:cs="Arial"/>
          <w:sz w:val="24"/>
          <w:szCs w:val="24"/>
          <w:lang w:eastAsia="es-ES"/>
        </w:rPr>
        <w:t>E</w:t>
      </w:r>
      <w:r w:rsidR="00276B30" w:rsidRPr="00F514E8">
        <w:rPr>
          <w:rFonts w:ascii="Arial" w:eastAsia="Times New Roman" w:hAnsi="Arial" w:cs="Arial"/>
          <w:sz w:val="24"/>
          <w:szCs w:val="24"/>
          <w:lang w:eastAsia="es-ES"/>
        </w:rPr>
        <w:t>n este sentido</w:t>
      </w:r>
      <w:r w:rsidR="00257AB6" w:rsidRPr="00F514E8">
        <w:rPr>
          <w:rFonts w:ascii="Arial" w:eastAsia="Times New Roman" w:hAnsi="Arial" w:cs="Arial"/>
          <w:sz w:val="24"/>
          <w:szCs w:val="24"/>
          <w:lang w:eastAsia="es-ES"/>
        </w:rPr>
        <w:t>,</w:t>
      </w:r>
      <w:r w:rsidR="00276B30" w:rsidRPr="00F514E8">
        <w:rPr>
          <w:rFonts w:ascii="Arial" w:eastAsia="Times New Roman" w:hAnsi="Arial" w:cs="Arial"/>
          <w:sz w:val="24"/>
          <w:szCs w:val="24"/>
          <w:lang w:eastAsia="es-ES"/>
        </w:rPr>
        <w:t xml:space="preserve"> el artículo 15 de dicha l</w:t>
      </w:r>
      <w:r w:rsidR="00B123CB" w:rsidRPr="00F514E8">
        <w:rPr>
          <w:rFonts w:ascii="Arial" w:eastAsia="Times New Roman" w:hAnsi="Arial" w:cs="Arial"/>
          <w:sz w:val="24"/>
          <w:szCs w:val="24"/>
          <w:lang w:eastAsia="es-ES"/>
        </w:rPr>
        <w:t>ey modificó el pará</w:t>
      </w:r>
      <w:r w:rsidRPr="00F514E8">
        <w:rPr>
          <w:rFonts w:ascii="Arial" w:eastAsia="Times New Roman" w:hAnsi="Arial" w:cs="Arial"/>
          <w:sz w:val="24"/>
          <w:szCs w:val="24"/>
          <w:lang w:eastAsia="es-ES"/>
        </w:rPr>
        <w:t>grafo 1º del artículo 32 de la l</w:t>
      </w:r>
      <w:r w:rsidR="00B123CB" w:rsidRPr="00F514E8">
        <w:rPr>
          <w:rFonts w:ascii="Arial" w:eastAsia="Times New Roman" w:hAnsi="Arial" w:cs="Arial"/>
          <w:sz w:val="24"/>
          <w:szCs w:val="24"/>
          <w:lang w:eastAsia="es-ES"/>
        </w:rPr>
        <w:t xml:space="preserve">ey 80 de 1993, </w:t>
      </w:r>
      <w:r w:rsidR="00276B30" w:rsidRPr="00F514E8">
        <w:rPr>
          <w:rFonts w:ascii="Arial" w:eastAsia="Times New Roman" w:hAnsi="Arial" w:cs="Arial"/>
          <w:sz w:val="24"/>
          <w:szCs w:val="24"/>
          <w:lang w:eastAsia="es-ES"/>
        </w:rPr>
        <w:t xml:space="preserve">el cual quedó </w:t>
      </w:r>
      <w:r w:rsidR="00755837" w:rsidRPr="00F514E8">
        <w:rPr>
          <w:rFonts w:ascii="Arial" w:eastAsia="Times New Roman" w:hAnsi="Arial" w:cs="Arial"/>
          <w:sz w:val="24"/>
          <w:szCs w:val="24"/>
          <w:lang w:eastAsia="es-ES"/>
        </w:rPr>
        <w:t>así</w:t>
      </w:r>
      <w:r w:rsidR="00B123CB" w:rsidRPr="00F514E8">
        <w:rPr>
          <w:rFonts w:ascii="Arial" w:eastAsia="Times New Roman" w:hAnsi="Arial" w:cs="Arial"/>
          <w:sz w:val="24"/>
          <w:szCs w:val="24"/>
          <w:lang w:eastAsia="es-ES"/>
        </w:rPr>
        <w:t xml:space="preserve">: </w:t>
      </w:r>
    </w:p>
    <w:p w14:paraId="3E98E256" w14:textId="77777777" w:rsidR="00B123CB" w:rsidRDefault="00B123CB" w:rsidP="00725D19">
      <w:pPr>
        <w:spacing w:after="0" w:line="240" w:lineRule="auto"/>
        <w:jc w:val="both"/>
        <w:rPr>
          <w:rFonts w:ascii="Arial" w:eastAsia="Times New Roman" w:hAnsi="Arial" w:cs="Arial"/>
          <w:sz w:val="24"/>
          <w:szCs w:val="24"/>
          <w:lang w:eastAsia="es-ES"/>
        </w:rPr>
      </w:pPr>
    </w:p>
    <w:p w14:paraId="0A2FC22E" w14:textId="77777777" w:rsidR="007D7D76" w:rsidRPr="00F514E8" w:rsidRDefault="007D7D76" w:rsidP="00725D19">
      <w:pPr>
        <w:spacing w:after="0" w:line="240" w:lineRule="auto"/>
        <w:jc w:val="both"/>
        <w:rPr>
          <w:rFonts w:ascii="Arial" w:eastAsia="Times New Roman" w:hAnsi="Arial" w:cs="Arial"/>
          <w:sz w:val="24"/>
          <w:szCs w:val="24"/>
          <w:lang w:eastAsia="es-ES"/>
        </w:rPr>
      </w:pPr>
    </w:p>
    <w:p w14:paraId="65391661" w14:textId="77777777" w:rsidR="003A2DFD" w:rsidRPr="00F514E8" w:rsidRDefault="00B123CB" w:rsidP="00725D19">
      <w:pPr>
        <w:spacing w:after="0" w:line="240" w:lineRule="auto"/>
        <w:ind w:left="426"/>
        <w:jc w:val="both"/>
        <w:rPr>
          <w:rFonts w:ascii="Arial" w:eastAsia="Times New Roman" w:hAnsi="Arial" w:cs="Arial"/>
          <w:lang w:eastAsia="es-ES"/>
        </w:rPr>
      </w:pPr>
      <w:r w:rsidRPr="00F514E8">
        <w:rPr>
          <w:rFonts w:ascii="Arial" w:eastAsia="Times New Roman" w:hAnsi="Arial" w:cs="Arial"/>
          <w:lang w:eastAsia="es-ES"/>
        </w:rPr>
        <w:t>“</w:t>
      </w:r>
      <w:r w:rsidRPr="00F514E8">
        <w:rPr>
          <w:rFonts w:ascii="Arial" w:eastAsia="Times New Roman" w:hAnsi="Arial" w:cs="Arial"/>
          <w:i/>
          <w:lang w:eastAsia="es-ES"/>
        </w:rPr>
        <w:t>Parágrafo 1º.</w:t>
      </w:r>
      <w:r w:rsidRPr="00F514E8">
        <w:rPr>
          <w:rFonts w:ascii="Arial" w:eastAsia="Times New Roman" w:hAnsi="Arial" w:cs="Arial"/>
          <w:b/>
          <w:i/>
          <w:lang w:eastAsia="es-ES"/>
        </w:rPr>
        <w:t xml:space="preserve"> </w:t>
      </w:r>
      <w:r w:rsidR="003A2DFD" w:rsidRPr="00F514E8">
        <w:rPr>
          <w:rFonts w:ascii="Arial" w:eastAsia="Times New Roman" w:hAnsi="Arial" w:cs="Arial"/>
          <w:i/>
          <w:lang w:eastAsia="es-ES"/>
        </w:rPr>
        <w:t xml:space="preserve">Los Contratos que celebren los Establecimientos de Crédito, las compañías de seguros y las demás entidades financieras de carácter estatal, no estarán sujetos a las disposiciones del Estatuto General de Contratación de la Administración Pública y se regirán por las disposiciones legales y reglamentarias aplicables a dichas actividades”. </w:t>
      </w:r>
    </w:p>
    <w:p w14:paraId="5A1C85DE" w14:textId="77777777" w:rsidR="003A2DFD" w:rsidRDefault="003A2DFD" w:rsidP="00725D19">
      <w:pPr>
        <w:spacing w:after="0" w:line="240" w:lineRule="auto"/>
        <w:jc w:val="both"/>
        <w:rPr>
          <w:rFonts w:ascii="Arial" w:eastAsia="Times New Roman" w:hAnsi="Arial" w:cs="Arial"/>
          <w:sz w:val="24"/>
          <w:szCs w:val="24"/>
          <w:lang w:eastAsia="es-ES"/>
        </w:rPr>
      </w:pPr>
    </w:p>
    <w:p w14:paraId="13486E71" w14:textId="77777777" w:rsidR="007D7D76" w:rsidRPr="00F514E8" w:rsidRDefault="007D7D76" w:rsidP="00725D19">
      <w:pPr>
        <w:spacing w:after="0" w:line="240" w:lineRule="auto"/>
        <w:jc w:val="both"/>
        <w:rPr>
          <w:rFonts w:ascii="Arial" w:eastAsia="Times New Roman" w:hAnsi="Arial" w:cs="Arial"/>
          <w:sz w:val="24"/>
          <w:szCs w:val="24"/>
          <w:lang w:eastAsia="es-ES"/>
        </w:rPr>
      </w:pPr>
    </w:p>
    <w:p w14:paraId="5CC1A1E4" w14:textId="77777777" w:rsidR="003A2DFD" w:rsidRPr="00F514E8" w:rsidRDefault="000A43A4"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Resalta l</w:t>
      </w:r>
      <w:r w:rsidR="003A2DFD" w:rsidRPr="00F514E8">
        <w:rPr>
          <w:rFonts w:ascii="Arial" w:eastAsia="Times New Roman" w:hAnsi="Arial" w:cs="Arial"/>
          <w:sz w:val="24"/>
          <w:szCs w:val="24"/>
          <w:lang w:eastAsia="es-ES"/>
        </w:rPr>
        <w:t xml:space="preserve">a Sala </w:t>
      </w:r>
      <w:r w:rsidRPr="00F514E8">
        <w:rPr>
          <w:rFonts w:ascii="Arial" w:eastAsia="Times New Roman" w:hAnsi="Arial" w:cs="Arial"/>
          <w:sz w:val="24"/>
          <w:szCs w:val="24"/>
          <w:lang w:eastAsia="es-ES"/>
        </w:rPr>
        <w:t>que,</w:t>
      </w:r>
      <w:r w:rsidR="003A2DFD" w:rsidRPr="00F514E8">
        <w:rPr>
          <w:rFonts w:ascii="Arial" w:eastAsia="Times New Roman" w:hAnsi="Arial" w:cs="Arial"/>
          <w:sz w:val="24"/>
          <w:szCs w:val="24"/>
          <w:lang w:eastAsia="es-ES"/>
        </w:rPr>
        <w:t xml:space="preserve"> a diferencia de la norma original, que se refería a los contratos “</w:t>
      </w:r>
      <w:r w:rsidR="003A2DFD" w:rsidRPr="00F514E8">
        <w:rPr>
          <w:rFonts w:ascii="Arial" w:eastAsia="Times New Roman" w:hAnsi="Arial" w:cs="Arial"/>
          <w:i/>
          <w:sz w:val="24"/>
          <w:szCs w:val="24"/>
          <w:lang w:eastAsia="es-ES"/>
        </w:rPr>
        <w:t xml:space="preserve">que correspondan al giro ordinario de las actividades propias de su objeto social”, </w:t>
      </w:r>
      <w:r w:rsidR="003A2DFD" w:rsidRPr="00F514E8">
        <w:rPr>
          <w:rFonts w:ascii="Arial" w:eastAsia="Times New Roman" w:hAnsi="Arial" w:cs="Arial"/>
          <w:sz w:val="24"/>
          <w:szCs w:val="24"/>
          <w:lang w:eastAsia="es-ES"/>
        </w:rPr>
        <w:t>la nueva redacción no incluy</w:t>
      </w:r>
      <w:r w:rsidR="00755837" w:rsidRPr="00F514E8">
        <w:rPr>
          <w:rFonts w:ascii="Arial" w:eastAsia="Times New Roman" w:hAnsi="Arial" w:cs="Arial"/>
          <w:sz w:val="24"/>
          <w:szCs w:val="24"/>
          <w:lang w:eastAsia="es-ES"/>
        </w:rPr>
        <w:t>ó</w:t>
      </w:r>
      <w:r w:rsidR="003A2DFD" w:rsidRPr="00F514E8">
        <w:rPr>
          <w:rFonts w:ascii="Arial" w:eastAsia="Times New Roman" w:hAnsi="Arial" w:cs="Arial"/>
          <w:sz w:val="24"/>
          <w:szCs w:val="24"/>
          <w:lang w:eastAsia="es-ES"/>
        </w:rPr>
        <w:t xml:space="preserve"> tal condicionamiento, por lo cual </w:t>
      </w:r>
      <w:r w:rsidR="00127741" w:rsidRPr="00F514E8">
        <w:rPr>
          <w:rFonts w:ascii="Arial" w:eastAsia="Times New Roman" w:hAnsi="Arial" w:cs="Arial"/>
          <w:sz w:val="24"/>
          <w:szCs w:val="24"/>
          <w:lang w:eastAsia="es-ES"/>
        </w:rPr>
        <w:t xml:space="preserve">debe </w:t>
      </w:r>
      <w:r w:rsidR="003A2DFD" w:rsidRPr="00F514E8">
        <w:rPr>
          <w:rFonts w:ascii="Arial" w:eastAsia="Times New Roman" w:hAnsi="Arial" w:cs="Arial"/>
          <w:sz w:val="24"/>
          <w:szCs w:val="24"/>
          <w:lang w:eastAsia="es-ES"/>
        </w:rPr>
        <w:t>concluirse</w:t>
      </w:r>
      <w:r w:rsidR="00755837" w:rsidRPr="00F514E8">
        <w:rPr>
          <w:rFonts w:ascii="Arial" w:eastAsia="Times New Roman" w:hAnsi="Arial" w:cs="Arial"/>
          <w:sz w:val="24"/>
          <w:szCs w:val="24"/>
          <w:lang w:eastAsia="es-ES"/>
        </w:rPr>
        <w:t xml:space="preserve"> </w:t>
      </w:r>
      <w:r w:rsidR="003A2DFD" w:rsidRPr="00F514E8">
        <w:rPr>
          <w:rFonts w:ascii="Arial" w:eastAsia="Times New Roman" w:hAnsi="Arial" w:cs="Arial"/>
          <w:sz w:val="24"/>
          <w:szCs w:val="24"/>
          <w:lang w:eastAsia="es-ES"/>
        </w:rPr>
        <w:t>que</w:t>
      </w:r>
      <w:r w:rsidR="00755837" w:rsidRPr="00F514E8">
        <w:rPr>
          <w:rFonts w:ascii="Arial" w:eastAsia="Times New Roman" w:hAnsi="Arial" w:cs="Arial"/>
          <w:sz w:val="24"/>
          <w:szCs w:val="24"/>
          <w:lang w:eastAsia="es-ES"/>
        </w:rPr>
        <w:t>,</w:t>
      </w:r>
      <w:r w:rsidR="003A2DFD" w:rsidRPr="00F514E8">
        <w:rPr>
          <w:rFonts w:ascii="Arial" w:eastAsia="Times New Roman" w:hAnsi="Arial" w:cs="Arial"/>
          <w:sz w:val="24"/>
          <w:szCs w:val="24"/>
          <w:lang w:eastAsia="es-ES"/>
        </w:rPr>
        <w:t xml:space="preserve"> desde la entrada en vigencia de la </w:t>
      </w:r>
      <w:r w:rsidR="004667E7" w:rsidRPr="00F514E8">
        <w:rPr>
          <w:rFonts w:ascii="Arial" w:eastAsia="Times New Roman" w:hAnsi="Arial" w:cs="Arial"/>
          <w:sz w:val="24"/>
          <w:szCs w:val="24"/>
          <w:lang w:eastAsia="es-ES"/>
        </w:rPr>
        <w:t>l</w:t>
      </w:r>
      <w:r w:rsidR="003A2DFD" w:rsidRPr="00F514E8">
        <w:rPr>
          <w:rFonts w:ascii="Arial" w:eastAsia="Times New Roman" w:hAnsi="Arial" w:cs="Arial"/>
          <w:sz w:val="24"/>
          <w:szCs w:val="24"/>
          <w:lang w:eastAsia="es-ES"/>
        </w:rPr>
        <w:t>ey 1150 de 2007</w:t>
      </w:r>
      <w:r w:rsidR="003A2DFD" w:rsidRPr="00F514E8">
        <w:rPr>
          <w:rStyle w:val="Refdenotaalpie"/>
          <w:rFonts w:ascii="Arial" w:eastAsia="Times New Roman" w:hAnsi="Arial" w:cs="Arial"/>
          <w:sz w:val="24"/>
          <w:szCs w:val="24"/>
          <w:lang w:eastAsia="es-ES"/>
        </w:rPr>
        <w:footnoteReference w:id="15"/>
      </w:r>
      <w:r w:rsidR="003A2DFD" w:rsidRPr="00F514E8">
        <w:rPr>
          <w:rFonts w:ascii="Arial" w:eastAsia="Times New Roman" w:hAnsi="Arial" w:cs="Arial"/>
          <w:sz w:val="24"/>
          <w:szCs w:val="24"/>
          <w:lang w:eastAsia="es-ES"/>
        </w:rPr>
        <w:t xml:space="preserve">, todos los contratos celebrados por los establecimientos de crédito, las aseguradoras y las demás entidades financieras de carácter estatal quedaron excluidos del Estatuto General de Contratación de la Administración Pública.  </w:t>
      </w:r>
    </w:p>
    <w:p w14:paraId="0B6C948D" w14:textId="77777777" w:rsidR="0046344A" w:rsidRPr="00F514E8" w:rsidRDefault="0046344A" w:rsidP="00725D19">
      <w:pPr>
        <w:spacing w:after="0" w:line="240" w:lineRule="auto"/>
        <w:jc w:val="both"/>
        <w:rPr>
          <w:rFonts w:ascii="Arial" w:eastAsia="Times New Roman" w:hAnsi="Arial" w:cs="Arial"/>
          <w:sz w:val="24"/>
          <w:szCs w:val="24"/>
          <w:lang w:eastAsia="es-ES"/>
        </w:rPr>
      </w:pPr>
    </w:p>
    <w:p w14:paraId="5F8BAE34" w14:textId="77777777" w:rsidR="0046344A" w:rsidRPr="00F514E8" w:rsidRDefault="0046344A"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 xml:space="preserve">No obstante, </w:t>
      </w:r>
      <w:r w:rsidR="000A43A4" w:rsidRPr="00F514E8">
        <w:rPr>
          <w:rFonts w:ascii="Arial" w:eastAsia="Times New Roman" w:hAnsi="Arial" w:cs="Arial"/>
          <w:sz w:val="24"/>
          <w:szCs w:val="24"/>
          <w:lang w:eastAsia="es-ES"/>
        </w:rPr>
        <w:t>la misma l</w:t>
      </w:r>
      <w:r w:rsidRPr="00F514E8">
        <w:rPr>
          <w:rFonts w:ascii="Arial" w:eastAsia="Times New Roman" w:hAnsi="Arial" w:cs="Arial"/>
          <w:sz w:val="24"/>
          <w:szCs w:val="24"/>
          <w:lang w:eastAsia="es-ES"/>
        </w:rPr>
        <w:t xml:space="preserve">ey 1150 de 2007 </w:t>
      </w:r>
      <w:r w:rsidR="000A43A4" w:rsidRPr="00F514E8">
        <w:rPr>
          <w:rFonts w:ascii="Arial" w:eastAsia="Times New Roman" w:hAnsi="Arial" w:cs="Arial"/>
          <w:sz w:val="24"/>
          <w:szCs w:val="24"/>
          <w:lang w:eastAsia="es-ES"/>
        </w:rPr>
        <w:t>introdujo una regla especial para FONADE</w:t>
      </w:r>
      <w:r w:rsidR="004667E7" w:rsidRPr="00F514E8">
        <w:rPr>
          <w:rFonts w:ascii="Arial" w:eastAsia="Times New Roman" w:hAnsi="Arial" w:cs="Arial"/>
          <w:sz w:val="24"/>
          <w:szCs w:val="24"/>
          <w:lang w:eastAsia="es-ES"/>
        </w:rPr>
        <w:t>,</w:t>
      </w:r>
      <w:r w:rsidR="000A43A4" w:rsidRPr="00F514E8">
        <w:rPr>
          <w:rFonts w:ascii="Arial" w:eastAsia="Times New Roman" w:hAnsi="Arial" w:cs="Arial"/>
          <w:sz w:val="24"/>
          <w:szCs w:val="24"/>
          <w:lang w:eastAsia="es-ES"/>
        </w:rPr>
        <w:t xml:space="preserve"> </w:t>
      </w:r>
      <w:r w:rsidR="00755837" w:rsidRPr="00F514E8">
        <w:rPr>
          <w:rFonts w:ascii="Arial" w:eastAsia="Times New Roman" w:hAnsi="Arial" w:cs="Arial"/>
          <w:sz w:val="24"/>
          <w:szCs w:val="24"/>
          <w:lang w:eastAsia="es-ES"/>
        </w:rPr>
        <w:t xml:space="preserve">en </w:t>
      </w:r>
      <w:r w:rsidR="000A43A4" w:rsidRPr="00F514E8">
        <w:rPr>
          <w:rFonts w:ascii="Arial" w:eastAsia="Times New Roman" w:hAnsi="Arial" w:cs="Arial"/>
          <w:sz w:val="24"/>
          <w:szCs w:val="24"/>
          <w:lang w:eastAsia="es-ES"/>
        </w:rPr>
        <w:t>el</w:t>
      </w:r>
      <w:r w:rsidR="00755837" w:rsidRPr="00F514E8">
        <w:rPr>
          <w:rFonts w:ascii="Arial" w:eastAsia="Times New Roman" w:hAnsi="Arial" w:cs="Arial"/>
          <w:sz w:val="24"/>
          <w:szCs w:val="24"/>
          <w:lang w:eastAsia="es-ES"/>
        </w:rPr>
        <w:t xml:space="preserve"> artículo 26, </w:t>
      </w:r>
      <w:r w:rsidRPr="00F514E8">
        <w:rPr>
          <w:rFonts w:ascii="Arial" w:eastAsia="Times New Roman" w:hAnsi="Arial" w:cs="Arial"/>
          <w:sz w:val="24"/>
          <w:szCs w:val="24"/>
          <w:lang w:eastAsia="es-ES"/>
        </w:rPr>
        <w:t xml:space="preserve">del siguiente tenor: </w:t>
      </w:r>
    </w:p>
    <w:p w14:paraId="0CA6D796" w14:textId="77777777" w:rsidR="0046344A" w:rsidRPr="00F514E8" w:rsidRDefault="0046344A" w:rsidP="00725D19">
      <w:pPr>
        <w:spacing w:after="0" w:line="240" w:lineRule="auto"/>
        <w:jc w:val="both"/>
        <w:rPr>
          <w:rFonts w:ascii="Arial" w:eastAsia="Times New Roman" w:hAnsi="Arial" w:cs="Arial"/>
          <w:sz w:val="24"/>
          <w:szCs w:val="24"/>
          <w:lang w:eastAsia="es-ES"/>
        </w:rPr>
      </w:pPr>
    </w:p>
    <w:p w14:paraId="77A94F09" w14:textId="77777777" w:rsidR="0046344A" w:rsidRPr="00F514E8" w:rsidRDefault="0046344A" w:rsidP="00725D19">
      <w:pPr>
        <w:spacing w:after="0" w:line="240" w:lineRule="auto"/>
        <w:ind w:left="426"/>
        <w:jc w:val="both"/>
        <w:rPr>
          <w:rFonts w:ascii="Arial" w:eastAsia="Times New Roman" w:hAnsi="Arial" w:cs="Arial"/>
          <w:i/>
          <w:lang w:eastAsia="es-ES"/>
        </w:rPr>
      </w:pPr>
      <w:r w:rsidRPr="00F514E8">
        <w:rPr>
          <w:rFonts w:ascii="Arial" w:eastAsia="Times New Roman" w:hAnsi="Arial" w:cs="Arial"/>
          <w:lang w:eastAsia="es-ES"/>
        </w:rPr>
        <w:t>“</w:t>
      </w:r>
      <w:r w:rsidR="000A43A4" w:rsidRPr="00F514E8">
        <w:rPr>
          <w:rFonts w:ascii="Arial" w:eastAsia="Times New Roman" w:hAnsi="Arial" w:cs="Arial"/>
          <w:i/>
          <w:lang w:eastAsia="es-ES"/>
        </w:rPr>
        <w:t>Artículo 26.</w:t>
      </w:r>
      <w:r w:rsidRPr="00F514E8">
        <w:rPr>
          <w:rFonts w:ascii="Arial" w:eastAsia="Times New Roman" w:hAnsi="Arial" w:cs="Arial"/>
          <w:b/>
          <w:i/>
          <w:lang w:eastAsia="es-ES"/>
        </w:rPr>
        <w:t xml:space="preserve"> </w:t>
      </w:r>
      <w:r w:rsidRPr="00F514E8">
        <w:rPr>
          <w:rFonts w:ascii="Arial" w:eastAsia="Times New Roman" w:hAnsi="Arial" w:cs="Arial"/>
          <w:i/>
          <w:lang w:eastAsia="es-ES"/>
        </w:rPr>
        <w:t xml:space="preserve">El Fondo Financiero de Proyectos de Desarrollo, </w:t>
      </w:r>
      <w:proofErr w:type="spellStart"/>
      <w:r w:rsidRPr="00F514E8">
        <w:rPr>
          <w:rFonts w:ascii="Arial" w:eastAsia="Times New Roman" w:hAnsi="Arial" w:cs="Arial"/>
          <w:i/>
          <w:lang w:eastAsia="es-ES"/>
        </w:rPr>
        <w:t>Fonade</w:t>
      </w:r>
      <w:proofErr w:type="spellEnd"/>
      <w:r w:rsidRPr="00F514E8">
        <w:rPr>
          <w:rFonts w:ascii="Arial" w:eastAsia="Times New Roman" w:hAnsi="Arial" w:cs="Arial"/>
          <w:i/>
          <w:lang w:eastAsia="es-ES"/>
        </w:rPr>
        <w:t xml:space="preserve"> se regirá por las normas del Estatuto General de Contratación de la Administración Pública contenido en la Ley 80 de 1993 y en las demás normas que lo modifiquen, deroguen o adicionen”. </w:t>
      </w:r>
    </w:p>
    <w:p w14:paraId="3549F94B" w14:textId="77777777" w:rsidR="0046344A" w:rsidRPr="00F514E8" w:rsidRDefault="0046344A" w:rsidP="00725D19">
      <w:pPr>
        <w:spacing w:after="0" w:line="240" w:lineRule="auto"/>
        <w:jc w:val="both"/>
        <w:rPr>
          <w:rFonts w:ascii="Arial" w:eastAsia="Times New Roman" w:hAnsi="Arial" w:cs="Arial"/>
          <w:i/>
          <w:sz w:val="24"/>
          <w:szCs w:val="24"/>
          <w:lang w:eastAsia="es-ES"/>
        </w:rPr>
      </w:pPr>
    </w:p>
    <w:p w14:paraId="71ED70CF" w14:textId="77777777" w:rsidR="00E0419F" w:rsidRPr="00F514E8" w:rsidRDefault="0090755A"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Disposición tan explícita encuentra explicación en los antecedentes de la ley 1150 de 2007, donde se constata</w:t>
      </w:r>
      <w:r w:rsidR="0046344A" w:rsidRPr="00F514E8">
        <w:rPr>
          <w:rFonts w:ascii="Arial" w:eastAsia="Times New Roman" w:hAnsi="Arial" w:cs="Arial"/>
          <w:sz w:val="24"/>
          <w:szCs w:val="24"/>
          <w:lang w:eastAsia="es-ES"/>
        </w:rPr>
        <w:t xml:space="preserve"> que </w:t>
      </w:r>
      <w:r w:rsidRPr="00F514E8">
        <w:rPr>
          <w:rFonts w:ascii="Arial" w:eastAsia="Times New Roman" w:hAnsi="Arial" w:cs="Arial"/>
          <w:sz w:val="24"/>
          <w:szCs w:val="24"/>
          <w:lang w:eastAsia="es-ES"/>
        </w:rPr>
        <w:t xml:space="preserve">fue </w:t>
      </w:r>
      <w:r w:rsidR="0046344A" w:rsidRPr="00F514E8">
        <w:rPr>
          <w:rFonts w:ascii="Arial" w:eastAsia="Times New Roman" w:hAnsi="Arial" w:cs="Arial"/>
          <w:sz w:val="24"/>
          <w:szCs w:val="24"/>
          <w:lang w:eastAsia="es-ES"/>
        </w:rPr>
        <w:t xml:space="preserve">propósito </w:t>
      </w:r>
      <w:r w:rsidRPr="00F514E8">
        <w:rPr>
          <w:rFonts w:ascii="Arial" w:eastAsia="Times New Roman" w:hAnsi="Arial" w:cs="Arial"/>
          <w:sz w:val="24"/>
          <w:szCs w:val="24"/>
          <w:lang w:eastAsia="es-ES"/>
        </w:rPr>
        <w:t xml:space="preserve">deliberado </w:t>
      </w:r>
      <w:r w:rsidR="0046344A" w:rsidRPr="00F514E8">
        <w:rPr>
          <w:rFonts w:ascii="Arial" w:eastAsia="Times New Roman" w:hAnsi="Arial" w:cs="Arial"/>
          <w:sz w:val="24"/>
          <w:szCs w:val="24"/>
          <w:lang w:eastAsia="es-ES"/>
        </w:rPr>
        <w:t xml:space="preserve">del Legislador, </w:t>
      </w:r>
      <w:r w:rsidRPr="00F514E8">
        <w:rPr>
          <w:rFonts w:ascii="Arial" w:eastAsia="Times New Roman" w:hAnsi="Arial" w:cs="Arial"/>
          <w:sz w:val="24"/>
          <w:szCs w:val="24"/>
          <w:lang w:eastAsia="es-ES"/>
        </w:rPr>
        <w:t xml:space="preserve">movido </w:t>
      </w:r>
      <w:r w:rsidR="0046344A" w:rsidRPr="00F514E8">
        <w:rPr>
          <w:rFonts w:ascii="Arial" w:eastAsia="Times New Roman" w:hAnsi="Arial" w:cs="Arial"/>
          <w:sz w:val="24"/>
          <w:szCs w:val="24"/>
          <w:lang w:eastAsia="es-ES"/>
        </w:rPr>
        <w:t xml:space="preserve">por </w:t>
      </w:r>
      <w:r w:rsidR="00E0419F" w:rsidRPr="00F514E8">
        <w:rPr>
          <w:rFonts w:ascii="Arial" w:eastAsia="Times New Roman" w:hAnsi="Arial" w:cs="Arial"/>
          <w:sz w:val="24"/>
          <w:szCs w:val="24"/>
          <w:lang w:eastAsia="es-ES"/>
        </w:rPr>
        <w:t xml:space="preserve">diferentes </w:t>
      </w:r>
      <w:r w:rsidR="00755837" w:rsidRPr="00F514E8">
        <w:rPr>
          <w:rFonts w:ascii="Arial" w:eastAsia="Times New Roman" w:hAnsi="Arial" w:cs="Arial"/>
          <w:sz w:val="24"/>
          <w:szCs w:val="24"/>
          <w:lang w:eastAsia="es-ES"/>
        </w:rPr>
        <w:t>c</w:t>
      </w:r>
      <w:r w:rsidRPr="00F514E8">
        <w:rPr>
          <w:rFonts w:ascii="Arial" w:eastAsia="Times New Roman" w:hAnsi="Arial" w:cs="Arial"/>
          <w:sz w:val="24"/>
          <w:szCs w:val="24"/>
          <w:lang w:eastAsia="es-ES"/>
        </w:rPr>
        <w:t>onsideraciones</w:t>
      </w:r>
      <w:r w:rsidR="00755837" w:rsidRPr="00F514E8">
        <w:rPr>
          <w:rFonts w:ascii="Arial" w:eastAsia="Times New Roman" w:hAnsi="Arial" w:cs="Arial"/>
          <w:sz w:val="24"/>
          <w:szCs w:val="24"/>
          <w:lang w:eastAsia="es-ES"/>
        </w:rPr>
        <w:t xml:space="preserve"> y </w:t>
      </w:r>
      <w:r w:rsidR="0046344A" w:rsidRPr="00F514E8">
        <w:rPr>
          <w:rFonts w:ascii="Arial" w:eastAsia="Times New Roman" w:hAnsi="Arial" w:cs="Arial"/>
          <w:sz w:val="24"/>
          <w:szCs w:val="24"/>
          <w:lang w:eastAsia="es-ES"/>
        </w:rPr>
        <w:t xml:space="preserve">motivos de conveniencia, </w:t>
      </w:r>
      <w:r w:rsidRPr="00F514E8">
        <w:rPr>
          <w:rFonts w:ascii="Arial" w:eastAsia="Times New Roman" w:hAnsi="Arial" w:cs="Arial"/>
          <w:sz w:val="24"/>
          <w:szCs w:val="24"/>
          <w:lang w:eastAsia="es-ES"/>
        </w:rPr>
        <w:t>s</w:t>
      </w:r>
      <w:r w:rsidR="0046344A" w:rsidRPr="00F514E8">
        <w:rPr>
          <w:rFonts w:ascii="Arial" w:eastAsia="Times New Roman" w:hAnsi="Arial" w:cs="Arial"/>
          <w:sz w:val="24"/>
          <w:szCs w:val="24"/>
          <w:lang w:eastAsia="es-ES"/>
        </w:rPr>
        <w:t xml:space="preserve">ometer plenamente a FONADE al Estatuto General de Contratación de la Administración Pública, </w:t>
      </w:r>
      <w:r w:rsidRPr="00F514E8">
        <w:rPr>
          <w:rFonts w:ascii="Arial" w:eastAsia="Times New Roman" w:hAnsi="Arial" w:cs="Arial"/>
          <w:sz w:val="24"/>
          <w:szCs w:val="24"/>
          <w:lang w:eastAsia="es-ES"/>
        </w:rPr>
        <w:t>en condiciones similares a las de</w:t>
      </w:r>
      <w:r w:rsidR="00E0419F" w:rsidRPr="00F514E8">
        <w:rPr>
          <w:rFonts w:ascii="Arial" w:eastAsia="Times New Roman" w:hAnsi="Arial" w:cs="Arial"/>
          <w:sz w:val="24"/>
          <w:szCs w:val="24"/>
          <w:lang w:eastAsia="es-ES"/>
        </w:rPr>
        <w:t xml:space="preserve"> las demás entidades estatales, </w:t>
      </w:r>
      <w:r w:rsidR="0046344A" w:rsidRPr="00F514E8">
        <w:rPr>
          <w:rFonts w:ascii="Arial" w:eastAsia="Times New Roman" w:hAnsi="Arial" w:cs="Arial"/>
          <w:sz w:val="24"/>
          <w:szCs w:val="24"/>
          <w:lang w:eastAsia="es-ES"/>
        </w:rPr>
        <w:t xml:space="preserve">a pesar de su carácter de </w:t>
      </w:r>
      <w:r w:rsidR="00755837" w:rsidRPr="00F514E8">
        <w:rPr>
          <w:rFonts w:ascii="Arial" w:eastAsia="Times New Roman" w:hAnsi="Arial" w:cs="Arial"/>
          <w:sz w:val="24"/>
          <w:szCs w:val="24"/>
          <w:lang w:eastAsia="es-ES"/>
        </w:rPr>
        <w:t>institución financiera</w:t>
      </w:r>
      <w:r w:rsidR="00E0419F" w:rsidRPr="00F514E8">
        <w:rPr>
          <w:rFonts w:ascii="Arial" w:eastAsia="Times New Roman" w:hAnsi="Arial" w:cs="Arial"/>
          <w:sz w:val="24"/>
          <w:szCs w:val="24"/>
          <w:lang w:eastAsia="es-ES"/>
        </w:rPr>
        <w:t>.</w:t>
      </w:r>
      <w:r w:rsidR="0046344A" w:rsidRPr="00F514E8">
        <w:rPr>
          <w:rFonts w:ascii="Arial" w:eastAsia="Times New Roman" w:hAnsi="Arial" w:cs="Arial"/>
          <w:sz w:val="24"/>
          <w:szCs w:val="24"/>
          <w:lang w:eastAsia="es-ES"/>
        </w:rPr>
        <w:t xml:space="preserve">  </w:t>
      </w:r>
    </w:p>
    <w:p w14:paraId="3D0DA8BD" w14:textId="77777777" w:rsidR="00E0419F" w:rsidRPr="00F514E8" w:rsidRDefault="00E0419F" w:rsidP="00725D19">
      <w:pPr>
        <w:spacing w:after="0" w:line="240" w:lineRule="auto"/>
        <w:jc w:val="both"/>
        <w:rPr>
          <w:rFonts w:ascii="Arial" w:eastAsia="Times New Roman" w:hAnsi="Arial" w:cs="Arial"/>
          <w:sz w:val="24"/>
          <w:szCs w:val="24"/>
          <w:lang w:eastAsia="es-ES"/>
        </w:rPr>
      </w:pPr>
    </w:p>
    <w:p w14:paraId="500F3818" w14:textId="77777777" w:rsidR="00E0419F" w:rsidRPr="00F514E8" w:rsidRDefault="0090755A"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Con esta decisión</w:t>
      </w:r>
      <w:r w:rsidR="004667E7" w:rsidRPr="00F514E8">
        <w:rPr>
          <w:rFonts w:ascii="Arial" w:eastAsia="Times New Roman" w:hAnsi="Arial" w:cs="Arial"/>
          <w:sz w:val="24"/>
          <w:szCs w:val="24"/>
          <w:lang w:eastAsia="es-ES"/>
        </w:rPr>
        <w:t>,</w:t>
      </w:r>
      <w:r w:rsidR="00E0419F" w:rsidRPr="00F514E8">
        <w:rPr>
          <w:rFonts w:ascii="Arial" w:eastAsia="Times New Roman" w:hAnsi="Arial" w:cs="Arial"/>
          <w:sz w:val="24"/>
          <w:szCs w:val="24"/>
          <w:lang w:eastAsia="es-ES"/>
        </w:rPr>
        <w:t xml:space="preserve"> el Legislador creó</w:t>
      </w:r>
      <w:r w:rsidR="00885AE3" w:rsidRPr="00F514E8">
        <w:rPr>
          <w:rFonts w:ascii="Arial" w:eastAsia="Times New Roman" w:hAnsi="Arial" w:cs="Arial"/>
          <w:sz w:val="24"/>
          <w:szCs w:val="24"/>
          <w:lang w:eastAsia="es-ES"/>
        </w:rPr>
        <w:t xml:space="preserve">, para FONADE, </w:t>
      </w:r>
      <w:r w:rsidR="00E0419F" w:rsidRPr="00F514E8">
        <w:rPr>
          <w:rFonts w:ascii="Arial" w:eastAsia="Times New Roman" w:hAnsi="Arial" w:cs="Arial"/>
          <w:sz w:val="24"/>
          <w:szCs w:val="24"/>
          <w:lang w:eastAsia="es-ES"/>
        </w:rPr>
        <w:t xml:space="preserve">una excepción a la regla consagrada en el parágrafo </w:t>
      </w:r>
      <w:r w:rsidR="00885AE3" w:rsidRPr="00F514E8">
        <w:rPr>
          <w:rFonts w:ascii="Arial" w:eastAsia="Times New Roman" w:hAnsi="Arial" w:cs="Arial"/>
          <w:sz w:val="24"/>
          <w:szCs w:val="24"/>
          <w:lang w:eastAsia="es-ES"/>
        </w:rPr>
        <w:t xml:space="preserve">1º </w:t>
      </w:r>
      <w:r w:rsidR="00E0419F" w:rsidRPr="00F514E8">
        <w:rPr>
          <w:rFonts w:ascii="Arial" w:eastAsia="Times New Roman" w:hAnsi="Arial" w:cs="Arial"/>
          <w:sz w:val="24"/>
          <w:szCs w:val="24"/>
          <w:lang w:eastAsia="es-ES"/>
        </w:rPr>
        <w:t xml:space="preserve">del artículo 32 de la </w:t>
      </w:r>
      <w:r w:rsidR="004667E7" w:rsidRPr="00F514E8">
        <w:rPr>
          <w:rFonts w:ascii="Arial" w:eastAsia="Times New Roman" w:hAnsi="Arial" w:cs="Arial"/>
          <w:sz w:val="24"/>
          <w:szCs w:val="24"/>
          <w:lang w:eastAsia="es-ES"/>
        </w:rPr>
        <w:t>l</w:t>
      </w:r>
      <w:r w:rsidR="00E0419F" w:rsidRPr="00F514E8">
        <w:rPr>
          <w:rFonts w:ascii="Arial" w:eastAsia="Times New Roman" w:hAnsi="Arial" w:cs="Arial"/>
          <w:sz w:val="24"/>
          <w:szCs w:val="24"/>
          <w:lang w:eastAsia="es-ES"/>
        </w:rPr>
        <w:t>ey 80 de 1993 (modificado</w:t>
      </w:r>
      <w:r w:rsidR="00755837" w:rsidRPr="00F514E8">
        <w:rPr>
          <w:rFonts w:ascii="Arial" w:eastAsia="Times New Roman" w:hAnsi="Arial" w:cs="Arial"/>
          <w:sz w:val="24"/>
          <w:szCs w:val="24"/>
          <w:lang w:eastAsia="es-ES"/>
        </w:rPr>
        <w:t xml:space="preserve"> </w:t>
      </w:r>
      <w:r w:rsidR="00E0419F" w:rsidRPr="00F514E8">
        <w:rPr>
          <w:rFonts w:ascii="Arial" w:eastAsia="Times New Roman" w:hAnsi="Arial" w:cs="Arial"/>
          <w:sz w:val="24"/>
          <w:szCs w:val="24"/>
          <w:lang w:eastAsia="es-ES"/>
        </w:rPr>
        <w:t>por el artícul</w:t>
      </w:r>
      <w:r w:rsidRPr="00F514E8">
        <w:rPr>
          <w:rFonts w:ascii="Arial" w:eastAsia="Times New Roman" w:hAnsi="Arial" w:cs="Arial"/>
          <w:sz w:val="24"/>
          <w:szCs w:val="24"/>
          <w:lang w:eastAsia="es-ES"/>
        </w:rPr>
        <w:t xml:space="preserve">o 15 de la </w:t>
      </w:r>
      <w:r w:rsidR="004667E7" w:rsidRPr="00F514E8">
        <w:rPr>
          <w:rFonts w:ascii="Arial" w:eastAsia="Times New Roman" w:hAnsi="Arial" w:cs="Arial"/>
          <w:sz w:val="24"/>
          <w:szCs w:val="24"/>
          <w:lang w:eastAsia="es-ES"/>
        </w:rPr>
        <w:t>l</w:t>
      </w:r>
      <w:r w:rsidRPr="00F514E8">
        <w:rPr>
          <w:rFonts w:ascii="Arial" w:eastAsia="Times New Roman" w:hAnsi="Arial" w:cs="Arial"/>
          <w:sz w:val="24"/>
          <w:szCs w:val="24"/>
          <w:lang w:eastAsia="es-ES"/>
        </w:rPr>
        <w:t>ey 1150), regla que a su vez</w:t>
      </w:r>
      <w:r w:rsidR="00E0419F" w:rsidRPr="00F514E8">
        <w:rPr>
          <w:rFonts w:ascii="Arial" w:eastAsia="Times New Roman" w:hAnsi="Arial" w:cs="Arial"/>
          <w:sz w:val="24"/>
          <w:szCs w:val="24"/>
          <w:lang w:eastAsia="es-ES"/>
        </w:rPr>
        <w:t xml:space="preserve"> constituye una excepción a</w:t>
      </w:r>
      <w:r w:rsidRPr="00F514E8">
        <w:rPr>
          <w:rFonts w:ascii="Arial" w:eastAsia="Times New Roman" w:hAnsi="Arial" w:cs="Arial"/>
          <w:sz w:val="24"/>
          <w:szCs w:val="24"/>
          <w:lang w:eastAsia="es-ES"/>
        </w:rPr>
        <w:t xml:space="preserve"> la aplicación universal de la l</w:t>
      </w:r>
      <w:r w:rsidR="00E0419F" w:rsidRPr="00F514E8">
        <w:rPr>
          <w:rFonts w:ascii="Arial" w:eastAsia="Times New Roman" w:hAnsi="Arial" w:cs="Arial"/>
          <w:sz w:val="24"/>
          <w:szCs w:val="24"/>
          <w:lang w:eastAsia="es-ES"/>
        </w:rPr>
        <w:t xml:space="preserve">ey 80 a las entidades estatales, </w:t>
      </w:r>
      <w:r w:rsidR="00885AE3" w:rsidRPr="00F514E8">
        <w:rPr>
          <w:rFonts w:ascii="Arial" w:eastAsia="Times New Roman" w:hAnsi="Arial" w:cs="Arial"/>
          <w:sz w:val="24"/>
          <w:szCs w:val="24"/>
          <w:lang w:eastAsia="es-ES"/>
        </w:rPr>
        <w:t xml:space="preserve">prevista, </w:t>
      </w:r>
      <w:r w:rsidR="00E0419F" w:rsidRPr="00F514E8">
        <w:rPr>
          <w:rFonts w:ascii="Arial" w:eastAsia="Times New Roman" w:hAnsi="Arial" w:cs="Arial"/>
          <w:sz w:val="24"/>
          <w:szCs w:val="24"/>
          <w:lang w:eastAsia="es-ES"/>
        </w:rPr>
        <w:t xml:space="preserve">entre otras normas, en los artículos 1º y 2º </w:t>
      </w:r>
      <w:r w:rsidRPr="00F514E8">
        <w:rPr>
          <w:rFonts w:ascii="Arial" w:eastAsia="Times New Roman" w:hAnsi="Arial" w:cs="Arial"/>
          <w:sz w:val="24"/>
          <w:szCs w:val="24"/>
          <w:lang w:eastAsia="es-ES"/>
        </w:rPr>
        <w:t>de esta ley</w:t>
      </w:r>
      <w:r w:rsidR="00E0419F" w:rsidRPr="00F514E8">
        <w:rPr>
          <w:rFonts w:ascii="Arial" w:eastAsia="Times New Roman" w:hAnsi="Arial" w:cs="Arial"/>
          <w:sz w:val="24"/>
          <w:szCs w:val="24"/>
          <w:lang w:eastAsia="es-ES"/>
        </w:rPr>
        <w:t>.</w:t>
      </w:r>
    </w:p>
    <w:p w14:paraId="72E7DDF6" w14:textId="77777777" w:rsidR="00E0419F" w:rsidRPr="00F514E8" w:rsidRDefault="00E0419F" w:rsidP="00725D19">
      <w:pPr>
        <w:spacing w:after="0" w:line="240" w:lineRule="auto"/>
        <w:jc w:val="both"/>
        <w:rPr>
          <w:rFonts w:ascii="Arial" w:eastAsia="Times New Roman" w:hAnsi="Arial" w:cs="Arial"/>
          <w:sz w:val="24"/>
          <w:szCs w:val="24"/>
          <w:lang w:eastAsia="es-ES"/>
        </w:rPr>
      </w:pPr>
    </w:p>
    <w:p w14:paraId="443B2020" w14:textId="77777777" w:rsidR="0046344A" w:rsidRPr="00F514E8" w:rsidRDefault="00E0419F" w:rsidP="00725D19">
      <w:pPr>
        <w:spacing w:after="0" w:line="240" w:lineRule="auto"/>
        <w:jc w:val="both"/>
        <w:rPr>
          <w:rFonts w:ascii="Arial" w:eastAsia="Times New Roman" w:hAnsi="Arial" w:cs="Arial"/>
          <w:i/>
          <w:sz w:val="24"/>
          <w:szCs w:val="24"/>
          <w:lang w:eastAsia="es-ES"/>
        </w:rPr>
      </w:pPr>
      <w:r w:rsidRPr="00F514E8">
        <w:rPr>
          <w:rFonts w:ascii="Arial" w:eastAsia="Times New Roman" w:hAnsi="Arial" w:cs="Arial"/>
          <w:sz w:val="24"/>
          <w:szCs w:val="24"/>
          <w:lang w:eastAsia="es-ES"/>
        </w:rPr>
        <w:t xml:space="preserve">En esa </w:t>
      </w:r>
      <w:r w:rsidR="0090755A" w:rsidRPr="00F514E8">
        <w:rPr>
          <w:rFonts w:ascii="Arial" w:eastAsia="Times New Roman" w:hAnsi="Arial" w:cs="Arial"/>
          <w:sz w:val="24"/>
          <w:szCs w:val="24"/>
          <w:lang w:eastAsia="es-ES"/>
        </w:rPr>
        <w:t>medida</w:t>
      </w:r>
      <w:r w:rsidRPr="00F514E8">
        <w:rPr>
          <w:rFonts w:ascii="Arial" w:eastAsia="Times New Roman" w:hAnsi="Arial" w:cs="Arial"/>
          <w:sz w:val="24"/>
          <w:szCs w:val="24"/>
          <w:lang w:eastAsia="es-ES"/>
        </w:rPr>
        <w:t xml:space="preserve"> resulta claro que</w:t>
      </w:r>
      <w:r w:rsidR="00885AE3" w:rsidRPr="00F514E8">
        <w:rPr>
          <w:rFonts w:ascii="Arial" w:eastAsia="Times New Roman" w:hAnsi="Arial" w:cs="Arial"/>
          <w:sz w:val="24"/>
          <w:szCs w:val="24"/>
          <w:lang w:eastAsia="es-ES"/>
        </w:rPr>
        <w:t>,</w:t>
      </w:r>
      <w:r w:rsidRPr="00F514E8">
        <w:rPr>
          <w:rFonts w:ascii="Arial" w:eastAsia="Times New Roman" w:hAnsi="Arial" w:cs="Arial"/>
          <w:sz w:val="24"/>
          <w:szCs w:val="24"/>
          <w:lang w:eastAsia="es-ES"/>
        </w:rPr>
        <w:t xml:space="preserve"> desde el 16 de enero de 2008, fecha de </w:t>
      </w:r>
      <w:proofErr w:type="gramStart"/>
      <w:r w:rsidRPr="00F514E8">
        <w:rPr>
          <w:rFonts w:ascii="Arial" w:eastAsia="Times New Roman" w:hAnsi="Arial" w:cs="Arial"/>
          <w:sz w:val="24"/>
          <w:szCs w:val="24"/>
          <w:lang w:eastAsia="es-ES"/>
        </w:rPr>
        <w:t>entrada en vigencia</w:t>
      </w:r>
      <w:proofErr w:type="gramEnd"/>
      <w:r w:rsidRPr="00F514E8">
        <w:rPr>
          <w:rFonts w:ascii="Arial" w:eastAsia="Times New Roman" w:hAnsi="Arial" w:cs="Arial"/>
          <w:sz w:val="24"/>
          <w:szCs w:val="24"/>
          <w:lang w:eastAsia="es-ES"/>
        </w:rPr>
        <w:t xml:space="preserve"> del artículo 26 de la Ley 1150 de 2007, todos los contratos que celebre </w:t>
      </w:r>
      <w:r w:rsidRPr="00F514E8">
        <w:rPr>
          <w:rFonts w:ascii="Arial" w:eastAsia="Times New Roman" w:hAnsi="Arial" w:cs="Arial"/>
          <w:sz w:val="24"/>
          <w:szCs w:val="24"/>
          <w:lang w:eastAsia="es-ES"/>
        </w:rPr>
        <w:lastRenderedPageBreak/>
        <w:t xml:space="preserve">FONADE, sin excepción, quedaron sometidos al Estatuto General de Contratación de la Administración Pública.   </w:t>
      </w:r>
      <w:r w:rsidR="0046344A" w:rsidRPr="00F514E8">
        <w:rPr>
          <w:rFonts w:ascii="Arial" w:eastAsia="Times New Roman" w:hAnsi="Arial" w:cs="Arial"/>
          <w:i/>
          <w:sz w:val="24"/>
          <w:szCs w:val="24"/>
          <w:lang w:eastAsia="es-ES"/>
        </w:rPr>
        <w:t xml:space="preserve">   </w:t>
      </w:r>
      <w:r w:rsidR="0046344A" w:rsidRPr="00F514E8">
        <w:rPr>
          <w:rFonts w:ascii="Arial" w:eastAsia="Times New Roman" w:hAnsi="Arial" w:cs="Arial"/>
          <w:sz w:val="24"/>
          <w:szCs w:val="24"/>
          <w:lang w:eastAsia="es-ES"/>
        </w:rPr>
        <w:t xml:space="preserve"> </w:t>
      </w:r>
    </w:p>
    <w:p w14:paraId="2B4C4BE9" w14:textId="77777777" w:rsidR="00B123CB" w:rsidRPr="00F514E8" w:rsidRDefault="003A2DFD"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i/>
          <w:sz w:val="24"/>
          <w:szCs w:val="24"/>
          <w:lang w:eastAsia="es-ES"/>
        </w:rPr>
        <w:t xml:space="preserve"> </w:t>
      </w:r>
      <w:r w:rsidR="00B123CB" w:rsidRPr="00F514E8">
        <w:rPr>
          <w:rFonts w:ascii="Arial" w:eastAsia="Times New Roman" w:hAnsi="Arial" w:cs="Arial"/>
          <w:sz w:val="24"/>
          <w:szCs w:val="24"/>
          <w:lang w:eastAsia="es-ES"/>
        </w:rPr>
        <w:t xml:space="preserve"> </w:t>
      </w:r>
    </w:p>
    <w:p w14:paraId="2908ECC8" w14:textId="77777777" w:rsidR="003138BE" w:rsidRPr="00F514E8" w:rsidRDefault="00604403" w:rsidP="00604403">
      <w:pPr>
        <w:spacing w:after="0" w:line="240" w:lineRule="auto"/>
        <w:jc w:val="both"/>
        <w:rPr>
          <w:rFonts w:ascii="Arial" w:eastAsia="Times New Roman" w:hAnsi="Arial" w:cs="Arial"/>
          <w:b/>
          <w:sz w:val="24"/>
          <w:szCs w:val="24"/>
          <w:lang w:eastAsia="es-ES"/>
        </w:rPr>
      </w:pPr>
      <w:r w:rsidRPr="00F514E8">
        <w:rPr>
          <w:rFonts w:ascii="Arial" w:eastAsia="Times New Roman" w:hAnsi="Arial" w:cs="Arial"/>
          <w:b/>
          <w:sz w:val="24"/>
          <w:szCs w:val="24"/>
          <w:lang w:eastAsia="es-ES"/>
        </w:rPr>
        <w:t>3.</w:t>
      </w:r>
      <w:r w:rsidRPr="00F514E8">
        <w:rPr>
          <w:rFonts w:ascii="Arial" w:eastAsia="Times New Roman" w:hAnsi="Arial" w:cs="Arial"/>
          <w:sz w:val="24"/>
          <w:szCs w:val="24"/>
          <w:lang w:eastAsia="es-ES"/>
        </w:rPr>
        <w:t xml:space="preserve"> </w:t>
      </w:r>
      <w:r w:rsidRPr="00F514E8">
        <w:rPr>
          <w:rFonts w:ascii="Arial" w:eastAsia="Times New Roman" w:hAnsi="Arial" w:cs="Arial"/>
          <w:b/>
          <w:sz w:val="24"/>
          <w:szCs w:val="24"/>
          <w:lang w:eastAsia="es-ES"/>
        </w:rPr>
        <w:t>A partir de la ley 1450 de 2011</w:t>
      </w:r>
      <w:r w:rsidR="00346493" w:rsidRPr="00F514E8">
        <w:rPr>
          <w:rFonts w:ascii="Arial" w:eastAsia="Times New Roman" w:hAnsi="Arial" w:cs="Arial"/>
          <w:b/>
          <w:sz w:val="24"/>
          <w:szCs w:val="24"/>
          <w:lang w:eastAsia="es-ES"/>
        </w:rPr>
        <w:t>. Cuestión constitucional</w:t>
      </w:r>
    </w:p>
    <w:p w14:paraId="567084E7" w14:textId="77777777" w:rsidR="00CB3CC6" w:rsidRPr="00F514E8" w:rsidRDefault="003138BE" w:rsidP="00725D19">
      <w:pPr>
        <w:spacing w:after="0" w:line="240" w:lineRule="auto"/>
        <w:jc w:val="both"/>
        <w:rPr>
          <w:rFonts w:ascii="Arial" w:eastAsia="Times New Roman" w:hAnsi="Arial" w:cs="Arial"/>
          <w:sz w:val="24"/>
          <w:szCs w:val="24"/>
          <w:lang w:eastAsia="es-ES"/>
        </w:rPr>
      </w:pPr>
      <w:r w:rsidRPr="00F514E8">
        <w:rPr>
          <w:rFonts w:ascii="Arial" w:eastAsia="Times New Roman" w:hAnsi="Arial" w:cs="Arial"/>
          <w:sz w:val="24"/>
          <w:szCs w:val="24"/>
          <w:lang w:eastAsia="es-ES"/>
        </w:rPr>
        <w:t xml:space="preserve"> </w:t>
      </w:r>
    </w:p>
    <w:p w14:paraId="35A7805D" w14:textId="77777777" w:rsidR="007C275C" w:rsidRPr="00F514E8" w:rsidRDefault="007C275C" w:rsidP="00725D19">
      <w:pPr>
        <w:tabs>
          <w:tab w:val="left" w:pos="6825"/>
        </w:tabs>
        <w:spacing w:after="0" w:line="240" w:lineRule="auto"/>
        <w:jc w:val="both"/>
        <w:rPr>
          <w:rFonts w:ascii="Arial" w:hAnsi="Arial" w:cs="Arial"/>
          <w:i/>
          <w:sz w:val="24"/>
          <w:szCs w:val="24"/>
        </w:rPr>
      </w:pPr>
      <w:r w:rsidRPr="00F514E8">
        <w:rPr>
          <w:rFonts w:ascii="Arial" w:hAnsi="Arial" w:cs="Arial"/>
          <w:sz w:val="24"/>
          <w:szCs w:val="24"/>
        </w:rPr>
        <w:t xml:space="preserve">Mediante la </w:t>
      </w:r>
      <w:r w:rsidR="00E00105" w:rsidRPr="00F514E8">
        <w:rPr>
          <w:rFonts w:ascii="Arial" w:hAnsi="Arial" w:cs="Arial"/>
          <w:sz w:val="24"/>
          <w:szCs w:val="24"/>
        </w:rPr>
        <w:t>l</w:t>
      </w:r>
      <w:r w:rsidRPr="00F514E8">
        <w:rPr>
          <w:rFonts w:ascii="Arial" w:hAnsi="Arial" w:cs="Arial"/>
          <w:sz w:val="24"/>
          <w:szCs w:val="24"/>
        </w:rPr>
        <w:t xml:space="preserve">ey 1450 de 2011, que entró a regir el 16 de junio de 2011, </w:t>
      </w:r>
      <w:r w:rsidR="00885AE3" w:rsidRPr="00F514E8">
        <w:rPr>
          <w:rFonts w:ascii="Arial" w:hAnsi="Arial" w:cs="Arial"/>
          <w:sz w:val="24"/>
          <w:szCs w:val="24"/>
        </w:rPr>
        <w:t xml:space="preserve">se </w:t>
      </w:r>
      <w:r w:rsidRPr="00F514E8">
        <w:rPr>
          <w:rFonts w:ascii="Arial" w:hAnsi="Arial" w:cs="Arial"/>
          <w:sz w:val="24"/>
          <w:szCs w:val="24"/>
        </w:rPr>
        <w:t>expidió el “</w:t>
      </w:r>
      <w:r w:rsidRPr="00F514E8">
        <w:rPr>
          <w:rFonts w:ascii="Arial" w:hAnsi="Arial" w:cs="Arial"/>
          <w:i/>
          <w:sz w:val="24"/>
          <w:szCs w:val="24"/>
        </w:rPr>
        <w:t>Plan Nacional de Desarrollo, 2010 – 2014</w:t>
      </w:r>
      <w:r w:rsidRPr="00F514E8">
        <w:rPr>
          <w:rFonts w:ascii="Arial" w:hAnsi="Arial" w:cs="Arial"/>
          <w:sz w:val="24"/>
          <w:szCs w:val="24"/>
        </w:rPr>
        <w:t>”. E</w:t>
      </w:r>
      <w:r w:rsidR="00E00105" w:rsidRPr="00F514E8">
        <w:rPr>
          <w:rFonts w:ascii="Arial" w:hAnsi="Arial" w:cs="Arial"/>
          <w:sz w:val="24"/>
          <w:szCs w:val="24"/>
        </w:rPr>
        <w:t>n e</w:t>
      </w:r>
      <w:r w:rsidRPr="00F514E8">
        <w:rPr>
          <w:rFonts w:ascii="Arial" w:hAnsi="Arial" w:cs="Arial"/>
          <w:sz w:val="24"/>
          <w:szCs w:val="24"/>
        </w:rPr>
        <w:t>l artículo 276</w:t>
      </w:r>
      <w:r w:rsidR="00E00105" w:rsidRPr="00F514E8">
        <w:rPr>
          <w:rFonts w:ascii="Arial" w:hAnsi="Arial" w:cs="Arial"/>
          <w:sz w:val="24"/>
          <w:szCs w:val="24"/>
        </w:rPr>
        <w:t>, que</w:t>
      </w:r>
      <w:r w:rsidRPr="00F514E8">
        <w:rPr>
          <w:rFonts w:ascii="Arial" w:hAnsi="Arial" w:cs="Arial"/>
          <w:sz w:val="24"/>
          <w:szCs w:val="24"/>
        </w:rPr>
        <w:t xml:space="preserve"> contiene una larga serie de derogatorias, </w:t>
      </w:r>
      <w:r w:rsidR="00257AB6" w:rsidRPr="00F514E8">
        <w:rPr>
          <w:rFonts w:ascii="Arial" w:hAnsi="Arial" w:cs="Arial"/>
          <w:sz w:val="24"/>
          <w:szCs w:val="24"/>
        </w:rPr>
        <w:t xml:space="preserve">se </w:t>
      </w:r>
      <w:r w:rsidRPr="00F514E8">
        <w:rPr>
          <w:rFonts w:ascii="Arial" w:hAnsi="Arial" w:cs="Arial"/>
          <w:sz w:val="24"/>
          <w:szCs w:val="24"/>
        </w:rPr>
        <w:t xml:space="preserve">incluye </w:t>
      </w:r>
      <w:r w:rsidR="00885AE3" w:rsidRPr="00F514E8">
        <w:rPr>
          <w:rFonts w:ascii="Arial" w:hAnsi="Arial" w:cs="Arial"/>
          <w:sz w:val="24"/>
          <w:szCs w:val="24"/>
        </w:rPr>
        <w:t>la d</w:t>
      </w:r>
      <w:r w:rsidRPr="00F514E8">
        <w:rPr>
          <w:rFonts w:ascii="Arial" w:hAnsi="Arial" w:cs="Arial"/>
          <w:sz w:val="24"/>
          <w:szCs w:val="24"/>
        </w:rPr>
        <w:t xml:space="preserve">el </w:t>
      </w:r>
      <w:r w:rsidRPr="00F514E8">
        <w:rPr>
          <w:rFonts w:ascii="Arial" w:hAnsi="Arial" w:cs="Arial"/>
          <w:b/>
          <w:sz w:val="24"/>
          <w:szCs w:val="24"/>
        </w:rPr>
        <w:t>artículo 26</w:t>
      </w:r>
      <w:r w:rsidRPr="00F514E8">
        <w:rPr>
          <w:rFonts w:ascii="Arial" w:hAnsi="Arial" w:cs="Arial"/>
          <w:sz w:val="24"/>
          <w:szCs w:val="24"/>
        </w:rPr>
        <w:t xml:space="preserve"> y </w:t>
      </w:r>
      <w:r w:rsidR="00885AE3" w:rsidRPr="00F514E8">
        <w:rPr>
          <w:rFonts w:ascii="Arial" w:hAnsi="Arial" w:cs="Arial"/>
          <w:sz w:val="24"/>
          <w:szCs w:val="24"/>
        </w:rPr>
        <w:t xml:space="preserve">la del </w:t>
      </w:r>
      <w:r w:rsidRPr="00F514E8">
        <w:rPr>
          <w:rFonts w:ascii="Arial" w:hAnsi="Arial" w:cs="Arial"/>
          <w:sz w:val="24"/>
          <w:szCs w:val="24"/>
        </w:rPr>
        <w:t xml:space="preserve">inciso 2º del artículo 28 de la </w:t>
      </w:r>
      <w:r w:rsidR="00E00105" w:rsidRPr="00F514E8">
        <w:rPr>
          <w:rFonts w:ascii="Arial" w:hAnsi="Arial" w:cs="Arial"/>
          <w:sz w:val="24"/>
          <w:szCs w:val="24"/>
        </w:rPr>
        <w:t>l</w:t>
      </w:r>
      <w:r w:rsidRPr="00F514E8">
        <w:rPr>
          <w:rFonts w:ascii="Arial" w:hAnsi="Arial" w:cs="Arial"/>
          <w:sz w:val="24"/>
          <w:szCs w:val="24"/>
        </w:rPr>
        <w:t xml:space="preserve">ey 1150 de 2007. El artículo 26 de la </w:t>
      </w:r>
      <w:r w:rsidR="00E00105" w:rsidRPr="00F514E8">
        <w:rPr>
          <w:rFonts w:ascii="Arial" w:hAnsi="Arial" w:cs="Arial"/>
          <w:sz w:val="24"/>
          <w:szCs w:val="24"/>
        </w:rPr>
        <w:t>l</w:t>
      </w:r>
      <w:r w:rsidRPr="00F514E8">
        <w:rPr>
          <w:rFonts w:ascii="Arial" w:hAnsi="Arial" w:cs="Arial"/>
          <w:sz w:val="24"/>
          <w:szCs w:val="24"/>
        </w:rPr>
        <w:t xml:space="preserve">ey 1150 de 2007, como se mencionó, es el que sometía a FONADE a las disposiciones del Estatuto General de Contratación Pública. </w:t>
      </w:r>
    </w:p>
    <w:p w14:paraId="75F43F95" w14:textId="77777777" w:rsidR="007C275C" w:rsidRPr="00F514E8" w:rsidRDefault="007C275C" w:rsidP="00725D19">
      <w:pPr>
        <w:tabs>
          <w:tab w:val="left" w:pos="6825"/>
        </w:tabs>
        <w:spacing w:after="0" w:line="240" w:lineRule="auto"/>
        <w:jc w:val="both"/>
        <w:rPr>
          <w:rFonts w:ascii="Arial" w:hAnsi="Arial" w:cs="Arial"/>
          <w:sz w:val="24"/>
          <w:szCs w:val="24"/>
        </w:rPr>
      </w:pPr>
    </w:p>
    <w:p w14:paraId="36382221" w14:textId="77777777" w:rsidR="00651696" w:rsidRPr="00F514E8" w:rsidRDefault="00533C3F" w:rsidP="00725D19">
      <w:pPr>
        <w:tabs>
          <w:tab w:val="left" w:pos="6825"/>
        </w:tabs>
        <w:spacing w:after="0" w:line="240" w:lineRule="auto"/>
        <w:jc w:val="both"/>
        <w:rPr>
          <w:rFonts w:ascii="Arial" w:hAnsi="Arial" w:cs="Arial"/>
          <w:sz w:val="24"/>
          <w:szCs w:val="24"/>
        </w:rPr>
      </w:pPr>
      <w:r w:rsidRPr="00F514E8">
        <w:rPr>
          <w:rFonts w:ascii="Arial" w:hAnsi="Arial" w:cs="Arial"/>
          <w:sz w:val="24"/>
          <w:szCs w:val="24"/>
        </w:rPr>
        <w:t>A este respecto</w:t>
      </w:r>
      <w:r w:rsidR="008C4BEA" w:rsidRPr="00F514E8">
        <w:rPr>
          <w:rFonts w:ascii="Arial" w:hAnsi="Arial" w:cs="Arial"/>
          <w:sz w:val="24"/>
          <w:szCs w:val="24"/>
        </w:rPr>
        <w:t xml:space="preserve"> </w:t>
      </w:r>
      <w:r w:rsidRPr="00F514E8">
        <w:rPr>
          <w:rFonts w:ascii="Arial" w:hAnsi="Arial" w:cs="Arial"/>
          <w:sz w:val="24"/>
          <w:szCs w:val="24"/>
        </w:rPr>
        <w:t xml:space="preserve">encuentra </w:t>
      </w:r>
      <w:r w:rsidR="00741544" w:rsidRPr="00F514E8">
        <w:rPr>
          <w:rFonts w:ascii="Arial" w:hAnsi="Arial" w:cs="Arial"/>
          <w:sz w:val="24"/>
          <w:szCs w:val="24"/>
        </w:rPr>
        <w:t xml:space="preserve">la Sala </w:t>
      </w:r>
      <w:r w:rsidR="00E00105" w:rsidRPr="00F514E8">
        <w:rPr>
          <w:rFonts w:ascii="Arial" w:hAnsi="Arial" w:cs="Arial"/>
          <w:sz w:val="24"/>
          <w:szCs w:val="24"/>
        </w:rPr>
        <w:t>que</w:t>
      </w:r>
      <w:r w:rsidR="00741544" w:rsidRPr="00F514E8">
        <w:rPr>
          <w:rFonts w:ascii="Arial" w:hAnsi="Arial" w:cs="Arial"/>
          <w:sz w:val="24"/>
          <w:szCs w:val="24"/>
        </w:rPr>
        <w:t xml:space="preserve"> la derogatoria del artículo 26 de la </w:t>
      </w:r>
      <w:r w:rsidR="00E00105" w:rsidRPr="00F514E8">
        <w:rPr>
          <w:rFonts w:ascii="Arial" w:hAnsi="Arial" w:cs="Arial"/>
          <w:sz w:val="24"/>
          <w:szCs w:val="24"/>
        </w:rPr>
        <w:t>l</w:t>
      </w:r>
      <w:r w:rsidR="00741544" w:rsidRPr="00F514E8">
        <w:rPr>
          <w:rFonts w:ascii="Arial" w:hAnsi="Arial" w:cs="Arial"/>
          <w:sz w:val="24"/>
          <w:szCs w:val="24"/>
        </w:rPr>
        <w:t xml:space="preserve">ey 1150 de 2007, </w:t>
      </w:r>
      <w:r w:rsidRPr="00F514E8">
        <w:rPr>
          <w:rFonts w:ascii="Arial" w:hAnsi="Arial" w:cs="Arial"/>
          <w:sz w:val="24"/>
          <w:szCs w:val="24"/>
        </w:rPr>
        <w:t>que trata de la contratación estatal, dispuesta</w:t>
      </w:r>
      <w:r w:rsidR="00741544" w:rsidRPr="00F514E8">
        <w:rPr>
          <w:rFonts w:ascii="Arial" w:hAnsi="Arial" w:cs="Arial"/>
          <w:sz w:val="24"/>
          <w:szCs w:val="24"/>
        </w:rPr>
        <w:t xml:space="preserve"> en el artículo 276 de la </w:t>
      </w:r>
      <w:r w:rsidR="00E00105" w:rsidRPr="00F514E8">
        <w:rPr>
          <w:rFonts w:ascii="Arial" w:hAnsi="Arial" w:cs="Arial"/>
          <w:sz w:val="24"/>
          <w:szCs w:val="24"/>
        </w:rPr>
        <w:t>l</w:t>
      </w:r>
      <w:r w:rsidR="00741544" w:rsidRPr="00F514E8">
        <w:rPr>
          <w:rFonts w:ascii="Arial" w:hAnsi="Arial" w:cs="Arial"/>
          <w:sz w:val="24"/>
          <w:szCs w:val="24"/>
        </w:rPr>
        <w:t xml:space="preserve">ey 1450 de 2011, </w:t>
      </w:r>
      <w:r w:rsidRPr="00F514E8">
        <w:rPr>
          <w:rFonts w:ascii="Arial" w:hAnsi="Arial" w:cs="Arial"/>
          <w:sz w:val="24"/>
          <w:szCs w:val="24"/>
        </w:rPr>
        <w:t xml:space="preserve">que versa sobre el Plan Nacional de Desarrollo, </w:t>
      </w:r>
      <w:r w:rsidR="00741544" w:rsidRPr="00F514E8">
        <w:rPr>
          <w:rFonts w:ascii="Arial" w:hAnsi="Arial" w:cs="Arial"/>
          <w:sz w:val="24"/>
          <w:szCs w:val="24"/>
        </w:rPr>
        <w:t xml:space="preserve">resulta contraria al principio de unidad de materia </w:t>
      </w:r>
      <w:r w:rsidR="000321D5" w:rsidRPr="00F514E8">
        <w:rPr>
          <w:rFonts w:ascii="Arial" w:hAnsi="Arial" w:cs="Arial"/>
          <w:sz w:val="24"/>
          <w:szCs w:val="24"/>
        </w:rPr>
        <w:t>consagrado</w:t>
      </w:r>
      <w:r w:rsidR="00741544" w:rsidRPr="00F514E8">
        <w:rPr>
          <w:rFonts w:ascii="Arial" w:hAnsi="Arial" w:cs="Arial"/>
          <w:sz w:val="24"/>
          <w:szCs w:val="24"/>
        </w:rPr>
        <w:t xml:space="preserve"> en el artículo 158 de la Constitución Política</w:t>
      </w:r>
      <w:r w:rsidR="004C1532" w:rsidRPr="00F514E8">
        <w:rPr>
          <w:rFonts w:ascii="Arial" w:hAnsi="Arial" w:cs="Arial"/>
          <w:sz w:val="24"/>
          <w:szCs w:val="24"/>
        </w:rPr>
        <w:t>,</w:t>
      </w:r>
      <w:r w:rsidR="00DF6EB5" w:rsidRPr="00F514E8">
        <w:rPr>
          <w:rStyle w:val="Refdenotaalpie"/>
          <w:rFonts w:ascii="Arial" w:hAnsi="Arial" w:cs="Arial"/>
          <w:sz w:val="24"/>
          <w:szCs w:val="24"/>
        </w:rPr>
        <w:footnoteReference w:id="16"/>
      </w:r>
      <w:r w:rsidR="00741544" w:rsidRPr="00F514E8">
        <w:rPr>
          <w:rFonts w:ascii="Arial" w:hAnsi="Arial" w:cs="Arial"/>
          <w:sz w:val="24"/>
          <w:szCs w:val="24"/>
        </w:rPr>
        <w:t xml:space="preserve"> </w:t>
      </w:r>
      <w:r w:rsidR="004C1532" w:rsidRPr="00F514E8">
        <w:rPr>
          <w:rFonts w:ascii="Arial" w:hAnsi="Arial" w:cs="Arial"/>
          <w:sz w:val="24"/>
          <w:szCs w:val="24"/>
        </w:rPr>
        <w:t>y que en un caso similar</w:t>
      </w:r>
      <w:r w:rsidR="00651696" w:rsidRPr="00F514E8">
        <w:rPr>
          <w:rFonts w:ascii="Arial" w:hAnsi="Arial" w:cs="Arial"/>
          <w:sz w:val="24"/>
          <w:szCs w:val="24"/>
        </w:rPr>
        <w:t xml:space="preserve"> la Corte Constitucional, </w:t>
      </w:r>
      <w:r w:rsidR="003B0D29" w:rsidRPr="00F514E8">
        <w:rPr>
          <w:rFonts w:ascii="Arial" w:hAnsi="Arial" w:cs="Arial"/>
          <w:sz w:val="24"/>
          <w:szCs w:val="24"/>
        </w:rPr>
        <w:t xml:space="preserve">en </w:t>
      </w:r>
      <w:r w:rsidR="00651696" w:rsidRPr="00F514E8">
        <w:rPr>
          <w:rFonts w:ascii="Arial" w:hAnsi="Arial" w:cs="Arial"/>
          <w:sz w:val="24"/>
          <w:szCs w:val="24"/>
        </w:rPr>
        <w:t xml:space="preserve">la sentencia C-331 de 2012, declaró inexequible la derogatoria </w:t>
      </w:r>
      <w:r w:rsidR="00402BCD" w:rsidRPr="00F514E8">
        <w:rPr>
          <w:rFonts w:ascii="Arial" w:hAnsi="Arial" w:cs="Arial"/>
          <w:sz w:val="24"/>
          <w:szCs w:val="24"/>
        </w:rPr>
        <w:t xml:space="preserve">del parágrafo segundo del artículo 12 y del artículo 30 de la </w:t>
      </w:r>
      <w:r w:rsidR="004667E7" w:rsidRPr="00F514E8">
        <w:rPr>
          <w:rFonts w:ascii="Arial" w:hAnsi="Arial" w:cs="Arial"/>
          <w:sz w:val="24"/>
          <w:szCs w:val="24"/>
        </w:rPr>
        <w:t>l</w:t>
      </w:r>
      <w:r w:rsidR="00402BCD" w:rsidRPr="00F514E8">
        <w:rPr>
          <w:rFonts w:ascii="Arial" w:hAnsi="Arial" w:cs="Arial"/>
          <w:sz w:val="24"/>
          <w:szCs w:val="24"/>
        </w:rPr>
        <w:t xml:space="preserve">ey 1382 de 2010, efectuada por el artículo 276 de la </w:t>
      </w:r>
      <w:r w:rsidR="004667E7" w:rsidRPr="00F514E8">
        <w:rPr>
          <w:rFonts w:ascii="Arial" w:hAnsi="Arial" w:cs="Arial"/>
          <w:sz w:val="24"/>
          <w:szCs w:val="24"/>
        </w:rPr>
        <w:t>l</w:t>
      </w:r>
      <w:r w:rsidR="00402BCD" w:rsidRPr="00F514E8">
        <w:rPr>
          <w:rFonts w:ascii="Arial" w:hAnsi="Arial" w:cs="Arial"/>
          <w:sz w:val="24"/>
          <w:szCs w:val="24"/>
        </w:rPr>
        <w:t xml:space="preserve">ey 1450 de 2011, </w:t>
      </w:r>
      <w:r w:rsidR="004C1532" w:rsidRPr="00F514E8">
        <w:rPr>
          <w:rFonts w:ascii="Arial" w:hAnsi="Arial" w:cs="Arial"/>
          <w:sz w:val="24"/>
          <w:szCs w:val="24"/>
        </w:rPr>
        <w:t>aduciendo</w:t>
      </w:r>
      <w:r w:rsidR="00257AB6" w:rsidRPr="00F514E8">
        <w:rPr>
          <w:rFonts w:ascii="Arial" w:hAnsi="Arial" w:cs="Arial"/>
          <w:sz w:val="24"/>
          <w:szCs w:val="24"/>
        </w:rPr>
        <w:t>,</w:t>
      </w:r>
      <w:r w:rsidR="004C1532" w:rsidRPr="00F514E8">
        <w:rPr>
          <w:rFonts w:ascii="Arial" w:hAnsi="Arial" w:cs="Arial"/>
          <w:sz w:val="24"/>
          <w:szCs w:val="24"/>
        </w:rPr>
        <w:t xml:space="preserve"> entre otras</w:t>
      </w:r>
      <w:r w:rsidR="00257AB6" w:rsidRPr="00F514E8">
        <w:rPr>
          <w:rFonts w:ascii="Arial" w:hAnsi="Arial" w:cs="Arial"/>
          <w:sz w:val="24"/>
          <w:szCs w:val="24"/>
        </w:rPr>
        <w:t>,</w:t>
      </w:r>
      <w:r w:rsidR="004C1532" w:rsidRPr="00F514E8">
        <w:rPr>
          <w:rFonts w:ascii="Arial" w:hAnsi="Arial" w:cs="Arial"/>
          <w:sz w:val="24"/>
          <w:szCs w:val="24"/>
        </w:rPr>
        <w:t xml:space="preserve"> las siguientes razones</w:t>
      </w:r>
      <w:r w:rsidR="00402BCD" w:rsidRPr="00F514E8">
        <w:rPr>
          <w:rFonts w:ascii="Arial" w:hAnsi="Arial" w:cs="Arial"/>
          <w:sz w:val="24"/>
          <w:szCs w:val="24"/>
        </w:rPr>
        <w:t xml:space="preserve">: </w:t>
      </w:r>
    </w:p>
    <w:p w14:paraId="22820E27" w14:textId="77777777" w:rsidR="00402BCD" w:rsidRPr="00F514E8" w:rsidRDefault="00402BCD" w:rsidP="00725D19">
      <w:pPr>
        <w:tabs>
          <w:tab w:val="left" w:pos="6825"/>
        </w:tabs>
        <w:spacing w:after="0" w:line="240" w:lineRule="auto"/>
        <w:jc w:val="both"/>
        <w:rPr>
          <w:rFonts w:ascii="Arial" w:hAnsi="Arial" w:cs="Arial"/>
          <w:sz w:val="24"/>
          <w:szCs w:val="24"/>
        </w:rPr>
      </w:pPr>
    </w:p>
    <w:p w14:paraId="7265B08D" w14:textId="77777777" w:rsidR="00173DC7" w:rsidRPr="00F514E8" w:rsidRDefault="00402BCD" w:rsidP="00725D19">
      <w:pPr>
        <w:tabs>
          <w:tab w:val="left" w:pos="6825"/>
        </w:tabs>
        <w:spacing w:after="0" w:line="240" w:lineRule="auto"/>
        <w:ind w:left="426"/>
        <w:jc w:val="both"/>
        <w:rPr>
          <w:rFonts w:ascii="Arial" w:hAnsi="Arial" w:cs="Arial"/>
        </w:rPr>
      </w:pPr>
      <w:r w:rsidRPr="00F514E8">
        <w:rPr>
          <w:rFonts w:ascii="Arial" w:hAnsi="Arial" w:cs="Arial"/>
        </w:rPr>
        <w:t>“</w:t>
      </w:r>
      <w:r w:rsidRPr="00F514E8">
        <w:rPr>
          <w:rFonts w:ascii="Arial" w:hAnsi="Arial" w:cs="Arial"/>
          <w:i/>
        </w:rPr>
        <w:t>Adicionalmente, en relación con este tema, la Sala reitera las consideraciones</w:t>
      </w:r>
      <w:r w:rsidR="00173DC7" w:rsidRPr="00F514E8">
        <w:rPr>
          <w:rFonts w:ascii="Arial" w:hAnsi="Arial" w:cs="Arial"/>
          <w:i/>
        </w:rPr>
        <w:t xml:space="preserve"> expuestas en la sentencia C-149 de 2010, sobre la regulación y derogación de normas de leyes ordinarias mediante la Ley del Plan Nacional de Desarrollo, en cuanto a que </w:t>
      </w:r>
      <w:r w:rsidR="00173DC7" w:rsidRPr="00F514E8">
        <w:rPr>
          <w:rFonts w:ascii="Arial" w:hAnsi="Arial" w:cs="Arial"/>
          <w:b/>
          <w:i/>
        </w:rPr>
        <w:t>la Ley del Plan Nacional de Desarrollo no puede ser utilizada para ‘vaciar de competencia al legislador ordinario</w:t>
      </w:r>
      <w:r w:rsidR="00173DC7" w:rsidRPr="00F514E8">
        <w:rPr>
          <w:rFonts w:ascii="Arial" w:hAnsi="Arial" w:cs="Arial"/>
          <w:i/>
        </w:rPr>
        <w:t xml:space="preserve">, toda vez que esta ley tiene por objeto adoptar medidas concretas relacionadas con la “planeación”, es decir, obras o proyectos específicos incluidos en el Plan de Inversiones, de tal suerte que </w:t>
      </w:r>
      <w:r w:rsidR="00173DC7" w:rsidRPr="00F514E8">
        <w:rPr>
          <w:rFonts w:ascii="Arial" w:hAnsi="Arial" w:cs="Arial"/>
          <w:b/>
          <w:i/>
        </w:rPr>
        <w:t>no resulta constitucionalmente admisible incorporar en la Ley del Plan Nacional de Desarrollo, medidas sobre contratación estatal</w:t>
      </w:r>
      <w:r w:rsidR="00173DC7" w:rsidRPr="00F514E8">
        <w:rPr>
          <w:rFonts w:ascii="Arial" w:hAnsi="Arial" w:cs="Arial"/>
          <w:i/>
        </w:rPr>
        <w:t xml:space="preserve">, sistemas de salud o régimen pensional. La inclusión en el Plan Nacional de Desarrollo de materias ajenas al concepto de </w:t>
      </w:r>
      <w:proofErr w:type="gramStart"/>
      <w:r w:rsidR="00173DC7" w:rsidRPr="00F514E8">
        <w:rPr>
          <w:rFonts w:ascii="Arial" w:hAnsi="Arial" w:cs="Arial"/>
          <w:i/>
        </w:rPr>
        <w:t>planeación,</w:t>
      </w:r>
      <w:proofErr w:type="gramEnd"/>
      <w:r w:rsidR="00173DC7" w:rsidRPr="00F514E8">
        <w:rPr>
          <w:rFonts w:ascii="Arial" w:hAnsi="Arial" w:cs="Arial"/>
          <w:i/>
        </w:rPr>
        <w:t xml:space="preserve"> conduce en la práctica a </w:t>
      </w:r>
      <w:r w:rsidR="00173DC7" w:rsidRPr="00F514E8">
        <w:rPr>
          <w:rFonts w:ascii="Arial" w:hAnsi="Arial" w:cs="Arial"/>
          <w:b/>
          <w:i/>
        </w:rPr>
        <w:t>evadir el debate democrático que debe darse al momento de tramitar un proyecto de ley ordinaria’, lo cual afecta igualmente el principio de unidad de materia</w:t>
      </w:r>
      <w:r w:rsidR="00173DC7" w:rsidRPr="00F514E8">
        <w:rPr>
          <w:rFonts w:ascii="Arial" w:hAnsi="Arial" w:cs="Arial"/>
          <w:i/>
        </w:rPr>
        <w:t xml:space="preserve">”. </w:t>
      </w:r>
      <w:r w:rsidR="00173DC7" w:rsidRPr="00F514E8">
        <w:rPr>
          <w:rFonts w:ascii="Arial" w:hAnsi="Arial" w:cs="Arial"/>
        </w:rPr>
        <w:t xml:space="preserve">(Resaltamos). </w:t>
      </w:r>
    </w:p>
    <w:p w14:paraId="42330EE1" w14:textId="77777777" w:rsidR="00173DC7" w:rsidRPr="00F514E8" w:rsidRDefault="00173DC7" w:rsidP="00725D19">
      <w:pPr>
        <w:tabs>
          <w:tab w:val="left" w:pos="6825"/>
        </w:tabs>
        <w:spacing w:after="0" w:line="240" w:lineRule="auto"/>
        <w:jc w:val="both"/>
        <w:rPr>
          <w:rFonts w:ascii="Arial" w:hAnsi="Arial" w:cs="Arial"/>
          <w:color w:val="FF0000"/>
          <w:sz w:val="24"/>
          <w:szCs w:val="24"/>
        </w:rPr>
      </w:pPr>
    </w:p>
    <w:p w14:paraId="3BCE98BE" w14:textId="77777777" w:rsidR="00F421F3" w:rsidRPr="00F514E8" w:rsidRDefault="000321D5" w:rsidP="00725D19">
      <w:pPr>
        <w:tabs>
          <w:tab w:val="left" w:pos="6825"/>
        </w:tabs>
        <w:spacing w:after="0" w:line="240" w:lineRule="auto"/>
        <w:jc w:val="both"/>
        <w:rPr>
          <w:rFonts w:ascii="Arial" w:hAnsi="Arial" w:cs="Arial"/>
          <w:sz w:val="24"/>
          <w:szCs w:val="24"/>
        </w:rPr>
      </w:pPr>
      <w:r w:rsidRPr="00F514E8">
        <w:rPr>
          <w:rFonts w:ascii="Arial" w:hAnsi="Arial" w:cs="Arial"/>
          <w:sz w:val="24"/>
          <w:szCs w:val="24"/>
        </w:rPr>
        <w:t>Ya antes</w:t>
      </w:r>
      <w:r w:rsidR="003B0D29" w:rsidRPr="00F514E8">
        <w:rPr>
          <w:rFonts w:ascii="Arial" w:hAnsi="Arial" w:cs="Arial"/>
          <w:sz w:val="24"/>
          <w:szCs w:val="24"/>
        </w:rPr>
        <w:t xml:space="preserve">, </w:t>
      </w:r>
      <w:r w:rsidR="004667E7" w:rsidRPr="00F514E8">
        <w:rPr>
          <w:rFonts w:ascii="Arial" w:hAnsi="Arial" w:cs="Arial"/>
          <w:sz w:val="24"/>
          <w:szCs w:val="24"/>
        </w:rPr>
        <w:t xml:space="preserve">en </w:t>
      </w:r>
      <w:r w:rsidR="00173DC7" w:rsidRPr="00F514E8">
        <w:rPr>
          <w:rFonts w:ascii="Arial" w:hAnsi="Arial" w:cs="Arial"/>
          <w:sz w:val="24"/>
          <w:szCs w:val="24"/>
        </w:rPr>
        <w:t xml:space="preserve">la sentencia C-149 de 2010, la Corte Constitucional </w:t>
      </w:r>
      <w:r w:rsidR="004667E7" w:rsidRPr="00F514E8">
        <w:rPr>
          <w:rFonts w:ascii="Arial" w:hAnsi="Arial" w:cs="Arial"/>
          <w:sz w:val="24"/>
          <w:szCs w:val="24"/>
        </w:rPr>
        <w:t xml:space="preserve">había </w:t>
      </w:r>
      <w:r w:rsidR="00173DC7" w:rsidRPr="00F514E8">
        <w:rPr>
          <w:rFonts w:ascii="Arial" w:hAnsi="Arial" w:cs="Arial"/>
          <w:sz w:val="24"/>
          <w:szCs w:val="24"/>
        </w:rPr>
        <w:t>declar</w:t>
      </w:r>
      <w:r w:rsidR="004667E7" w:rsidRPr="00F514E8">
        <w:rPr>
          <w:rFonts w:ascii="Arial" w:hAnsi="Arial" w:cs="Arial"/>
          <w:sz w:val="24"/>
          <w:szCs w:val="24"/>
        </w:rPr>
        <w:t>ado</w:t>
      </w:r>
      <w:r w:rsidR="00173DC7" w:rsidRPr="00F514E8">
        <w:rPr>
          <w:rFonts w:ascii="Arial" w:hAnsi="Arial" w:cs="Arial"/>
          <w:sz w:val="24"/>
          <w:szCs w:val="24"/>
        </w:rPr>
        <w:t xml:space="preserve"> inexequible el artículo 79 de la Ley 1151 de 2007, </w:t>
      </w:r>
      <w:r w:rsidR="00F421F3" w:rsidRPr="00F514E8">
        <w:rPr>
          <w:rFonts w:ascii="Arial" w:hAnsi="Arial" w:cs="Arial"/>
          <w:sz w:val="24"/>
          <w:szCs w:val="24"/>
        </w:rPr>
        <w:t>“</w:t>
      </w:r>
      <w:r w:rsidR="003F01DC" w:rsidRPr="00F514E8">
        <w:rPr>
          <w:rFonts w:ascii="Arial" w:hAnsi="Arial" w:cs="Arial"/>
          <w:i/>
          <w:sz w:val="24"/>
          <w:szCs w:val="24"/>
        </w:rPr>
        <w:t>por la cual se expide e</w:t>
      </w:r>
      <w:r w:rsidR="00F421F3" w:rsidRPr="00F514E8">
        <w:rPr>
          <w:rFonts w:ascii="Arial" w:hAnsi="Arial" w:cs="Arial"/>
          <w:i/>
          <w:sz w:val="24"/>
          <w:szCs w:val="24"/>
        </w:rPr>
        <w:t xml:space="preserve">l Plan Nacional de Desarrollo 2006-2010”, </w:t>
      </w:r>
      <w:r w:rsidRPr="00F514E8">
        <w:rPr>
          <w:rFonts w:ascii="Arial" w:hAnsi="Arial" w:cs="Arial"/>
          <w:sz w:val="24"/>
          <w:szCs w:val="24"/>
        </w:rPr>
        <w:t>al considerar, entre otras razones</w:t>
      </w:r>
      <w:r w:rsidR="00F421F3" w:rsidRPr="00F514E8">
        <w:rPr>
          <w:rFonts w:ascii="Arial" w:hAnsi="Arial" w:cs="Arial"/>
          <w:sz w:val="24"/>
          <w:szCs w:val="24"/>
        </w:rPr>
        <w:t>, que dicha disposición invad</w:t>
      </w:r>
      <w:r w:rsidR="00DE639C" w:rsidRPr="00F514E8">
        <w:rPr>
          <w:rFonts w:ascii="Arial" w:hAnsi="Arial" w:cs="Arial"/>
          <w:sz w:val="24"/>
          <w:szCs w:val="24"/>
        </w:rPr>
        <w:t xml:space="preserve">ía </w:t>
      </w:r>
      <w:r w:rsidR="003F01DC" w:rsidRPr="00F514E8">
        <w:rPr>
          <w:rFonts w:ascii="Arial" w:hAnsi="Arial" w:cs="Arial"/>
          <w:sz w:val="24"/>
          <w:szCs w:val="24"/>
        </w:rPr>
        <w:t>la órbita de competencia del legislador ordinario</w:t>
      </w:r>
      <w:r w:rsidR="00F421F3" w:rsidRPr="00F514E8">
        <w:rPr>
          <w:rFonts w:ascii="Arial" w:hAnsi="Arial" w:cs="Arial"/>
          <w:sz w:val="24"/>
          <w:szCs w:val="24"/>
        </w:rPr>
        <w:t xml:space="preserve">, al </w:t>
      </w:r>
      <w:r w:rsidR="003F01DC" w:rsidRPr="00F514E8">
        <w:rPr>
          <w:rFonts w:ascii="Arial" w:hAnsi="Arial" w:cs="Arial"/>
          <w:sz w:val="24"/>
          <w:szCs w:val="24"/>
        </w:rPr>
        <w:t xml:space="preserve">regular </w:t>
      </w:r>
      <w:r w:rsidR="00F421F3" w:rsidRPr="00F514E8">
        <w:rPr>
          <w:rFonts w:ascii="Arial" w:hAnsi="Arial" w:cs="Arial"/>
          <w:sz w:val="24"/>
          <w:szCs w:val="24"/>
        </w:rPr>
        <w:t xml:space="preserve">aspectos ajenos </w:t>
      </w:r>
      <w:r w:rsidR="003F01DC" w:rsidRPr="00F514E8">
        <w:rPr>
          <w:rFonts w:ascii="Arial" w:hAnsi="Arial" w:cs="Arial"/>
          <w:sz w:val="24"/>
          <w:szCs w:val="24"/>
        </w:rPr>
        <w:t>a la materia</w:t>
      </w:r>
      <w:r w:rsidR="00F421F3" w:rsidRPr="00F514E8">
        <w:rPr>
          <w:rFonts w:ascii="Arial" w:hAnsi="Arial" w:cs="Arial"/>
          <w:sz w:val="24"/>
          <w:szCs w:val="24"/>
        </w:rPr>
        <w:t xml:space="preserve"> del Plan Nacional de Desarrollo.</w:t>
      </w:r>
    </w:p>
    <w:p w14:paraId="7FC6840A" w14:textId="77777777" w:rsidR="00F421F3" w:rsidRPr="00F514E8" w:rsidRDefault="00F421F3" w:rsidP="00725D19">
      <w:pPr>
        <w:tabs>
          <w:tab w:val="left" w:pos="6825"/>
        </w:tabs>
        <w:spacing w:after="0" w:line="240" w:lineRule="auto"/>
        <w:jc w:val="both"/>
        <w:rPr>
          <w:rFonts w:ascii="Arial" w:hAnsi="Arial" w:cs="Arial"/>
          <w:sz w:val="24"/>
          <w:szCs w:val="24"/>
        </w:rPr>
      </w:pPr>
    </w:p>
    <w:p w14:paraId="7DC47DB9" w14:textId="77777777" w:rsidR="009870A8" w:rsidRPr="00F514E8" w:rsidRDefault="009870A8" w:rsidP="004D00BF">
      <w:pPr>
        <w:pStyle w:val="Textonotapie"/>
        <w:jc w:val="both"/>
        <w:rPr>
          <w:rFonts w:ascii="Arial" w:hAnsi="Arial" w:cs="Arial"/>
          <w:b/>
          <w:i/>
        </w:rPr>
      </w:pPr>
      <w:r w:rsidRPr="00F514E8">
        <w:rPr>
          <w:rFonts w:ascii="Arial" w:hAnsi="Arial" w:cs="Arial"/>
          <w:sz w:val="24"/>
          <w:szCs w:val="24"/>
        </w:rPr>
        <w:t>Los mencionados antecedentes jurisprudenciales son</w:t>
      </w:r>
      <w:r w:rsidR="004D00BF" w:rsidRPr="00F514E8">
        <w:rPr>
          <w:rFonts w:ascii="Arial" w:hAnsi="Arial" w:cs="Arial"/>
          <w:sz w:val="24"/>
          <w:szCs w:val="24"/>
        </w:rPr>
        <w:t xml:space="preserve"> razones que </w:t>
      </w:r>
      <w:r w:rsidRPr="00F514E8">
        <w:rPr>
          <w:rFonts w:ascii="Arial" w:hAnsi="Arial" w:cs="Arial"/>
          <w:sz w:val="24"/>
          <w:szCs w:val="24"/>
        </w:rPr>
        <w:t xml:space="preserve">podrían sugerir a </w:t>
      </w:r>
      <w:r w:rsidR="004D00BF" w:rsidRPr="00F514E8">
        <w:rPr>
          <w:rFonts w:ascii="Arial" w:hAnsi="Arial" w:cs="Arial"/>
          <w:sz w:val="24"/>
          <w:szCs w:val="24"/>
        </w:rPr>
        <w:t>la autoridad que</w:t>
      </w:r>
      <w:r w:rsidR="00346493" w:rsidRPr="00F514E8">
        <w:rPr>
          <w:rFonts w:ascii="Arial" w:hAnsi="Arial" w:cs="Arial"/>
          <w:sz w:val="24"/>
          <w:szCs w:val="24"/>
        </w:rPr>
        <w:t xml:space="preserve"> </w:t>
      </w:r>
      <w:r w:rsidR="004D00BF" w:rsidRPr="00F514E8">
        <w:rPr>
          <w:rFonts w:ascii="Arial" w:hAnsi="Arial" w:cs="Arial"/>
          <w:sz w:val="24"/>
          <w:szCs w:val="24"/>
        </w:rPr>
        <w:t xml:space="preserve">deba ejecutar </w:t>
      </w:r>
      <w:r w:rsidR="00346493" w:rsidRPr="00F514E8">
        <w:rPr>
          <w:rFonts w:ascii="Arial" w:hAnsi="Arial" w:cs="Arial"/>
          <w:sz w:val="24"/>
          <w:szCs w:val="24"/>
        </w:rPr>
        <w:t xml:space="preserve">en un caso concreto </w:t>
      </w:r>
      <w:r w:rsidR="004D00BF" w:rsidRPr="00F514E8">
        <w:rPr>
          <w:rFonts w:ascii="Arial" w:hAnsi="Arial" w:cs="Arial"/>
          <w:sz w:val="24"/>
          <w:szCs w:val="24"/>
        </w:rPr>
        <w:t>la norma cuestionada</w:t>
      </w:r>
      <w:r w:rsidR="00346493" w:rsidRPr="00F514E8">
        <w:rPr>
          <w:rFonts w:ascii="Arial" w:hAnsi="Arial" w:cs="Arial"/>
          <w:sz w:val="24"/>
          <w:szCs w:val="24"/>
        </w:rPr>
        <w:t>,</w:t>
      </w:r>
      <w:r w:rsidR="004D00BF" w:rsidRPr="00F514E8">
        <w:rPr>
          <w:rFonts w:ascii="Arial" w:hAnsi="Arial" w:cs="Arial"/>
          <w:sz w:val="24"/>
          <w:szCs w:val="24"/>
        </w:rPr>
        <w:t xml:space="preserve"> </w:t>
      </w:r>
      <w:r w:rsidRPr="00F514E8">
        <w:rPr>
          <w:rFonts w:ascii="Arial" w:hAnsi="Arial" w:cs="Arial"/>
          <w:sz w:val="24"/>
          <w:szCs w:val="24"/>
        </w:rPr>
        <w:t>la aplicación de la excepción de inconstitucionalidad prevista en el artículo 4° de la Carta Política.</w:t>
      </w:r>
      <w:r w:rsidR="00257AB6" w:rsidRPr="00F514E8">
        <w:rPr>
          <w:rStyle w:val="Refdenotaalpie"/>
          <w:rFonts w:ascii="Arial" w:hAnsi="Arial" w:cs="Arial"/>
          <w:b/>
          <w:i/>
        </w:rPr>
        <w:footnoteReference w:id="17"/>
      </w:r>
      <w:r w:rsidRPr="00F514E8">
        <w:rPr>
          <w:rFonts w:ascii="Arial" w:hAnsi="Arial" w:cs="Arial"/>
          <w:b/>
          <w:i/>
        </w:rPr>
        <w:t xml:space="preserve"> </w:t>
      </w:r>
      <w:r w:rsidR="00346493" w:rsidRPr="00F514E8">
        <w:rPr>
          <w:rFonts w:ascii="Arial" w:hAnsi="Arial" w:cs="Arial"/>
          <w:sz w:val="24"/>
          <w:szCs w:val="24"/>
        </w:rPr>
        <w:t>Puesto que la norma legal presuntamente opuesta a la Constitución</w:t>
      </w:r>
      <w:r w:rsidR="00346493" w:rsidRPr="00F514E8">
        <w:rPr>
          <w:rStyle w:val="Refdenotaalpie"/>
          <w:rFonts w:ascii="Arial" w:hAnsi="Arial" w:cs="Arial"/>
          <w:sz w:val="24"/>
          <w:szCs w:val="24"/>
        </w:rPr>
        <w:footnoteReference w:id="18"/>
      </w:r>
      <w:r w:rsidR="00346493" w:rsidRPr="00F514E8">
        <w:rPr>
          <w:rFonts w:ascii="Arial" w:hAnsi="Arial" w:cs="Arial"/>
          <w:sz w:val="24"/>
          <w:szCs w:val="24"/>
        </w:rPr>
        <w:t xml:space="preserve"> es una disposición </w:t>
      </w:r>
      <w:r w:rsidR="00346493" w:rsidRPr="00F514E8">
        <w:rPr>
          <w:rFonts w:ascii="Arial" w:hAnsi="Arial" w:cs="Arial"/>
          <w:b/>
          <w:sz w:val="24"/>
          <w:szCs w:val="24"/>
        </w:rPr>
        <w:t>derogatoria</w:t>
      </w:r>
      <w:r w:rsidR="00346493" w:rsidRPr="00F514E8">
        <w:rPr>
          <w:rFonts w:ascii="Arial" w:hAnsi="Arial" w:cs="Arial"/>
          <w:sz w:val="24"/>
          <w:szCs w:val="24"/>
        </w:rPr>
        <w:t>, cuyo único efecto fue el de retirar definitivamente del ordenamiento jurídico un precepto legal anterior</w:t>
      </w:r>
      <w:r w:rsidR="00257AB6" w:rsidRPr="00F514E8">
        <w:rPr>
          <w:rStyle w:val="Refdenotaalpie"/>
          <w:rFonts w:ascii="Arial" w:hAnsi="Arial" w:cs="Arial"/>
          <w:sz w:val="24"/>
          <w:szCs w:val="24"/>
        </w:rPr>
        <w:footnoteReference w:id="19"/>
      </w:r>
      <w:r w:rsidR="00346493" w:rsidRPr="00F514E8">
        <w:rPr>
          <w:rFonts w:ascii="Arial" w:hAnsi="Arial" w:cs="Arial"/>
          <w:sz w:val="24"/>
          <w:szCs w:val="24"/>
        </w:rPr>
        <w:t xml:space="preserve">, la </w:t>
      </w:r>
      <w:r w:rsidR="00346493" w:rsidRPr="00F514E8">
        <w:rPr>
          <w:rFonts w:ascii="Arial" w:hAnsi="Arial" w:cs="Arial"/>
          <w:sz w:val="24"/>
          <w:szCs w:val="24"/>
        </w:rPr>
        <w:lastRenderedPageBreak/>
        <w:t xml:space="preserve">consecuencia de </w:t>
      </w:r>
      <w:proofErr w:type="spellStart"/>
      <w:r w:rsidR="00346493" w:rsidRPr="00F514E8">
        <w:rPr>
          <w:rFonts w:ascii="Arial" w:hAnsi="Arial" w:cs="Arial"/>
          <w:sz w:val="24"/>
          <w:szCs w:val="24"/>
        </w:rPr>
        <w:t>inaplicarla</w:t>
      </w:r>
      <w:proofErr w:type="spellEnd"/>
      <w:r w:rsidR="00346493" w:rsidRPr="00F514E8">
        <w:rPr>
          <w:rFonts w:ascii="Arial" w:hAnsi="Arial" w:cs="Arial"/>
          <w:sz w:val="24"/>
          <w:szCs w:val="24"/>
        </w:rPr>
        <w:t>, por inconstitucional, sería la de revivir la vigencia de la disposición derogada.</w:t>
      </w:r>
    </w:p>
    <w:p w14:paraId="7618196A" w14:textId="77777777" w:rsidR="00346493" w:rsidRPr="00F514E8" w:rsidRDefault="00346493" w:rsidP="00725D19">
      <w:pPr>
        <w:tabs>
          <w:tab w:val="left" w:pos="709"/>
        </w:tabs>
        <w:spacing w:after="0" w:line="240" w:lineRule="auto"/>
        <w:jc w:val="both"/>
        <w:rPr>
          <w:rFonts w:ascii="Arial" w:hAnsi="Arial" w:cs="Arial"/>
          <w:sz w:val="24"/>
          <w:szCs w:val="24"/>
        </w:rPr>
      </w:pPr>
    </w:p>
    <w:p w14:paraId="1593F76A" w14:textId="77777777" w:rsidR="004058F6" w:rsidRPr="00F514E8" w:rsidRDefault="00051B0B" w:rsidP="00725D19">
      <w:pPr>
        <w:tabs>
          <w:tab w:val="left" w:pos="709"/>
        </w:tabs>
        <w:spacing w:after="0" w:line="240" w:lineRule="auto"/>
        <w:jc w:val="both"/>
        <w:rPr>
          <w:rFonts w:ascii="Arial" w:hAnsi="Arial" w:cs="Arial"/>
          <w:sz w:val="24"/>
          <w:szCs w:val="24"/>
        </w:rPr>
      </w:pPr>
      <w:r w:rsidRPr="00F514E8">
        <w:rPr>
          <w:rFonts w:ascii="Arial" w:hAnsi="Arial" w:cs="Arial"/>
          <w:sz w:val="24"/>
          <w:szCs w:val="24"/>
        </w:rPr>
        <w:t>Con todo,</w:t>
      </w:r>
      <w:r w:rsidR="009870A8" w:rsidRPr="00F514E8">
        <w:rPr>
          <w:rFonts w:ascii="Arial" w:hAnsi="Arial" w:cs="Arial"/>
          <w:sz w:val="24"/>
          <w:szCs w:val="24"/>
        </w:rPr>
        <w:t xml:space="preserve"> cabe recordar que sobre este asunto</w:t>
      </w:r>
      <w:r w:rsidR="00970C2A" w:rsidRPr="00F514E8">
        <w:rPr>
          <w:rFonts w:ascii="Arial" w:hAnsi="Arial" w:cs="Arial"/>
          <w:sz w:val="24"/>
          <w:szCs w:val="24"/>
        </w:rPr>
        <w:t xml:space="preserve"> la Sala de Consulta, en el concepto </w:t>
      </w:r>
      <w:proofErr w:type="spellStart"/>
      <w:r w:rsidR="00970C2A" w:rsidRPr="00F514E8">
        <w:rPr>
          <w:rFonts w:ascii="Arial" w:hAnsi="Arial" w:cs="Arial"/>
          <w:sz w:val="24"/>
          <w:szCs w:val="24"/>
        </w:rPr>
        <w:t>Nº</w:t>
      </w:r>
      <w:proofErr w:type="spellEnd"/>
      <w:r w:rsidR="00970C2A" w:rsidRPr="00F514E8">
        <w:rPr>
          <w:rFonts w:ascii="Arial" w:hAnsi="Arial" w:cs="Arial"/>
          <w:sz w:val="24"/>
          <w:szCs w:val="24"/>
        </w:rPr>
        <w:t xml:space="preserve"> 1956</w:t>
      </w:r>
      <w:r w:rsidR="004E265A" w:rsidRPr="00F514E8">
        <w:rPr>
          <w:rStyle w:val="Refdenotaalpie"/>
          <w:rFonts w:ascii="Arial" w:hAnsi="Arial" w:cs="Arial"/>
          <w:sz w:val="24"/>
          <w:szCs w:val="24"/>
        </w:rPr>
        <w:footnoteReference w:id="20"/>
      </w:r>
      <w:r w:rsidR="004E265A" w:rsidRPr="00F514E8">
        <w:rPr>
          <w:rFonts w:ascii="Arial" w:hAnsi="Arial" w:cs="Arial"/>
          <w:sz w:val="24"/>
          <w:szCs w:val="24"/>
        </w:rPr>
        <w:t xml:space="preserve">, </w:t>
      </w:r>
      <w:r w:rsidR="00970C2A" w:rsidRPr="00F514E8">
        <w:rPr>
          <w:rFonts w:ascii="Arial" w:hAnsi="Arial" w:cs="Arial"/>
          <w:sz w:val="24"/>
          <w:szCs w:val="24"/>
        </w:rPr>
        <w:t xml:space="preserve">explicó lo siguiente:  </w:t>
      </w:r>
      <w:r w:rsidR="004058F6" w:rsidRPr="00F514E8">
        <w:rPr>
          <w:rFonts w:ascii="Arial" w:hAnsi="Arial" w:cs="Arial"/>
          <w:sz w:val="24"/>
          <w:szCs w:val="24"/>
        </w:rPr>
        <w:t xml:space="preserve"> </w:t>
      </w:r>
    </w:p>
    <w:p w14:paraId="68875361" w14:textId="77777777" w:rsidR="00970C2A" w:rsidRDefault="00970C2A" w:rsidP="00725D19">
      <w:pPr>
        <w:tabs>
          <w:tab w:val="left" w:pos="709"/>
        </w:tabs>
        <w:spacing w:after="0" w:line="240" w:lineRule="auto"/>
        <w:jc w:val="both"/>
        <w:rPr>
          <w:rFonts w:ascii="Arial" w:hAnsi="Arial" w:cs="Arial"/>
          <w:sz w:val="24"/>
          <w:szCs w:val="24"/>
        </w:rPr>
      </w:pPr>
    </w:p>
    <w:p w14:paraId="2A96A115" w14:textId="77777777" w:rsidR="00EF35F9" w:rsidRPr="00F514E8" w:rsidRDefault="00EF35F9" w:rsidP="00725D19">
      <w:pPr>
        <w:tabs>
          <w:tab w:val="left" w:pos="709"/>
        </w:tabs>
        <w:spacing w:after="0" w:line="240" w:lineRule="auto"/>
        <w:jc w:val="both"/>
        <w:rPr>
          <w:rFonts w:ascii="Arial" w:hAnsi="Arial" w:cs="Arial"/>
          <w:sz w:val="24"/>
          <w:szCs w:val="24"/>
        </w:rPr>
      </w:pPr>
    </w:p>
    <w:p w14:paraId="6FAE6B3B" w14:textId="77777777" w:rsidR="00970C2A" w:rsidRPr="00F514E8" w:rsidRDefault="00970C2A" w:rsidP="00725D19">
      <w:pPr>
        <w:tabs>
          <w:tab w:val="left" w:pos="709"/>
        </w:tabs>
        <w:spacing w:after="0" w:line="240" w:lineRule="auto"/>
        <w:ind w:left="426"/>
        <w:jc w:val="both"/>
        <w:rPr>
          <w:rFonts w:ascii="Arial" w:hAnsi="Arial" w:cs="Arial"/>
          <w:i/>
        </w:rPr>
      </w:pPr>
      <w:r w:rsidRPr="00F514E8">
        <w:rPr>
          <w:rFonts w:ascii="Arial" w:hAnsi="Arial" w:cs="Arial"/>
        </w:rPr>
        <w:t>“</w:t>
      </w:r>
      <w:r w:rsidRPr="00F514E8">
        <w:rPr>
          <w:rFonts w:ascii="Arial" w:hAnsi="Arial" w:cs="Arial"/>
          <w:i/>
        </w:rPr>
        <w:t>Por otra parte, en un punto crucial para este concepto como son los efectos de la excepción de inconstitucionalidad, la jurisprudencia consultada</w:t>
      </w:r>
      <w:r w:rsidR="00A84AE1" w:rsidRPr="00F514E8">
        <w:rPr>
          <w:rStyle w:val="Refdenotaalpie"/>
          <w:rFonts w:ascii="Arial" w:hAnsi="Arial" w:cs="Arial"/>
          <w:i/>
        </w:rPr>
        <w:footnoteReference w:id="21"/>
      </w:r>
      <w:r w:rsidRPr="00F514E8">
        <w:rPr>
          <w:rFonts w:ascii="Arial" w:hAnsi="Arial" w:cs="Arial"/>
          <w:i/>
        </w:rPr>
        <w:t xml:space="preserve"> es reiterada en señalar que la norma inaplicada lo será sólo para el caso concreto y que la misma subsiste en el ordenamiento jurídico y no pierde su vigencia, </w:t>
      </w:r>
      <w:r w:rsidR="00A84AE1" w:rsidRPr="00F514E8">
        <w:rPr>
          <w:rFonts w:ascii="Arial" w:hAnsi="Arial" w:cs="Arial"/>
          <w:i/>
        </w:rPr>
        <w:t xml:space="preserve">por lo que seguirá teniendo aplicación general, mientras no sea derogada por el órgano competente o declarada con efectos ‘erga omnes’ su </w:t>
      </w:r>
      <w:proofErr w:type="spellStart"/>
      <w:r w:rsidR="00A84AE1" w:rsidRPr="00F514E8">
        <w:rPr>
          <w:rFonts w:ascii="Arial" w:hAnsi="Arial" w:cs="Arial"/>
          <w:i/>
        </w:rPr>
        <w:t>inexequibilidad</w:t>
      </w:r>
      <w:proofErr w:type="spellEnd"/>
      <w:r w:rsidR="00A84AE1" w:rsidRPr="00F514E8">
        <w:rPr>
          <w:rFonts w:ascii="Arial" w:hAnsi="Arial" w:cs="Arial"/>
          <w:i/>
        </w:rPr>
        <w:t>.</w:t>
      </w:r>
      <w:r w:rsidRPr="00F514E8">
        <w:rPr>
          <w:rFonts w:ascii="Arial" w:hAnsi="Arial" w:cs="Arial"/>
          <w:i/>
        </w:rPr>
        <w:t xml:space="preserve"> </w:t>
      </w:r>
    </w:p>
    <w:p w14:paraId="1154B704" w14:textId="77777777" w:rsidR="00970C2A" w:rsidRPr="00F514E8" w:rsidRDefault="00970C2A" w:rsidP="00725D19">
      <w:pPr>
        <w:tabs>
          <w:tab w:val="left" w:pos="709"/>
        </w:tabs>
        <w:spacing w:after="0" w:line="240" w:lineRule="auto"/>
        <w:ind w:left="426"/>
        <w:jc w:val="both"/>
        <w:rPr>
          <w:rFonts w:ascii="Arial" w:hAnsi="Arial" w:cs="Arial"/>
          <w:i/>
        </w:rPr>
      </w:pPr>
    </w:p>
    <w:p w14:paraId="79FDBC3D" w14:textId="77777777" w:rsidR="00970C2A" w:rsidRPr="00F514E8" w:rsidRDefault="00970C2A" w:rsidP="00725D19">
      <w:pPr>
        <w:tabs>
          <w:tab w:val="left" w:pos="709"/>
        </w:tabs>
        <w:spacing w:after="0" w:line="240" w:lineRule="auto"/>
        <w:ind w:left="426"/>
        <w:jc w:val="both"/>
        <w:rPr>
          <w:rFonts w:ascii="Arial" w:hAnsi="Arial" w:cs="Arial"/>
          <w:i/>
          <w:sz w:val="24"/>
          <w:szCs w:val="24"/>
        </w:rPr>
      </w:pPr>
      <w:r w:rsidRPr="00F514E8">
        <w:rPr>
          <w:rFonts w:ascii="Arial" w:hAnsi="Arial" w:cs="Arial"/>
          <w:i/>
        </w:rPr>
        <w:t xml:space="preserve">“Bajo estos parámetros, puede sostenerse que los pronunciamientos jurisprudenciales citados en la consulta, en los que se consideró procedente </w:t>
      </w:r>
      <w:r w:rsidR="00A84AE1" w:rsidRPr="00F514E8">
        <w:rPr>
          <w:rFonts w:ascii="Arial" w:hAnsi="Arial" w:cs="Arial"/>
          <w:i/>
        </w:rPr>
        <w:t>la excepción de inconstitucionalidad prevista en el artículo 4º</w:t>
      </w:r>
      <w:r w:rsidR="003B0D29" w:rsidRPr="00F514E8">
        <w:rPr>
          <w:rFonts w:ascii="Arial" w:hAnsi="Arial" w:cs="Arial"/>
          <w:i/>
        </w:rPr>
        <w:t xml:space="preserve"> </w:t>
      </w:r>
      <w:r w:rsidR="00A84AE1" w:rsidRPr="00F514E8">
        <w:rPr>
          <w:rFonts w:ascii="Arial" w:hAnsi="Arial" w:cs="Arial"/>
          <w:i/>
        </w:rPr>
        <w:t>de la Carta, no</w:t>
      </w:r>
      <w:r w:rsidR="00A84AE1" w:rsidRPr="00F514E8">
        <w:rPr>
          <w:rFonts w:ascii="Arial" w:hAnsi="Arial" w:cs="Arial"/>
          <w:i/>
          <w:sz w:val="24"/>
          <w:szCs w:val="24"/>
        </w:rPr>
        <w:t xml:space="preserve"> </w:t>
      </w:r>
      <w:r w:rsidR="00A84AE1" w:rsidRPr="00F514E8">
        <w:rPr>
          <w:rFonts w:ascii="Arial" w:hAnsi="Arial" w:cs="Arial"/>
          <w:i/>
        </w:rPr>
        <w:t>afectan la vigencia ni la validez del decreto…, lo cual significa que los</w:t>
      </w:r>
      <w:r w:rsidR="00A84AE1" w:rsidRPr="00F514E8">
        <w:rPr>
          <w:rFonts w:ascii="Arial" w:hAnsi="Arial" w:cs="Arial"/>
          <w:i/>
          <w:sz w:val="24"/>
          <w:szCs w:val="24"/>
        </w:rPr>
        <w:t xml:space="preserve"> </w:t>
      </w:r>
      <w:r w:rsidR="00A84AE1" w:rsidRPr="00F514E8">
        <w:rPr>
          <w:rFonts w:ascii="Arial" w:hAnsi="Arial" w:cs="Arial"/>
          <w:i/>
        </w:rPr>
        <w:t>efectos</w:t>
      </w:r>
      <w:r w:rsidR="00A84AE1" w:rsidRPr="00F514E8">
        <w:rPr>
          <w:rFonts w:ascii="Arial" w:hAnsi="Arial" w:cs="Arial"/>
          <w:i/>
          <w:sz w:val="24"/>
          <w:szCs w:val="24"/>
        </w:rPr>
        <w:t xml:space="preserve"> </w:t>
      </w:r>
      <w:r w:rsidR="00A84AE1" w:rsidRPr="00F514E8">
        <w:rPr>
          <w:rFonts w:ascii="Arial" w:hAnsi="Arial" w:cs="Arial"/>
          <w:i/>
        </w:rPr>
        <w:t xml:space="preserve">generales previstos en dicha norma siguen imperando, hasta tanto se produzca su derogación o la declaratoria de </w:t>
      </w:r>
      <w:proofErr w:type="spellStart"/>
      <w:r w:rsidR="00A84AE1" w:rsidRPr="00F514E8">
        <w:rPr>
          <w:rFonts w:ascii="Arial" w:hAnsi="Arial" w:cs="Arial"/>
          <w:i/>
        </w:rPr>
        <w:t>inexequibilidad</w:t>
      </w:r>
      <w:proofErr w:type="spellEnd"/>
      <w:r w:rsidR="00A84AE1" w:rsidRPr="00F514E8">
        <w:rPr>
          <w:rFonts w:ascii="Arial" w:hAnsi="Arial" w:cs="Arial"/>
          <w:i/>
        </w:rPr>
        <w:t xml:space="preserve"> con efectos “erga omnes”.</w:t>
      </w:r>
      <w:r w:rsidR="00A84AE1" w:rsidRPr="00F514E8">
        <w:rPr>
          <w:rFonts w:ascii="Arial" w:hAnsi="Arial" w:cs="Arial"/>
          <w:i/>
          <w:sz w:val="24"/>
          <w:szCs w:val="24"/>
        </w:rPr>
        <w:t xml:space="preserve"> </w:t>
      </w:r>
      <w:r w:rsidRPr="00F514E8">
        <w:rPr>
          <w:rFonts w:ascii="Arial" w:hAnsi="Arial" w:cs="Arial"/>
          <w:i/>
          <w:sz w:val="24"/>
          <w:szCs w:val="24"/>
        </w:rPr>
        <w:t xml:space="preserve"> </w:t>
      </w:r>
    </w:p>
    <w:p w14:paraId="162B5B4F" w14:textId="77777777" w:rsidR="00A130FF" w:rsidRDefault="004058F6" w:rsidP="00725D19">
      <w:pPr>
        <w:tabs>
          <w:tab w:val="left" w:pos="709"/>
        </w:tabs>
        <w:spacing w:after="0" w:line="240" w:lineRule="auto"/>
        <w:jc w:val="both"/>
        <w:rPr>
          <w:rFonts w:ascii="Arial" w:hAnsi="Arial" w:cs="Arial"/>
          <w:sz w:val="24"/>
          <w:szCs w:val="24"/>
        </w:rPr>
      </w:pPr>
      <w:r w:rsidRPr="00F514E8">
        <w:rPr>
          <w:rFonts w:ascii="Arial" w:hAnsi="Arial" w:cs="Arial"/>
          <w:sz w:val="24"/>
          <w:szCs w:val="24"/>
        </w:rPr>
        <w:t xml:space="preserve">  </w:t>
      </w:r>
    </w:p>
    <w:p w14:paraId="185AB5F3" w14:textId="77777777" w:rsidR="00EF35F9" w:rsidRPr="00F514E8" w:rsidRDefault="00EF35F9" w:rsidP="00725D19">
      <w:pPr>
        <w:tabs>
          <w:tab w:val="left" w:pos="709"/>
        </w:tabs>
        <w:spacing w:after="0" w:line="240" w:lineRule="auto"/>
        <w:jc w:val="both"/>
        <w:rPr>
          <w:rFonts w:ascii="Arial" w:hAnsi="Arial" w:cs="Arial"/>
          <w:sz w:val="24"/>
          <w:szCs w:val="24"/>
        </w:rPr>
      </w:pPr>
    </w:p>
    <w:p w14:paraId="6B02F35B" w14:textId="77777777" w:rsidR="004749EC" w:rsidRPr="00F514E8" w:rsidRDefault="00A130FF" w:rsidP="00E25463">
      <w:pPr>
        <w:tabs>
          <w:tab w:val="left" w:pos="709"/>
        </w:tabs>
        <w:spacing w:after="0" w:line="240" w:lineRule="auto"/>
        <w:jc w:val="both"/>
        <w:rPr>
          <w:rFonts w:ascii="Arial" w:hAnsi="Arial" w:cs="Arial"/>
          <w:sz w:val="24"/>
          <w:szCs w:val="24"/>
        </w:rPr>
      </w:pPr>
      <w:r w:rsidRPr="00F514E8">
        <w:rPr>
          <w:rFonts w:ascii="Arial" w:hAnsi="Arial" w:cs="Arial"/>
          <w:sz w:val="24"/>
          <w:szCs w:val="24"/>
        </w:rPr>
        <w:t xml:space="preserve">Teniendo en cuenta que la excepción de inconstitucionalidad únicamente podría producir efectos </w:t>
      </w:r>
      <w:r w:rsidR="00051B0B" w:rsidRPr="00F514E8">
        <w:rPr>
          <w:rFonts w:ascii="Arial" w:hAnsi="Arial" w:cs="Arial"/>
          <w:sz w:val="24"/>
          <w:szCs w:val="24"/>
        </w:rPr>
        <w:t>en</w:t>
      </w:r>
      <w:r w:rsidRPr="00F514E8">
        <w:rPr>
          <w:rFonts w:ascii="Arial" w:hAnsi="Arial" w:cs="Arial"/>
          <w:sz w:val="24"/>
          <w:szCs w:val="24"/>
        </w:rPr>
        <w:t xml:space="preserve"> casos concretos, </w:t>
      </w:r>
      <w:r w:rsidR="00051B0B" w:rsidRPr="00F514E8">
        <w:rPr>
          <w:rFonts w:ascii="Arial" w:hAnsi="Arial" w:cs="Arial"/>
          <w:sz w:val="24"/>
          <w:szCs w:val="24"/>
        </w:rPr>
        <w:t>no tendría la entidad de</w:t>
      </w:r>
      <w:r w:rsidRPr="00F514E8">
        <w:rPr>
          <w:rFonts w:ascii="Arial" w:hAnsi="Arial" w:cs="Arial"/>
          <w:sz w:val="24"/>
          <w:szCs w:val="24"/>
        </w:rPr>
        <w:t xml:space="preserve"> </w:t>
      </w:r>
      <w:r w:rsidR="00051B0B" w:rsidRPr="00F514E8">
        <w:rPr>
          <w:rFonts w:ascii="Arial" w:hAnsi="Arial" w:cs="Arial"/>
          <w:sz w:val="24"/>
          <w:szCs w:val="24"/>
        </w:rPr>
        <w:t>enervar</w:t>
      </w:r>
      <w:r w:rsidR="00776307" w:rsidRPr="00F514E8">
        <w:rPr>
          <w:rFonts w:ascii="Arial" w:hAnsi="Arial" w:cs="Arial"/>
          <w:sz w:val="24"/>
          <w:szCs w:val="24"/>
        </w:rPr>
        <w:t xml:space="preserve">, con carácter general o </w:t>
      </w:r>
      <w:r w:rsidR="00776307" w:rsidRPr="00F514E8">
        <w:rPr>
          <w:rFonts w:ascii="Arial" w:hAnsi="Arial" w:cs="Arial"/>
          <w:i/>
          <w:sz w:val="24"/>
          <w:szCs w:val="24"/>
        </w:rPr>
        <w:t>erga omnes</w:t>
      </w:r>
      <w:r w:rsidR="00776307" w:rsidRPr="00F514E8">
        <w:rPr>
          <w:rFonts w:ascii="Arial" w:hAnsi="Arial" w:cs="Arial"/>
          <w:sz w:val="24"/>
          <w:szCs w:val="24"/>
        </w:rPr>
        <w:t>,</w:t>
      </w:r>
      <w:r w:rsidRPr="00F514E8">
        <w:rPr>
          <w:rFonts w:ascii="Arial" w:hAnsi="Arial" w:cs="Arial"/>
          <w:sz w:val="24"/>
          <w:szCs w:val="24"/>
        </w:rPr>
        <w:t xml:space="preserve"> la vigencia o la validez de la disposición </w:t>
      </w:r>
      <w:r w:rsidR="00776307" w:rsidRPr="00F514E8">
        <w:rPr>
          <w:rFonts w:ascii="Arial" w:hAnsi="Arial" w:cs="Arial"/>
          <w:sz w:val="24"/>
          <w:szCs w:val="24"/>
        </w:rPr>
        <w:t xml:space="preserve">legal. En efecto, al tratarse </w:t>
      </w:r>
      <w:r w:rsidRPr="00F514E8">
        <w:rPr>
          <w:rFonts w:ascii="Arial" w:hAnsi="Arial" w:cs="Arial"/>
          <w:sz w:val="24"/>
          <w:szCs w:val="24"/>
        </w:rPr>
        <w:t>de una ley de la república</w:t>
      </w:r>
      <w:r w:rsidR="00776307" w:rsidRPr="00F514E8">
        <w:rPr>
          <w:rFonts w:ascii="Arial" w:hAnsi="Arial" w:cs="Arial"/>
          <w:sz w:val="24"/>
          <w:szCs w:val="24"/>
        </w:rPr>
        <w:t>,</w:t>
      </w:r>
      <w:r w:rsidRPr="00F514E8">
        <w:rPr>
          <w:rFonts w:ascii="Arial" w:hAnsi="Arial" w:cs="Arial"/>
          <w:sz w:val="24"/>
          <w:szCs w:val="24"/>
        </w:rPr>
        <w:t xml:space="preserve"> tal efecto únicamente podría ocurrir </w:t>
      </w:r>
      <w:r w:rsidR="00E25463" w:rsidRPr="00F514E8">
        <w:rPr>
          <w:rFonts w:ascii="Arial" w:hAnsi="Arial" w:cs="Arial"/>
          <w:sz w:val="24"/>
          <w:szCs w:val="24"/>
        </w:rPr>
        <w:t xml:space="preserve">mediante la derogación </w:t>
      </w:r>
      <w:r w:rsidR="00776307" w:rsidRPr="00F514E8">
        <w:rPr>
          <w:rFonts w:ascii="Arial" w:hAnsi="Arial" w:cs="Arial"/>
          <w:sz w:val="24"/>
          <w:szCs w:val="24"/>
        </w:rPr>
        <w:t xml:space="preserve">de la norma </w:t>
      </w:r>
      <w:r w:rsidR="00E25463" w:rsidRPr="00F514E8">
        <w:rPr>
          <w:rFonts w:ascii="Arial" w:hAnsi="Arial" w:cs="Arial"/>
          <w:sz w:val="24"/>
          <w:szCs w:val="24"/>
        </w:rPr>
        <w:t>por p</w:t>
      </w:r>
      <w:r w:rsidR="00776307" w:rsidRPr="00F514E8">
        <w:rPr>
          <w:rFonts w:ascii="Arial" w:hAnsi="Arial" w:cs="Arial"/>
          <w:sz w:val="24"/>
          <w:szCs w:val="24"/>
        </w:rPr>
        <w:t>a</w:t>
      </w:r>
      <w:r w:rsidR="00E25463" w:rsidRPr="00F514E8">
        <w:rPr>
          <w:rFonts w:ascii="Arial" w:hAnsi="Arial" w:cs="Arial"/>
          <w:sz w:val="24"/>
          <w:szCs w:val="24"/>
        </w:rPr>
        <w:t>rte del legislativo, o la declarato</w:t>
      </w:r>
      <w:r w:rsidR="00776307" w:rsidRPr="00F514E8">
        <w:rPr>
          <w:rFonts w:ascii="Arial" w:hAnsi="Arial" w:cs="Arial"/>
          <w:sz w:val="24"/>
          <w:szCs w:val="24"/>
        </w:rPr>
        <w:t xml:space="preserve">ria de </w:t>
      </w:r>
      <w:proofErr w:type="spellStart"/>
      <w:r w:rsidR="00776307" w:rsidRPr="00F514E8">
        <w:rPr>
          <w:rFonts w:ascii="Arial" w:hAnsi="Arial" w:cs="Arial"/>
          <w:sz w:val="24"/>
          <w:szCs w:val="24"/>
        </w:rPr>
        <w:t>inexequibilidad</w:t>
      </w:r>
      <w:proofErr w:type="spellEnd"/>
      <w:r w:rsidR="00776307" w:rsidRPr="00F514E8">
        <w:rPr>
          <w:rFonts w:ascii="Arial" w:hAnsi="Arial" w:cs="Arial"/>
          <w:sz w:val="24"/>
          <w:szCs w:val="24"/>
        </w:rPr>
        <w:t xml:space="preserve"> por parte</w:t>
      </w:r>
      <w:r w:rsidR="00E25463" w:rsidRPr="00F514E8">
        <w:rPr>
          <w:rFonts w:ascii="Arial" w:hAnsi="Arial" w:cs="Arial"/>
          <w:sz w:val="24"/>
          <w:szCs w:val="24"/>
        </w:rPr>
        <w:t xml:space="preserve"> de la Corte Constitucional.</w:t>
      </w:r>
    </w:p>
    <w:p w14:paraId="6B3EE038" w14:textId="77777777" w:rsidR="00E25463" w:rsidRPr="00F514E8" w:rsidRDefault="00E25463" w:rsidP="00E25463">
      <w:pPr>
        <w:tabs>
          <w:tab w:val="left" w:pos="709"/>
        </w:tabs>
        <w:spacing w:after="0" w:line="240" w:lineRule="auto"/>
        <w:jc w:val="both"/>
        <w:rPr>
          <w:rFonts w:ascii="Arial" w:hAnsi="Arial" w:cs="Arial"/>
          <w:sz w:val="24"/>
          <w:szCs w:val="24"/>
        </w:rPr>
      </w:pPr>
    </w:p>
    <w:p w14:paraId="662CAF6A" w14:textId="77777777" w:rsidR="00DE639C" w:rsidRPr="00F514E8" w:rsidRDefault="004749EC" w:rsidP="00725D19">
      <w:pPr>
        <w:tabs>
          <w:tab w:val="left" w:pos="709"/>
        </w:tabs>
        <w:spacing w:after="0" w:line="240" w:lineRule="auto"/>
        <w:jc w:val="both"/>
        <w:rPr>
          <w:rFonts w:ascii="Arial" w:hAnsi="Arial" w:cs="Arial"/>
          <w:sz w:val="24"/>
          <w:szCs w:val="24"/>
        </w:rPr>
      </w:pPr>
      <w:r w:rsidRPr="00F514E8">
        <w:rPr>
          <w:rFonts w:ascii="Arial" w:hAnsi="Arial" w:cs="Arial"/>
          <w:sz w:val="24"/>
          <w:szCs w:val="24"/>
        </w:rPr>
        <w:t xml:space="preserve">Por </w:t>
      </w:r>
      <w:r w:rsidR="00E25463" w:rsidRPr="00F514E8">
        <w:rPr>
          <w:rFonts w:ascii="Arial" w:hAnsi="Arial" w:cs="Arial"/>
          <w:sz w:val="24"/>
          <w:szCs w:val="24"/>
        </w:rPr>
        <w:t>consiguiente</w:t>
      </w:r>
      <w:r w:rsidRPr="00F514E8">
        <w:rPr>
          <w:rFonts w:ascii="Arial" w:hAnsi="Arial" w:cs="Arial"/>
          <w:sz w:val="24"/>
          <w:szCs w:val="24"/>
        </w:rPr>
        <w:t xml:space="preserve">, a pesar de </w:t>
      </w:r>
      <w:r w:rsidR="00E25463" w:rsidRPr="00F514E8">
        <w:rPr>
          <w:rFonts w:ascii="Arial" w:hAnsi="Arial" w:cs="Arial"/>
          <w:sz w:val="24"/>
          <w:szCs w:val="24"/>
        </w:rPr>
        <w:t xml:space="preserve">las consideraciones de orden constitucional expuestas, </w:t>
      </w:r>
      <w:r w:rsidR="009870A8" w:rsidRPr="00F514E8">
        <w:rPr>
          <w:rFonts w:ascii="Arial" w:hAnsi="Arial" w:cs="Arial"/>
          <w:sz w:val="24"/>
          <w:szCs w:val="24"/>
        </w:rPr>
        <w:t>se</w:t>
      </w:r>
      <w:r w:rsidRPr="00F514E8">
        <w:rPr>
          <w:rFonts w:ascii="Arial" w:hAnsi="Arial" w:cs="Arial"/>
          <w:sz w:val="24"/>
          <w:szCs w:val="24"/>
        </w:rPr>
        <w:t xml:space="preserve"> </w:t>
      </w:r>
      <w:r w:rsidR="00F77EE1" w:rsidRPr="00F514E8">
        <w:rPr>
          <w:rFonts w:ascii="Arial" w:hAnsi="Arial" w:cs="Arial"/>
          <w:sz w:val="24"/>
          <w:szCs w:val="24"/>
        </w:rPr>
        <w:t xml:space="preserve">debe respetar </w:t>
      </w:r>
      <w:r w:rsidRPr="00F514E8">
        <w:rPr>
          <w:rFonts w:ascii="Arial" w:hAnsi="Arial" w:cs="Arial"/>
          <w:sz w:val="24"/>
          <w:szCs w:val="24"/>
        </w:rPr>
        <w:t>el efecto jurídico</w:t>
      </w:r>
      <w:r w:rsidR="00F77EE1" w:rsidRPr="00F514E8">
        <w:rPr>
          <w:rFonts w:ascii="Arial" w:hAnsi="Arial" w:cs="Arial"/>
          <w:sz w:val="24"/>
          <w:szCs w:val="24"/>
        </w:rPr>
        <w:t xml:space="preserve"> </w:t>
      </w:r>
      <w:r w:rsidR="009870A8" w:rsidRPr="00F514E8">
        <w:rPr>
          <w:rFonts w:ascii="Arial" w:hAnsi="Arial" w:cs="Arial"/>
          <w:sz w:val="24"/>
          <w:szCs w:val="24"/>
        </w:rPr>
        <w:t xml:space="preserve">general </w:t>
      </w:r>
      <w:r w:rsidR="00051B0B" w:rsidRPr="00F514E8">
        <w:rPr>
          <w:rFonts w:ascii="Arial" w:hAnsi="Arial" w:cs="Arial"/>
          <w:sz w:val="24"/>
          <w:szCs w:val="24"/>
        </w:rPr>
        <w:t>producido</w:t>
      </w:r>
      <w:r w:rsidR="00F77EE1" w:rsidRPr="00F514E8">
        <w:rPr>
          <w:rFonts w:ascii="Arial" w:hAnsi="Arial" w:cs="Arial"/>
          <w:sz w:val="24"/>
          <w:szCs w:val="24"/>
        </w:rPr>
        <w:t xml:space="preserve"> </w:t>
      </w:r>
      <w:r w:rsidRPr="00F514E8">
        <w:rPr>
          <w:rFonts w:ascii="Arial" w:hAnsi="Arial" w:cs="Arial"/>
          <w:sz w:val="24"/>
          <w:szCs w:val="24"/>
        </w:rPr>
        <w:t xml:space="preserve">por </w:t>
      </w:r>
      <w:r w:rsidR="00E25463" w:rsidRPr="00F514E8">
        <w:rPr>
          <w:rFonts w:ascii="Arial" w:hAnsi="Arial" w:cs="Arial"/>
          <w:sz w:val="24"/>
          <w:szCs w:val="24"/>
        </w:rPr>
        <w:t>el artículo 276 de la ley 1450</w:t>
      </w:r>
      <w:r w:rsidR="00776307" w:rsidRPr="00F514E8">
        <w:rPr>
          <w:rFonts w:ascii="Arial" w:hAnsi="Arial" w:cs="Arial"/>
          <w:sz w:val="24"/>
          <w:szCs w:val="24"/>
        </w:rPr>
        <w:t xml:space="preserve"> de 2011</w:t>
      </w:r>
      <w:r w:rsidRPr="00F514E8">
        <w:rPr>
          <w:rFonts w:ascii="Arial" w:hAnsi="Arial" w:cs="Arial"/>
          <w:sz w:val="24"/>
          <w:szCs w:val="24"/>
        </w:rPr>
        <w:t xml:space="preserve">, </w:t>
      </w:r>
      <w:r w:rsidR="00776307" w:rsidRPr="00F514E8">
        <w:rPr>
          <w:rFonts w:ascii="Arial" w:hAnsi="Arial" w:cs="Arial"/>
          <w:sz w:val="24"/>
          <w:szCs w:val="24"/>
        </w:rPr>
        <w:t xml:space="preserve">lo cual significa que, </w:t>
      </w:r>
      <w:r w:rsidRPr="00F514E8">
        <w:rPr>
          <w:rFonts w:ascii="Arial" w:hAnsi="Arial" w:cs="Arial"/>
          <w:sz w:val="24"/>
          <w:szCs w:val="24"/>
        </w:rPr>
        <w:t xml:space="preserve">mientras </w:t>
      </w:r>
      <w:r w:rsidR="004667E7" w:rsidRPr="00F514E8">
        <w:rPr>
          <w:rFonts w:ascii="Arial" w:hAnsi="Arial" w:cs="Arial"/>
          <w:sz w:val="24"/>
          <w:szCs w:val="24"/>
        </w:rPr>
        <w:t xml:space="preserve">éste </w:t>
      </w:r>
      <w:r w:rsidR="001875CB" w:rsidRPr="00F514E8">
        <w:rPr>
          <w:rFonts w:ascii="Arial" w:hAnsi="Arial" w:cs="Arial"/>
          <w:sz w:val="24"/>
          <w:szCs w:val="24"/>
        </w:rPr>
        <w:t>no sea declarado</w:t>
      </w:r>
      <w:r w:rsidRPr="00F514E8">
        <w:rPr>
          <w:rFonts w:ascii="Arial" w:hAnsi="Arial" w:cs="Arial"/>
          <w:sz w:val="24"/>
          <w:szCs w:val="24"/>
        </w:rPr>
        <w:t xml:space="preserve"> inexequible por la Corte Constitucional, el artículo 26 de la </w:t>
      </w:r>
      <w:r w:rsidR="00776307" w:rsidRPr="00F514E8">
        <w:rPr>
          <w:rFonts w:ascii="Arial" w:hAnsi="Arial" w:cs="Arial"/>
          <w:sz w:val="24"/>
          <w:szCs w:val="24"/>
        </w:rPr>
        <w:t>l</w:t>
      </w:r>
      <w:r w:rsidRPr="00F514E8">
        <w:rPr>
          <w:rFonts w:ascii="Arial" w:hAnsi="Arial" w:cs="Arial"/>
          <w:sz w:val="24"/>
          <w:szCs w:val="24"/>
        </w:rPr>
        <w:t xml:space="preserve">ey 1150 de 2007 </w:t>
      </w:r>
      <w:r w:rsidR="00776307" w:rsidRPr="00F514E8">
        <w:rPr>
          <w:rFonts w:ascii="Arial" w:hAnsi="Arial" w:cs="Arial"/>
          <w:sz w:val="24"/>
          <w:szCs w:val="24"/>
        </w:rPr>
        <w:t>permanecerá sin vigencia</w:t>
      </w:r>
      <w:r w:rsidRPr="00F514E8">
        <w:rPr>
          <w:rFonts w:ascii="Arial" w:hAnsi="Arial" w:cs="Arial"/>
          <w:sz w:val="24"/>
          <w:szCs w:val="24"/>
        </w:rPr>
        <w:t xml:space="preserve">.   </w:t>
      </w:r>
      <w:r w:rsidR="00D76892" w:rsidRPr="00F514E8">
        <w:rPr>
          <w:rFonts w:ascii="Arial" w:hAnsi="Arial" w:cs="Arial"/>
          <w:sz w:val="24"/>
          <w:szCs w:val="24"/>
        </w:rPr>
        <w:t xml:space="preserve">      </w:t>
      </w:r>
      <w:r w:rsidR="008C4BEA" w:rsidRPr="00F514E8">
        <w:rPr>
          <w:rFonts w:ascii="Arial" w:hAnsi="Arial" w:cs="Arial"/>
          <w:sz w:val="24"/>
          <w:szCs w:val="24"/>
        </w:rPr>
        <w:t xml:space="preserve">      </w:t>
      </w:r>
    </w:p>
    <w:p w14:paraId="5B526513" w14:textId="77777777" w:rsidR="003138BE" w:rsidRDefault="00DF6EB5" w:rsidP="00725D19">
      <w:pPr>
        <w:tabs>
          <w:tab w:val="left" w:pos="6825"/>
        </w:tabs>
        <w:spacing w:after="0" w:line="240" w:lineRule="auto"/>
        <w:jc w:val="both"/>
        <w:rPr>
          <w:rFonts w:ascii="Arial" w:hAnsi="Arial" w:cs="Arial"/>
          <w:sz w:val="24"/>
          <w:szCs w:val="24"/>
        </w:rPr>
      </w:pPr>
      <w:r w:rsidRPr="00F514E8">
        <w:rPr>
          <w:rFonts w:ascii="Arial" w:hAnsi="Arial" w:cs="Arial"/>
          <w:sz w:val="24"/>
          <w:szCs w:val="24"/>
        </w:rPr>
        <w:t xml:space="preserve"> </w:t>
      </w:r>
      <w:r w:rsidR="00741544" w:rsidRPr="00F514E8">
        <w:rPr>
          <w:rFonts w:ascii="Arial" w:hAnsi="Arial" w:cs="Arial"/>
          <w:sz w:val="24"/>
          <w:szCs w:val="24"/>
        </w:rPr>
        <w:t xml:space="preserve"> </w:t>
      </w:r>
      <w:r w:rsidR="00741544" w:rsidRPr="00F514E8">
        <w:rPr>
          <w:rFonts w:ascii="Arial" w:hAnsi="Arial" w:cs="Arial"/>
          <w:i/>
          <w:sz w:val="24"/>
          <w:szCs w:val="24"/>
        </w:rPr>
        <w:t xml:space="preserve">   </w:t>
      </w:r>
      <w:r w:rsidR="007C275C" w:rsidRPr="00F514E8">
        <w:rPr>
          <w:rFonts w:ascii="Arial" w:hAnsi="Arial" w:cs="Arial"/>
          <w:sz w:val="24"/>
          <w:szCs w:val="24"/>
        </w:rPr>
        <w:t xml:space="preserve"> </w:t>
      </w:r>
    </w:p>
    <w:p w14:paraId="02FC7581" w14:textId="77777777" w:rsidR="00EF35F9" w:rsidRPr="00F514E8" w:rsidRDefault="00EF35F9" w:rsidP="00725D19">
      <w:pPr>
        <w:tabs>
          <w:tab w:val="left" w:pos="6825"/>
        </w:tabs>
        <w:spacing w:after="0" w:line="240" w:lineRule="auto"/>
        <w:jc w:val="both"/>
        <w:rPr>
          <w:rFonts w:ascii="Arial" w:hAnsi="Arial" w:cs="Arial"/>
          <w:sz w:val="24"/>
          <w:szCs w:val="24"/>
        </w:rPr>
      </w:pPr>
    </w:p>
    <w:p w14:paraId="2A34830C" w14:textId="77777777" w:rsidR="00CE1199" w:rsidRPr="00F514E8" w:rsidRDefault="00CE1199" w:rsidP="00725D19">
      <w:pPr>
        <w:tabs>
          <w:tab w:val="left" w:pos="6825"/>
        </w:tabs>
        <w:spacing w:after="0" w:line="240" w:lineRule="auto"/>
        <w:jc w:val="both"/>
        <w:rPr>
          <w:rFonts w:ascii="Arial" w:hAnsi="Arial" w:cs="Arial"/>
          <w:b/>
          <w:sz w:val="24"/>
          <w:szCs w:val="24"/>
        </w:rPr>
      </w:pPr>
      <w:r w:rsidRPr="00F514E8">
        <w:rPr>
          <w:rFonts w:ascii="Arial" w:hAnsi="Arial" w:cs="Arial"/>
          <w:b/>
          <w:sz w:val="24"/>
          <w:szCs w:val="24"/>
        </w:rPr>
        <w:t>4. Tres situaciones especiales</w:t>
      </w:r>
    </w:p>
    <w:p w14:paraId="3B942B25" w14:textId="77777777" w:rsidR="00CE1199" w:rsidRDefault="00CE1199" w:rsidP="00725D19">
      <w:pPr>
        <w:tabs>
          <w:tab w:val="left" w:pos="6825"/>
        </w:tabs>
        <w:spacing w:after="0" w:line="240" w:lineRule="auto"/>
        <w:jc w:val="both"/>
        <w:rPr>
          <w:rFonts w:ascii="Arial" w:hAnsi="Arial" w:cs="Arial"/>
          <w:sz w:val="24"/>
          <w:szCs w:val="24"/>
        </w:rPr>
      </w:pPr>
    </w:p>
    <w:p w14:paraId="3E47F55F" w14:textId="77777777" w:rsidR="00EF35F9" w:rsidRPr="00F514E8" w:rsidRDefault="00EF35F9" w:rsidP="00725D19">
      <w:pPr>
        <w:tabs>
          <w:tab w:val="left" w:pos="6825"/>
        </w:tabs>
        <w:spacing w:after="0" w:line="240" w:lineRule="auto"/>
        <w:jc w:val="both"/>
        <w:rPr>
          <w:rFonts w:ascii="Arial" w:hAnsi="Arial" w:cs="Arial"/>
          <w:sz w:val="24"/>
          <w:szCs w:val="24"/>
        </w:rPr>
      </w:pPr>
    </w:p>
    <w:p w14:paraId="699D0990" w14:textId="77777777" w:rsidR="004A786D" w:rsidRPr="00F514E8" w:rsidRDefault="00F77EE1" w:rsidP="004A786D">
      <w:pPr>
        <w:tabs>
          <w:tab w:val="left" w:pos="709"/>
        </w:tabs>
        <w:spacing w:after="0" w:line="240" w:lineRule="auto"/>
        <w:jc w:val="both"/>
        <w:rPr>
          <w:rFonts w:ascii="Arial" w:hAnsi="Arial" w:cs="Arial"/>
          <w:sz w:val="24"/>
          <w:szCs w:val="24"/>
        </w:rPr>
      </w:pPr>
      <w:r w:rsidRPr="00F514E8">
        <w:rPr>
          <w:rFonts w:ascii="Arial" w:hAnsi="Arial" w:cs="Arial"/>
          <w:sz w:val="24"/>
          <w:szCs w:val="24"/>
        </w:rPr>
        <w:t xml:space="preserve">Ahora bien, </w:t>
      </w:r>
      <w:r w:rsidR="003B0D29" w:rsidRPr="00F514E8">
        <w:rPr>
          <w:rFonts w:ascii="Arial" w:hAnsi="Arial" w:cs="Arial"/>
          <w:sz w:val="24"/>
          <w:szCs w:val="24"/>
        </w:rPr>
        <w:t xml:space="preserve">con el fin de </w:t>
      </w:r>
      <w:r w:rsidRPr="00F514E8">
        <w:rPr>
          <w:rFonts w:ascii="Arial" w:hAnsi="Arial" w:cs="Arial"/>
          <w:sz w:val="24"/>
          <w:szCs w:val="24"/>
        </w:rPr>
        <w:t xml:space="preserve">determinar el régimen aplicable a los contratos celebrados </w:t>
      </w:r>
      <w:r w:rsidR="003B0D29" w:rsidRPr="00F514E8">
        <w:rPr>
          <w:rFonts w:ascii="Arial" w:hAnsi="Arial" w:cs="Arial"/>
          <w:sz w:val="24"/>
          <w:szCs w:val="24"/>
        </w:rPr>
        <w:t xml:space="preserve">actualmente </w:t>
      </w:r>
      <w:r w:rsidRPr="00F514E8">
        <w:rPr>
          <w:rFonts w:ascii="Arial" w:hAnsi="Arial" w:cs="Arial"/>
          <w:sz w:val="24"/>
          <w:szCs w:val="24"/>
        </w:rPr>
        <w:t xml:space="preserve">por FONADE, es </w:t>
      </w:r>
      <w:r w:rsidR="002560DE" w:rsidRPr="00F514E8">
        <w:rPr>
          <w:rFonts w:ascii="Arial" w:hAnsi="Arial" w:cs="Arial"/>
          <w:sz w:val="24"/>
          <w:szCs w:val="24"/>
        </w:rPr>
        <w:t xml:space="preserve">pertinente distinguir </w:t>
      </w:r>
      <w:r w:rsidR="003B0D29" w:rsidRPr="00F514E8">
        <w:rPr>
          <w:rFonts w:ascii="Arial" w:hAnsi="Arial" w:cs="Arial"/>
          <w:sz w:val="24"/>
          <w:szCs w:val="24"/>
        </w:rPr>
        <w:t xml:space="preserve">tres </w:t>
      </w:r>
      <w:r w:rsidR="002560DE" w:rsidRPr="00F514E8">
        <w:rPr>
          <w:rFonts w:ascii="Arial" w:hAnsi="Arial" w:cs="Arial"/>
          <w:sz w:val="24"/>
          <w:szCs w:val="24"/>
        </w:rPr>
        <w:t>situaciones</w:t>
      </w:r>
      <w:r w:rsidR="003B0D29" w:rsidRPr="00F514E8">
        <w:rPr>
          <w:rFonts w:ascii="Arial" w:hAnsi="Arial" w:cs="Arial"/>
          <w:sz w:val="24"/>
          <w:szCs w:val="24"/>
        </w:rPr>
        <w:t>, a saber</w:t>
      </w:r>
      <w:r w:rsidR="002560DE" w:rsidRPr="00F514E8">
        <w:rPr>
          <w:rFonts w:ascii="Arial" w:hAnsi="Arial" w:cs="Arial"/>
          <w:sz w:val="24"/>
          <w:szCs w:val="24"/>
        </w:rPr>
        <w:t xml:space="preserve">: </w:t>
      </w:r>
      <w:r w:rsidR="004A786D" w:rsidRPr="00F514E8">
        <w:rPr>
          <w:rFonts w:ascii="Arial" w:hAnsi="Arial" w:cs="Arial"/>
          <w:sz w:val="24"/>
          <w:szCs w:val="24"/>
        </w:rPr>
        <w:t xml:space="preserve">i) los contratos celebrados por FONADE con particulares, ii) los contratos celebrados por FONADE con entidades públicas excluidas de la aplicación de la ley 80 de 1993, y iii) los contratos celebrados por FONADE con </w:t>
      </w:r>
      <w:r w:rsidR="00855387" w:rsidRPr="00F514E8">
        <w:rPr>
          <w:rFonts w:ascii="Arial" w:hAnsi="Arial" w:cs="Arial"/>
          <w:sz w:val="24"/>
          <w:szCs w:val="24"/>
        </w:rPr>
        <w:t xml:space="preserve">las demás </w:t>
      </w:r>
      <w:r w:rsidR="004A786D" w:rsidRPr="00F514E8">
        <w:rPr>
          <w:rFonts w:ascii="Arial" w:hAnsi="Arial" w:cs="Arial"/>
          <w:sz w:val="24"/>
          <w:szCs w:val="24"/>
        </w:rPr>
        <w:t>entidades estatales.</w:t>
      </w:r>
    </w:p>
    <w:p w14:paraId="4884C12A" w14:textId="77777777" w:rsidR="002560DE" w:rsidRPr="00F514E8" w:rsidRDefault="002560DE" w:rsidP="00725D19">
      <w:pPr>
        <w:tabs>
          <w:tab w:val="left" w:pos="6825"/>
        </w:tabs>
        <w:spacing w:after="0" w:line="240" w:lineRule="auto"/>
        <w:jc w:val="both"/>
        <w:rPr>
          <w:rFonts w:ascii="Arial" w:hAnsi="Arial" w:cs="Arial"/>
          <w:sz w:val="24"/>
          <w:szCs w:val="24"/>
        </w:rPr>
      </w:pPr>
    </w:p>
    <w:p w14:paraId="27F338A8" w14:textId="77777777" w:rsidR="002560DE" w:rsidRPr="00F514E8" w:rsidRDefault="00604403" w:rsidP="00604403">
      <w:pPr>
        <w:tabs>
          <w:tab w:val="left" w:pos="709"/>
        </w:tabs>
        <w:spacing w:after="0" w:line="240" w:lineRule="auto"/>
        <w:jc w:val="both"/>
        <w:rPr>
          <w:rFonts w:ascii="Arial" w:hAnsi="Arial" w:cs="Arial"/>
          <w:b/>
          <w:i/>
          <w:sz w:val="24"/>
          <w:szCs w:val="24"/>
        </w:rPr>
      </w:pPr>
      <w:r w:rsidRPr="00F514E8">
        <w:rPr>
          <w:rFonts w:ascii="Arial" w:hAnsi="Arial" w:cs="Arial"/>
          <w:b/>
          <w:i/>
          <w:sz w:val="24"/>
          <w:szCs w:val="24"/>
        </w:rPr>
        <w:t xml:space="preserve">a. </w:t>
      </w:r>
      <w:r w:rsidR="002560DE" w:rsidRPr="00F514E8">
        <w:rPr>
          <w:rFonts w:ascii="Arial" w:hAnsi="Arial" w:cs="Arial"/>
          <w:b/>
          <w:i/>
          <w:sz w:val="24"/>
          <w:szCs w:val="24"/>
        </w:rPr>
        <w:t xml:space="preserve">Los contratos celebrados por FONADE con particulares (incluyendo sociedades de economía mixta con participación estatal inferior al 50%). </w:t>
      </w:r>
    </w:p>
    <w:p w14:paraId="38D15B0D" w14:textId="77777777" w:rsidR="002560DE" w:rsidRPr="00F514E8" w:rsidRDefault="002560DE" w:rsidP="00725D19">
      <w:pPr>
        <w:tabs>
          <w:tab w:val="left" w:pos="709"/>
        </w:tabs>
        <w:spacing w:after="0" w:line="240" w:lineRule="auto"/>
        <w:jc w:val="both"/>
        <w:rPr>
          <w:rFonts w:ascii="Arial" w:hAnsi="Arial" w:cs="Arial"/>
          <w:sz w:val="24"/>
          <w:szCs w:val="24"/>
        </w:rPr>
      </w:pPr>
    </w:p>
    <w:p w14:paraId="529EC947" w14:textId="77777777" w:rsidR="002560DE" w:rsidRPr="00F514E8" w:rsidRDefault="00F34876" w:rsidP="00725D19">
      <w:pPr>
        <w:tabs>
          <w:tab w:val="left" w:pos="709"/>
        </w:tabs>
        <w:spacing w:after="0" w:line="240" w:lineRule="auto"/>
        <w:jc w:val="both"/>
        <w:rPr>
          <w:rFonts w:ascii="Arial" w:hAnsi="Arial" w:cs="Arial"/>
          <w:sz w:val="24"/>
          <w:szCs w:val="24"/>
        </w:rPr>
      </w:pPr>
      <w:r w:rsidRPr="00F514E8">
        <w:rPr>
          <w:rFonts w:ascii="Arial" w:hAnsi="Arial" w:cs="Arial"/>
          <w:sz w:val="24"/>
          <w:szCs w:val="24"/>
        </w:rPr>
        <w:t>Los contratos que FONADE celebre con particulares</w:t>
      </w:r>
      <w:r w:rsidR="0097332B" w:rsidRPr="00F514E8">
        <w:rPr>
          <w:rFonts w:ascii="Arial" w:hAnsi="Arial" w:cs="Arial"/>
          <w:sz w:val="24"/>
          <w:szCs w:val="24"/>
        </w:rPr>
        <w:t>, incluidas las sociedades de economía mixta con participación estatal inferior al 50%,</w:t>
      </w:r>
      <w:r w:rsidRPr="00F514E8">
        <w:rPr>
          <w:rFonts w:ascii="Arial" w:hAnsi="Arial" w:cs="Arial"/>
          <w:sz w:val="24"/>
          <w:szCs w:val="24"/>
        </w:rPr>
        <w:t xml:space="preserve"> no están sometidos </w:t>
      </w:r>
      <w:r w:rsidR="0097332B" w:rsidRPr="00F514E8">
        <w:rPr>
          <w:rFonts w:ascii="Arial" w:hAnsi="Arial" w:cs="Arial"/>
          <w:sz w:val="24"/>
          <w:szCs w:val="24"/>
        </w:rPr>
        <w:t>al</w:t>
      </w:r>
      <w:r w:rsidR="002560DE" w:rsidRPr="00F514E8">
        <w:rPr>
          <w:rFonts w:ascii="Arial" w:hAnsi="Arial" w:cs="Arial"/>
          <w:sz w:val="24"/>
          <w:szCs w:val="24"/>
        </w:rPr>
        <w:t xml:space="preserve"> Estatuto General de Contratación de la</w:t>
      </w:r>
      <w:r w:rsidRPr="00F514E8">
        <w:rPr>
          <w:rFonts w:ascii="Arial" w:hAnsi="Arial" w:cs="Arial"/>
          <w:sz w:val="24"/>
          <w:szCs w:val="24"/>
        </w:rPr>
        <w:t xml:space="preserve"> Administración Pública, ya que</w:t>
      </w:r>
      <w:r w:rsidR="002560DE" w:rsidRPr="00F514E8">
        <w:rPr>
          <w:rFonts w:ascii="Arial" w:hAnsi="Arial" w:cs="Arial"/>
          <w:sz w:val="24"/>
          <w:szCs w:val="24"/>
        </w:rPr>
        <w:t xml:space="preserve"> siendo FONADE una entidad o institución financiera estatal, tales negocios jurídico</w:t>
      </w:r>
      <w:r w:rsidR="00C44EFC" w:rsidRPr="00F514E8">
        <w:rPr>
          <w:rFonts w:ascii="Arial" w:hAnsi="Arial" w:cs="Arial"/>
          <w:sz w:val="24"/>
          <w:szCs w:val="24"/>
        </w:rPr>
        <w:t>s</w:t>
      </w:r>
      <w:r w:rsidR="002560DE" w:rsidRPr="00F514E8">
        <w:rPr>
          <w:rFonts w:ascii="Arial" w:hAnsi="Arial" w:cs="Arial"/>
          <w:sz w:val="24"/>
          <w:szCs w:val="24"/>
        </w:rPr>
        <w:t xml:space="preserve"> </w:t>
      </w:r>
      <w:r w:rsidR="00D32AB8" w:rsidRPr="00F514E8">
        <w:rPr>
          <w:rFonts w:ascii="Arial" w:hAnsi="Arial" w:cs="Arial"/>
          <w:sz w:val="24"/>
          <w:szCs w:val="24"/>
        </w:rPr>
        <w:t xml:space="preserve">están </w:t>
      </w:r>
      <w:r w:rsidR="002560DE" w:rsidRPr="00F514E8">
        <w:rPr>
          <w:rFonts w:ascii="Arial" w:hAnsi="Arial" w:cs="Arial"/>
          <w:sz w:val="24"/>
          <w:szCs w:val="24"/>
        </w:rPr>
        <w:lastRenderedPageBreak/>
        <w:t xml:space="preserve">cubiertos por lo dispuesto en el </w:t>
      </w:r>
      <w:r w:rsidR="00D32AB8" w:rsidRPr="00F514E8">
        <w:rPr>
          <w:rFonts w:ascii="Arial" w:hAnsi="Arial" w:cs="Arial"/>
          <w:sz w:val="24"/>
          <w:szCs w:val="24"/>
        </w:rPr>
        <w:t xml:space="preserve">artículo 15 de la ley 1150 de 2007, que modificó el </w:t>
      </w:r>
      <w:r w:rsidR="002560DE" w:rsidRPr="00F514E8">
        <w:rPr>
          <w:rFonts w:ascii="Arial" w:hAnsi="Arial" w:cs="Arial"/>
          <w:sz w:val="24"/>
          <w:szCs w:val="24"/>
        </w:rPr>
        <w:t>parágrafo</w:t>
      </w:r>
      <w:r w:rsidRPr="00F514E8">
        <w:rPr>
          <w:rFonts w:ascii="Arial" w:hAnsi="Arial" w:cs="Arial"/>
          <w:sz w:val="24"/>
          <w:szCs w:val="24"/>
        </w:rPr>
        <w:t xml:space="preserve"> primero del artículo 32 de la l</w:t>
      </w:r>
      <w:r w:rsidR="002560DE" w:rsidRPr="00F514E8">
        <w:rPr>
          <w:rFonts w:ascii="Arial" w:hAnsi="Arial" w:cs="Arial"/>
          <w:sz w:val="24"/>
          <w:szCs w:val="24"/>
        </w:rPr>
        <w:t xml:space="preserve">ey 80 de 1993, </w:t>
      </w:r>
      <w:r w:rsidR="0097332B" w:rsidRPr="00F514E8">
        <w:rPr>
          <w:rFonts w:ascii="Arial" w:hAnsi="Arial" w:cs="Arial"/>
          <w:sz w:val="24"/>
          <w:szCs w:val="24"/>
        </w:rPr>
        <w:t xml:space="preserve">antes </w:t>
      </w:r>
      <w:r w:rsidRPr="00F514E8">
        <w:rPr>
          <w:rFonts w:ascii="Arial" w:hAnsi="Arial" w:cs="Arial"/>
          <w:sz w:val="24"/>
          <w:szCs w:val="24"/>
        </w:rPr>
        <w:t>citado</w:t>
      </w:r>
      <w:r w:rsidR="0097332B" w:rsidRPr="00F514E8">
        <w:rPr>
          <w:rFonts w:ascii="Arial" w:hAnsi="Arial" w:cs="Arial"/>
          <w:sz w:val="24"/>
          <w:szCs w:val="24"/>
        </w:rPr>
        <w:t>s</w:t>
      </w:r>
      <w:r w:rsidRPr="00F514E8">
        <w:rPr>
          <w:rFonts w:ascii="Arial" w:hAnsi="Arial" w:cs="Arial"/>
          <w:sz w:val="24"/>
          <w:szCs w:val="24"/>
        </w:rPr>
        <w:t xml:space="preserve">. </w:t>
      </w:r>
      <w:r w:rsidR="001875CB" w:rsidRPr="00F514E8">
        <w:rPr>
          <w:rFonts w:ascii="Arial" w:hAnsi="Arial" w:cs="Arial"/>
          <w:sz w:val="24"/>
          <w:szCs w:val="24"/>
        </w:rPr>
        <w:t>En efecto</w:t>
      </w:r>
      <w:r w:rsidR="00C44EFC" w:rsidRPr="00F514E8">
        <w:rPr>
          <w:rFonts w:ascii="Arial" w:hAnsi="Arial" w:cs="Arial"/>
          <w:sz w:val="24"/>
          <w:szCs w:val="24"/>
        </w:rPr>
        <w:t>, a diferen</w:t>
      </w:r>
      <w:r w:rsidR="001875CB" w:rsidRPr="00F514E8">
        <w:rPr>
          <w:rFonts w:ascii="Arial" w:hAnsi="Arial" w:cs="Arial"/>
          <w:sz w:val="24"/>
          <w:szCs w:val="24"/>
        </w:rPr>
        <w:t>cia de la norma original de la l</w:t>
      </w:r>
      <w:r w:rsidR="00C44EFC" w:rsidRPr="00F514E8">
        <w:rPr>
          <w:rFonts w:ascii="Arial" w:hAnsi="Arial" w:cs="Arial"/>
          <w:sz w:val="24"/>
          <w:szCs w:val="24"/>
        </w:rPr>
        <w:t xml:space="preserve">ey 80 de 1993, que exceptuaba solamente los contratos de dichas entidades que correspondieran al </w:t>
      </w:r>
      <w:r w:rsidRPr="00F514E8">
        <w:rPr>
          <w:rFonts w:ascii="Arial" w:hAnsi="Arial" w:cs="Arial"/>
          <w:sz w:val="24"/>
          <w:szCs w:val="24"/>
        </w:rPr>
        <w:t>“</w:t>
      </w:r>
      <w:r w:rsidR="00C44EFC" w:rsidRPr="00F514E8">
        <w:rPr>
          <w:rFonts w:ascii="Arial" w:hAnsi="Arial" w:cs="Arial"/>
          <w:sz w:val="24"/>
          <w:szCs w:val="24"/>
        </w:rPr>
        <w:t>giro ordinario de las actividades propias de su objeto</w:t>
      </w:r>
      <w:r w:rsidRPr="00F514E8">
        <w:rPr>
          <w:rFonts w:ascii="Arial" w:hAnsi="Arial" w:cs="Arial"/>
          <w:sz w:val="24"/>
          <w:szCs w:val="24"/>
        </w:rPr>
        <w:t>”</w:t>
      </w:r>
      <w:r w:rsidR="00F77EE1" w:rsidRPr="00F514E8">
        <w:rPr>
          <w:rFonts w:ascii="Arial" w:hAnsi="Arial" w:cs="Arial"/>
          <w:sz w:val="24"/>
          <w:szCs w:val="24"/>
        </w:rPr>
        <w:t xml:space="preserve">, </w:t>
      </w:r>
      <w:r w:rsidR="00C44EFC" w:rsidRPr="00F514E8">
        <w:rPr>
          <w:rFonts w:ascii="Arial" w:hAnsi="Arial" w:cs="Arial"/>
          <w:sz w:val="24"/>
          <w:szCs w:val="24"/>
        </w:rPr>
        <w:t>la</w:t>
      </w:r>
      <w:r w:rsidR="001875CB" w:rsidRPr="00F514E8">
        <w:rPr>
          <w:rFonts w:ascii="Arial" w:hAnsi="Arial" w:cs="Arial"/>
          <w:sz w:val="24"/>
          <w:szCs w:val="24"/>
        </w:rPr>
        <w:t xml:space="preserve"> modificación </w:t>
      </w:r>
      <w:r w:rsidR="0097332B" w:rsidRPr="00F514E8">
        <w:rPr>
          <w:rFonts w:ascii="Arial" w:hAnsi="Arial" w:cs="Arial"/>
          <w:sz w:val="24"/>
          <w:szCs w:val="24"/>
        </w:rPr>
        <w:t>introducida</w:t>
      </w:r>
      <w:r w:rsidR="001875CB" w:rsidRPr="00F514E8">
        <w:rPr>
          <w:rFonts w:ascii="Arial" w:hAnsi="Arial" w:cs="Arial"/>
          <w:sz w:val="24"/>
          <w:szCs w:val="24"/>
        </w:rPr>
        <w:t xml:space="preserve"> </w:t>
      </w:r>
      <w:r w:rsidR="0097332B" w:rsidRPr="00F514E8">
        <w:rPr>
          <w:rFonts w:ascii="Arial" w:hAnsi="Arial" w:cs="Arial"/>
          <w:sz w:val="24"/>
          <w:szCs w:val="24"/>
        </w:rPr>
        <w:t>mediante</w:t>
      </w:r>
      <w:r w:rsidR="001875CB" w:rsidRPr="00F514E8">
        <w:rPr>
          <w:rFonts w:ascii="Arial" w:hAnsi="Arial" w:cs="Arial"/>
          <w:sz w:val="24"/>
          <w:szCs w:val="24"/>
        </w:rPr>
        <w:t xml:space="preserve"> la l</w:t>
      </w:r>
      <w:r w:rsidR="00C44EFC" w:rsidRPr="00F514E8">
        <w:rPr>
          <w:rFonts w:ascii="Arial" w:hAnsi="Arial" w:cs="Arial"/>
          <w:sz w:val="24"/>
          <w:szCs w:val="24"/>
        </w:rPr>
        <w:t>ey 1150 de 2007 excluyó</w:t>
      </w:r>
      <w:r w:rsidR="001875CB" w:rsidRPr="00F514E8">
        <w:rPr>
          <w:rFonts w:ascii="Arial" w:hAnsi="Arial" w:cs="Arial"/>
          <w:sz w:val="24"/>
          <w:szCs w:val="24"/>
        </w:rPr>
        <w:t xml:space="preserve"> la totalidad de</w:t>
      </w:r>
      <w:r w:rsidR="00C44EFC" w:rsidRPr="00F514E8">
        <w:rPr>
          <w:rFonts w:ascii="Arial" w:hAnsi="Arial" w:cs="Arial"/>
          <w:sz w:val="24"/>
          <w:szCs w:val="24"/>
        </w:rPr>
        <w:t xml:space="preserve"> los contratos celebrados por </w:t>
      </w:r>
      <w:r w:rsidR="004667E7" w:rsidRPr="00F514E8">
        <w:rPr>
          <w:rFonts w:ascii="Arial" w:hAnsi="Arial" w:cs="Arial"/>
          <w:sz w:val="24"/>
          <w:szCs w:val="24"/>
        </w:rPr>
        <w:t xml:space="preserve">esas </w:t>
      </w:r>
      <w:r w:rsidR="00C44EFC" w:rsidRPr="00F514E8">
        <w:rPr>
          <w:rFonts w:ascii="Arial" w:hAnsi="Arial" w:cs="Arial"/>
          <w:sz w:val="24"/>
          <w:szCs w:val="24"/>
        </w:rPr>
        <w:t>entidades, de tal manera que</w:t>
      </w:r>
      <w:r w:rsidR="003B0D29" w:rsidRPr="00F514E8">
        <w:rPr>
          <w:rFonts w:ascii="Arial" w:hAnsi="Arial" w:cs="Arial"/>
          <w:sz w:val="24"/>
          <w:szCs w:val="24"/>
        </w:rPr>
        <w:t xml:space="preserve"> </w:t>
      </w:r>
      <w:r w:rsidR="00C44EFC" w:rsidRPr="00F514E8">
        <w:rPr>
          <w:rFonts w:ascii="Arial" w:hAnsi="Arial" w:cs="Arial"/>
          <w:sz w:val="24"/>
          <w:szCs w:val="24"/>
        </w:rPr>
        <w:t xml:space="preserve">actualmente se encuentran por fuera del campo de aplicación del Estatuto General de Contratación de la Administración Pública </w:t>
      </w:r>
      <w:r w:rsidR="0098112F" w:rsidRPr="00F514E8">
        <w:rPr>
          <w:rFonts w:ascii="Arial" w:hAnsi="Arial" w:cs="Arial"/>
          <w:sz w:val="24"/>
          <w:szCs w:val="24"/>
        </w:rPr>
        <w:t>todos los contratos celebrados por los establecimientos de crédito, las compañías de seguros y las demás entidades financi</w:t>
      </w:r>
      <w:r w:rsidR="00E940CD" w:rsidRPr="00F514E8">
        <w:rPr>
          <w:rFonts w:ascii="Arial" w:hAnsi="Arial" w:cs="Arial"/>
          <w:sz w:val="24"/>
          <w:szCs w:val="24"/>
        </w:rPr>
        <w:t>eras estatales con particulares. Esta regla se extiende,</w:t>
      </w:r>
      <w:r w:rsidR="0098112F" w:rsidRPr="00F514E8">
        <w:rPr>
          <w:rFonts w:ascii="Arial" w:hAnsi="Arial" w:cs="Arial"/>
          <w:sz w:val="24"/>
          <w:szCs w:val="24"/>
        </w:rPr>
        <w:t xml:space="preserve"> incluso</w:t>
      </w:r>
      <w:r w:rsidR="00E940CD" w:rsidRPr="00F514E8">
        <w:rPr>
          <w:rFonts w:ascii="Arial" w:hAnsi="Arial" w:cs="Arial"/>
          <w:sz w:val="24"/>
          <w:szCs w:val="24"/>
        </w:rPr>
        <w:t>, a</w:t>
      </w:r>
      <w:r w:rsidR="0098112F" w:rsidRPr="00F514E8">
        <w:rPr>
          <w:rFonts w:ascii="Arial" w:hAnsi="Arial" w:cs="Arial"/>
          <w:sz w:val="24"/>
          <w:szCs w:val="24"/>
        </w:rPr>
        <w:t xml:space="preserve"> aquellos </w:t>
      </w:r>
      <w:r w:rsidR="00E940CD" w:rsidRPr="00F514E8">
        <w:rPr>
          <w:rFonts w:ascii="Arial" w:hAnsi="Arial" w:cs="Arial"/>
          <w:sz w:val="24"/>
          <w:szCs w:val="24"/>
        </w:rPr>
        <w:t>contratos que eventualmente</w:t>
      </w:r>
      <w:r w:rsidR="0098112F" w:rsidRPr="00F514E8">
        <w:rPr>
          <w:rFonts w:ascii="Arial" w:hAnsi="Arial" w:cs="Arial"/>
          <w:sz w:val="24"/>
          <w:szCs w:val="24"/>
        </w:rPr>
        <w:t xml:space="preserve"> no formen parte del giro ordinario de las actividades propias de su objeto.   </w:t>
      </w:r>
      <w:r w:rsidR="002560DE" w:rsidRPr="00F514E8">
        <w:rPr>
          <w:rFonts w:ascii="Arial" w:hAnsi="Arial" w:cs="Arial"/>
          <w:sz w:val="24"/>
          <w:szCs w:val="24"/>
        </w:rPr>
        <w:t xml:space="preserve">    </w:t>
      </w:r>
    </w:p>
    <w:p w14:paraId="309C948B" w14:textId="77777777" w:rsidR="002560DE" w:rsidRPr="00F514E8" w:rsidRDefault="002560DE" w:rsidP="00725D19">
      <w:pPr>
        <w:tabs>
          <w:tab w:val="left" w:pos="709"/>
        </w:tabs>
        <w:spacing w:after="0" w:line="240" w:lineRule="auto"/>
        <w:jc w:val="both"/>
        <w:rPr>
          <w:rFonts w:ascii="Arial" w:hAnsi="Arial" w:cs="Arial"/>
          <w:sz w:val="24"/>
          <w:szCs w:val="24"/>
        </w:rPr>
      </w:pPr>
    </w:p>
    <w:p w14:paraId="01FB539E" w14:textId="77777777" w:rsidR="0098112F" w:rsidRPr="00F514E8" w:rsidRDefault="001875CB" w:rsidP="00725D19">
      <w:pPr>
        <w:tabs>
          <w:tab w:val="left" w:pos="709"/>
        </w:tabs>
        <w:spacing w:after="0" w:line="240" w:lineRule="auto"/>
        <w:jc w:val="both"/>
        <w:rPr>
          <w:rFonts w:ascii="Arial" w:hAnsi="Arial" w:cs="Arial"/>
          <w:sz w:val="24"/>
          <w:szCs w:val="24"/>
        </w:rPr>
      </w:pPr>
      <w:r w:rsidRPr="00F514E8">
        <w:rPr>
          <w:rFonts w:ascii="Arial" w:hAnsi="Arial" w:cs="Arial"/>
          <w:sz w:val="24"/>
          <w:szCs w:val="24"/>
        </w:rPr>
        <w:t>No obstante</w:t>
      </w:r>
      <w:r w:rsidR="0098112F" w:rsidRPr="00F514E8">
        <w:rPr>
          <w:rFonts w:ascii="Arial" w:hAnsi="Arial" w:cs="Arial"/>
          <w:sz w:val="24"/>
          <w:szCs w:val="24"/>
        </w:rPr>
        <w:t xml:space="preserve">, </w:t>
      </w:r>
      <w:r w:rsidR="00CE2461" w:rsidRPr="00F514E8">
        <w:rPr>
          <w:rFonts w:ascii="Arial" w:hAnsi="Arial" w:cs="Arial"/>
          <w:sz w:val="24"/>
          <w:szCs w:val="24"/>
        </w:rPr>
        <w:t xml:space="preserve">dichas </w:t>
      </w:r>
      <w:r w:rsidR="0098112F" w:rsidRPr="00F514E8">
        <w:rPr>
          <w:rFonts w:ascii="Arial" w:hAnsi="Arial" w:cs="Arial"/>
          <w:sz w:val="24"/>
          <w:szCs w:val="24"/>
        </w:rPr>
        <w:t xml:space="preserve">entidades y contratos </w:t>
      </w:r>
      <w:r w:rsidR="00CE2461" w:rsidRPr="00F514E8">
        <w:rPr>
          <w:rFonts w:ascii="Arial" w:hAnsi="Arial" w:cs="Arial"/>
          <w:sz w:val="24"/>
          <w:szCs w:val="24"/>
        </w:rPr>
        <w:t>permanecen sujetos a</w:t>
      </w:r>
      <w:r w:rsidR="0098112F" w:rsidRPr="00F514E8">
        <w:rPr>
          <w:rFonts w:ascii="Arial" w:hAnsi="Arial" w:cs="Arial"/>
          <w:sz w:val="24"/>
          <w:szCs w:val="24"/>
        </w:rPr>
        <w:t xml:space="preserve"> lo </w:t>
      </w:r>
      <w:r w:rsidR="008D7F6B" w:rsidRPr="00F514E8">
        <w:rPr>
          <w:rFonts w:ascii="Arial" w:hAnsi="Arial" w:cs="Arial"/>
          <w:sz w:val="24"/>
          <w:szCs w:val="24"/>
        </w:rPr>
        <w:t xml:space="preserve">establecido </w:t>
      </w:r>
      <w:r w:rsidR="00CE2461" w:rsidRPr="00F514E8">
        <w:rPr>
          <w:rFonts w:ascii="Arial" w:hAnsi="Arial" w:cs="Arial"/>
          <w:sz w:val="24"/>
          <w:szCs w:val="24"/>
        </w:rPr>
        <w:t>en el artículo 13 de la l</w:t>
      </w:r>
      <w:r w:rsidR="0098112F" w:rsidRPr="00F514E8">
        <w:rPr>
          <w:rFonts w:ascii="Arial" w:hAnsi="Arial" w:cs="Arial"/>
          <w:sz w:val="24"/>
          <w:szCs w:val="24"/>
        </w:rPr>
        <w:t xml:space="preserve">ey 1150 de 2007, que </w:t>
      </w:r>
      <w:r w:rsidR="00F77EE1" w:rsidRPr="00F514E8">
        <w:rPr>
          <w:rFonts w:ascii="Arial" w:hAnsi="Arial" w:cs="Arial"/>
          <w:sz w:val="24"/>
          <w:szCs w:val="24"/>
        </w:rPr>
        <w:t xml:space="preserve">señala: </w:t>
      </w:r>
    </w:p>
    <w:p w14:paraId="21C393F1" w14:textId="77777777" w:rsidR="00F77EE1" w:rsidRPr="00F514E8" w:rsidRDefault="00F77EE1" w:rsidP="00725D19">
      <w:pPr>
        <w:tabs>
          <w:tab w:val="left" w:pos="709"/>
        </w:tabs>
        <w:spacing w:after="0" w:line="240" w:lineRule="auto"/>
        <w:jc w:val="both"/>
        <w:rPr>
          <w:rFonts w:ascii="Arial" w:hAnsi="Arial" w:cs="Arial"/>
          <w:sz w:val="24"/>
          <w:szCs w:val="24"/>
        </w:rPr>
      </w:pPr>
    </w:p>
    <w:p w14:paraId="670F393A" w14:textId="77777777" w:rsidR="002560DE" w:rsidRPr="00F514E8" w:rsidRDefault="0098112F" w:rsidP="00725D19">
      <w:pPr>
        <w:tabs>
          <w:tab w:val="left" w:pos="709"/>
        </w:tabs>
        <w:spacing w:after="0" w:line="240" w:lineRule="auto"/>
        <w:ind w:left="426"/>
        <w:jc w:val="both"/>
        <w:rPr>
          <w:rFonts w:ascii="Arial" w:hAnsi="Arial" w:cs="Arial"/>
        </w:rPr>
      </w:pPr>
      <w:r w:rsidRPr="00F514E8">
        <w:rPr>
          <w:rFonts w:ascii="Arial" w:hAnsi="Arial" w:cs="Arial"/>
        </w:rPr>
        <w:t>“</w:t>
      </w:r>
      <w:r w:rsidRPr="00F514E8">
        <w:rPr>
          <w:rFonts w:ascii="Arial" w:hAnsi="Arial" w:cs="Arial"/>
          <w:i/>
        </w:rPr>
        <w:t>Artículo 13.- Principios generales de la actividad contractual para entidades no sometidas al Estatuto General de Contratación de la Administración Pública.</w:t>
      </w:r>
      <w:r w:rsidRPr="00F514E8">
        <w:rPr>
          <w:rFonts w:ascii="Arial" w:hAnsi="Arial" w:cs="Arial"/>
          <w:b/>
          <w:i/>
        </w:rPr>
        <w:t xml:space="preserve"> </w:t>
      </w:r>
      <w:r w:rsidRPr="00F514E8">
        <w:rPr>
          <w:rFonts w:ascii="Arial" w:hAnsi="Arial" w:cs="Arial"/>
          <w:i/>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F514E8">
        <w:rPr>
          <w:rFonts w:ascii="Arial" w:hAnsi="Arial" w:cs="Arial"/>
        </w:rPr>
        <w:t>.</w:t>
      </w:r>
    </w:p>
    <w:p w14:paraId="4E134B26" w14:textId="77777777" w:rsidR="0098112F" w:rsidRPr="00F514E8" w:rsidRDefault="0098112F" w:rsidP="00725D19">
      <w:pPr>
        <w:tabs>
          <w:tab w:val="left" w:pos="709"/>
        </w:tabs>
        <w:spacing w:after="0" w:line="240" w:lineRule="auto"/>
        <w:jc w:val="both"/>
        <w:rPr>
          <w:rFonts w:ascii="Arial" w:hAnsi="Arial" w:cs="Arial"/>
          <w:sz w:val="24"/>
          <w:szCs w:val="24"/>
        </w:rPr>
      </w:pPr>
    </w:p>
    <w:p w14:paraId="5536CBEB" w14:textId="77777777" w:rsidR="0016489C" w:rsidRPr="00F514E8" w:rsidRDefault="0098112F" w:rsidP="00725D19">
      <w:pPr>
        <w:tabs>
          <w:tab w:val="left" w:pos="709"/>
        </w:tabs>
        <w:spacing w:after="0" w:line="240" w:lineRule="auto"/>
        <w:jc w:val="both"/>
        <w:rPr>
          <w:rFonts w:ascii="Arial" w:hAnsi="Arial" w:cs="Arial"/>
          <w:sz w:val="24"/>
          <w:szCs w:val="24"/>
        </w:rPr>
      </w:pPr>
      <w:r w:rsidRPr="00F514E8">
        <w:rPr>
          <w:rFonts w:ascii="Arial" w:hAnsi="Arial" w:cs="Arial"/>
          <w:sz w:val="24"/>
          <w:szCs w:val="24"/>
        </w:rPr>
        <w:t xml:space="preserve">En </w:t>
      </w:r>
      <w:r w:rsidR="00CE2461" w:rsidRPr="00F514E8">
        <w:rPr>
          <w:rFonts w:ascii="Arial" w:hAnsi="Arial" w:cs="Arial"/>
          <w:sz w:val="24"/>
          <w:szCs w:val="24"/>
        </w:rPr>
        <w:t xml:space="preserve">consecuencia, aunque a </w:t>
      </w:r>
      <w:r w:rsidRPr="00F514E8">
        <w:rPr>
          <w:rFonts w:ascii="Arial" w:hAnsi="Arial" w:cs="Arial"/>
          <w:sz w:val="24"/>
          <w:szCs w:val="24"/>
        </w:rPr>
        <w:t>los contratos que celebren las entidades financieras públicas con particulares</w:t>
      </w:r>
      <w:r w:rsidR="00CE2461" w:rsidRPr="00F514E8">
        <w:rPr>
          <w:rFonts w:ascii="Arial" w:hAnsi="Arial" w:cs="Arial"/>
          <w:sz w:val="24"/>
          <w:szCs w:val="24"/>
        </w:rPr>
        <w:t xml:space="preserve"> no se </w:t>
      </w:r>
      <w:r w:rsidR="00855387" w:rsidRPr="00F514E8">
        <w:rPr>
          <w:rFonts w:ascii="Arial" w:hAnsi="Arial" w:cs="Arial"/>
          <w:sz w:val="24"/>
          <w:szCs w:val="24"/>
        </w:rPr>
        <w:t xml:space="preserve">les </w:t>
      </w:r>
      <w:r w:rsidR="00CE2461" w:rsidRPr="00F514E8">
        <w:rPr>
          <w:rFonts w:ascii="Arial" w:hAnsi="Arial" w:cs="Arial"/>
          <w:sz w:val="24"/>
          <w:szCs w:val="24"/>
        </w:rPr>
        <w:t>aplica la l</w:t>
      </w:r>
      <w:r w:rsidRPr="00F514E8">
        <w:rPr>
          <w:rFonts w:ascii="Arial" w:hAnsi="Arial" w:cs="Arial"/>
          <w:sz w:val="24"/>
          <w:szCs w:val="24"/>
        </w:rPr>
        <w:t xml:space="preserve">ey 80, </w:t>
      </w:r>
      <w:r w:rsidR="0097332B" w:rsidRPr="00F514E8">
        <w:rPr>
          <w:rFonts w:ascii="Arial" w:hAnsi="Arial" w:cs="Arial"/>
          <w:sz w:val="24"/>
          <w:szCs w:val="24"/>
        </w:rPr>
        <w:t xml:space="preserve">estas </w:t>
      </w:r>
      <w:r w:rsidR="00CE2461" w:rsidRPr="00F514E8">
        <w:rPr>
          <w:rFonts w:ascii="Arial" w:hAnsi="Arial" w:cs="Arial"/>
          <w:sz w:val="24"/>
          <w:szCs w:val="24"/>
        </w:rPr>
        <w:t>debe</w:t>
      </w:r>
      <w:r w:rsidR="0097332B" w:rsidRPr="00F514E8">
        <w:rPr>
          <w:rFonts w:ascii="Arial" w:hAnsi="Arial" w:cs="Arial"/>
          <w:sz w:val="24"/>
          <w:szCs w:val="24"/>
        </w:rPr>
        <w:t>rá</w:t>
      </w:r>
      <w:r w:rsidR="00CE2461" w:rsidRPr="00F514E8">
        <w:rPr>
          <w:rFonts w:ascii="Arial" w:hAnsi="Arial" w:cs="Arial"/>
          <w:sz w:val="24"/>
          <w:szCs w:val="24"/>
        </w:rPr>
        <w:t>n</w:t>
      </w:r>
      <w:r w:rsidRPr="00F514E8">
        <w:rPr>
          <w:rFonts w:ascii="Arial" w:hAnsi="Arial" w:cs="Arial"/>
          <w:sz w:val="24"/>
          <w:szCs w:val="24"/>
        </w:rPr>
        <w:t xml:space="preserve"> respet</w:t>
      </w:r>
      <w:r w:rsidR="00CE2461" w:rsidRPr="00F514E8">
        <w:rPr>
          <w:rFonts w:ascii="Arial" w:hAnsi="Arial" w:cs="Arial"/>
          <w:sz w:val="24"/>
          <w:szCs w:val="24"/>
        </w:rPr>
        <w:t>ar</w:t>
      </w:r>
      <w:r w:rsidR="00F77EE1" w:rsidRPr="00F514E8">
        <w:rPr>
          <w:rFonts w:ascii="Arial" w:hAnsi="Arial" w:cs="Arial"/>
          <w:sz w:val="24"/>
          <w:szCs w:val="24"/>
        </w:rPr>
        <w:t xml:space="preserve"> y apli</w:t>
      </w:r>
      <w:r w:rsidR="00CE2461" w:rsidRPr="00F514E8">
        <w:rPr>
          <w:rFonts w:ascii="Arial" w:hAnsi="Arial" w:cs="Arial"/>
          <w:sz w:val="24"/>
          <w:szCs w:val="24"/>
        </w:rPr>
        <w:t xml:space="preserve">car en su actividad contractual: i) </w:t>
      </w:r>
      <w:r w:rsidRPr="00F514E8">
        <w:rPr>
          <w:rFonts w:ascii="Arial" w:hAnsi="Arial" w:cs="Arial"/>
          <w:sz w:val="24"/>
          <w:szCs w:val="24"/>
        </w:rPr>
        <w:t xml:space="preserve">los principios </w:t>
      </w:r>
      <w:r w:rsidR="00F77EE1" w:rsidRPr="00F514E8">
        <w:rPr>
          <w:rFonts w:ascii="Arial" w:hAnsi="Arial" w:cs="Arial"/>
          <w:sz w:val="24"/>
          <w:szCs w:val="24"/>
        </w:rPr>
        <w:t xml:space="preserve">de </w:t>
      </w:r>
      <w:r w:rsidRPr="00F514E8">
        <w:rPr>
          <w:rFonts w:ascii="Arial" w:hAnsi="Arial" w:cs="Arial"/>
          <w:sz w:val="24"/>
          <w:szCs w:val="24"/>
        </w:rPr>
        <w:t xml:space="preserve">la función administrativa previstos en el artículo 209 de la Constitución Política, </w:t>
      </w:r>
      <w:r w:rsidR="00CE2461" w:rsidRPr="00F514E8">
        <w:rPr>
          <w:rFonts w:ascii="Arial" w:hAnsi="Arial" w:cs="Arial"/>
          <w:sz w:val="24"/>
          <w:szCs w:val="24"/>
        </w:rPr>
        <w:t xml:space="preserve">ii) </w:t>
      </w:r>
      <w:r w:rsidRPr="00F514E8">
        <w:rPr>
          <w:rFonts w:ascii="Arial" w:hAnsi="Arial" w:cs="Arial"/>
          <w:sz w:val="24"/>
          <w:szCs w:val="24"/>
        </w:rPr>
        <w:t xml:space="preserve">los principios de la gestión fiscal consagrados en el artículo 267 de la Carta, </w:t>
      </w:r>
      <w:r w:rsidR="00F77EE1" w:rsidRPr="00F514E8">
        <w:rPr>
          <w:rFonts w:ascii="Arial" w:hAnsi="Arial" w:cs="Arial"/>
          <w:sz w:val="24"/>
          <w:szCs w:val="24"/>
        </w:rPr>
        <w:t xml:space="preserve">cuando </w:t>
      </w:r>
      <w:r w:rsidRPr="00F514E8">
        <w:rPr>
          <w:rFonts w:ascii="Arial" w:hAnsi="Arial" w:cs="Arial"/>
          <w:sz w:val="24"/>
          <w:szCs w:val="24"/>
        </w:rPr>
        <w:t xml:space="preserve">realicen actividades que impliquen gestión fiscal, y </w:t>
      </w:r>
      <w:r w:rsidR="00CE2461" w:rsidRPr="00F514E8">
        <w:rPr>
          <w:rFonts w:ascii="Arial" w:hAnsi="Arial" w:cs="Arial"/>
          <w:sz w:val="24"/>
          <w:szCs w:val="24"/>
        </w:rPr>
        <w:t xml:space="preserve">iii) </w:t>
      </w:r>
      <w:r w:rsidRPr="00F514E8">
        <w:rPr>
          <w:rFonts w:ascii="Arial" w:hAnsi="Arial" w:cs="Arial"/>
          <w:sz w:val="24"/>
          <w:szCs w:val="24"/>
        </w:rPr>
        <w:t>el régimen de inhabilidades e incompatibilidades establecido en el Estatuto General de Contratación de la Administración Pública</w:t>
      </w:r>
      <w:r w:rsidR="00013B20" w:rsidRPr="00F514E8">
        <w:rPr>
          <w:rFonts w:ascii="Arial" w:hAnsi="Arial" w:cs="Arial"/>
          <w:sz w:val="24"/>
          <w:szCs w:val="24"/>
        </w:rPr>
        <w:t xml:space="preserve"> </w:t>
      </w:r>
      <w:r w:rsidRPr="00F514E8">
        <w:rPr>
          <w:rStyle w:val="Refdenotaalpie"/>
          <w:rFonts w:ascii="Arial" w:hAnsi="Arial" w:cs="Arial"/>
          <w:sz w:val="24"/>
          <w:szCs w:val="24"/>
        </w:rPr>
        <w:footnoteReference w:id="22"/>
      </w:r>
      <w:r w:rsidRPr="00F514E8">
        <w:rPr>
          <w:rFonts w:ascii="Arial" w:hAnsi="Arial" w:cs="Arial"/>
          <w:sz w:val="24"/>
          <w:szCs w:val="24"/>
        </w:rPr>
        <w:t xml:space="preserve">. </w:t>
      </w:r>
    </w:p>
    <w:p w14:paraId="3239CB6A" w14:textId="77777777" w:rsidR="0016489C" w:rsidRPr="00F514E8" w:rsidRDefault="0016489C" w:rsidP="00725D19">
      <w:pPr>
        <w:tabs>
          <w:tab w:val="left" w:pos="709"/>
        </w:tabs>
        <w:spacing w:after="0" w:line="240" w:lineRule="auto"/>
        <w:jc w:val="both"/>
        <w:rPr>
          <w:rFonts w:ascii="Arial" w:hAnsi="Arial" w:cs="Arial"/>
          <w:sz w:val="24"/>
          <w:szCs w:val="24"/>
        </w:rPr>
      </w:pPr>
    </w:p>
    <w:p w14:paraId="6E3D8190" w14:textId="77777777" w:rsidR="0016489C" w:rsidRPr="00F514E8" w:rsidRDefault="0016489C" w:rsidP="0016489C">
      <w:pPr>
        <w:tabs>
          <w:tab w:val="left" w:pos="709"/>
        </w:tabs>
        <w:spacing w:after="0" w:line="240" w:lineRule="auto"/>
        <w:jc w:val="both"/>
        <w:rPr>
          <w:rFonts w:ascii="Arial" w:hAnsi="Arial" w:cs="Arial"/>
          <w:sz w:val="24"/>
          <w:szCs w:val="24"/>
        </w:rPr>
      </w:pPr>
      <w:r w:rsidRPr="00F514E8">
        <w:rPr>
          <w:rFonts w:ascii="Arial" w:hAnsi="Arial" w:cs="Arial"/>
          <w:sz w:val="24"/>
          <w:szCs w:val="24"/>
        </w:rPr>
        <w:t xml:space="preserve">Finalmente, </w:t>
      </w:r>
      <w:r w:rsidR="00697AEA" w:rsidRPr="00F514E8">
        <w:rPr>
          <w:rFonts w:ascii="Arial" w:hAnsi="Arial" w:cs="Arial"/>
          <w:sz w:val="24"/>
          <w:szCs w:val="24"/>
        </w:rPr>
        <w:t>conviene</w:t>
      </w:r>
      <w:r w:rsidRPr="00F514E8">
        <w:rPr>
          <w:rFonts w:ascii="Arial" w:hAnsi="Arial" w:cs="Arial"/>
          <w:sz w:val="24"/>
          <w:szCs w:val="24"/>
        </w:rPr>
        <w:t xml:space="preserve"> señalar que en esta clase de contratos no resulta jurídicamente viable pactar cláusulas exorbitantes o excepcionales, pues éstas, como su nombre lo indica, son ajenas al derecho común o privado, en </w:t>
      </w:r>
      <w:r w:rsidR="0088150E" w:rsidRPr="00F514E8">
        <w:rPr>
          <w:rFonts w:ascii="Arial" w:hAnsi="Arial" w:cs="Arial"/>
          <w:sz w:val="24"/>
          <w:szCs w:val="24"/>
        </w:rPr>
        <w:t xml:space="preserve">el que </w:t>
      </w:r>
      <w:r w:rsidRPr="00F514E8">
        <w:rPr>
          <w:rFonts w:ascii="Arial" w:hAnsi="Arial" w:cs="Arial"/>
          <w:sz w:val="24"/>
          <w:szCs w:val="24"/>
        </w:rPr>
        <w:t xml:space="preserve">las partes contratantes se presumen jurídicamente colocadas en condiciones de igualdad. </w:t>
      </w:r>
    </w:p>
    <w:p w14:paraId="48A06C45" w14:textId="77777777" w:rsidR="0016489C" w:rsidRPr="00F514E8" w:rsidRDefault="0016489C" w:rsidP="0016489C">
      <w:pPr>
        <w:tabs>
          <w:tab w:val="left" w:pos="709"/>
        </w:tabs>
        <w:spacing w:after="0" w:line="240" w:lineRule="auto"/>
        <w:jc w:val="both"/>
        <w:rPr>
          <w:rFonts w:ascii="Arial" w:hAnsi="Arial" w:cs="Arial"/>
          <w:sz w:val="24"/>
          <w:szCs w:val="24"/>
        </w:rPr>
      </w:pPr>
    </w:p>
    <w:p w14:paraId="4D666FC1" w14:textId="77777777" w:rsidR="0016489C" w:rsidRPr="00F514E8" w:rsidRDefault="0016489C" w:rsidP="0016489C">
      <w:pPr>
        <w:tabs>
          <w:tab w:val="left" w:pos="709"/>
        </w:tabs>
        <w:spacing w:after="0" w:line="240" w:lineRule="auto"/>
        <w:jc w:val="both"/>
        <w:rPr>
          <w:rFonts w:ascii="Arial" w:hAnsi="Arial" w:cs="Arial"/>
          <w:sz w:val="24"/>
          <w:szCs w:val="24"/>
        </w:rPr>
      </w:pPr>
      <w:r w:rsidRPr="00F514E8">
        <w:rPr>
          <w:rFonts w:ascii="Arial" w:hAnsi="Arial" w:cs="Arial"/>
          <w:sz w:val="24"/>
          <w:szCs w:val="24"/>
        </w:rPr>
        <w:t xml:space="preserve">Nada impide, sin embargo, que conforme al principio de la autonomía de la voluntad y a las </w:t>
      </w:r>
      <w:r w:rsidR="00697AEA" w:rsidRPr="00F514E8">
        <w:rPr>
          <w:rFonts w:ascii="Arial" w:hAnsi="Arial" w:cs="Arial"/>
          <w:sz w:val="24"/>
          <w:szCs w:val="24"/>
        </w:rPr>
        <w:t>reglas</w:t>
      </w:r>
      <w:r w:rsidRPr="00F514E8">
        <w:rPr>
          <w:rFonts w:ascii="Arial" w:hAnsi="Arial" w:cs="Arial"/>
          <w:sz w:val="24"/>
          <w:szCs w:val="24"/>
        </w:rPr>
        <w:t xml:space="preserve"> del derecho privado, las partes en este tipo de contratos puedan estipular válidamente algunas cláusulas que, sin ser “exorbitantes”, produzcan efectos prácticos similares como, por ejemplo, las cláusulas penales </w:t>
      </w:r>
      <w:proofErr w:type="gramStart"/>
      <w:r w:rsidRPr="00F514E8">
        <w:rPr>
          <w:rFonts w:ascii="Arial" w:hAnsi="Arial" w:cs="Arial"/>
          <w:sz w:val="24"/>
          <w:szCs w:val="24"/>
        </w:rPr>
        <w:t>y  las</w:t>
      </w:r>
      <w:proofErr w:type="gramEnd"/>
      <w:r w:rsidRPr="00F514E8">
        <w:rPr>
          <w:rFonts w:ascii="Arial" w:hAnsi="Arial" w:cs="Arial"/>
          <w:sz w:val="24"/>
          <w:szCs w:val="24"/>
        </w:rPr>
        <w:t xml:space="preserve"> cláusulas de terminación anticipada del contrato, entre otras.   </w:t>
      </w:r>
    </w:p>
    <w:p w14:paraId="6DDA0D09" w14:textId="77777777" w:rsidR="0098112F" w:rsidRPr="00F514E8" w:rsidRDefault="0098112F" w:rsidP="00725D19">
      <w:pPr>
        <w:tabs>
          <w:tab w:val="left" w:pos="709"/>
        </w:tabs>
        <w:spacing w:after="0" w:line="240" w:lineRule="auto"/>
        <w:jc w:val="both"/>
        <w:rPr>
          <w:rFonts w:ascii="Arial" w:hAnsi="Arial" w:cs="Arial"/>
          <w:sz w:val="24"/>
          <w:szCs w:val="24"/>
        </w:rPr>
      </w:pPr>
    </w:p>
    <w:p w14:paraId="61330EE0" w14:textId="77777777" w:rsidR="0098112F" w:rsidRPr="00F514E8" w:rsidRDefault="0098112F" w:rsidP="00725D19">
      <w:pPr>
        <w:tabs>
          <w:tab w:val="left" w:pos="709"/>
        </w:tabs>
        <w:spacing w:after="0" w:line="240" w:lineRule="auto"/>
        <w:jc w:val="both"/>
        <w:rPr>
          <w:rFonts w:ascii="Arial" w:hAnsi="Arial" w:cs="Arial"/>
          <w:sz w:val="24"/>
          <w:szCs w:val="24"/>
        </w:rPr>
      </w:pPr>
    </w:p>
    <w:p w14:paraId="7ECE83E8" w14:textId="77777777" w:rsidR="002560DE" w:rsidRPr="00F514E8" w:rsidRDefault="00604403" w:rsidP="00604403">
      <w:pPr>
        <w:tabs>
          <w:tab w:val="left" w:pos="709"/>
        </w:tabs>
        <w:spacing w:after="0" w:line="240" w:lineRule="auto"/>
        <w:jc w:val="both"/>
        <w:rPr>
          <w:rFonts w:ascii="Arial" w:hAnsi="Arial" w:cs="Arial"/>
          <w:b/>
          <w:i/>
          <w:sz w:val="24"/>
          <w:szCs w:val="24"/>
        </w:rPr>
      </w:pPr>
      <w:r w:rsidRPr="00F514E8">
        <w:rPr>
          <w:rFonts w:ascii="Arial" w:hAnsi="Arial" w:cs="Arial"/>
          <w:b/>
          <w:i/>
          <w:sz w:val="24"/>
          <w:szCs w:val="24"/>
        </w:rPr>
        <w:t xml:space="preserve">b. </w:t>
      </w:r>
      <w:r w:rsidR="002560DE" w:rsidRPr="00F514E8">
        <w:rPr>
          <w:rFonts w:ascii="Arial" w:hAnsi="Arial" w:cs="Arial"/>
          <w:b/>
          <w:i/>
          <w:sz w:val="24"/>
          <w:szCs w:val="24"/>
        </w:rPr>
        <w:t xml:space="preserve">Los contratos celebrados por FONADE con entidades públicas excluidas de la </w:t>
      </w:r>
      <w:r w:rsidRPr="00F514E8">
        <w:rPr>
          <w:rFonts w:ascii="Arial" w:hAnsi="Arial" w:cs="Arial"/>
          <w:b/>
          <w:i/>
          <w:sz w:val="24"/>
          <w:szCs w:val="24"/>
        </w:rPr>
        <w:t>aplicación de la ley 80 de 1993</w:t>
      </w:r>
      <w:r w:rsidR="002560DE" w:rsidRPr="00F514E8">
        <w:rPr>
          <w:rFonts w:ascii="Arial" w:hAnsi="Arial" w:cs="Arial"/>
          <w:b/>
          <w:i/>
          <w:sz w:val="24"/>
          <w:szCs w:val="24"/>
        </w:rPr>
        <w:t xml:space="preserve"> </w:t>
      </w:r>
    </w:p>
    <w:p w14:paraId="53A767FF" w14:textId="77777777" w:rsidR="001219C1" w:rsidRPr="00F514E8" w:rsidRDefault="001219C1" w:rsidP="00725D19">
      <w:pPr>
        <w:tabs>
          <w:tab w:val="left" w:pos="709"/>
        </w:tabs>
        <w:spacing w:after="0" w:line="240" w:lineRule="auto"/>
        <w:jc w:val="both"/>
        <w:rPr>
          <w:rFonts w:ascii="Arial" w:hAnsi="Arial" w:cs="Arial"/>
          <w:sz w:val="24"/>
          <w:szCs w:val="24"/>
        </w:rPr>
      </w:pPr>
    </w:p>
    <w:p w14:paraId="584D8045" w14:textId="77777777" w:rsidR="00902829" w:rsidRPr="00F514E8" w:rsidRDefault="001219C1" w:rsidP="00725D19">
      <w:pPr>
        <w:tabs>
          <w:tab w:val="left" w:pos="709"/>
        </w:tabs>
        <w:spacing w:after="0" w:line="240" w:lineRule="auto"/>
        <w:jc w:val="both"/>
        <w:rPr>
          <w:rFonts w:ascii="Arial" w:hAnsi="Arial" w:cs="Arial"/>
          <w:sz w:val="24"/>
          <w:szCs w:val="24"/>
        </w:rPr>
      </w:pPr>
      <w:r w:rsidRPr="00F514E8">
        <w:rPr>
          <w:rFonts w:ascii="Arial" w:hAnsi="Arial" w:cs="Arial"/>
          <w:sz w:val="24"/>
          <w:szCs w:val="24"/>
        </w:rPr>
        <w:t xml:space="preserve">Los contratos celebrados por FONADE con otras entidades que, a pesar de ser públicas, </w:t>
      </w:r>
      <w:r w:rsidR="003B0D29" w:rsidRPr="00F514E8">
        <w:rPr>
          <w:rFonts w:ascii="Arial" w:hAnsi="Arial" w:cs="Arial"/>
          <w:sz w:val="24"/>
          <w:szCs w:val="24"/>
        </w:rPr>
        <w:t xml:space="preserve">también </w:t>
      </w:r>
      <w:r w:rsidR="00902829" w:rsidRPr="00F514E8">
        <w:rPr>
          <w:rFonts w:ascii="Arial" w:hAnsi="Arial" w:cs="Arial"/>
          <w:sz w:val="24"/>
          <w:szCs w:val="24"/>
        </w:rPr>
        <w:t xml:space="preserve">están </w:t>
      </w:r>
      <w:r w:rsidRPr="00F514E8">
        <w:rPr>
          <w:rFonts w:ascii="Arial" w:hAnsi="Arial" w:cs="Arial"/>
          <w:sz w:val="24"/>
          <w:szCs w:val="24"/>
        </w:rPr>
        <w:t>exc</w:t>
      </w:r>
      <w:r w:rsidR="00902829" w:rsidRPr="00F514E8">
        <w:rPr>
          <w:rFonts w:ascii="Arial" w:hAnsi="Arial" w:cs="Arial"/>
          <w:sz w:val="24"/>
          <w:szCs w:val="24"/>
        </w:rPr>
        <w:t xml:space="preserve">luidas </w:t>
      </w:r>
      <w:r w:rsidR="003B0D29" w:rsidRPr="00F514E8">
        <w:rPr>
          <w:rFonts w:ascii="Arial" w:hAnsi="Arial" w:cs="Arial"/>
          <w:sz w:val="24"/>
          <w:szCs w:val="24"/>
        </w:rPr>
        <w:t xml:space="preserve">expresamente </w:t>
      </w:r>
      <w:r w:rsidRPr="00F514E8">
        <w:rPr>
          <w:rFonts w:ascii="Arial" w:hAnsi="Arial" w:cs="Arial"/>
          <w:sz w:val="24"/>
          <w:szCs w:val="24"/>
        </w:rPr>
        <w:t xml:space="preserve">del Estatuto General de </w:t>
      </w:r>
      <w:r w:rsidRPr="00F514E8">
        <w:rPr>
          <w:rFonts w:ascii="Arial" w:hAnsi="Arial" w:cs="Arial"/>
          <w:sz w:val="24"/>
          <w:szCs w:val="24"/>
        </w:rPr>
        <w:lastRenderedPageBreak/>
        <w:t xml:space="preserve">Contratación de la Administración Pública, se encuentran </w:t>
      </w:r>
      <w:r w:rsidR="003B0D29" w:rsidRPr="00F514E8">
        <w:rPr>
          <w:rFonts w:ascii="Arial" w:hAnsi="Arial" w:cs="Arial"/>
          <w:sz w:val="24"/>
          <w:szCs w:val="24"/>
        </w:rPr>
        <w:t xml:space="preserve">exceptuados, así mismo, </w:t>
      </w:r>
      <w:r w:rsidRPr="00F514E8">
        <w:rPr>
          <w:rFonts w:ascii="Arial" w:hAnsi="Arial" w:cs="Arial"/>
          <w:sz w:val="24"/>
          <w:szCs w:val="24"/>
        </w:rPr>
        <w:t xml:space="preserve">de dicho régimen, en </w:t>
      </w:r>
      <w:r w:rsidR="003B0D29" w:rsidRPr="00F514E8">
        <w:rPr>
          <w:rFonts w:ascii="Arial" w:hAnsi="Arial" w:cs="Arial"/>
          <w:sz w:val="24"/>
          <w:szCs w:val="24"/>
        </w:rPr>
        <w:t xml:space="preserve">iguales </w:t>
      </w:r>
      <w:r w:rsidRPr="00F514E8">
        <w:rPr>
          <w:rFonts w:ascii="Arial" w:hAnsi="Arial" w:cs="Arial"/>
          <w:sz w:val="24"/>
          <w:szCs w:val="24"/>
        </w:rPr>
        <w:t xml:space="preserve">condiciones </w:t>
      </w:r>
      <w:r w:rsidR="003B0D29" w:rsidRPr="00F514E8">
        <w:rPr>
          <w:rFonts w:ascii="Arial" w:hAnsi="Arial" w:cs="Arial"/>
          <w:sz w:val="24"/>
          <w:szCs w:val="24"/>
        </w:rPr>
        <w:t xml:space="preserve">a las </w:t>
      </w:r>
      <w:r w:rsidR="0097332B" w:rsidRPr="00F514E8">
        <w:rPr>
          <w:rFonts w:ascii="Arial" w:hAnsi="Arial" w:cs="Arial"/>
          <w:sz w:val="24"/>
          <w:szCs w:val="24"/>
        </w:rPr>
        <w:t>señaladas en el lit</w:t>
      </w:r>
      <w:r w:rsidRPr="00F514E8">
        <w:rPr>
          <w:rFonts w:ascii="Arial" w:hAnsi="Arial" w:cs="Arial"/>
          <w:sz w:val="24"/>
          <w:szCs w:val="24"/>
        </w:rPr>
        <w:t xml:space="preserve">eral precedente. </w:t>
      </w:r>
    </w:p>
    <w:p w14:paraId="303EC0B7" w14:textId="77777777" w:rsidR="00902829" w:rsidRPr="00F514E8" w:rsidRDefault="00902829" w:rsidP="00725D19">
      <w:pPr>
        <w:tabs>
          <w:tab w:val="left" w:pos="709"/>
        </w:tabs>
        <w:spacing w:after="0" w:line="240" w:lineRule="auto"/>
        <w:jc w:val="both"/>
        <w:rPr>
          <w:rFonts w:ascii="Arial" w:hAnsi="Arial" w:cs="Arial"/>
          <w:sz w:val="24"/>
          <w:szCs w:val="24"/>
        </w:rPr>
      </w:pPr>
    </w:p>
    <w:p w14:paraId="72740AAA" w14:textId="77777777" w:rsidR="00E0457C" w:rsidRPr="00F514E8" w:rsidRDefault="00902829" w:rsidP="00725D19">
      <w:pPr>
        <w:tabs>
          <w:tab w:val="left" w:pos="709"/>
        </w:tabs>
        <w:spacing w:after="0" w:line="240" w:lineRule="auto"/>
        <w:jc w:val="both"/>
        <w:rPr>
          <w:rFonts w:ascii="Arial" w:hAnsi="Arial" w:cs="Arial"/>
          <w:sz w:val="24"/>
          <w:szCs w:val="24"/>
        </w:rPr>
      </w:pPr>
      <w:r w:rsidRPr="00F514E8">
        <w:rPr>
          <w:rFonts w:ascii="Arial" w:hAnsi="Arial" w:cs="Arial"/>
          <w:sz w:val="24"/>
          <w:szCs w:val="24"/>
        </w:rPr>
        <w:t xml:space="preserve">Tal sería el caso, </w:t>
      </w:r>
      <w:r w:rsidR="00F77EE1" w:rsidRPr="00F514E8">
        <w:rPr>
          <w:rFonts w:ascii="Arial" w:hAnsi="Arial" w:cs="Arial"/>
          <w:sz w:val="24"/>
          <w:szCs w:val="24"/>
        </w:rPr>
        <w:t xml:space="preserve">por </w:t>
      </w:r>
      <w:r w:rsidRPr="00F514E8">
        <w:rPr>
          <w:rFonts w:ascii="Arial" w:hAnsi="Arial" w:cs="Arial"/>
          <w:sz w:val="24"/>
          <w:szCs w:val="24"/>
        </w:rPr>
        <w:t xml:space="preserve">ejemplo, de los contratos que celebre FONADE con otras instituciones financieras estatales o con empresas industriales y comerciales del Estado, sociedades de economía mixta con participación estatal superior al 50%, </w:t>
      </w:r>
      <w:r w:rsidR="00E0457C" w:rsidRPr="00F514E8">
        <w:rPr>
          <w:rFonts w:ascii="Arial" w:hAnsi="Arial" w:cs="Arial"/>
          <w:sz w:val="24"/>
          <w:szCs w:val="24"/>
        </w:rPr>
        <w:t>sus filiales</w:t>
      </w:r>
      <w:r w:rsidR="00F77EE1" w:rsidRPr="00F514E8">
        <w:rPr>
          <w:rFonts w:ascii="Arial" w:hAnsi="Arial" w:cs="Arial"/>
          <w:sz w:val="24"/>
          <w:szCs w:val="24"/>
        </w:rPr>
        <w:t>,</w:t>
      </w:r>
      <w:r w:rsidR="00E0457C" w:rsidRPr="00F514E8">
        <w:rPr>
          <w:rFonts w:ascii="Arial" w:hAnsi="Arial" w:cs="Arial"/>
          <w:sz w:val="24"/>
          <w:szCs w:val="24"/>
        </w:rPr>
        <w:t xml:space="preserve"> o </w:t>
      </w:r>
      <w:r w:rsidRPr="00F514E8">
        <w:rPr>
          <w:rFonts w:ascii="Arial" w:hAnsi="Arial" w:cs="Arial"/>
          <w:sz w:val="24"/>
          <w:szCs w:val="24"/>
        </w:rPr>
        <w:t>sociedades entre entidades públicas que desarrollen actividades comerciales en competencia con el sector privado y/o público, nacional o internacional, o en mercados regulados</w:t>
      </w:r>
      <w:r w:rsidRPr="00F514E8">
        <w:rPr>
          <w:rStyle w:val="Refdenotaalpie"/>
          <w:rFonts w:ascii="Arial" w:hAnsi="Arial" w:cs="Arial"/>
          <w:sz w:val="24"/>
          <w:szCs w:val="24"/>
        </w:rPr>
        <w:footnoteReference w:id="23"/>
      </w:r>
      <w:r w:rsidR="0097332B" w:rsidRPr="00F514E8">
        <w:rPr>
          <w:rFonts w:ascii="Arial" w:hAnsi="Arial" w:cs="Arial"/>
          <w:sz w:val="24"/>
          <w:szCs w:val="24"/>
        </w:rPr>
        <w:t xml:space="preserve">. Esta </w:t>
      </w:r>
      <w:r w:rsidR="00E0457C" w:rsidRPr="00F514E8">
        <w:rPr>
          <w:rFonts w:ascii="Arial" w:hAnsi="Arial" w:cs="Arial"/>
          <w:sz w:val="24"/>
          <w:szCs w:val="24"/>
        </w:rPr>
        <w:t>conclusión resulta obvia, pues</w:t>
      </w:r>
      <w:r w:rsidR="0097332B" w:rsidRPr="00F514E8">
        <w:rPr>
          <w:rFonts w:ascii="Arial" w:hAnsi="Arial" w:cs="Arial"/>
          <w:sz w:val="24"/>
          <w:szCs w:val="24"/>
        </w:rPr>
        <w:t xml:space="preserve"> </w:t>
      </w:r>
      <w:r w:rsidR="00E0457C" w:rsidRPr="00F514E8">
        <w:rPr>
          <w:rFonts w:ascii="Arial" w:hAnsi="Arial" w:cs="Arial"/>
          <w:sz w:val="24"/>
          <w:szCs w:val="24"/>
        </w:rPr>
        <w:t xml:space="preserve">si ninguna de las entidades que son parte en un contrato </w:t>
      </w:r>
      <w:r w:rsidR="0097332B" w:rsidRPr="00F514E8">
        <w:rPr>
          <w:rFonts w:ascii="Arial" w:hAnsi="Arial" w:cs="Arial"/>
          <w:sz w:val="24"/>
          <w:szCs w:val="24"/>
        </w:rPr>
        <w:t>está</w:t>
      </w:r>
      <w:r w:rsidR="002A6E0B" w:rsidRPr="00F514E8">
        <w:rPr>
          <w:rFonts w:ascii="Arial" w:hAnsi="Arial" w:cs="Arial"/>
          <w:sz w:val="24"/>
          <w:szCs w:val="24"/>
        </w:rPr>
        <w:t xml:space="preserve"> sometida a </w:t>
      </w:r>
      <w:r w:rsidR="00F77EE1" w:rsidRPr="00F514E8">
        <w:rPr>
          <w:rFonts w:ascii="Arial" w:hAnsi="Arial" w:cs="Arial"/>
          <w:sz w:val="24"/>
          <w:szCs w:val="24"/>
        </w:rPr>
        <w:t xml:space="preserve">la </w:t>
      </w:r>
      <w:r w:rsidR="0097332B" w:rsidRPr="00F514E8">
        <w:rPr>
          <w:rFonts w:ascii="Arial" w:hAnsi="Arial" w:cs="Arial"/>
          <w:sz w:val="24"/>
          <w:szCs w:val="24"/>
        </w:rPr>
        <w:t>l</w:t>
      </w:r>
      <w:r w:rsidR="00F77EE1" w:rsidRPr="00F514E8">
        <w:rPr>
          <w:rFonts w:ascii="Arial" w:hAnsi="Arial" w:cs="Arial"/>
          <w:sz w:val="24"/>
          <w:szCs w:val="24"/>
        </w:rPr>
        <w:t xml:space="preserve">ey 80 de 1993, </w:t>
      </w:r>
      <w:r w:rsidR="00E0457C" w:rsidRPr="00F514E8">
        <w:rPr>
          <w:rFonts w:ascii="Arial" w:hAnsi="Arial" w:cs="Arial"/>
          <w:sz w:val="24"/>
          <w:szCs w:val="24"/>
        </w:rPr>
        <w:t xml:space="preserve">mal podría </w:t>
      </w:r>
      <w:r w:rsidR="003B0D29" w:rsidRPr="00F514E8">
        <w:rPr>
          <w:rFonts w:ascii="Arial" w:hAnsi="Arial" w:cs="Arial"/>
          <w:sz w:val="24"/>
          <w:szCs w:val="24"/>
        </w:rPr>
        <w:t xml:space="preserve">aplicarse </w:t>
      </w:r>
      <w:r w:rsidR="00E0457C" w:rsidRPr="00F514E8">
        <w:rPr>
          <w:rFonts w:ascii="Arial" w:hAnsi="Arial" w:cs="Arial"/>
          <w:sz w:val="24"/>
          <w:szCs w:val="24"/>
        </w:rPr>
        <w:t xml:space="preserve">dicho Estatuto </w:t>
      </w:r>
      <w:r w:rsidR="002A6E0B" w:rsidRPr="00F514E8">
        <w:rPr>
          <w:rFonts w:ascii="Arial" w:hAnsi="Arial" w:cs="Arial"/>
          <w:sz w:val="24"/>
          <w:szCs w:val="24"/>
        </w:rPr>
        <w:t xml:space="preserve">al respectivo </w:t>
      </w:r>
      <w:r w:rsidR="00E0457C" w:rsidRPr="00F514E8">
        <w:rPr>
          <w:rFonts w:ascii="Arial" w:hAnsi="Arial" w:cs="Arial"/>
          <w:sz w:val="24"/>
          <w:szCs w:val="24"/>
        </w:rPr>
        <w:t>contrato, sin perjuicio de</w:t>
      </w:r>
      <w:r w:rsidR="002A6E0B" w:rsidRPr="00F514E8">
        <w:rPr>
          <w:rFonts w:ascii="Arial" w:hAnsi="Arial" w:cs="Arial"/>
          <w:sz w:val="24"/>
          <w:szCs w:val="24"/>
        </w:rPr>
        <w:t xml:space="preserve"> </w:t>
      </w:r>
      <w:r w:rsidR="00E0457C" w:rsidRPr="00F514E8">
        <w:rPr>
          <w:rFonts w:ascii="Arial" w:hAnsi="Arial" w:cs="Arial"/>
          <w:sz w:val="24"/>
          <w:szCs w:val="24"/>
        </w:rPr>
        <w:t>lo dis</w:t>
      </w:r>
      <w:r w:rsidR="0097332B" w:rsidRPr="00F514E8">
        <w:rPr>
          <w:rFonts w:ascii="Arial" w:hAnsi="Arial" w:cs="Arial"/>
          <w:sz w:val="24"/>
          <w:szCs w:val="24"/>
        </w:rPr>
        <w:t>puesto en el artículo 13 de la l</w:t>
      </w:r>
      <w:r w:rsidR="00E0457C" w:rsidRPr="00F514E8">
        <w:rPr>
          <w:rFonts w:ascii="Arial" w:hAnsi="Arial" w:cs="Arial"/>
          <w:sz w:val="24"/>
          <w:szCs w:val="24"/>
        </w:rPr>
        <w:t>ey 1150 de 2007</w:t>
      </w:r>
      <w:r w:rsidR="002A6E0B" w:rsidRPr="00F514E8">
        <w:rPr>
          <w:rFonts w:ascii="Arial" w:hAnsi="Arial" w:cs="Arial"/>
          <w:sz w:val="24"/>
          <w:szCs w:val="24"/>
        </w:rPr>
        <w:t>, como ya se indicó</w:t>
      </w:r>
      <w:r w:rsidR="00E0457C" w:rsidRPr="00F514E8">
        <w:rPr>
          <w:rFonts w:ascii="Arial" w:hAnsi="Arial" w:cs="Arial"/>
          <w:sz w:val="24"/>
          <w:szCs w:val="24"/>
        </w:rPr>
        <w:t xml:space="preserve">. </w:t>
      </w:r>
    </w:p>
    <w:p w14:paraId="68CA01F5" w14:textId="77777777" w:rsidR="00E0457C" w:rsidRPr="00F514E8" w:rsidRDefault="00E0457C" w:rsidP="00725D19">
      <w:pPr>
        <w:tabs>
          <w:tab w:val="left" w:pos="709"/>
        </w:tabs>
        <w:spacing w:after="0" w:line="240" w:lineRule="auto"/>
        <w:jc w:val="both"/>
        <w:rPr>
          <w:rFonts w:ascii="Arial" w:hAnsi="Arial" w:cs="Arial"/>
          <w:sz w:val="24"/>
          <w:szCs w:val="24"/>
        </w:rPr>
      </w:pPr>
    </w:p>
    <w:p w14:paraId="28BA0AEB" w14:textId="77777777" w:rsidR="00CD722E" w:rsidRPr="00F514E8" w:rsidRDefault="00CD722E" w:rsidP="0016489C">
      <w:pPr>
        <w:tabs>
          <w:tab w:val="left" w:pos="709"/>
        </w:tabs>
        <w:spacing w:after="0" w:line="240" w:lineRule="auto"/>
        <w:jc w:val="both"/>
        <w:rPr>
          <w:rFonts w:ascii="Arial" w:hAnsi="Arial" w:cs="Arial"/>
          <w:sz w:val="24"/>
          <w:szCs w:val="24"/>
        </w:rPr>
      </w:pPr>
      <w:r w:rsidRPr="00F514E8">
        <w:rPr>
          <w:rFonts w:ascii="Arial" w:hAnsi="Arial" w:cs="Arial"/>
          <w:sz w:val="24"/>
          <w:szCs w:val="24"/>
        </w:rPr>
        <w:t>Ahora bien, en este ca</w:t>
      </w:r>
      <w:r w:rsidR="0097332B" w:rsidRPr="00F514E8">
        <w:rPr>
          <w:rFonts w:ascii="Arial" w:hAnsi="Arial" w:cs="Arial"/>
          <w:sz w:val="24"/>
          <w:szCs w:val="24"/>
        </w:rPr>
        <w:t xml:space="preserve">so </w:t>
      </w:r>
      <w:r w:rsidR="0016489C" w:rsidRPr="00F514E8">
        <w:rPr>
          <w:rFonts w:ascii="Arial" w:hAnsi="Arial" w:cs="Arial"/>
          <w:sz w:val="24"/>
          <w:szCs w:val="24"/>
        </w:rPr>
        <w:t xml:space="preserve">tampoco es posible convenir o incluir </w:t>
      </w:r>
      <w:r w:rsidRPr="00F514E8">
        <w:rPr>
          <w:rFonts w:ascii="Arial" w:hAnsi="Arial" w:cs="Arial"/>
          <w:sz w:val="24"/>
          <w:szCs w:val="24"/>
        </w:rPr>
        <w:t>cláusulas exorbitantes</w:t>
      </w:r>
      <w:r w:rsidR="0016489C" w:rsidRPr="00F514E8">
        <w:rPr>
          <w:rFonts w:ascii="Arial" w:hAnsi="Arial" w:cs="Arial"/>
          <w:sz w:val="24"/>
          <w:szCs w:val="24"/>
        </w:rPr>
        <w:t xml:space="preserve"> en los respectivos contratos, por las mismas razones explicadas en el literal anterior.</w:t>
      </w:r>
      <w:r w:rsidRPr="00F514E8">
        <w:rPr>
          <w:rFonts w:ascii="Arial" w:hAnsi="Arial" w:cs="Arial"/>
          <w:sz w:val="24"/>
          <w:szCs w:val="24"/>
        </w:rPr>
        <w:t xml:space="preserve"> </w:t>
      </w:r>
    </w:p>
    <w:p w14:paraId="044196F7" w14:textId="77777777" w:rsidR="00CD722E" w:rsidRPr="00F514E8" w:rsidRDefault="00CD722E" w:rsidP="00725D19">
      <w:pPr>
        <w:tabs>
          <w:tab w:val="left" w:pos="709"/>
        </w:tabs>
        <w:spacing w:after="0" w:line="240" w:lineRule="auto"/>
        <w:jc w:val="both"/>
        <w:rPr>
          <w:rFonts w:ascii="Arial" w:hAnsi="Arial" w:cs="Arial"/>
          <w:sz w:val="24"/>
          <w:szCs w:val="24"/>
        </w:rPr>
      </w:pPr>
    </w:p>
    <w:p w14:paraId="6349410B" w14:textId="77777777" w:rsidR="00A84AE1" w:rsidRPr="00F514E8" w:rsidRDefault="00604403" w:rsidP="00604403">
      <w:pPr>
        <w:tabs>
          <w:tab w:val="left" w:pos="709"/>
        </w:tabs>
        <w:spacing w:after="0" w:line="240" w:lineRule="auto"/>
        <w:jc w:val="both"/>
        <w:rPr>
          <w:rFonts w:ascii="Arial" w:hAnsi="Arial" w:cs="Arial"/>
          <w:b/>
          <w:i/>
          <w:sz w:val="24"/>
          <w:szCs w:val="24"/>
        </w:rPr>
      </w:pPr>
      <w:r w:rsidRPr="00F514E8">
        <w:rPr>
          <w:rFonts w:ascii="Arial" w:hAnsi="Arial" w:cs="Arial"/>
          <w:b/>
          <w:sz w:val="24"/>
          <w:szCs w:val="24"/>
        </w:rPr>
        <w:t>c.</w:t>
      </w:r>
      <w:r w:rsidRPr="00F514E8">
        <w:rPr>
          <w:rFonts w:ascii="Arial" w:hAnsi="Arial" w:cs="Arial"/>
          <w:sz w:val="24"/>
          <w:szCs w:val="24"/>
        </w:rPr>
        <w:t xml:space="preserve"> </w:t>
      </w:r>
      <w:r w:rsidR="002560DE" w:rsidRPr="00F514E8">
        <w:rPr>
          <w:rFonts w:ascii="Arial" w:hAnsi="Arial" w:cs="Arial"/>
          <w:b/>
          <w:i/>
          <w:sz w:val="24"/>
          <w:szCs w:val="24"/>
        </w:rPr>
        <w:t xml:space="preserve">Los contratos celebrados por FONADE con </w:t>
      </w:r>
      <w:r w:rsidR="001C7742" w:rsidRPr="00F514E8">
        <w:rPr>
          <w:rFonts w:ascii="Arial" w:hAnsi="Arial" w:cs="Arial"/>
          <w:b/>
          <w:i/>
          <w:sz w:val="24"/>
          <w:szCs w:val="24"/>
        </w:rPr>
        <w:t xml:space="preserve">las demás </w:t>
      </w:r>
      <w:r w:rsidR="002560DE" w:rsidRPr="00F514E8">
        <w:rPr>
          <w:rFonts w:ascii="Arial" w:hAnsi="Arial" w:cs="Arial"/>
          <w:b/>
          <w:i/>
          <w:sz w:val="24"/>
          <w:szCs w:val="24"/>
        </w:rPr>
        <w:t xml:space="preserve">entidades </w:t>
      </w:r>
      <w:r w:rsidRPr="00F514E8">
        <w:rPr>
          <w:rFonts w:ascii="Arial" w:hAnsi="Arial" w:cs="Arial"/>
          <w:b/>
          <w:i/>
          <w:sz w:val="24"/>
          <w:szCs w:val="24"/>
        </w:rPr>
        <w:t>estatales</w:t>
      </w:r>
    </w:p>
    <w:p w14:paraId="0C512F7F" w14:textId="77777777" w:rsidR="00E0457C" w:rsidRPr="00F514E8" w:rsidRDefault="00E0457C" w:rsidP="00725D19">
      <w:pPr>
        <w:tabs>
          <w:tab w:val="left" w:pos="709"/>
        </w:tabs>
        <w:spacing w:after="0" w:line="240" w:lineRule="auto"/>
        <w:jc w:val="both"/>
        <w:rPr>
          <w:rFonts w:ascii="Arial" w:hAnsi="Arial" w:cs="Arial"/>
          <w:sz w:val="24"/>
          <w:szCs w:val="24"/>
        </w:rPr>
      </w:pPr>
    </w:p>
    <w:p w14:paraId="2197CF37" w14:textId="77777777" w:rsidR="00137D67" w:rsidRPr="00F514E8" w:rsidRDefault="00E0457C" w:rsidP="00725D19">
      <w:pPr>
        <w:tabs>
          <w:tab w:val="left" w:pos="709"/>
        </w:tabs>
        <w:spacing w:after="0" w:line="240" w:lineRule="auto"/>
        <w:jc w:val="both"/>
        <w:rPr>
          <w:rFonts w:ascii="Arial" w:hAnsi="Arial" w:cs="Arial"/>
          <w:sz w:val="24"/>
          <w:szCs w:val="24"/>
        </w:rPr>
      </w:pPr>
      <w:r w:rsidRPr="00F514E8">
        <w:rPr>
          <w:rFonts w:ascii="Arial" w:hAnsi="Arial" w:cs="Arial"/>
          <w:sz w:val="24"/>
          <w:szCs w:val="24"/>
        </w:rPr>
        <w:t xml:space="preserve">Los contratos que FONADE suscriba con otras </w:t>
      </w:r>
      <w:r w:rsidR="004E7322" w:rsidRPr="00F514E8">
        <w:rPr>
          <w:rFonts w:ascii="Arial" w:hAnsi="Arial" w:cs="Arial"/>
          <w:sz w:val="24"/>
          <w:szCs w:val="24"/>
        </w:rPr>
        <w:t xml:space="preserve">entidades </w:t>
      </w:r>
      <w:r w:rsidR="005107D5" w:rsidRPr="00F514E8">
        <w:rPr>
          <w:rFonts w:ascii="Arial" w:hAnsi="Arial" w:cs="Arial"/>
          <w:sz w:val="24"/>
          <w:szCs w:val="24"/>
        </w:rPr>
        <w:t>públicas</w:t>
      </w:r>
      <w:r w:rsidR="004E7322" w:rsidRPr="00F514E8">
        <w:rPr>
          <w:rFonts w:ascii="Arial" w:hAnsi="Arial" w:cs="Arial"/>
          <w:sz w:val="24"/>
          <w:szCs w:val="24"/>
        </w:rPr>
        <w:t>,</w:t>
      </w:r>
      <w:r w:rsidR="005107D5" w:rsidRPr="00F514E8">
        <w:rPr>
          <w:rFonts w:ascii="Arial" w:hAnsi="Arial" w:cs="Arial"/>
          <w:sz w:val="24"/>
          <w:szCs w:val="24"/>
        </w:rPr>
        <w:t xml:space="preserve"> </w:t>
      </w:r>
      <w:r w:rsidR="00BD453E" w:rsidRPr="00F514E8">
        <w:rPr>
          <w:rFonts w:ascii="Arial" w:hAnsi="Arial" w:cs="Arial"/>
          <w:sz w:val="24"/>
          <w:szCs w:val="24"/>
        </w:rPr>
        <w:t>sujetas a la ley 80 de 1993</w:t>
      </w:r>
      <w:r w:rsidR="00855387" w:rsidRPr="00F514E8">
        <w:rPr>
          <w:rFonts w:ascii="Arial" w:hAnsi="Arial" w:cs="Arial"/>
          <w:sz w:val="24"/>
          <w:szCs w:val="24"/>
        </w:rPr>
        <w:t>,</w:t>
      </w:r>
      <w:r w:rsidRPr="00F514E8">
        <w:rPr>
          <w:rFonts w:ascii="Arial" w:hAnsi="Arial" w:cs="Arial"/>
          <w:sz w:val="24"/>
          <w:szCs w:val="24"/>
        </w:rPr>
        <w:t xml:space="preserve"> </w:t>
      </w:r>
      <w:r w:rsidR="00137D67" w:rsidRPr="00F514E8">
        <w:rPr>
          <w:rFonts w:ascii="Arial" w:hAnsi="Arial" w:cs="Arial"/>
          <w:sz w:val="24"/>
          <w:szCs w:val="24"/>
        </w:rPr>
        <w:t xml:space="preserve">de acuerdo con lo dispuesto en los artículos 1º y 2º, son contratos estatales que corresponden a la categoría de los “contratos interadministrativos” y </w:t>
      </w:r>
      <w:r w:rsidR="00D33EBC" w:rsidRPr="00F514E8">
        <w:rPr>
          <w:rFonts w:ascii="Arial" w:hAnsi="Arial" w:cs="Arial"/>
          <w:sz w:val="24"/>
          <w:szCs w:val="24"/>
        </w:rPr>
        <w:t>por tanto están</w:t>
      </w:r>
      <w:r w:rsidR="00137D67" w:rsidRPr="00F514E8">
        <w:rPr>
          <w:rFonts w:ascii="Arial" w:hAnsi="Arial" w:cs="Arial"/>
          <w:sz w:val="24"/>
          <w:szCs w:val="24"/>
        </w:rPr>
        <w:t xml:space="preserve"> sometidos al Estatuto General de Contratación de la Administración Pública. </w:t>
      </w:r>
      <w:r w:rsidR="00D33EBC" w:rsidRPr="00F514E8">
        <w:rPr>
          <w:rFonts w:ascii="Arial" w:hAnsi="Arial" w:cs="Arial"/>
          <w:sz w:val="24"/>
          <w:szCs w:val="24"/>
        </w:rPr>
        <w:t>Ello es así por</w:t>
      </w:r>
      <w:r w:rsidR="00137D67" w:rsidRPr="00F514E8">
        <w:rPr>
          <w:rFonts w:ascii="Arial" w:hAnsi="Arial" w:cs="Arial"/>
          <w:sz w:val="24"/>
          <w:szCs w:val="24"/>
        </w:rPr>
        <w:t xml:space="preserve">que, si bien a FONADE no </w:t>
      </w:r>
      <w:r w:rsidR="00D33EBC" w:rsidRPr="00F514E8">
        <w:rPr>
          <w:rFonts w:ascii="Arial" w:hAnsi="Arial" w:cs="Arial"/>
          <w:sz w:val="24"/>
          <w:szCs w:val="24"/>
        </w:rPr>
        <w:t xml:space="preserve">se </w:t>
      </w:r>
      <w:r w:rsidR="00137D67" w:rsidRPr="00F514E8">
        <w:rPr>
          <w:rFonts w:ascii="Arial" w:hAnsi="Arial" w:cs="Arial"/>
          <w:sz w:val="24"/>
          <w:szCs w:val="24"/>
        </w:rPr>
        <w:t xml:space="preserve">le aplica </w:t>
      </w:r>
      <w:r w:rsidR="00D33EBC" w:rsidRPr="00F514E8">
        <w:rPr>
          <w:rFonts w:ascii="Arial" w:hAnsi="Arial" w:cs="Arial"/>
          <w:sz w:val="24"/>
          <w:szCs w:val="24"/>
        </w:rPr>
        <w:t>en principio la l</w:t>
      </w:r>
      <w:r w:rsidR="00137D67" w:rsidRPr="00F514E8">
        <w:rPr>
          <w:rFonts w:ascii="Arial" w:hAnsi="Arial" w:cs="Arial"/>
          <w:sz w:val="24"/>
          <w:szCs w:val="24"/>
        </w:rPr>
        <w:t xml:space="preserve">ey 80 de 1993 en los contratos que celebra, a la otra entidad estatal sí </w:t>
      </w:r>
      <w:r w:rsidR="00D33EBC" w:rsidRPr="00F514E8">
        <w:rPr>
          <w:rFonts w:ascii="Arial" w:hAnsi="Arial" w:cs="Arial"/>
          <w:sz w:val="24"/>
          <w:szCs w:val="24"/>
        </w:rPr>
        <w:t xml:space="preserve">se </w:t>
      </w:r>
      <w:r w:rsidR="00137D67" w:rsidRPr="00F514E8">
        <w:rPr>
          <w:rFonts w:ascii="Arial" w:hAnsi="Arial" w:cs="Arial"/>
          <w:sz w:val="24"/>
          <w:szCs w:val="24"/>
        </w:rPr>
        <w:t xml:space="preserve">le aplica y </w:t>
      </w:r>
      <w:r w:rsidR="00D33EBC" w:rsidRPr="00F514E8">
        <w:rPr>
          <w:rFonts w:ascii="Arial" w:hAnsi="Arial" w:cs="Arial"/>
          <w:sz w:val="24"/>
          <w:szCs w:val="24"/>
        </w:rPr>
        <w:t>está</w:t>
      </w:r>
      <w:r w:rsidR="00137D67" w:rsidRPr="00F514E8">
        <w:rPr>
          <w:rFonts w:ascii="Arial" w:hAnsi="Arial" w:cs="Arial"/>
          <w:sz w:val="24"/>
          <w:szCs w:val="24"/>
        </w:rPr>
        <w:t xml:space="preserve">, por </w:t>
      </w:r>
      <w:r w:rsidR="002A6E0B" w:rsidRPr="00F514E8">
        <w:rPr>
          <w:rFonts w:ascii="Arial" w:hAnsi="Arial" w:cs="Arial"/>
          <w:sz w:val="24"/>
          <w:szCs w:val="24"/>
        </w:rPr>
        <w:t xml:space="preserve">ende, </w:t>
      </w:r>
      <w:r w:rsidR="00137D67" w:rsidRPr="00F514E8">
        <w:rPr>
          <w:rFonts w:ascii="Arial" w:hAnsi="Arial" w:cs="Arial"/>
          <w:sz w:val="24"/>
          <w:szCs w:val="24"/>
        </w:rPr>
        <w:t xml:space="preserve">obligada a cumplir con sus disposiciones. </w:t>
      </w:r>
    </w:p>
    <w:p w14:paraId="57F52DAC" w14:textId="77777777" w:rsidR="00137D67" w:rsidRPr="00F514E8" w:rsidRDefault="00137D67" w:rsidP="00725D19">
      <w:pPr>
        <w:tabs>
          <w:tab w:val="left" w:pos="709"/>
        </w:tabs>
        <w:spacing w:after="0" w:line="240" w:lineRule="auto"/>
        <w:jc w:val="both"/>
        <w:rPr>
          <w:rFonts w:ascii="Arial" w:hAnsi="Arial" w:cs="Arial"/>
          <w:sz w:val="24"/>
          <w:szCs w:val="24"/>
        </w:rPr>
      </w:pPr>
    </w:p>
    <w:p w14:paraId="73E5FE44" w14:textId="77777777" w:rsidR="00815027" w:rsidRPr="00F514E8" w:rsidRDefault="00137D67" w:rsidP="00725D19">
      <w:pPr>
        <w:tabs>
          <w:tab w:val="left" w:pos="709"/>
        </w:tabs>
        <w:spacing w:after="0" w:line="240" w:lineRule="auto"/>
        <w:jc w:val="both"/>
        <w:rPr>
          <w:rFonts w:ascii="Arial" w:hAnsi="Arial" w:cs="Arial"/>
          <w:sz w:val="24"/>
          <w:szCs w:val="24"/>
        </w:rPr>
      </w:pPr>
      <w:r w:rsidRPr="00F514E8">
        <w:rPr>
          <w:rFonts w:ascii="Arial" w:hAnsi="Arial" w:cs="Arial"/>
          <w:sz w:val="24"/>
          <w:szCs w:val="24"/>
        </w:rPr>
        <w:t xml:space="preserve">Esta </w:t>
      </w:r>
      <w:r w:rsidR="00D33EBC" w:rsidRPr="00F514E8">
        <w:rPr>
          <w:rFonts w:ascii="Arial" w:hAnsi="Arial" w:cs="Arial"/>
          <w:sz w:val="24"/>
          <w:szCs w:val="24"/>
        </w:rPr>
        <w:t>apreci</w:t>
      </w:r>
      <w:r w:rsidRPr="00F514E8">
        <w:rPr>
          <w:rFonts w:ascii="Arial" w:hAnsi="Arial" w:cs="Arial"/>
          <w:sz w:val="24"/>
          <w:szCs w:val="24"/>
        </w:rPr>
        <w:t>ación resulta confirmad</w:t>
      </w:r>
      <w:r w:rsidR="003A3EDF" w:rsidRPr="00F514E8">
        <w:rPr>
          <w:rFonts w:ascii="Arial" w:hAnsi="Arial" w:cs="Arial"/>
          <w:sz w:val="24"/>
          <w:szCs w:val="24"/>
        </w:rPr>
        <w:t>a</w:t>
      </w:r>
      <w:r w:rsidR="00D33EBC" w:rsidRPr="00F514E8">
        <w:rPr>
          <w:rFonts w:ascii="Arial" w:hAnsi="Arial" w:cs="Arial"/>
          <w:sz w:val="24"/>
          <w:szCs w:val="24"/>
        </w:rPr>
        <w:t xml:space="preserve"> por lo dispuesto en la ley 1150, modificada por la l</w:t>
      </w:r>
      <w:r w:rsidRPr="00F514E8">
        <w:rPr>
          <w:rFonts w:ascii="Arial" w:hAnsi="Arial" w:cs="Arial"/>
          <w:sz w:val="24"/>
          <w:szCs w:val="24"/>
        </w:rPr>
        <w:t xml:space="preserve">ey 1474 de 2011, </w:t>
      </w:r>
      <w:r w:rsidR="00AF58A5" w:rsidRPr="00F514E8">
        <w:rPr>
          <w:rFonts w:ascii="Arial" w:hAnsi="Arial" w:cs="Arial"/>
          <w:sz w:val="24"/>
          <w:szCs w:val="24"/>
        </w:rPr>
        <w:t xml:space="preserve">en cuanto </w:t>
      </w:r>
      <w:r w:rsidRPr="00F514E8">
        <w:rPr>
          <w:rFonts w:ascii="Arial" w:hAnsi="Arial" w:cs="Arial"/>
          <w:sz w:val="24"/>
          <w:szCs w:val="24"/>
        </w:rPr>
        <w:t>incluye la celebración de los contratos interadministrativos como uno de los casos en los que las entidades públicas pueden acudir a la “contratación directa”</w:t>
      </w:r>
      <w:r w:rsidR="003A3EDF" w:rsidRPr="00F514E8">
        <w:rPr>
          <w:rStyle w:val="Refdenotaalpie"/>
          <w:rFonts w:ascii="Arial" w:hAnsi="Arial" w:cs="Arial"/>
          <w:sz w:val="24"/>
          <w:szCs w:val="24"/>
        </w:rPr>
        <w:footnoteReference w:id="24"/>
      </w:r>
      <w:r w:rsidR="00D33EBC" w:rsidRPr="00F514E8">
        <w:rPr>
          <w:rFonts w:ascii="Arial" w:hAnsi="Arial" w:cs="Arial"/>
          <w:sz w:val="24"/>
          <w:szCs w:val="24"/>
        </w:rPr>
        <w:t>, y especialmente</w:t>
      </w:r>
      <w:r w:rsidR="003A3EDF" w:rsidRPr="00F514E8">
        <w:rPr>
          <w:rFonts w:ascii="Arial" w:hAnsi="Arial" w:cs="Arial"/>
          <w:sz w:val="24"/>
          <w:szCs w:val="24"/>
        </w:rPr>
        <w:t xml:space="preserve"> por</w:t>
      </w:r>
      <w:r w:rsidR="00815027" w:rsidRPr="00F514E8">
        <w:rPr>
          <w:rFonts w:ascii="Arial" w:hAnsi="Arial" w:cs="Arial"/>
          <w:sz w:val="24"/>
          <w:szCs w:val="24"/>
        </w:rPr>
        <w:t xml:space="preserve"> lo </w:t>
      </w:r>
      <w:r w:rsidR="002A6E0B" w:rsidRPr="00F514E8">
        <w:rPr>
          <w:rFonts w:ascii="Arial" w:hAnsi="Arial" w:cs="Arial"/>
          <w:sz w:val="24"/>
          <w:szCs w:val="24"/>
        </w:rPr>
        <w:t xml:space="preserve">previsto </w:t>
      </w:r>
      <w:r w:rsidR="00815027" w:rsidRPr="00F514E8">
        <w:rPr>
          <w:rFonts w:ascii="Arial" w:hAnsi="Arial" w:cs="Arial"/>
          <w:sz w:val="24"/>
          <w:szCs w:val="24"/>
        </w:rPr>
        <w:t xml:space="preserve">en </w:t>
      </w:r>
      <w:r w:rsidR="002A6E0B" w:rsidRPr="00F514E8">
        <w:rPr>
          <w:rFonts w:ascii="Arial" w:hAnsi="Arial" w:cs="Arial"/>
          <w:sz w:val="24"/>
          <w:szCs w:val="24"/>
        </w:rPr>
        <w:t xml:space="preserve">el artículo 2º, numeral 4º, literal c), inciso segundo, primera parte </w:t>
      </w:r>
      <w:r w:rsidR="00D33EBC" w:rsidRPr="00F514E8">
        <w:rPr>
          <w:rFonts w:ascii="Arial" w:hAnsi="Arial" w:cs="Arial"/>
          <w:sz w:val="24"/>
          <w:szCs w:val="24"/>
        </w:rPr>
        <w:t>de la l</w:t>
      </w:r>
      <w:r w:rsidR="00815027" w:rsidRPr="00F514E8">
        <w:rPr>
          <w:rFonts w:ascii="Arial" w:hAnsi="Arial" w:cs="Arial"/>
          <w:sz w:val="24"/>
          <w:szCs w:val="24"/>
        </w:rPr>
        <w:t>ey 1150 de 2007, modif</w:t>
      </w:r>
      <w:r w:rsidR="00D33EBC" w:rsidRPr="00F514E8">
        <w:rPr>
          <w:rFonts w:ascii="Arial" w:hAnsi="Arial" w:cs="Arial"/>
          <w:sz w:val="24"/>
          <w:szCs w:val="24"/>
        </w:rPr>
        <w:t>icado por el artículo 95 de la l</w:t>
      </w:r>
      <w:r w:rsidR="00815027" w:rsidRPr="00F514E8">
        <w:rPr>
          <w:rFonts w:ascii="Arial" w:hAnsi="Arial" w:cs="Arial"/>
          <w:sz w:val="24"/>
          <w:szCs w:val="24"/>
        </w:rPr>
        <w:t>ey 1474 de 20</w:t>
      </w:r>
      <w:r w:rsidR="004E7322" w:rsidRPr="00F514E8">
        <w:rPr>
          <w:rFonts w:ascii="Arial" w:hAnsi="Arial" w:cs="Arial"/>
          <w:sz w:val="24"/>
          <w:szCs w:val="24"/>
        </w:rPr>
        <w:t>1</w:t>
      </w:r>
      <w:r w:rsidR="00815027" w:rsidRPr="00F514E8">
        <w:rPr>
          <w:rFonts w:ascii="Arial" w:hAnsi="Arial" w:cs="Arial"/>
          <w:sz w:val="24"/>
          <w:szCs w:val="24"/>
        </w:rPr>
        <w:t xml:space="preserve">1, en los siguientes términos: </w:t>
      </w:r>
    </w:p>
    <w:p w14:paraId="59586E4A" w14:textId="77777777" w:rsidR="00815027" w:rsidRPr="00F514E8" w:rsidRDefault="00815027" w:rsidP="00725D19">
      <w:pPr>
        <w:tabs>
          <w:tab w:val="left" w:pos="709"/>
        </w:tabs>
        <w:spacing w:after="0" w:line="240" w:lineRule="auto"/>
        <w:jc w:val="both"/>
        <w:rPr>
          <w:rFonts w:ascii="Arial" w:hAnsi="Arial" w:cs="Arial"/>
          <w:sz w:val="24"/>
          <w:szCs w:val="24"/>
        </w:rPr>
      </w:pPr>
    </w:p>
    <w:p w14:paraId="308BE2D4" w14:textId="77777777" w:rsidR="00815027" w:rsidRPr="00F514E8" w:rsidRDefault="00815027" w:rsidP="00D33EBC">
      <w:pPr>
        <w:tabs>
          <w:tab w:val="left" w:pos="709"/>
        </w:tabs>
        <w:spacing w:after="0" w:line="240" w:lineRule="auto"/>
        <w:ind w:left="426"/>
        <w:jc w:val="both"/>
        <w:rPr>
          <w:rFonts w:ascii="Arial" w:hAnsi="Arial" w:cs="Arial"/>
          <w:i/>
        </w:rPr>
      </w:pPr>
      <w:r w:rsidRPr="00F514E8">
        <w:rPr>
          <w:rFonts w:ascii="Arial" w:hAnsi="Arial" w:cs="Arial"/>
        </w:rPr>
        <w:t>“</w:t>
      </w:r>
      <w:r w:rsidRPr="00F514E8">
        <w:rPr>
          <w:rFonts w:ascii="Arial" w:hAnsi="Arial" w:cs="Arial"/>
          <w:i/>
        </w:rPr>
        <w:t xml:space="preserve">Artículo 2º.- De las modalidades de selección. La escogencia del contratista se efectuará con arreglo a las modalidades de selección de licitación pública, selección abreviada, concurso de méritos y contratación directa, con </w:t>
      </w:r>
      <w:r w:rsidR="00D33EBC" w:rsidRPr="00F514E8">
        <w:rPr>
          <w:rFonts w:ascii="Arial" w:hAnsi="Arial" w:cs="Arial"/>
          <w:i/>
        </w:rPr>
        <w:t xml:space="preserve">base en las siguientes reglas: </w:t>
      </w:r>
    </w:p>
    <w:p w14:paraId="01899F9C" w14:textId="77777777" w:rsidR="00815027" w:rsidRPr="00F514E8" w:rsidRDefault="00815027" w:rsidP="00D33EBC">
      <w:pPr>
        <w:tabs>
          <w:tab w:val="left" w:pos="709"/>
        </w:tabs>
        <w:spacing w:after="0" w:line="240" w:lineRule="auto"/>
        <w:ind w:left="426"/>
        <w:jc w:val="both"/>
        <w:rPr>
          <w:rFonts w:ascii="Arial" w:hAnsi="Arial" w:cs="Arial"/>
          <w:i/>
        </w:rPr>
      </w:pPr>
      <w:r w:rsidRPr="00F514E8">
        <w:rPr>
          <w:rFonts w:ascii="Arial" w:hAnsi="Arial" w:cs="Arial"/>
          <w:i/>
        </w:rPr>
        <w:t>“</w:t>
      </w:r>
      <w:r w:rsidR="00D33EBC" w:rsidRPr="00F514E8">
        <w:rPr>
          <w:rFonts w:ascii="Arial" w:hAnsi="Arial" w:cs="Arial"/>
          <w:i/>
        </w:rPr>
        <w:t>(…)</w:t>
      </w:r>
    </w:p>
    <w:p w14:paraId="17BCC6D1" w14:textId="77777777" w:rsidR="00815027" w:rsidRPr="00F514E8" w:rsidRDefault="00815027" w:rsidP="00D33EBC">
      <w:pPr>
        <w:tabs>
          <w:tab w:val="left" w:pos="709"/>
        </w:tabs>
        <w:spacing w:after="0" w:line="240" w:lineRule="auto"/>
        <w:ind w:left="426"/>
        <w:jc w:val="both"/>
        <w:rPr>
          <w:rFonts w:ascii="Arial" w:hAnsi="Arial" w:cs="Arial"/>
          <w:i/>
        </w:rPr>
      </w:pPr>
      <w:r w:rsidRPr="00F514E8">
        <w:rPr>
          <w:rFonts w:ascii="Arial" w:hAnsi="Arial" w:cs="Arial"/>
          <w:i/>
        </w:rPr>
        <w:t xml:space="preserve">“4. </w:t>
      </w:r>
      <w:r w:rsidRPr="00F514E8">
        <w:rPr>
          <w:rFonts w:ascii="Arial" w:hAnsi="Arial" w:cs="Arial"/>
          <w:b/>
          <w:i/>
        </w:rPr>
        <w:t>Contratación directa.</w:t>
      </w:r>
      <w:r w:rsidRPr="00F514E8">
        <w:rPr>
          <w:rFonts w:ascii="Arial" w:hAnsi="Arial" w:cs="Arial"/>
          <w:i/>
        </w:rPr>
        <w:t xml:space="preserve"> La modalidad de selección de contratación </w:t>
      </w:r>
      <w:proofErr w:type="gramStart"/>
      <w:r w:rsidRPr="00F514E8">
        <w:rPr>
          <w:rFonts w:ascii="Arial" w:hAnsi="Arial" w:cs="Arial"/>
          <w:i/>
        </w:rPr>
        <w:t>directa,</w:t>
      </w:r>
      <w:proofErr w:type="gramEnd"/>
      <w:r w:rsidRPr="00F514E8">
        <w:rPr>
          <w:rFonts w:ascii="Arial" w:hAnsi="Arial" w:cs="Arial"/>
          <w:i/>
        </w:rPr>
        <w:t xml:space="preserve"> solamente proc</w:t>
      </w:r>
      <w:r w:rsidR="00D33EBC" w:rsidRPr="00F514E8">
        <w:rPr>
          <w:rFonts w:ascii="Arial" w:hAnsi="Arial" w:cs="Arial"/>
          <w:i/>
        </w:rPr>
        <w:t xml:space="preserve">ederá en los siguientes casos: </w:t>
      </w:r>
    </w:p>
    <w:p w14:paraId="4023FAAC" w14:textId="77777777" w:rsidR="00815027" w:rsidRPr="00F514E8" w:rsidRDefault="00815027" w:rsidP="00725D19">
      <w:pPr>
        <w:tabs>
          <w:tab w:val="left" w:pos="709"/>
        </w:tabs>
        <w:spacing w:after="0" w:line="240" w:lineRule="auto"/>
        <w:ind w:left="426"/>
        <w:jc w:val="both"/>
        <w:rPr>
          <w:rFonts w:ascii="Arial" w:hAnsi="Arial" w:cs="Arial"/>
          <w:i/>
        </w:rPr>
      </w:pPr>
      <w:r w:rsidRPr="00F514E8">
        <w:rPr>
          <w:rFonts w:ascii="Arial" w:hAnsi="Arial" w:cs="Arial"/>
          <w:i/>
        </w:rPr>
        <w:t>“(…)</w:t>
      </w:r>
    </w:p>
    <w:p w14:paraId="3F54670C" w14:textId="77777777" w:rsidR="00815027" w:rsidRPr="00F514E8" w:rsidRDefault="00815027" w:rsidP="00D33EBC">
      <w:pPr>
        <w:tabs>
          <w:tab w:val="left" w:pos="709"/>
        </w:tabs>
        <w:spacing w:after="0" w:line="240" w:lineRule="auto"/>
        <w:ind w:left="426"/>
        <w:jc w:val="both"/>
        <w:rPr>
          <w:rFonts w:ascii="Arial" w:hAnsi="Arial" w:cs="Arial"/>
          <w:i/>
        </w:rPr>
      </w:pPr>
      <w:r w:rsidRPr="00F514E8">
        <w:rPr>
          <w:rFonts w:ascii="Arial" w:hAnsi="Arial" w:cs="Arial"/>
          <w:i/>
        </w:rPr>
        <w:t>“c) Contratos interadministrativos, siempre que las obligaciones derivadas del mismo tengan relación directa con el objeto de la entidad ejecutora</w:t>
      </w:r>
      <w:r w:rsidR="002A6E0B" w:rsidRPr="00F514E8">
        <w:rPr>
          <w:rFonts w:ascii="Arial" w:hAnsi="Arial" w:cs="Arial"/>
          <w:i/>
        </w:rPr>
        <w:t>…</w:t>
      </w:r>
      <w:r w:rsidR="00D33EBC" w:rsidRPr="00F514E8">
        <w:rPr>
          <w:rFonts w:ascii="Arial" w:hAnsi="Arial" w:cs="Arial"/>
          <w:i/>
        </w:rPr>
        <w:t xml:space="preserve"> </w:t>
      </w:r>
    </w:p>
    <w:p w14:paraId="24020F54" w14:textId="77777777" w:rsidR="00815027" w:rsidRPr="00F514E8" w:rsidRDefault="00D33EBC" w:rsidP="00D33EBC">
      <w:pPr>
        <w:tabs>
          <w:tab w:val="left" w:pos="709"/>
        </w:tabs>
        <w:spacing w:after="0" w:line="240" w:lineRule="auto"/>
        <w:ind w:left="426"/>
        <w:jc w:val="both"/>
        <w:rPr>
          <w:rFonts w:ascii="Arial" w:hAnsi="Arial" w:cs="Arial"/>
          <w:i/>
        </w:rPr>
      </w:pPr>
      <w:r w:rsidRPr="00F514E8">
        <w:rPr>
          <w:rFonts w:ascii="Arial" w:hAnsi="Arial" w:cs="Arial"/>
          <w:i/>
        </w:rPr>
        <w:t>“(…)</w:t>
      </w:r>
    </w:p>
    <w:p w14:paraId="7E12C66E" w14:textId="77777777" w:rsidR="00137D67" w:rsidRPr="00F514E8" w:rsidRDefault="00815027" w:rsidP="00725D19">
      <w:pPr>
        <w:tabs>
          <w:tab w:val="left" w:pos="709"/>
        </w:tabs>
        <w:spacing w:after="0" w:line="240" w:lineRule="auto"/>
        <w:ind w:left="426"/>
        <w:jc w:val="both"/>
        <w:rPr>
          <w:rFonts w:ascii="Arial" w:hAnsi="Arial" w:cs="Arial"/>
          <w:sz w:val="24"/>
          <w:szCs w:val="24"/>
        </w:rPr>
      </w:pPr>
      <w:r w:rsidRPr="00F514E8">
        <w:rPr>
          <w:rFonts w:ascii="Arial" w:hAnsi="Arial" w:cs="Arial"/>
          <w:i/>
        </w:rPr>
        <w:t xml:space="preserve">“En aquellos eventos en que el régimen aplicable a la contratación de la entidad ejecutora no sea el de la Ley 80 de 1993, la ejecución de dichos contratos </w:t>
      </w:r>
      <w:r w:rsidRPr="00F514E8">
        <w:rPr>
          <w:rFonts w:ascii="Arial" w:hAnsi="Arial" w:cs="Arial"/>
          <w:b/>
          <w:i/>
        </w:rPr>
        <w:t>estará en todo caso sometida a esta ley</w:t>
      </w:r>
      <w:r w:rsidRPr="00F514E8">
        <w:rPr>
          <w:rFonts w:ascii="Arial" w:hAnsi="Arial" w:cs="Arial"/>
          <w:i/>
        </w:rPr>
        <w:t xml:space="preserve">, salvo que la entidad ejecutora desarrolle su actividad en competencia con el sector privado o cuando la ejecución del contrato interadministrativo tenga relación directa con el desarrollo de su actividad”. </w:t>
      </w:r>
      <w:r w:rsidRPr="00F514E8">
        <w:rPr>
          <w:rFonts w:ascii="Arial" w:hAnsi="Arial" w:cs="Arial"/>
        </w:rPr>
        <w:t xml:space="preserve"> (Resalta la Sala).</w:t>
      </w:r>
      <w:r w:rsidRPr="00F514E8">
        <w:rPr>
          <w:rFonts w:ascii="Arial" w:hAnsi="Arial" w:cs="Arial"/>
          <w:sz w:val="24"/>
          <w:szCs w:val="24"/>
        </w:rPr>
        <w:t xml:space="preserve">  </w:t>
      </w:r>
      <w:r w:rsidR="003A3EDF" w:rsidRPr="00F514E8">
        <w:rPr>
          <w:rFonts w:ascii="Arial" w:hAnsi="Arial" w:cs="Arial"/>
          <w:sz w:val="24"/>
          <w:szCs w:val="24"/>
        </w:rPr>
        <w:t xml:space="preserve"> </w:t>
      </w:r>
      <w:r w:rsidR="00137D67" w:rsidRPr="00F514E8">
        <w:rPr>
          <w:rFonts w:ascii="Arial" w:hAnsi="Arial" w:cs="Arial"/>
          <w:sz w:val="24"/>
          <w:szCs w:val="24"/>
        </w:rPr>
        <w:t xml:space="preserve">  </w:t>
      </w:r>
    </w:p>
    <w:p w14:paraId="31535DA7" w14:textId="77777777" w:rsidR="00A84AE1" w:rsidRPr="00F514E8" w:rsidRDefault="00A84AE1" w:rsidP="00725D19">
      <w:pPr>
        <w:tabs>
          <w:tab w:val="left" w:pos="6825"/>
        </w:tabs>
        <w:spacing w:after="0" w:line="240" w:lineRule="auto"/>
        <w:jc w:val="both"/>
        <w:rPr>
          <w:rFonts w:ascii="Arial" w:hAnsi="Arial" w:cs="Arial"/>
          <w:sz w:val="24"/>
          <w:szCs w:val="24"/>
        </w:rPr>
      </w:pPr>
    </w:p>
    <w:p w14:paraId="663C9486" w14:textId="77777777" w:rsidR="00BE6C65" w:rsidRPr="00F514E8" w:rsidRDefault="00815027" w:rsidP="00725D19">
      <w:pPr>
        <w:tabs>
          <w:tab w:val="left" w:pos="6825"/>
        </w:tabs>
        <w:spacing w:after="0" w:line="240" w:lineRule="auto"/>
        <w:jc w:val="both"/>
        <w:rPr>
          <w:rFonts w:ascii="Arial" w:hAnsi="Arial" w:cs="Arial"/>
          <w:sz w:val="24"/>
          <w:szCs w:val="24"/>
        </w:rPr>
      </w:pPr>
      <w:r w:rsidRPr="00F514E8">
        <w:rPr>
          <w:rFonts w:ascii="Arial" w:hAnsi="Arial" w:cs="Arial"/>
          <w:sz w:val="24"/>
          <w:szCs w:val="24"/>
        </w:rPr>
        <w:t xml:space="preserve">A </w:t>
      </w:r>
      <w:r w:rsidR="00D57616" w:rsidRPr="00F514E8">
        <w:rPr>
          <w:rFonts w:ascii="Arial" w:hAnsi="Arial" w:cs="Arial"/>
          <w:sz w:val="24"/>
          <w:szCs w:val="24"/>
        </w:rPr>
        <w:t xml:space="preserve">continuación de la regla general de sujeción a la ley 80 de 1993, </w:t>
      </w:r>
      <w:r w:rsidR="004E7322" w:rsidRPr="00F514E8">
        <w:rPr>
          <w:rFonts w:ascii="Arial" w:hAnsi="Arial" w:cs="Arial"/>
          <w:sz w:val="24"/>
          <w:szCs w:val="24"/>
        </w:rPr>
        <w:t xml:space="preserve">la parte </w:t>
      </w:r>
      <w:r w:rsidR="00D57616" w:rsidRPr="00F514E8">
        <w:rPr>
          <w:rFonts w:ascii="Arial" w:hAnsi="Arial" w:cs="Arial"/>
          <w:sz w:val="24"/>
          <w:szCs w:val="24"/>
        </w:rPr>
        <w:t xml:space="preserve">final </w:t>
      </w:r>
      <w:r w:rsidR="004862A9" w:rsidRPr="00F514E8">
        <w:rPr>
          <w:rFonts w:ascii="Arial" w:hAnsi="Arial" w:cs="Arial"/>
          <w:sz w:val="24"/>
          <w:szCs w:val="24"/>
        </w:rPr>
        <w:t>de la norma</w:t>
      </w:r>
      <w:r w:rsidR="004E7322" w:rsidRPr="00F514E8">
        <w:rPr>
          <w:rFonts w:ascii="Arial" w:hAnsi="Arial" w:cs="Arial"/>
          <w:sz w:val="24"/>
          <w:szCs w:val="24"/>
        </w:rPr>
        <w:t xml:space="preserve"> </w:t>
      </w:r>
      <w:r w:rsidR="004862A9" w:rsidRPr="00F514E8">
        <w:rPr>
          <w:rFonts w:ascii="Arial" w:hAnsi="Arial" w:cs="Arial"/>
          <w:sz w:val="24"/>
          <w:szCs w:val="24"/>
        </w:rPr>
        <w:t>transcrita</w:t>
      </w:r>
      <w:r w:rsidR="00D57616" w:rsidRPr="00F514E8">
        <w:rPr>
          <w:rFonts w:ascii="Arial" w:hAnsi="Arial" w:cs="Arial"/>
          <w:sz w:val="24"/>
          <w:szCs w:val="24"/>
        </w:rPr>
        <w:t xml:space="preserve"> </w:t>
      </w:r>
      <w:r w:rsidR="004242F5" w:rsidRPr="00F514E8">
        <w:rPr>
          <w:rFonts w:ascii="Arial" w:hAnsi="Arial" w:cs="Arial"/>
          <w:sz w:val="24"/>
          <w:szCs w:val="24"/>
        </w:rPr>
        <w:t>introduce una salvedad</w:t>
      </w:r>
      <w:r w:rsidR="004E7322" w:rsidRPr="00F514E8">
        <w:rPr>
          <w:rFonts w:ascii="Arial" w:hAnsi="Arial" w:cs="Arial"/>
          <w:sz w:val="24"/>
          <w:szCs w:val="24"/>
        </w:rPr>
        <w:t>,</w:t>
      </w:r>
      <w:r w:rsidR="00752EAD" w:rsidRPr="00F514E8">
        <w:rPr>
          <w:rFonts w:ascii="Arial" w:hAnsi="Arial" w:cs="Arial"/>
          <w:sz w:val="24"/>
          <w:szCs w:val="24"/>
        </w:rPr>
        <w:t xml:space="preserve"> consistente en que, </w:t>
      </w:r>
      <w:r w:rsidR="00BE6C65" w:rsidRPr="00F514E8">
        <w:rPr>
          <w:rFonts w:ascii="Arial" w:hAnsi="Arial" w:cs="Arial"/>
          <w:sz w:val="24"/>
          <w:szCs w:val="24"/>
        </w:rPr>
        <w:t>cuando la entidad ejecutora desarrolle su actividad en competencia con el sector privado</w:t>
      </w:r>
      <w:r w:rsidR="00752EAD" w:rsidRPr="00F514E8">
        <w:rPr>
          <w:rFonts w:ascii="Arial" w:hAnsi="Arial" w:cs="Arial"/>
          <w:sz w:val="24"/>
          <w:szCs w:val="24"/>
        </w:rPr>
        <w:t>,</w:t>
      </w:r>
      <w:r w:rsidR="00BE6C65" w:rsidRPr="00F514E8">
        <w:rPr>
          <w:rFonts w:ascii="Arial" w:hAnsi="Arial" w:cs="Arial"/>
          <w:sz w:val="24"/>
          <w:szCs w:val="24"/>
        </w:rPr>
        <w:t xml:space="preserve"> o la ejecución del contrato interadministrativo tenga relación directa con el desarrollo de su actividad, la ejecución de</w:t>
      </w:r>
      <w:r w:rsidR="004E7322" w:rsidRPr="00F514E8">
        <w:rPr>
          <w:rFonts w:ascii="Arial" w:hAnsi="Arial" w:cs="Arial"/>
          <w:sz w:val="24"/>
          <w:szCs w:val="24"/>
        </w:rPr>
        <w:t xml:space="preserve"> dicho </w:t>
      </w:r>
      <w:r w:rsidR="00752EAD" w:rsidRPr="00F514E8">
        <w:rPr>
          <w:rFonts w:ascii="Arial" w:hAnsi="Arial" w:cs="Arial"/>
          <w:sz w:val="24"/>
          <w:szCs w:val="24"/>
        </w:rPr>
        <w:t xml:space="preserve">contrato </w:t>
      </w:r>
      <w:r w:rsidR="00D57616" w:rsidRPr="00F514E8">
        <w:rPr>
          <w:rFonts w:ascii="Arial" w:hAnsi="Arial" w:cs="Arial"/>
          <w:sz w:val="24"/>
          <w:szCs w:val="24"/>
        </w:rPr>
        <w:t>no estaría sujeta a la l</w:t>
      </w:r>
      <w:r w:rsidR="00BE6C65" w:rsidRPr="00F514E8">
        <w:rPr>
          <w:rFonts w:ascii="Arial" w:hAnsi="Arial" w:cs="Arial"/>
          <w:sz w:val="24"/>
          <w:szCs w:val="24"/>
        </w:rPr>
        <w:t>ey 80 de 1993.</w:t>
      </w:r>
    </w:p>
    <w:p w14:paraId="3D1AD61C" w14:textId="77777777" w:rsidR="00BE6C65" w:rsidRPr="00F514E8" w:rsidRDefault="00BE6C65" w:rsidP="00725D19">
      <w:pPr>
        <w:tabs>
          <w:tab w:val="left" w:pos="6825"/>
        </w:tabs>
        <w:spacing w:after="0" w:line="240" w:lineRule="auto"/>
        <w:jc w:val="both"/>
        <w:rPr>
          <w:rFonts w:ascii="Arial" w:hAnsi="Arial" w:cs="Arial"/>
          <w:sz w:val="24"/>
          <w:szCs w:val="24"/>
        </w:rPr>
      </w:pPr>
    </w:p>
    <w:p w14:paraId="4994CC8F" w14:textId="77777777" w:rsidR="00BE6C65" w:rsidRPr="00F514E8" w:rsidRDefault="005978B5" w:rsidP="00725D19">
      <w:pPr>
        <w:tabs>
          <w:tab w:val="left" w:pos="6825"/>
        </w:tabs>
        <w:spacing w:after="0" w:line="240" w:lineRule="auto"/>
        <w:jc w:val="both"/>
        <w:rPr>
          <w:rFonts w:ascii="Arial" w:hAnsi="Arial" w:cs="Arial"/>
          <w:sz w:val="24"/>
          <w:szCs w:val="24"/>
        </w:rPr>
      </w:pPr>
      <w:r w:rsidRPr="00F514E8">
        <w:rPr>
          <w:rFonts w:ascii="Arial" w:hAnsi="Arial" w:cs="Arial"/>
          <w:sz w:val="24"/>
          <w:szCs w:val="24"/>
        </w:rPr>
        <w:t>E</w:t>
      </w:r>
      <w:r w:rsidR="00BE6C65" w:rsidRPr="00F514E8">
        <w:rPr>
          <w:rFonts w:ascii="Arial" w:hAnsi="Arial" w:cs="Arial"/>
          <w:sz w:val="24"/>
          <w:szCs w:val="24"/>
        </w:rPr>
        <w:t>ste precepto</w:t>
      </w:r>
      <w:r w:rsidRPr="00F514E8">
        <w:rPr>
          <w:rFonts w:ascii="Arial" w:hAnsi="Arial" w:cs="Arial"/>
          <w:sz w:val="24"/>
          <w:szCs w:val="24"/>
        </w:rPr>
        <w:t xml:space="preserve"> crea algunas dificultades interpretativas</w:t>
      </w:r>
      <w:r w:rsidR="00BE6C65" w:rsidRPr="00F514E8">
        <w:rPr>
          <w:rFonts w:ascii="Arial" w:hAnsi="Arial" w:cs="Arial"/>
          <w:sz w:val="24"/>
          <w:szCs w:val="24"/>
        </w:rPr>
        <w:t>, como la de definir si la actividad de una entidad pública está o no en competencia con el sector privado</w:t>
      </w:r>
      <w:r w:rsidR="00D57616" w:rsidRPr="00F514E8">
        <w:rPr>
          <w:rFonts w:ascii="Arial" w:hAnsi="Arial" w:cs="Arial"/>
          <w:sz w:val="24"/>
          <w:szCs w:val="24"/>
        </w:rPr>
        <w:t>,</w:t>
      </w:r>
      <w:r w:rsidR="00BE6C65" w:rsidRPr="00F514E8">
        <w:rPr>
          <w:rStyle w:val="Refdenotaalpie"/>
          <w:rFonts w:ascii="Arial" w:hAnsi="Arial" w:cs="Arial"/>
          <w:sz w:val="24"/>
          <w:szCs w:val="24"/>
        </w:rPr>
        <w:footnoteReference w:id="25"/>
      </w:r>
      <w:r w:rsidR="00F64461" w:rsidRPr="00F514E8">
        <w:rPr>
          <w:rFonts w:ascii="Arial" w:hAnsi="Arial" w:cs="Arial"/>
          <w:sz w:val="24"/>
          <w:szCs w:val="24"/>
        </w:rPr>
        <w:t xml:space="preserve"> o la de establecer si la ejecución de un contrato interadministrativo guarda relación directa con la ac</w:t>
      </w:r>
      <w:r w:rsidRPr="00F514E8">
        <w:rPr>
          <w:rFonts w:ascii="Arial" w:hAnsi="Arial" w:cs="Arial"/>
          <w:sz w:val="24"/>
          <w:szCs w:val="24"/>
        </w:rPr>
        <w:t>tividad de la entidad ejecutora. L</w:t>
      </w:r>
      <w:r w:rsidR="00F64461" w:rsidRPr="00F514E8">
        <w:rPr>
          <w:rFonts w:ascii="Arial" w:hAnsi="Arial" w:cs="Arial"/>
          <w:sz w:val="24"/>
          <w:szCs w:val="24"/>
        </w:rPr>
        <w:t xml:space="preserve">a interpretación literal </w:t>
      </w:r>
      <w:r w:rsidRPr="00F514E8">
        <w:rPr>
          <w:rFonts w:ascii="Arial" w:hAnsi="Arial" w:cs="Arial"/>
          <w:sz w:val="24"/>
          <w:szCs w:val="24"/>
        </w:rPr>
        <w:t>de esta</w:t>
      </w:r>
      <w:r w:rsidR="00F64461" w:rsidRPr="00F514E8">
        <w:rPr>
          <w:rFonts w:ascii="Arial" w:hAnsi="Arial" w:cs="Arial"/>
          <w:sz w:val="24"/>
          <w:szCs w:val="24"/>
        </w:rPr>
        <w:t xml:space="preserve"> norma </w:t>
      </w:r>
      <w:r w:rsidRPr="00F514E8">
        <w:rPr>
          <w:rFonts w:ascii="Arial" w:hAnsi="Arial" w:cs="Arial"/>
          <w:sz w:val="24"/>
          <w:szCs w:val="24"/>
        </w:rPr>
        <w:t>podría llevar</w:t>
      </w:r>
      <w:r w:rsidR="00F64461" w:rsidRPr="00F514E8">
        <w:rPr>
          <w:rFonts w:ascii="Arial" w:hAnsi="Arial" w:cs="Arial"/>
          <w:sz w:val="24"/>
          <w:szCs w:val="24"/>
        </w:rPr>
        <w:t xml:space="preserve"> al absurdo de con</w:t>
      </w:r>
      <w:r w:rsidR="00752EAD" w:rsidRPr="00F514E8">
        <w:rPr>
          <w:rFonts w:ascii="Arial" w:hAnsi="Arial" w:cs="Arial"/>
          <w:sz w:val="24"/>
          <w:szCs w:val="24"/>
        </w:rPr>
        <w:t xml:space="preserve">cluir </w:t>
      </w:r>
      <w:r w:rsidR="00F64461" w:rsidRPr="00F514E8">
        <w:rPr>
          <w:rFonts w:ascii="Arial" w:hAnsi="Arial" w:cs="Arial"/>
          <w:sz w:val="24"/>
          <w:szCs w:val="24"/>
        </w:rPr>
        <w:t>que, por ejemplo, si una entidad estatal, de aquellas def</w:t>
      </w:r>
      <w:r w:rsidR="00D57616" w:rsidRPr="00F514E8">
        <w:rPr>
          <w:rFonts w:ascii="Arial" w:hAnsi="Arial" w:cs="Arial"/>
          <w:sz w:val="24"/>
          <w:szCs w:val="24"/>
        </w:rPr>
        <w:t>inidas en el artículo 2º de la l</w:t>
      </w:r>
      <w:r w:rsidR="00F64461" w:rsidRPr="00F514E8">
        <w:rPr>
          <w:rFonts w:ascii="Arial" w:hAnsi="Arial" w:cs="Arial"/>
          <w:sz w:val="24"/>
          <w:szCs w:val="24"/>
        </w:rPr>
        <w:t>ey 80 de 1993, celebra un contrato de suministro, de compraventa</w:t>
      </w:r>
      <w:r w:rsidR="00752EAD" w:rsidRPr="00F514E8">
        <w:rPr>
          <w:rFonts w:ascii="Arial" w:hAnsi="Arial" w:cs="Arial"/>
          <w:sz w:val="24"/>
          <w:szCs w:val="24"/>
        </w:rPr>
        <w:t>, de cuenta corriente bancaria</w:t>
      </w:r>
      <w:r w:rsidR="00F64461" w:rsidRPr="00F514E8">
        <w:rPr>
          <w:rFonts w:ascii="Arial" w:hAnsi="Arial" w:cs="Arial"/>
          <w:sz w:val="24"/>
          <w:szCs w:val="24"/>
        </w:rPr>
        <w:t xml:space="preserve"> o de prestación de servicios con una sociedad comercial privada, dicho </w:t>
      </w:r>
      <w:r w:rsidR="00752EAD" w:rsidRPr="00F514E8">
        <w:rPr>
          <w:rFonts w:ascii="Arial" w:hAnsi="Arial" w:cs="Arial"/>
          <w:sz w:val="24"/>
          <w:szCs w:val="24"/>
        </w:rPr>
        <w:t xml:space="preserve">negocio </w:t>
      </w:r>
      <w:r w:rsidR="00F64461" w:rsidRPr="00F514E8">
        <w:rPr>
          <w:rFonts w:ascii="Arial" w:hAnsi="Arial" w:cs="Arial"/>
          <w:sz w:val="24"/>
          <w:szCs w:val="24"/>
        </w:rPr>
        <w:t>estaría sometido al Estatuto General de Contratación de la Administración Pública</w:t>
      </w:r>
      <w:r w:rsidRPr="00F514E8">
        <w:rPr>
          <w:rFonts w:ascii="Arial" w:hAnsi="Arial" w:cs="Arial"/>
          <w:sz w:val="24"/>
          <w:szCs w:val="24"/>
        </w:rPr>
        <w:t>. P</w:t>
      </w:r>
      <w:r w:rsidR="00F64461" w:rsidRPr="00F514E8">
        <w:rPr>
          <w:rFonts w:ascii="Arial" w:hAnsi="Arial" w:cs="Arial"/>
          <w:sz w:val="24"/>
          <w:szCs w:val="24"/>
        </w:rPr>
        <w:t xml:space="preserve">ero si celebra el mismo contrato con una empresa industrial y comercial del Estado o con una sociedad de economía mixta </w:t>
      </w:r>
      <w:r w:rsidR="00752EAD" w:rsidRPr="00F514E8">
        <w:rPr>
          <w:rFonts w:ascii="Arial" w:hAnsi="Arial" w:cs="Arial"/>
          <w:sz w:val="24"/>
          <w:szCs w:val="24"/>
        </w:rPr>
        <w:t xml:space="preserve">(con capital estatal superior al 50%) </w:t>
      </w:r>
      <w:r w:rsidR="00F64461" w:rsidRPr="00F514E8">
        <w:rPr>
          <w:rFonts w:ascii="Arial" w:hAnsi="Arial" w:cs="Arial"/>
          <w:sz w:val="24"/>
          <w:szCs w:val="24"/>
        </w:rPr>
        <w:t>que se encuentr</w:t>
      </w:r>
      <w:r w:rsidR="00396ACC" w:rsidRPr="00F514E8">
        <w:rPr>
          <w:rFonts w:ascii="Arial" w:hAnsi="Arial" w:cs="Arial"/>
          <w:sz w:val="24"/>
          <w:szCs w:val="24"/>
        </w:rPr>
        <w:t>e</w:t>
      </w:r>
      <w:r w:rsidR="00F64461" w:rsidRPr="00F514E8">
        <w:rPr>
          <w:rFonts w:ascii="Arial" w:hAnsi="Arial" w:cs="Arial"/>
          <w:sz w:val="24"/>
          <w:szCs w:val="24"/>
        </w:rPr>
        <w:t xml:space="preserve"> en competencia con el sector privado, entonces la ejecución de dicho contrato </w:t>
      </w:r>
      <w:r w:rsidR="004E7322" w:rsidRPr="00F514E8">
        <w:rPr>
          <w:rFonts w:ascii="Arial" w:hAnsi="Arial" w:cs="Arial"/>
          <w:sz w:val="24"/>
          <w:szCs w:val="24"/>
        </w:rPr>
        <w:t xml:space="preserve">quedaría excluida de </w:t>
      </w:r>
      <w:r w:rsidR="004242F5" w:rsidRPr="00F514E8">
        <w:rPr>
          <w:rFonts w:ascii="Arial" w:hAnsi="Arial" w:cs="Arial"/>
          <w:sz w:val="24"/>
          <w:szCs w:val="24"/>
        </w:rPr>
        <w:t>la l</w:t>
      </w:r>
      <w:r w:rsidR="00F64461" w:rsidRPr="00F514E8">
        <w:rPr>
          <w:rFonts w:ascii="Arial" w:hAnsi="Arial" w:cs="Arial"/>
          <w:sz w:val="24"/>
          <w:szCs w:val="24"/>
        </w:rPr>
        <w:t>ey 80</w:t>
      </w:r>
      <w:r w:rsidR="00752EAD" w:rsidRPr="00F514E8">
        <w:rPr>
          <w:rFonts w:ascii="Arial" w:hAnsi="Arial" w:cs="Arial"/>
          <w:sz w:val="24"/>
          <w:szCs w:val="24"/>
        </w:rPr>
        <w:t xml:space="preserve">, a pesar </w:t>
      </w:r>
      <w:r w:rsidR="00F64461" w:rsidRPr="00F514E8">
        <w:rPr>
          <w:rFonts w:ascii="Arial" w:hAnsi="Arial" w:cs="Arial"/>
          <w:sz w:val="24"/>
          <w:szCs w:val="24"/>
        </w:rPr>
        <w:t xml:space="preserve">de </w:t>
      </w:r>
      <w:r w:rsidR="00752EAD" w:rsidRPr="00F514E8">
        <w:rPr>
          <w:rFonts w:ascii="Arial" w:hAnsi="Arial" w:cs="Arial"/>
          <w:sz w:val="24"/>
          <w:szCs w:val="24"/>
        </w:rPr>
        <w:t>que las dos partes son entidades públicas.</w:t>
      </w:r>
      <w:r w:rsidR="00F64461" w:rsidRPr="00F514E8">
        <w:rPr>
          <w:rFonts w:ascii="Arial" w:hAnsi="Arial" w:cs="Arial"/>
          <w:sz w:val="24"/>
          <w:szCs w:val="24"/>
        </w:rPr>
        <w:t xml:space="preserve">    </w:t>
      </w:r>
      <w:r w:rsidR="00BE6C65" w:rsidRPr="00F514E8">
        <w:rPr>
          <w:rFonts w:ascii="Arial" w:hAnsi="Arial" w:cs="Arial"/>
          <w:sz w:val="24"/>
          <w:szCs w:val="24"/>
        </w:rPr>
        <w:t xml:space="preserve">  </w:t>
      </w:r>
    </w:p>
    <w:p w14:paraId="6C78625D" w14:textId="77777777" w:rsidR="00BE6C65" w:rsidRPr="00F514E8" w:rsidRDefault="00BE6C65" w:rsidP="00725D19">
      <w:pPr>
        <w:tabs>
          <w:tab w:val="left" w:pos="6825"/>
        </w:tabs>
        <w:spacing w:after="0" w:line="240" w:lineRule="auto"/>
        <w:jc w:val="both"/>
        <w:rPr>
          <w:rFonts w:ascii="Arial" w:hAnsi="Arial" w:cs="Arial"/>
          <w:sz w:val="24"/>
          <w:szCs w:val="24"/>
        </w:rPr>
      </w:pPr>
    </w:p>
    <w:p w14:paraId="61627083" w14:textId="77777777" w:rsidR="00C3427A" w:rsidRPr="00F514E8" w:rsidRDefault="004242F5" w:rsidP="00725D19">
      <w:pPr>
        <w:tabs>
          <w:tab w:val="left" w:pos="6825"/>
        </w:tabs>
        <w:spacing w:after="0" w:line="240" w:lineRule="auto"/>
        <w:jc w:val="both"/>
        <w:rPr>
          <w:rFonts w:ascii="Arial" w:hAnsi="Arial" w:cs="Arial"/>
          <w:sz w:val="24"/>
          <w:szCs w:val="24"/>
        </w:rPr>
      </w:pPr>
      <w:r w:rsidRPr="00F514E8">
        <w:rPr>
          <w:rFonts w:ascii="Arial" w:hAnsi="Arial" w:cs="Arial"/>
          <w:sz w:val="24"/>
          <w:szCs w:val="24"/>
        </w:rPr>
        <w:t xml:space="preserve">Si se </w:t>
      </w:r>
      <w:r w:rsidR="005978B5" w:rsidRPr="00F514E8">
        <w:rPr>
          <w:rFonts w:ascii="Arial" w:hAnsi="Arial" w:cs="Arial"/>
          <w:sz w:val="24"/>
          <w:szCs w:val="24"/>
        </w:rPr>
        <w:t>repara en</w:t>
      </w:r>
      <w:r w:rsidRPr="00F514E8">
        <w:rPr>
          <w:rFonts w:ascii="Arial" w:hAnsi="Arial" w:cs="Arial"/>
          <w:sz w:val="24"/>
          <w:szCs w:val="24"/>
        </w:rPr>
        <w:t xml:space="preserve"> que las l</w:t>
      </w:r>
      <w:r w:rsidR="00396ACC" w:rsidRPr="00F514E8">
        <w:rPr>
          <w:rFonts w:ascii="Arial" w:hAnsi="Arial" w:cs="Arial"/>
          <w:sz w:val="24"/>
          <w:szCs w:val="24"/>
        </w:rPr>
        <w:t>eyes 1150 de 2007 y 1474 de 2011</w:t>
      </w:r>
      <w:r w:rsidRPr="00F514E8">
        <w:rPr>
          <w:rFonts w:ascii="Arial" w:hAnsi="Arial" w:cs="Arial"/>
          <w:sz w:val="24"/>
          <w:szCs w:val="24"/>
        </w:rPr>
        <w:t xml:space="preserve"> </w:t>
      </w:r>
      <w:r w:rsidR="005978B5" w:rsidRPr="00F514E8">
        <w:rPr>
          <w:rFonts w:ascii="Arial" w:hAnsi="Arial" w:cs="Arial"/>
          <w:sz w:val="24"/>
          <w:szCs w:val="24"/>
        </w:rPr>
        <w:t>tuvieron como propósito, en este punto,</w:t>
      </w:r>
      <w:r w:rsidR="00396ACC" w:rsidRPr="00F514E8">
        <w:rPr>
          <w:rFonts w:ascii="Arial" w:hAnsi="Arial" w:cs="Arial"/>
          <w:sz w:val="24"/>
          <w:szCs w:val="24"/>
        </w:rPr>
        <w:t xml:space="preserve"> evitar los abusos cometidos por algunas entidades públicas mediante la contratación interadministrativa, </w:t>
      </w:r>
      <w:r w:rsidR="009B6612" w:rsidRPr="00F514E8">
        <w:rPr>
          <w:rFonts w:ascii="Arial" w:hAnsi="Arial" w:cs="Arial"/>
          <w:sz w:val="24"/>
          <w:szCs w:val="24"/>
        </w:rPr>
        <w:t xml:space="preserve">principalmente </w:t>
      </w:r>
      <w:r w:rsidR="00FC625B" w:rsidRPr="00F514E8">
        <w:rPr>
          <w:rFonts w:ascii="Arial" w:hAnsi="Arial" w:cs="Arial"/>
          <w:sz w:val="24"/>
          <w:szCs w:val="24"/>
        </w:rPr>
        <w:t xml:space="preserve">por </w:t>
      </w:r>
      <w:r w:rsidR="009B6612" w:rsidRPr="00F514E8">
        <w:rPr>
          <w:rFonts w:ascii="Arial" w:hAnsi="Arial" w:cs="Arial"/>
          <w:sz w:val="24"/>
          <w:szCs w:val="24"/>
        </w:rPr>
        <w:t xml:space="preserve">la </w:t>
      </w:r>
      <w:r w:rsidR="00D279F7" w:rsidRPr="00F514E8">
        <w:rPr>
          <w:rFonts w:ascii="Arial" w:hAnsi="Arial" w:cs="Arial"/>
          <w:sz w:val="24"/>
          <w:szCs w:val="24"/>
        </w:rPr>
        <w:t>intermedia</w:t>
      </w:r>
      <w:r w:rsidR="009B6612" w:rsidRPr="00F514E8">
        <w:rPr>
          <w:rFonts w:ascii="Arial" w:hAnsi="Arial" w:cs="Arial"/>
          <w:sz w:val="24"/>
          <w:szCs w:val="24"/>
        </w:rPr>
        <w:t xml:space="preserve">ción de </w:t>
      </w:r>
      <w:r w:rsidR="00D279F7" w:rsidRPr="00F514E8">
        <w:rPr>
          <w:rFonts w:ascii="Arial" w:hAnsi="Arial" w:cs="Arial"/>
          <w:sz w:val="24"/>
          <w:szCs w:val="24"/>
        </w:rPr>
        <w:t>recursos estatales con entidades públicas exceptuadas de l</w:t>
      </w:r>
      <w:r w:rsidRPr="00F514E8">
        <w:rPr>
          <w:rFonts w:ascii="Arial" w:hAnsi="Arial" w:cs="Arial"/>
          <w:sz w:val="24"/>
          <w:szCs w:val="24"/>
        </w:rPr>
        <w:t>a aplicación de la l</w:t>
      </w:r>
      <w:r w:rsidR="00D279F7" w:rsidRPr="00F514E8">
        <w:rPr>
          <w:rFonts w:ascii="Arial" w:hAnsi="Arial" w:cs="Arial"/>
          <w:sz w:val="24"/>
          <w:szCs w:val="24"/>
        </w:rPr>
        <w:t xml:space="preserve">ey 80 de 1993, </w:t>
      </w:r>
      <w:r w:rsidR="005978B5" w:rsidRPr="00F514E8">
        <w:rPr>
          <w:rFonts w:ascii="Arial" w:hAnsi="Arial" w:cs="Arial"/>
          <w:sz w:val="24"/>
          <w:szCs w:val="24"/>
        </w:rPr>
        <w:t>en opinión de la Sala debería asumirse que,</w:t>
      </w:r>
      <w:r w:rsidR="00D279F7" w:rsidRPr="00F514E8">
        <w:rPr>
          <w:rFonts w:ascii="Arial" w:hAnsi="Arial" w:cs="Arial"/>
          <w:sz w:val="24"/>
          <w:szCs w:val="24"/>
        </w:rPr>
        <w:t xml:space="preserve"> </w:t>
      </w:r>
      <w:r w:rsidR="00396ACC" w:rsidRPr="00F514E8">
        <w:rPr>
          <w:rFonts w:ascii="Arial" w:hAnsi="Arial" w:cs="Arial"/>
          <w:sz w:val="24"/>
          <w:szCs w:val="24"/>
        </w:rPr>
        <w:t xml:space="preserve">cuando la norma </w:t>
      </w:r>
      <w:r w:rsidR="005978B5" w:rsidRPr="00F514E8">
        <w:rPr>
          <w:rFonts w:ascii="Arial" w:hAnsi="Arial" w:cs="Arial"/>
          <w:sz w:val="24"/>
          <w:szCs w:val="24"/>
        </w:rPr>
        <w:t>alude</w:t>
      </w:r>
      <w:r w:rsidR="009B6612" w:rsidRPr="00F514E8">
        <w:rPr>
          <w:rFonts w:ascii="Arial" w:hAnsi="Arial" w:cs="Arial"/>
          <w:sz w:val="24"/>
          <w:szCs w:val="24"/>
        </w:rPr>
        <w:t xml:space="preserve"> </w:t>
      </w:r>
      <w:r w:rsidR="00396ACC" w:rsidRPr="00F514E8">
        <w:rPr>
          <w:rFonts w:ascii="Arial" w:hAnsi="Arial" w:cs="Arial"/>
          <w:sz w:val="24"/>
          <w:szCs w:val="24"/>
        </w:rPr>
        <w:t>a la “</w:t>
      </w:r>
      <w:r w:rsidR="00396ACC" w:rsidRPr="00F514E8">
        <w:rPr>
          <w:rFonts w:ascii="Arial" w:hAnsi="Arial" w:cs="Arial"/>
          <w:i/>
          <w:sz w:val="24"/>
          <w:szCs w:val="24"/>
        </w:rPr>
        <w:t>ejecución</w:t>
      </w:r>
      <w:r w:rsidR="00396ACC" w:rsidRPr="00F514E8">
        <w:rPr>
          <w:rFonts w:ascii="Arial" w:hAnsi="Arial" w:cs="Arial"/>
          <w:sz w:val="24"/>
          <w:szCs w:val="24"/>
        </w:rPr>
        <w:t>” del contrato interadministrativo</w:t>
      </w:r>
      <w:r w:rsidR="00D279F7" w:rsidRPr="00F514E8">
        <w:rPr>
          <w:rFonts w:ascii="Arial" w:hAnsi="Arial" w:cs="Arial"/>
          <w:sz w:val="24"/>
          <w:szCs w:val="24"/>
        </w:rPr>
        <w:t xml:space="preserve">, </w:t>
      </w:r>
      <w:r w:rsidR="00FC625B" w:rsidRPr="00F514E8">
        <w:rPr>
          <w:rFonts w:ascii="Arial" w:hAnsi="Arial" w:cs="Arial"/>
          <w:sz w:val="24"/>
          <w:szCs w:val="24"/>
        </w:rPr>
        <w:t xml:space="preserve">se refiere a </w:t>
      </w:r>
      <w:r w:rsidR="00396ACC" w:rsidRPr="00F514E8">
        <w:rPr>
          <w:rFonts w:ascii="Arial" w:hAnsi="Arial" w:cs="Arial"/>
          <w:sz w:val="24"/>
          <w:szCs w:val="24"/>
        </w:rPr>
        <w:t>la celebración de los contratos derivados o “subcontratos” que se requiera</w:t>
      </w:r>
      <w:r w:rsidR="00D279F7" w:rsidRPr="00F514E8">
        <w:rPr>
          <w:rFonts w:ascii="Arial" w:hAnsi="Arial" w:cs="Arial"/>
          <w:sz w:val="24"/>
          <w:szCs w:val="24"/>
        </w:rPr>
        <w:t xml:space="preserve">n </w:t>
      </w:r>
      <w:r w:rsidR="00396ACC" w:rsidRPr="00F514E8">
        <w:rPr>
          <w:rFonts w:ascii="Arial" w:hAnsi="Arial" w:cs="Arial"/>
          <w:sz w:val="24"/>
          <w:szCs w:val="24"/>
        </w:rPr>
        <w:t xml:space="preserve">para </w:t>
      </w:r>
      <w:r w:rsidR="0042264F" w:rsidRPr="00F514E8">
        <w:rPr>
          <w:rFonts w:ascii="Arial" w:hAnsi="Arial" w:cs="Arial"/>
          <w:sz w:val="24"/>
          <w:szCs w:val="24"/>
        </w:rPr>
        <w:t>cumplir con las obligaciones asumidas por la entidad pública ejecutora</w:t>
      </w:r>
      <w:r w:rsidR="00D279F7" w:rsidRPr="00F514E8">
        <w:rPr>
          <w:rFonts w:ascii="Arial" w:hAnsi="Arial" w:cs="Arial"/>
          <w:sz w:val="24"/>
          <w:szCs w:val="24"/>
        </w:rPr>
        <w:t xml:space="preserve">. </w:t>
      </w:r>
    </w:p>
    <w:p w14:paraId="18832CA1" w14:textId="77777777" w:rsidR="00C3427A" w:rsidRPr="00F514E8" w:rsidRDefault="00C3427A" w:rsidP="00725D19">
      <w:pPr>
        <w:tabs>
          <w:tab w:val="left" w:pos="6825"/>
        </w:tabs>
        <w:spacing w:after="0" w:line="240" w:lineRule="auto"/>
        <w:jc w:val="both"/>
        <w:rPr>
          <w:rFonts w:ascii="Arial" w:hAnsi="Arial" w:cs="Arial"/>
          <w:sz w:val="24"/>
          <w:szCs w:val="24"/>
        </w:rPr>
      </w:pPr>
    </w:p>
    <w:p w14:paraId="7B53EA8F" w14:textId="77777777" w:rsidR="00396ACC" w:rsidRPr="00F514E8" w:rsidRDefault="0042264F" w:rsidP="00725D19">
      <w:pPr>
        <w:tabs>
          <w:tab w:val="left" w:pos="6825"/>
        </w:tabs>
        <w:spacing w:after="0" w:line="240" w:lineRule="auto"/>
        <w:jc w:val="both"/>
        <w:rPr>
          <w:rFonts w:ascii="Arial" w:hAnsi="Arial" w:cs="Arial"/>
          <w:sz w:val="24"/>
          <w:szCs w:val="24"/>
        </w:rPr>
      </w:pPr>
      <w:r w:rsidRPr="00F514E8">
        <w:rPr>
          <w:rFonts w:ascii="Arial" w:hAnsi="Arial" w:cs="Arial"/>
          <w:sz w:val="24"/>
          <w:szCs w:val="24"/>
        </w:rPr>
        <w:t xml:space="preserve">En esa medida, si </w:t>
      </w:r>
      <w:r w:rsidR="00C3427A" w:rsidRPr="00F514E8">
        <w:rPr>
          <w:rFonts w:ascii="Arial" w:hAnsi="Arial" w:cs="Arial"/>
          <w:sz w:val="24"/>
          <w:szCs w:val="24"/>
        </w:rPr>
        <w:t>dicha entidad pública está en competencia con el sector privado, o la ejecución del convenio interadministrativo guarda relación directa con las actividades propias de la misma (como sería lo normal), los contratos derivados o “subcontratos” que tal entidad celebre con particulares</w:t>
      </w:r>
      <w:r w:rsidR="004E7322" w:rsidRPr="00F514E8">
        <w:rPr>
          <w:rFonts w:ascii="Arial" w:hAnsi="Arial" w:cs="Arial"/>
          <w:sz w:val="24"/>
          <w:szCs w:val="24"/>
        </w:rPr>
        <w:t>,</w:t>
      </w:r>
      <w:r w:rsidR="00C3427A" w:rsidRPr="00F514E8">
        <w:rPr>
          <w:rFonts w:ascii="Arial" w:hAnsi="Arial" w:cs="Arial"/>
          <w:sz w:val="24"/>
          <w:szCs w:val="24"/>
        </w:rPr>
        <w:t xml:space="preserve"> </w:t>
      </w:r>
      <w:r w:rsidR="00D279F7" w:rsidRPr="00F514E8">
        <w:rPr>
          <w:rFonts w:ascii="Arial" w:hAnsi="Arial" w:cs="Arial"/>
          <w:sz w:val="24"/>
          <w:szCs w:val="24"/>
        </w:rPr>
        <w:t xml:space="preserve">para cumplir con sus obligaciones frente a la otra entidad pública contratante, </w:t>
      </w:r>
      <w:r w:rsidR="00C3427A" w:rsidRPr="00F514E8">
        <w:rPr>
          <w:rFonts w:ascii="Arial" w:hAnsi="Arial" w:cs="Arial"/>
          <w:sz w:val="24"/>
          <w:szCs w:val="24"/>
        </w:rPr>
        <w:t>no estar</w:t>
      </w:r>
      <w:r w:rsidR="009B6612" w:rsidRPr="00F514E8">
        <w:rPr>
          <w:rFonts w:ascii="Arial" w:hAnsi="Arial" w:cs="Arial"/>
          <w:sz w:val="24"/>
          <w:szCs w:val="24"/>
        </w:rPr>
        <w:t>ían</w:t>
      </w:r>
      <w:r w:rsidR="00C3427A" w:rsidRPr="00F514E8">
        <w:rPr>
          <w:rFonts w:ascii="Arial" w:hAnsi="Arial" w:cs="Arial"/>
          <w:sz w:val="24"/>
          <w:szCs w:val="24"/>
        </w:rPr>
        <w:t xml:space="preserve"> sometidos al Estatuto General de Contratación de la Administración Pública.    </w:t>
      </w:r>
      <w:r w:rsidRPr="00F514E8">
        <w:rPr>
          <w:rFonts w:ascii="Arial" w:hAnsi="Arial" w:cs="Arial"/>
          <w:sz w:val="24"/>
          <w:szCs w:val="24"/>
        </w:rPr>
        <w:t xml:space="preserve"> </w:t>
      </w:r>
      <w:r w:rsidR="00396ACC" w:rsidRPr="00F514E8">
        <w:rPr>
          <w:rFonts w:ascii="Arial" w:hAnsi="Arial" w:cs="Arial"/>
          <w:sz w:val="24"/>
          <w:szCs w:val="24"/>
        </w:rPr>
        <w:t xml:space="preserve">     </w:t>
      </w:r>
    </w:p>
    <w:p w14:paraId="5D5A7A7D" w14:textId="77777777" w:rsidR="00BE6C65" w:rsidRPr="00F514E8" w:rsidRDefault="00BE6C65" w:rsidP="00725D19">
      <w:pPr>
        <w:tabs>
          <w:tab w:val="left" w:pos="6825"/>
        </w:tabs>
        <w:spacing w:after="0" w:line="240" w:lineRule="auto"/>
        <w:jc w:val="both"/>
        <w:rPr>
          <w:rFonts w:ascii="Arial" w:hAnsi="Arial" w:cs="Arial"/>
          <w:sz w:val="24"/>
          <w:szCs w:val="24"/>
        </w:rPr>
      </w:pPr>
    </w:p>
    <w:p w14:paraId="731A0811" w14:textId="77777777" w:rsidR="00C3427A" w:rsidRPr="00F514E8" w:rsidRDefault="00C3427A" w:rsidP="00725D19">
      <w:pPr>
        <w:tabs>
          <w:tab w:val="left" w:pos="6825"/>
        </w:tabs>
        <w:spacing w:after="0" w:line="240" w:lineRule="auto"/>
        <w:jc w:val="both"/>
        <w:rPr>
          <w:rFonts w:ascii="Arial" w:hAnsi="Arial" w:cs="Arial"/>
          <w:sz w:val="24"/>
          <w:szCs w:val="24"/>
        </w:rPr>
      </w:pPr>
      <w:r w:rsidRPr="00F514E8">
        <w:rPr>
          <w:rFonts w:ascii="Arial" w:hAnsi="Arial" w:cs="Arial"/>
          <w:sz w:val="24"/>
          <w:szCs w:val="24"/>
        </w:rPr>
        <w:t>Por el contrario, si la entidad pública ejecutora no estuvier</w:t>
      </w:r>
      <w:r w:rsidR="00D279F7" w:rsidRPr="00F514E8">
        <w:rPr>
          <w:rFonts w:ascii="Arial" w:hAnsi="Arial" w:cs="Arial"/>
          <w:sz w:val="24"/>
          <w:szCs w:val="24"/>
        </w:rPr>
        <w:t>a</w:t>
      </w:r>
      <w:r w:rsidRPr="00F514E8">
        <w:rPr>
          <w:rFonts w:ascii="Arial" w:hAnsi="Arial" w:cs="Arial"/>
          <w:sz w:val="24"/>
          <w:szCs w:val="24"/>
        </w:rPr>
        <w:t xml:space="preserve"> en competencia con el sector privado, o la ejecución del convenio interadministrativo no tuviere, por alguna razón, relación directa con las actividades propias de</w:t>
      </w:r>
      <w:r w:rsidR="009B6612" w:rsidRPr="00F514E8">
        <w:rPr>
          <w:rFonts w:ascii="Arial" w:hAnsi="Arial" w:cs="Arial"/>
          <w:sz w:val="24"/>
          <w:szCs w:val="24"/>
        </w:rPr>
        <w:t xml:space="preserve"> su objeto, </w:t>
      </w:r>
      <w:r w:rsidRPr="00F514E8">
        <w:rPr>
          <w:rFonts w:ascii="Arial" w:hAnsi="Arial" w:cs="Arial"/>
          <w:sz w:val="24"/>
          <w:szCs w:val="24"/>
        </w:rPr>
        <w:t xml:space="preserve">los contratos derivados o </w:t>
      </w:r>
      <w:r w:rsidR="00D279F7" w:rsidRPr="00F514E8">
        <w:rPr>
          <w:rFonts w:ascii="Arial" w:hAnsi="Arial" w:cs="Arial"/>
          <w:sz w:val="24"/>
          <w:szCs w:val="24"/>
        </w:rPr>
        <w:t xml:space="preserve">los </w:t>
      </w:r>
      <w:r w:rsidRPr="00F514E8">
        <w:rPr>
          <w:rFonts w:ascii="Arial" w:hAnsi="Arial" w:cs="Arial"/>
          <w:sz w:val="24"/>
          <w:szCs w:val="24"/>
        </w:rPr>
        <w:t xml:space="preserve">“subcontratos” que celebre para ejecutar las obligaciones </w:t>
      </w:r>
      <w:proofErr w:type="spellStart"/>
      <w:r w:rsidRPr="00F514E8">
        <w:rPr>
          <w:rFonts w:ascii="Arial" w:hAnsi="Arial" w:cs="Arial"/>
          <w:sz w:val="24"/>
          <w:szCs w:val="24"/>
        </w:rPr>
        <w:t>contra</w:t>
      </w:r>
      <w:r w:rsidR="001C7742" w:rsidRPr="00F514E8">
        <w:rPr>
          <w:rFonts w:ascii="Arial" w:hAnsi="Arial" w:cs="Arial"/>
          <w:sz w:val="24"/>
          <w:szCs w:val="24"/>
        </w:rPr>
        <w:t>i</w:t>
      </w:r>
      <w:r w:rsidRPr="00F514E8">
        <w:rPr>
          <w:rFonts w:ascii="Arial" w:hAnsi="Arial" w:cs="Arial"/>
          <w:sz w:val="24"/>
          <w:szCs w:val="24"/>
        </w:rPr>
        <w:t>das</w:t>
      </w:r>
      <w:proofErr w:type="spellEnd"/>
      <w:r w:rsidRPr="00F514E8">
        <w:rPr>
          <w:rFonts w:ascii="Arial" w:hAnsi="Arial" w:cs="Arial"/>
          <w:sz w:val="24"/>
          <w:szCs w:val="24"/>
        </w:rPr>
        <w:t xml:space="preserve"> en virtud del convenio interadministrativo, estar</w:t>
      </w:r>
      <w:r w:rsidR="00FF3D9E" w:rsidRPr="00F514E8">
        <w:rPr>
          <w:rFonts w:ascii="Arial" w:hAnsi="Arial" w:cs="Arial"/>
          <w:sz w:val="24"/>
          <w:szCs w:val="24"/>
        </w:rPr>
        <w:t>ían sometidos al régimen de la l</w:t>
      </w:r>
      <w:r w:rsidRPr="00F514E8">
        <w:rPr>
          <w:rFonts w:ascii="Arial" w:hAnsi="Arial" w:cs="Arial"/>
          <w:sz w:val="24"/>
          <w:szCs w:val="24"/>
        </w:rPr>
        <w:t>ey 80 de 1993</w:t>
      </w:r>
      <w:r w:rsidR="00FC625B" w:rsidRPr="00F514E8">
        <w:rPr>
          <w:rStyle w:val="Refdenotaalpie"/>
          <w:rFonts w:ascii="Arial" w:hAnsi="Arial" w:cs="Arial"/>
          <w:sz w:val="24"/>
          <w:szCs w:val="24"/>
        </w:rPr>
        <w:footnoteReference w:id="26"/>
      </w:r>
      <w:r w:rsidRPr="00F514E8">
        <w:rPr>
          <w:rFonts w:ascii="Arial" w:hAnsi="Arial" w:cs="Arial"/>
          <w:sz w:val="24"/>
          <w:szCs w:val="24"/>
        </w:rPr>
        <w:t xml:space="preserve">. </w:t>
      </w:r>
    </w:p>
    <w:p w14:paraId="48B45B47" w14:textId="77777777" w:rsidR="00C3427A" w:rsidRPr="00F514E8" w:rsidRDefault="00C3427A" w:rsidP="00725D19">
      <w:pPr>
        <w:tabs>
          <w:tab w:val="left" w:pos="6825"/>
        </w:tabs>
        <w:spacing w:after="0" w:line="240" w:lineRule="auto"/>
        <w:jc w:val="both"/>
        <w:rPr>
          <w:rFonts w:ascii="Arial" w:hAnsi="Arial" w:cs="Arial"/>
          <w:sz w:val="24"/>
          <w:szCs w:val="24"/>
        </w:rPr>
      </w:pPr>
    </w:p>
    <w:p w14:paraId="4A1E8A3C" w14:textId="77777777" w:rsidR="003138BE" w:rsidRPr="00F514E8" w:rsidRDefault="00C3427A" w:rsidP="00725D19">
      <w:pPr>
        <w:tabs>
          <w:tab w:val="left" w:pos="6825"/>
        </w:tabs>
        <w:spacing w:after="0" w:line="240" w:lineRule="auto"/>
        <w:jc w:val="both"/>
        <w:rPr>
          <w:rFonts w:ascii="Arial" w:hAnsi="Arial" w:cs="Arial"/>
          <w:sz w:val="24"/>
          <w:szCs w:val="24"/>
        </w:rPr>
      </w:pPr>
      <w:r w:rsidRPr="00F514E8">
        <w:rPr>
          <w:rFonts w:ascii="Arial" w:hAnsi="Arial" w:cs="Arial"/>
          <w:sz w:val="24"/>
          <w:szCs w:val="24"/>
        </w:rPr>
        <w:t xml:space="preserve">En todo caso, </w:t>
      </w:r>
      <w:r w:rsidR="00FF3D9E" w:rsidRPr="00F514E8">
        <w:rPr>
          <w:rFonts w:ascii="Arial" w:hAnsi="Arial" w:cs="Arial"/>
          <w:sz w:val="24"/>
          <w:szCs w:val="24"/>
        </w:rPr>
        <w:t>se resalta</w:t>
      </w:r>
      <w:r w:rsidRPr="00F514E8">
        <w:rPr>
          <w:rFonts w:ascii="Arial" w:hAnsi="Arial" w:cs="Arial"/>
          <w:sz w:val="24"/>
          <w:szCs w:val="24"/>
        </w:rPr>
        <w:t xml:space="preserve"> que</w:t>
      </w:r>
      <w:r w:rsidR="00D279F7" w:rsidRPr="00F514E8">
        <w:rPr>
          <w:rFonts w:ascii="Arial" w:hAnsi="Arial" w:cs="Arial"/>
          <w:sz w:val="24"/>
          <w:szCs w:val="24"/>
        </w:rPr>
        <w:t>,</w:t>
      </w:r>
      <w:r w:rsidRPr="00F514E8">
        <w:rPr>
          <w:rFonts w:ascii="Arial" w:hAnsi="Arial" w:cs="Arial"/>
          <w:sz w:val="24"/>
          <w:szCs w:val="24"/>
        </w:rPr>
        <w:t xml:space="preserve"> en la hipótesis </w:t>
      </w:r>
      <w:r w:rsidR="007E731A" w:rsidRPr="00F514E8">
        <w:rPr>
          <w:rFonts w:ascii="Arial" w:hAnsi="Arial" w:cs="Arial"/>
          <w:sz w:val="24"/>
          <w:szCs w:val="24"/>
        </w:rPr>
        <w:t>analizada</w:t>
      </w:r>
      <w:r w:rsidRPr="00F514E8">
        <w:rPr>
          <w:rFonts w:ascii="Arial" w:hAnsi="Arial" w:cs="Arial"/>
          <w:sz w:val="24"/>
          <w:szCs w:val="24"/>
        </w:rPr>
        <w:t xml:space="preserve">, </w:t>
      </w:r>
      <w:r w:rsidRPr="00F514E8">
        <w:rPr>
          <w:rFonts w:ascii="Arial" w:hAnsi="Arial" w:cs="Arial"/>
          <w:b/>
          <w:sz w:val="24"/>
          <w:szCs w:val="24"/>
        </w:rPr>
        <w:t>el contrato interadministrativo</w:t>
      </w:r>
      <w:r w:rsidR="00D279F7" w:rsidRPr="00F514E8">
        <w:rPr>
          <w:rFonts w:ascii="Arial" w:hAnsi="Arial" w:cs="Arial"/>
          <w:b/>
          <w:sz w:val="24"/>
          <w:szCs w:val="24"/>
        </w:rPr>
        <w:t>,</w:t>
      </w:r>
      <w:r w:rsidR="00D3362D" w:rsidRPr="00F514E8">
        <w:rPr>
          <w:rFonts w:ascii="Arial" w:hAnsi="Arial" w:cs="Arial"/>
          <w:b/>
          <w:sz w:val="24"/>
          <w:szCs w:val="24"/>
        </w:rPr>
        <w:t xml:space="preserve"> en sí mismo</w:t>
      </w:r>
      <w:r w:rsidRPr="00F514E8">
        <w:rPr>
          <w:rFonts w:ascii="Arial" w:hAnsi="Arial" w:cs="Arial"/>
          <w:sz w:val="24"/>
          <w:szCs w:val="24"/>
        </w:rPr>
        <w:t>, en cuanto a su celebración, ejecución, terminación y liquidación</w:t>
      </w:r>
      <w:r w:rsidR="00FF3D9E" w:rsidRPr="00F514E8">
        <w:rPr>
          <w:rFonts w:ascii="Arial" w:hAnsi="Arial" w:cs="Arial"/>
          <w:sz w:val="24"/>
          <w:szCs w:val="24"/>
        </w:rPr>
        <w:t>,</w:t>
      </w:r>
      <w:r w:rsidRPr="00F514E8">
        <w:rPr>
          <w:rFonts w:ascii="Arial" w:hAnsi="Arial" w:cs="Arial"/>
          <w:sz w:val="24"/>
          <w:szCs w:val="24"/>
        </w:rPr>
        <w:t xml:space="preserve"> está sometido al Estatuto General de Contratación de la </w:t>
      </w:r>
      <w:r w:rsidRPr="00F514E8">
        <w:rPr>
          <w:rFonts w:ascii="Arial" w:hAnsi="Arial" w:cs="Arial"/>
          <w:sz w:val="24"/>
          <w:szCs w:val="24"/>
        </w:rPr>
        <w:lastRenderedPageBreak/>
        <w:t xml:space="preserve">Administración Pública, </w:t>
      </w:r>
      <w:r w:rsidR="00D279F7" w:rsidRPr="00F514E8">
        <w:rPr>
          <w:rFonts w:ascii="Arial" w:hAnsi="Arial" w:cs="Arial"/>
          <w:sz w:val="24"/>
          <w:szCs w:val="24"/>
        </w:rPr>
        <w:t xml:space="preserve">teniendo en cuenta, </w:t>
      </w:r>
      <w:r w:rsidRPr="00F514E8">
        <w:rPr>
          <w:rFonts w:ascii="Arial" w:hAnsi="Arial" w:cs="Arial"/>
          <w:sz w:val="24"/>
          <w:szCs w:val="24"/>
        </w:rPr>
        <w:t xml:space="preserve">obviamente, las particularidades que dicho </w:t>
      </w:r>
      <w:r w:rsidR="00FF3D9E" w:rsidRPr="00F514E8">
        <w:rPr>
          <w:rFonts w:ascii="Arial" w:hAnsi="Arial" w:cs="Arial"/>
          <w:sz w:val="24"/>
          <w:szCs w:val="24"/>
        </w:rPr>
        <w:t>r</w:t>
      </w:r>
      <w:r w:rsidR="00D279F7" w:rsidRPr="00F514E8">
        <w:rPr>
          <w:rFonts w:ascii="Arial" w:hAnsi="Arial" w:cs="Arial"/>
          <w:sz w:val="24"/>
          <w:szCs w:val="24"/>
        </w:rPr>
        <w:t xml:space="preserve">égimen </w:t>
      </w:r>
      <w:r w:rsidRPr="00F514E8">
        <w:rPr>
          <w:rFonts w:ascii="Arial" w:hAnsi="Arial" w:cs="Arial"/>
          <w:sz w:val="24"/>
          <w:szCs w:val="24"/>
        </w:rPr>
        <w:t>consagra para los contratos interadministrativos</w:t>
      </w:r>
      <w:r w:rsidR="004E7322" w:rsidRPr="00F514E8">
        <w:rPr>
          <w:rFonts w:ascii="Arial" w:hAnsi="Arial" w:cs="Arial"/>
          <w:sz w:val="24"/>
          <w:szCs w:val="24"/>
        </w:rPr>
        <w:t>,</w:t>
      </w:r>
      <w:r w:rsidRPr="00F514E8">
        <w:rPr>
          <w:rFonts w:ascii="Arial" w:hAnsi="Arial" w:cs="Arial"/>
          <w:sz w:val="24"/>
          <w:szCs w:val="24"/>
        </w:rPr>
        <w:t xml:space="preserve"> y</w:t>
      </w:r>
      <w:r w:rsidR="00D279F7" w:rsidRPr="00F514E8">
        <w:rPr>
          <w:rFonts w:ascii="Arial" w:hAnsi="Arial" w:cs="Arial"/>
          <w:sz w:val="24"/>
          <w:szCs w:val="24"/>
        </w:rPr>
        <w:t xml:space="preserve"> considerando que, </w:t>
      </w:r>
      <w:r w:rsidR="00FF3D9E" w:rsidRPr="00F514E8">
        <w:rPr>
          <w:rFonts w:ascii="Arial" w:hAnsi="Arial" w:cs="Arial"/>
          <w:sz w:val="24"/>
          <w:szCs w:val="24"/>
        </w:rPr>
        <w:t>según el artículo 40 de la l</w:t>
      </w:r>
      <w:r w:rsidRPr="00F514E8">
        <w:rPr>
          <w:rFonts w:ascii="Arial" w:hAnsi="Arial" w:cs="Arial"/>
          <w:sz w:val="24"/>
          <w:szCs w:val="24"/>
        </w:rPr>
        <w:t>ey 80</w:t>
      </w:r>
      <w:r w:rsidR="00D279F7" w:rsidRPr="00F514E8">
        <w:rPr>
          <w:rFonts w:ascii="Arial" w:hAnsi="Arial" w:cs="Arial"/>
          <w:sz w:val="24"/>
          <w:szCs w:val="24"/>
        </w:rPr>
        <w:t xml:space="preserve">, </w:t>
      </w:r>
      <w:r w:rsidRPr="00F514E8">
        <w:rPr>
          <w:rFonts w:ascii="Arial" w:hAnsi="Arial" w:cs="Arial"/>
          <w:sz w:val="24"/>
          <w:szCs w:val="24"/>
        </w:rPr>
        <w:t xml:space="preserve">el objeto o “contenido” de los contratos estatales </w:t>
      </w:r>
      <w:r w:rsidR="00D3362D" w:rsidRPr="00F514E8">
        <w:rPr>
          <w:rFonts w:ascii="Arial" w:hAnsi="Arial" w:cs="Arial"/>
          <w:sz w:val="24"/>
          <w:szCs w:val="24"/>
        </w:rPr>
        <w:t>es el que, “</w:t>
      </w:r>
      <w:r w:rsidR="00D3362D" w:rsidRPr="00F514E8">
        <w:rPr>
          <w:rFonts w:ascii="Arial" w:hAnsi="Arial" w:cs="Arial"/>
          <w:i/>
          <w:sz w:val="24"/>
          <w:szCs w:val="24"/>
        </w:rPr>
        <w:t>de acuerdo con las normas civiles, comerciales y las previstas en esta ley, correspondan a su esencia y naturaleza”</w:t>
      </w:r>
      <w:r w:rsidR="00D3362D" w:rsidRPr="00F514E8">
        <w:rPr>
          <w:rFonts w:ascii="Arial" w:hAnsi="Arial" w:cs="Arial"/>
          <w:sz w:val="24"/>
          <w:szCs w:val="24"/>
        </w:rPr>
        <w:t>, así como a “</w:t>
      </w:r>
      <w:r w:rsidR="00D3362D" w:rsidRPr="00F514E8">
        <w:rPr>
          <w:rFonts w:ascii="Arial" w:hAnsi="Arial" w:cs="Arial"/>
          <w:i/>
          <w:sz w:val="24"/>
          <w:szCs w:val="24"/>
        </w:rPr>
        <w:t>las modalidades, condiciones y, en general, las cláusulas o estipulaciones que las partes consideren necesarias y convenientes…”</w:t>
      </w:r>
      <w:r w:rsidR="00D3362D" w:rsidRPr="00F514E8">
        <w:rPr>
          <w:rFonts w:ascii="Arial" w:hAnsi="Arial" w:cs="Arial"/>
          <w:sz w:val="24"/>
          <w:szCs w:val="24"/>
        </w:rPr>
        <w:t xml:space="preserve">, </w:t>
      </w:r>
      <w:r w:rsidR="00B96D4C" w:rsidRPr="00F514E8">
        <w:rPr>
          <w:rFonts w:ascii="Arial" w:hAnsi="Arial" w:cs="Arial"/>
          <w:sz w:val="24"/>
          <w:szCs w:val="24"/>
        </w:rPr>
        <w:t xml:space="preserve">conforme al </w:t>
      </w:r>
      <w:r w:rsidR="00D3362D" w:rsidRPr="00F514E8">
        <w:rPr>
          <w:rFonts w:ascii="Arial" w:hAnsi="Arial" w:cs="Arial"/>
          <w:sz w:val="24"/>
          <w:szCs w:val="24"/>
        </w:rPr>
        <w:t>principio de la autonomía de la voluntad</w:t>
      </w:r>
      <w:r w:rsidR="00D279F7" w:rsidRPr="00F514E8">
        <w:rPr>
          <w:rFonts w:ascii="Arial" w:hAnsi="Arial" w:cs="Arial"/>
          <w:sz w:val="24"/>
          <w:szCs w:val="24"/>
        </w:rPr>
        <w:t>.</w:t>
      </w:r>
      <w:r w:rsidR="00D3362D" w:rsidRPr="00F514E8">
        <w:rPr>
          <w:rFonts w:ascii="Arial" w:hAnsi="Arial" w:cs="Arial"/>
          <w:i/>
          <w:sz w:val="24"/>
          <w:szCs w:val="24"/>
        </w:rPr>
        <w:t xml:space="preserve">  </w:t>
      </w:r>
      <w:r w:rsidRPr="00F514E8">
        <w:rPr>
          <w:rFonts w:ascii="Arial" w:hAnsi="Arial" w:cs="Arial"/>
          <w:sz w:val="24"/>
          <w:szCs w:val="24"/>
        </w:rPr>
        <w:t xml:space="preserve">    </w:t>
      </w:r>
      <w:r w:rsidR="00815027" w:rsidRPr="00F514E8">
        <w:rPr>
          <w:rFonts w:ascii="Arial" w:hAnsi="Arial" w:cs="Arial"/>
          <w:sz w:val="24"/>
          <w:szCs w:val="24"/>
        </w:rPr>
        <w:t xml:space="preserve">   </w:t>
      </w:r>
    </w:p>
    <w:p w14:paraId="10A9F8AA" w14:textId="77777777" w:rsidR="00815027" w:rsidRPr="00F514E8" w:rsidRDefault="00815027" w:rsidP="00725D19">
      <w:pPr>
        <w:tabs>
          <w:tab w:val="left" w:pos="6825"/>
        </w:tabs>
        <w:spacing w:after="0" w:line="240" w:lineRule="auto"/>
        <w:jc w:val="both"/>
        <w:rPr>
          <w:rFonts w:ascii="Arial" w:hAnsi="Arial" w:cs="Arial"/>
          <w:b/>
          <w:sz w:val="24"/>
          <w:szCs w:val="24"/>
        </w:rPr>
      </w:pPr>
    </w:p>
    <w:p w14:paraId="63B55591" w14:textId="77777777" w:rsidR="00D3362D" w:rsidRPr="00F514E8" w:rsidRDefault="00FF3D9E" w:rsidP="00725D19">
      <w:pPr>
        <w:tabs>
          <w:tab w:val="left" w:pos="6825"/>
        </w:tabs>
        <w:spacing w:after="0" w:line="240" w:lineRule="auto"/>
        <w:jc w:val="both"/>
        <w:rPr>
          <w:rFonts w:ascii="Arial" w:hAnsi="Arial" w:cs="Arial"/>
          <w:sz w:val="24"/>
          <w:szCs w:val="24"/>
        </w:rPr>
      </w:pPr>
      <w:r w:rsidRPr="00F514E8">
        <w:rPr>
          <w:rFonts w:ascii="Arial" w:hAnsi="Arial" w:cs="Arial"/>
          <w:sz w:val="24"/>
          <w:szCs w:val="24"/>
        </w:rPr>
        <w:t>Justamente</w:t>
      </w:r>
      <w:r w:rsidR="00D3362D" w:rsidRPr="00F514E8">
        <w:rPr>
          <w:rFonts w:ascii="Arial" w:hAnsi="Arial" w:cs="Arial"/>
          <w:sz w:val="24"/>
          <w:szCs w:val="24"/>
        </w:rPr>
        <w:t xml:space="preserve"> una de las particularidades </w:t>
      </w:r>
      <w:r w:rsidRPr="00F514E8">
        <w:rPr>
          <w:rFonts w:ascii="Arial" w:hAnsi="Arial" w:cs="Arial"/>
          <w:sz w:val="24"/>
          <w:szCs w:val="24"/>
        </w:rPr>
        <w:t>de</w:t>
      </w:r>
      <w:r w:rsidR="00D3362D" w:rsidRPr="00F514E8">
        <w:rPr>
          <w:rFonts w:ascii="Arial" w:hAnsi="Arial" w:cs="Arial"/>
          <w:sz w:val="24"/>
          <w:szCs w:val="24"/>
        </w:rPr>
        <w:t xml:space="preserve"> los contratos interadministrativos</w:t>
      </w:r>
      <w:r w:rsidR="00D279F7" w:rsidRPr="00F514E8">
        <w:rPr>
          <w:rFonts w:ascii="Arial" w:hAnsi="Arial" w:cs="Arial"/>
          <w:sz w:val="24"/>
          <w:szCs w:val="24"/>
        </w:rPr>
        <w:t>,</w:t>
      </w:r>
      <w:r w:rsidR="00D3362D" w:rsidRPr="00F514E8">
        <w:rPr>
          <w:rFonts w:ascii="Arial" w:hAnsi="Arial" w:cs="Arial"/>
          <w:sz w:val="24"/>
          <w:szCs w:val="24"/>
        </w:rPr>
        <w:t xml:space="preserve"> </w:t>
      </w:r>
      <w:r w:rsidRPr="00F514E8">
        <w:rPr>
          <w:rFonts w:ascii="Arial" w:hAnsi="Arial" w:cs="Arial"/>
          <w:sz w:val="24"/>
          <w:szCs w:val="24"/>
        </w:rPr>
        <w:t>en relación con</w:t>
      </w:r>
      <w:r w:rsidR="00D3362D" w:rsidRPr="00F514E8">
        <w:rPr>
          <w:rFonts w:ascii="Arial" w:hAnsi="Arial" w:cs="Arial"/>
          <w:sz w:val="24"/>
          <w:szCs w:val="24"/>
        </w:rPr>
        <w:t xml:space="preserve"> los demás contratos estatales, </w:t>
      </w:r>
      <w:r w:rsidRPr="00F514E8">
        <w:rPr>
          <w:rFonts w:ascii="Arial" w:hAnsi="Arial" w:cs="Arial"/>
          <w:sz w:val="24"/>
          <w:szCs w:val="24"/>
        </w:rPr>
        <w:t>radica en que no pueden</w:t>
      </w:r>
      <w:r w:rsidR="00D3362D" w:rsidRPr="00F514E8">
        <w:rPr>
          <w:rFonts w:ascii="Arial" w:hAnsi="Arial" w:cs="Arial"/>
          <w:sz w:val="24"/>
          <w:szCs w:val="24"/>
        </w:rPr>
        <w:t xml:space="preserve"> </w:t>
      </w:r>
      <w:r w:rsidR="00EF660E" w:rsidRPr="00F514E8">
        <w:rPr>
          <w:rFonts w:ascii="Arial" w:hAnsi="Arial" w:cs="Arial"/>
          <w:sz w:val="24"/>
          <w:szCs w:val="24"/>
        </w:rPr>
        <w:t xml:space="preserve">incluir </w:t>
      </w:r>
      <w:r w:rsidR="00D3362D" w:rsidRPr="00F514E8">
        <w:rPr>
          <w:rFonts w:ascii="Arial" w:hAnsi="Arial" w:cs="Arial"/>
          <w:sz w:val="24"/>
          <w:szCs w:val="24"/>
        </w:rPr>
        <w:t>las denominadas “cláusulas</w:t>
      </w:r>
      <w:r w:rsidRPr="00F514E8">
        <w:rPr>
          <w:rFonts w:ascii="Arial" w:hAnsi="Arial" w:cs="Arial"/>
          <w:sz w:val="24"/>
          <w:szCs w:val="24"/>
        </w:rPr>
        <w:t xml:space="preserve"> exorbitantes o excepcionales” por expresa disposición</w:t>
      </w:r>
      <w:r w:rsidR="009B6612" w:rsidRPr="00F514E8">
        <w:rPr>
          <w:rFonts w:ascii="Arial" w:hAnsi="Arial" w:cs="Arial"/>
          <w:sz w:val="24"/>
          <w:szCs w:val="24"/>
        </w:rPr>
        <w:t xml:space="preserve"> </w:t>
      </w:r>
      <w:r w:rsidRPr="00F514E8">
        <w:rPr>
          <w:rFonts w:ascii="Arial" w:hAnsi="Arial" w:cs="Arial"/>
          <w:sz w:val="24"/>
          <w:szCs w:val="24"/>
        </w:rPr>
        <w:t>d</w:t>
      </w:r>
      <w:r w:rsidR="009B6612" w:rsidRPr="00F514E8">
        <w:rPr>
          <w:rFonts w:ascii="Arial" w:hAnsi="Arial" w:cs="Arial"/>
          <w:sz w:val="24"/>
          <w:szCs w:val="24"/>
        </w:rPr>
        <w:t xml:space="preserve">el parágrafo del </w:t>
      </w:r>
      <w:r w:rsidR="00B874CF" w:rsidRPr="00F514E8">
        <w:rPr>
          <w:rFonts w:ascii="Arial" w:hAnsi="Arial" w:cs="Arial"/>
          <w:sz w:val="24"/>
          <w:szCs w:val="24"/>
        </w:rPr>
        <w:t xml:space="preserve">artículo 14 de la </w:t>
      </w:r>
      <w:r w:rsidR="001C7742" w:rsidRPr="00F514E8">
        <w:rPr>
          <w:rFonts w:ascii="Arial" w:hAnsi="Arial" w:cs="Arial"/>
          <w:sz w:val="24"/>
          <w:szCs w:val="24"/>
        </w:rPr>
        <w:t>l</w:t>
      </w:r>
      <w:r w:rsidR="00B874CF" w:rsidRPr="00F514E8">
        <w:rPr>
          <w:rFonts w:ascii="Arial" w:hAnsi="Arial" w:cs="Arial"/>
          <w:sz w:val="24"/>
          <w:szCs w:val="24"/>
        </w:rPr>
        <w:t>ey 80 de 1993</w:t>
      </w:r>
      <w:r w:rsidRPr="00F514E8">
        <w:rPr>
          <w:rFonts w:ascii="Arial" w:hAnsi="Arial" w:cs="Arial"/>
          <w:sz w:val="24"/>
          <w:szCs w:val="24"/>
        </w:rPr>
        <w:t>.</w:t>
      </w:r>
      <w:r w:rsidR="00B874CF" w:rsidRPr="00F514E8">
        <w:rPr>
          <w:rStyle w:val="Refdenotaalpie"/>
          <w:rFonts w:ascii="Arial" w:hAnsi="Arial" w:cs="Arial"/>
          <w:sz w:val="24"/>
          <w:szCs w:val="24"/>
        </w:rPr>
        <w:footnoteReference w:id="27"/>
      </w:r>
      <w:r w:rsidRPr="00F514E8">
        <w:rPr>
          <w:rFonts w:ascii="Arial" w:hAnsi="Arial" w:cs="Arial"/>
          <w:sz w:val="24"/>
          <w:szCs w:val="24"/>
        </w:rPr>
        <w:t xml:space="preserve"> Esta restricción </w:t>
      </w:r>
      <w:r w:rsidR="00B874CF" w:rsidRPr="00F514E8">
        <w:rPr>
          <w:rFonts w:ascii="Arial" w:hAnsi="Arial" w:cs="Arial"/>
          <w:sz w:val="24"/>
          <w:szCs w:val="24"/>
        </w:rPr>
        <w:t xml:space="preserve">obedece, </w:t>
      </w:r>
      <w:r w:rsidR="00D3362D" w:rsidRPr="00F514E8">
        <w:rPr>
          <w:rFonts w:ascii="Arial" w:hAnsi="Arial" w:cs="Arial"/>
          <w:sz w:val="24"/>
          <w:szCs w:val="24"/>
        </w:rPr>
        <w:t>principalmente, a que las</w:t>
      </w:r>
      <w:r w:rsidRPr="00F514E8">
        <w:rPr>
          <w:rFonts w:ascii="Arial" w:hAnsi="Arial" w:cs="Arial"/>
          <w:sz w:val="24"/>
          <w:szCs w:val="24"/>
        </w:rPr>
        <w:t xml:space="preserve"> dos entidades públicas contrata</w:t>
      </w:r>
      <w:r w:rsidR="00D3362D" w:rsidRPr="00F514E8">
        <w:rPr>
          <w:rFonts w:ascii="Arial" w:hAnsi="Arial" w:cs="Arial"/>
          <w:sz w:val="24"/>
          <w:szCs w:val="24"/>
        </w:rPr>
        <w:t xml:space="preserve">ntes se entienden </w:t>
      </w:r>
      <w:r w:rsidRPr="00F514E8">
        <w:rPr>
          <w:rFonts w:ascii="Arial" w:hAnsi="Arial" w:cs="Arial"/>
          <w:sz w:val="24"/>
          <w:szCs w:val="24"/>
        </w:rPr>
        <w:t>dispuestas</w:t>
      </w:r>
      <w:r w:rsidR="00D3362D" w:rsidRPr="00F514E8">
        <w:rPr>
          <w:rFonts w:ascii="Arial" w:hAnsi="Arial" w:cs="Arial"/>
          <w:sz w:val="24"/>
          <w:szCs w:val="24"/>
        </w:rPr>
        <w:t xml:space="preserve"> en un plano de igualdad</w:t>
      </w:r>
      <w:r w:rsidRPr="00F514E8">
        <w:rPr>
          <w:rFonts w:ascii="Arial" w:hAnsi="Arial" w:cs="Arial"/>
          <w:sz w:val="24"/>
          <w:szCs w:val="24"/>
        </w:rPr>
        <w:t>,</w:t>
      </w:r>
      <w:r w:rsidR="00D3362D" w:rsidRPr="00F514E8">
        <w:rPr>
          <w:rFonts w:ascii="Arial" w:hAnsi="Arial" w:cs="Arial"/>
          <w:sz w:val="24"/>
          <w:szCs w:val="24"/>
        </w:rPr>
        <w:t xml:space="preserve"> </w:t>
      </w:r>
      <w:r w:rsidRPr="00F514E8">
        <w:rPr>
          <w:rFonts w:ascii="Arial" w:hAnsi="Arial" w:cs="Arial"/>
          <w:sz w:val="24"/>
          <w:szCs w:val="24"/>
        </w:rPr>
        <w:t>circunstancia que les impide</w:t>
      </w:r>
      <w:r w:rsidR="00D3362D" w:rsidRPr="00F514E8">
        <w:rPr>
          <w:rFonts w:ascii="Arial" w:hAnsi="Arial" w:cs="Arial"/>
          <w:sz w:val="24"/>
          <w:szCs w:val="24"/>
        </w:rPr>
        <w:t xml:space="preserve"> imponer o ejercer frente a la otra potestad</w:t>
      </w:r>
      <w:r w:rsidRPr="00F514E8">
        <w:rPr>
          <w:rFonts w:ascii="Arial" w:hAnsi="Arial" w:cs="Arial"/>
          <w:sz w:val="24"/>
          <w:szCs w:val="24"/>
        </w:rPr>
        <w:t>es excepcionales o unilaterales</w:t>
      </w:r>
      <w:r w:rsidR="00D3362D" w:rsidRPr="00F514E8">
        <w:rPr>
          <w:rFonts w:ascii="Arial" w:hAnsi="Arial" w:cs="Arial"/>
          <w:sz w:val="24"/>
          <w:szCs w:val="24"/>
        </w:rPr>
        <w:t xml:space="preserve">. </w:t>
      </w:r>
      <w:r w:rsidR="00B874CF" w:rsidRPr="00F514E8">
        <w:rPr>
          <w:rFonts w:ascii="Arial" w:hAnsi="Arial" w:cs="Arial"/>
          <w:sz w:val="24"/>
          <w:szCs w:val="24"/>
        </w:rPr>
        <w:t xml:space="preserve">Por ello, </w:t>
      </w:r>
      <w:r w:rsidR="00EF660E" w:rsidRPr="00F514E8">
        <w:rPr>
          <w:rFonts w:ascii="Arial" w:hAnsi="Arial" w:cs="Arial"/>
          <w:sz w:val="24"/>
          <w:szCs w:val="24"/>
        </w:rPr>
        <w:t>técnicamente hablando, en esta clase de contratos no hay “contratantes” y “contratistas”, como habitualmente se califica</w:t>
      </w:r>
      <w:r w:rsidR="004E7322" w:rsidRPr="00F514E8">
        <w:rPr>
          <w:rFonts w:ascii="Arial" w:hAnsi="Arial" w:cs="Arial"/>
          <w:sz w:val="24"/>
          <w:szCs w:val="24"/>
        </w:rPr>
        <w:t xml:space="preserve"> a</w:t>
      </w:r>
      <w:r w:rsidR="00EF660E" w:rsidRPr="00F514E8">
        <w:rPr>
          <w:rFonts w:ascii="Arial" w:hAnsi="Arial" w:cs="Arial"/>
          <w:sz w:val="24"/>
          <w:szCs w:val="24"/>
        </w:rPr>
        <w:t xml:space="preserve"> las partes en los contratos estatales, sino que las dos entidades públicas son contratantes o contrayentes.   </w:t>
      </w:r>
      <w:r w:rsidR="00EF660E" w:rsidRPr="00F514E8">
        <w:rPr>
          <w:rFonts w:ascii="Arial" w:hAnsi="Arial" w:cs="Arial"/>
          <w:b/>
          <w:sz w:val="24"/>
          <w:szCs w:val="24"/>
        </w:rPr>
        <w:t xml:space="preserve">   </w:t>
      </w:r>
    </w:p>
    <w:p w14:paraId="3EA08447" w14:textId="77777777" w:rsidR="003138BE" w:rsidRDefault="003138BE" w:rsidP="00725D19">
      <w:pPr>
        <w:tabs>
          <w:tab w:val="left" w:pos="6825"/>
        </w:tabs>
        <w:spacing w:after="0" w:line="240" w:lineRule="auto"/>
        <w:rPr>
          <w:rFonts w:ascii="Arial" w:hAnsi="Arial" w:cs="Arial"/>
          <w:b/>
          <w:sz w:val="24"/>
          <w:szCs w:val="24"/>
        </w:rPr>
      </w:pPr>
    </w:p>
    <w:p w14:paraId="2EFF6126" w14:textId="77777777" w:rsidR="00EF35F9" w:rsidRPr="00F514E8" w:rsidRDefault="00EF35F9" w:rsidP="00725D19">
      <w:pPr>
        <w:tabs>
          <w:tab w:val="left" w:pos="6825"/>
        </w:tabs>
        <w:spacing w:after="0" w:line="240" w:lineRule="auto"/>
        <w:rPr>
          <w:rFonts w:ascii="Arial" w:hAnsi="Arial" w:cs="Arial"/>
          <w:b/>
          <w:sz w:val="24"/>
          <w:szCs w:val="24"/>
        </w:rPr>
      </w:pPr>
    </w:p>
    <w:p w14:paraId="163EC1FA" w14:textId="77777777" w:rsidR="00776048" w:rsidRPr="00F514E8" w:rsidRDefault="003965E5" w:rsidP="00120A65">
      <w:pPr>
        <w:tabs>
          <w:tab w:val="left" w:pos="6825"/>
        </w:tabs>
        <w:spacing w:after="0" w:line="240" w:lineRule="auto"/>
        <w:ind w:left="426" w:hanging="426"/>
        <w:jc w:val="center"/>
        <w:rPr>
          <w:rFonts w:ascii="Arial" w:hAnsi="Arial" w:cs="Arial"/>
          <w:b/>
          <w:sz w:val="24"/>
          <w:szCs w:val="24"/>
        </w:rPr>
      </w:pPr>
      <w:r w:rsidRPr="00F514E8">
        <w:rPr>
          <w:rFonts w:ascii="Arial" w:hAnsi="Arial" w:cs="Arial"/>
          <w:b/>
          <w:sz w:val="24"/>
          <w:szCs w:val="24"/>
        </w:rPr>
        <w:t xml:space="preserve">C. </w:t>
      </w:r>
      <w:r w:rsidR="00EF660E" w:rsidRPr="00F514E8">
        <w:rPr>
          <w:rFonts w:ascii="Arial" w:hAnsi="Arial" w:cs="Arial"/>
          <w:b/>
          <w:sz w:val="24"/>
          <w:szCs w:val="24"/>
        </w:rPr>
        <w:t xml:space="preserve"> </w:t>
      </w:r>
      <w:r w:rsidR="004E5D58" w:rsidRPr="00F514E8">
        <w:rPr>
          <w:rFonts w:ascii="Arial" w:hAnsi="Arial" w:cs="Arial"/>
          <w:b/>
          <w:sz w:val="24"/>
          <w:szCs w:val="24"/>
        </w:rPr>
        <w:t>Jurisdicción competente para resolver los conflictos contractuales en los que sea parte</w:t>
      </w:r>
      <w:r w:rsidR="00EF660E" w:rsidRPr="00F514E8">
        <w:rPr>
          <w:rFonts w:ascii="Arial" w:hAnsi="Arial" w:cs="Arial"/>
          <w:b/>
          <w:sz w:val="24"/>
          <w:szCs w:val="24"/>
        </w:rPr>
        <w:t xml:space="preserve"> FONADE</w:t>
      </w:r>
    </w:p>
    <w:p w14:paraId="00A45F21" w14:textId="77777777" w:rsidR="00F53FC9" w:rsidRDefault="00F53FC9" w:rsidP="00725D19">
      <w:pPr>
        <w:tabs>
          <w:tab w:val="left" w:pos="6825"/>
        </w:tabs>
        <w:spacing w:after="0" w:line="240" w:lineRule="auto"/>
        <w:rPr>
          <w:rFonts w:ascii="Arial" w:hAnsi="Arial" w:cs="Arial"/>
          <w:b/>
        </w:rPr>
      </w:pPr>
    </w:p>
    <w:p w14:paraId="3CE21728" w14:textId="77777777" w:rsidR="00EF35F9" w:rsidRPr="00F514E8" w:rsidRDefault="00EF35F9" w:rsidP="00725D19">
      <w:pPr>
        <w:tabs>
          <w:tab w:val="left" w:pos="6825"/>
        </w:tabs>
        <w:spacing w:after="0" w:line="240" w:lineRule="auto"/>
        <w:rPr>
          <w:rFonts w:ascii="Arial" w:hAnsi="Arial" w:cs="Arial"/>
          <w:b/>
        </w:rPr>
      </w:pPr>
    </w:p>
    <w:p w14:paraId="489F2CC7" w14:textId="77777777" w:rsidR="001C0DB9" w:rsidRPr="00F514E8" w:rsidRDefault="00C325B8" w:rsidP="00725D19">
      <w:pPr>
        <w:pStyle w:val="Textoindependiente"/>
        <w:spacing w:line="240" w:lineRule="auto"/>
        <w:ind w:right="-85"/>
      </w:pPr>
      <w:r w:rsidRPr="00F514E8">
        <w:t>P</w:t>
      </w:r>
      <w:r w:rsidR="00DF6EB5" w:rsidRPr="00F514E8">
        <w:t>aralela</w:t>
      </w:r>
      <w:r w:rsidRPr="00F514E8">
        <w:t>mente</w:t>
      </w:r>
      <w:r w:rsidR="00DF6EB5" w:rsidRPr="00F514E8">
        <w:t xml:space="preserve"> a los cambios que, en las dos últimas décadas, ha tenido el régimen jurídico sustancial aplicable a los contratos celebrados por FONADE</w:t>
      </w:r>
      <w:r w:rsidR="001C0DB9" w:rsidRPr="00F514E8">
        <w:t>,</w:t>
      </w:r>
      <w:r w:rsidR="00DD52C5" w:rsidRPr="00F514E8">
        <w:t xml:space="preserve"> se han </w:t>
      </w:r>
      <w:r w:rsidRPr="00F514E8">
        <w:t>visto</w:t>
      </w:r>
      <w:r w:rsidR="004E7322" w:rsidRPr="00F514E8">
        <w:t xml:space="preserve"> </w:t>
      </w:r>
      <w:r w:rsidR="001C0DB9" w:rsidRPr="00F514E8">
        <w:t>modific</w:t>
      </w:r>
      <w:r w:rsidR="00DD52C5" w:rsidRPr="00F514E8">
        <w:t>ado</w:t>
      </w:r>
      <w:r w:rsidR="004E7322" w:rsidRPr="00F514E8">
        <w:t>s</w:t>
      </w:r>
      <w:r w:rsidR="00DD52C5" w:rsidRPr="00F514E8">
        <w:t xml:space="preserve"> </w:t>
      </w:r>
      <w:r w:rsidR="001C0DB9" w:rsidRPr="00F514E8">
        <w:t xml:space="preserve">también los criterios para establecer la jurisdicción competente para conocer y resolver los conflictos en </w:t>
      </w:r>
      <w:r w:rsidR="00F42F6A" w:rsidRPr="00F514E8">
        <w:t xml:space="preserve">los </w:t>
      </w:r>
      <w:r w:rsidR="001C0DB9" w:rsidRPr="00F514E8">
        <w:t>que sea parte dicha Entidad, originados en su acti</w:t>
      </w:r>
      <w:r w:rsidRPr="00F514E8">
        <w:t>vidad contractual. Ello se debe</w:t>
      </w:r>
      <w:r w:rsidR="001C0DB9" w:rsidRPr="00F514E8">
        <w:t xml:space="preserve"> no sólo a los cambios en su régimen contractual, sino también a la evolución de la jurisprudencia en esta materia y</w:t>
      </w:r>
      <w:r w:rsidR="00F42F6A" w:rsidRPr="00F514E8">
        <w:t xml:space="preserve"> </w:t>
      </w:r>
      <w:r w:rsidR="001C0DB9" w:rsidRPr="00F514E8">
        <w:t xml:space="preserve">a las modificaciones normativas que se han presentado en relación con el objeto de la Jurisdicción </w:t>
      </w:r>
      <w:proofErr w:type="gramStart"/>
      <w:r w:rsidR="001C0DB9" w:rsidRPr="00F514E8">
        <w:t>Contencioso Administrativa</w:t>
      </w:r>
      <w:proofErr w:type="gramEnd"/>
      <w:r w:rsidR="001C0DB9" w:rsidRPr="00F514E8">
        <w:t>, tal como pasa a explicarse</w:t>
      </w:r>
      <w:r w:rsidR="007302D1" w:rsidRPr="00F514E8">
        <w:t>.</w:t>
      </w:r>
    </w:p>
    <w:p w14:paraId="1D85AC08" w14:textId="77777777" w:rsidR="001C0DB9" w:rsidRDefault="001C0DB9" w:rsidP="00725D19">
      <w:pPr>
        <w:pStyle w:val="Textoindependiente"/>
        <w:spacing w:line="240" w:lineRule="auto"/>
        <w:ind w:right="-85"/>
      </w:pPr>
    </w:p>
    <w:p w14:paraId="2C256B4D" w14:textId="77777777" w:rsidR="00EF35F9" w:rsidRPr="00F514E8" w:rsidRDefault="00EF35F9" w:rsidP="00725D19">
      <w:pPr>
        <w:pStyle w:val="Textoindependiente"/>
        <w:spacing w:line="240" w:lineRule="auto"/>
        <w:ind w:right="-85"/>
      </w:pPr>
    </w:p>
    <w:p w14:paraId="32922BE3" w14:textId="77777777" w:rsidR="001C0DB9" w:rsidRPr="00F514E8" w:rsidRDefault="00604403" w:rsidP="00604403">
      <w:pPr>
        <w:pStyle w:val="Textoindependiente"/>
        <w:spacing w:line="240" w:lineRule="auto"/>
        <w:ind w:right="-85"/>
        <w:rPr>
          <w:b/>
        </w:rPr>
      </w:pPr>
      <w:r w:rsidRPr="00F514E8">
        <w:rPr>
          <w:b/>
        </w:rPr>
        <w:t xml:space="preserve">1. El </w:t>
      </w:r>
      <w:r w:rsidR="001C7742" w:rsidRPr="00F514E8">
        <w:rPr>
          <w:b/>
        </w:rPr>
        <w:t>d</w:t>
      </w:r>
      <w:r w:rsidRPr="00F514E8">
        <w:rPr>
          <w:b/>
        </w:rPr>
        <w:t>ecreto 01 de 1984</w:t>
      </w:r>
      <w:r w:rsidR="001C0DB9" w:rsidRPr="00F514E8">
        <w:rPr>
          <w:b/>
        </w:rPr>
        <w:t xml:space="preserve"> </w:t>
      </w:r>
    </w:p>
    <w:p w14:paraId="2CAA5ECF" w14:textId="77777777" w:rsidR="001C0DB9" w:rsidRPr="00F514E8" w:rsidRDefault="001C0DB9" w:rsidP="00725D19">
      <w:pPr>
        <w:pStyle w:val="Textoindependiente"/>
        <w:spacing w:line="240" w:lineRule="auto"/>
        <w:ind w:right="-85"/>
      </w:pPr>
    </w:p>
    <w:p w14:paraId="1F03FFA5" w14:textId="77777777" w:rsidR="001C0DB9" w:rsidRPr="00F514E8" w:rsidRDefault="007302D1" w:rsidP="00725D19">
      <w:pPr>
        <w:pStyle w:val="Textoindependiente"/>
        <w:spacing w:line="240" w:lineRule="auto"/>
        <w:ind w:right="-85"/>
      </w:pPr>
      <w:r w:rsidRPr="00F514E8">
        <w:t>Cuando entró a regir la l</w:t>
      </w:r>
      <w:r w:rsidR="001C0DB9" w:rsidRPr="00F514E8">
        <w:t xml:space="preserve">ey 80 de 1993, estaba vigente el Código Contencioso Administrativo contenido en el </w:t>
      </w:r>
      <w:r w:rsidR="001C7742" w:rsidRPr="00F514E8">
        <w:t>d</w:t>
      </w:r>
      <w:r w:rsidR="001C0DB9" w:rsidRPr="00F514E8">
        <w:t xml:space="preserve">ecreto 01 de 1984. El artículo 83 de dicho </w:t>
      </w:r>
      <w:r w:rsidR="001C7742" w:rsidRPr="00F514E8">
        <w:t>d</w:t>
      </w:r>
      <w:r w:rsidR="001C0DB9" w:rsidRPr="00F514E8">
        <w:t xml:space="preserve">ecreto, modificado por el </w:t>
      </w:r>
      <w:r w:rsidR="001C7742" w:rsidRPr="00F514E8">
        <w:t>d</w:t>
      </w:r>
      <w:r w:rsidR="001C0DB9" w:rsidRPr="00F514E8">
        <w:t>ecreto 2304 de 1989</w:t>
      </w:r>
      <w:r w:rsidR="00F42F6A" w:rsidRPr="00F514E8">
        <w:t>,</w:t>
      </w:r>
      <w:r w:rsidR="001C0DB9" w:rsidRPr="00F514E8">
        <w:t xml:space="preserve"> estatuía lo siguiente</w:t>
      </w:r>
      <w:r w:rsidR="00F42F6A" w:rsidRPr="00F514E8">
        <w:t>,</w:t>
      </w:r>
      <w:r w:rsidR="001C0DB9" w:rsidRPr="00F514E8">
        <w:t xml:space="preserve"> en punto al objeto de la Jurisdicción Contencioso-Administrativa: </w:t>
      </w:r>
    </w:p>
    <w:p w14:paraId="77732B9D" w14:textId="77777777" w:rsidR="001C0DB9" w:rsidRPr="00F514E8" w:rsidRDefault="001C0DB9" w:rsidP="00725D19">
      <w:pPr>
        <w:pStyle w:val="Textoindependiente"/>
        <w:spacing w:line="240" w:lineRule="auto"/>
        <w:ind w:right="-85"/>
      </w:pPr>
    </w:p>
    <w:p w14:paraId="185D1B9A" w14:textId="77777777" w:rsidR="001C0DB9" w:rsidRPr="00F514E8" w:rsidRDefault="001C0DB9" w:rsidP="00725D19">
      <w:pPr>
        <w:pStyle w:val="Textoindependiente"/>
        <w:spacing w:line="240" w:lineRule="auto"/>
        <w:ind w:left="426" w:right="-85"/>
        <w:rPr>
          <w:sz w:val="22"/>
          <w:szCs w:val="22"/>
        </w:rPr>
      </w:pPr>
      <w:r w:rsidRPr="00F514E8">
        <w:rPr>
          <w:sz w:val="22"/>
          <w:szCs w:val="22"/>
        </w:rPr>
        <w:t>“</w:t>
      </w:r>
      <w:r w:rsidRPr="00F514E8">
        <w:rPr>
          <w:i/>
          <w:sz w:val="22"/>
          <w:szCs w:val="22"/>
        </w:rPr>
        <w:t>Artículo 83.</w:t>
      </w:r>
      <w:r w:rsidRPr="00F514E8">
        <w:rPr>
          <w:b/>
          <w:i/>
          <w:sz w:val="22"/>
          <w:szCs w:val="22"/>
        </w:rPr>
        <w:t xml:space="preserve"> </w:t>
      </w:r>
      <w:r w:rsidR="005D64A8" w:rsidRPr="00F514E8">
        <w:rPr>
          <w:i/>
          <w:sz w:val="22"/>
          <w:szCs w:val="22"/>
        </w:rPr>
        <w:t xml:space="preserve">La Jurisdicción de lo Contencioso Administrativo juzga los actos administrativos, los hechos, las omisiones, las </w:t>
      </w:r>
      <w:proofErr w:type="gramStart"/>
      <w:r w:rsidR="005D64A8" w:rsidRPr="00F514E8">
        <w:rPr>
          <w:i/>
          <w:sz w:val="22"/>
          <w:szCs w:val="22"/>
        </w:rPr>
        <w:t xml:space="preserve">operaciones administrativas y </w:t>
      </w:r>
      <w:r w:rsidR="005D64A8" w:rsidRPr="00F514E8">
        <w:rPr>
          <w:i/>
          <w:sz w:val="22"/>
          <w:szCs w:val="22"/>
          <w:u w:val="single"/>
        </w:rPr>
        <w:t>los contratos administrativos</w:t>
      </w:r>
      <w:proofErr w:type="gramEnd"/>
      <w:r w:rsidR="005D64A8" w:rsidRPr="00F514E8">
        <w:rPr>
          <w:i/>
          <w:sz w:val="22"/>
          <w:szCs w:val="22"/>
          <w:u w:val="single"/>
        </w:rPr>
        <w:t xml:space="preserve"> y privados con cláusula de caducidad de las entidades públicas</w:t>
      </w:r>
      <w:r w:rsidR="005D64A8" w:rsidRPr="00F514E8">
        <w:rPr>
          <w:i/>
          <w:sz w:val="22"/>
          <w:szCs w:val="22"/>
        </w:rPr>
        <w:t xml:space="preserve"> y de las personas privadas que ejerzan funciones administrativas, de conformidad con este estatuto”. </w:t>
      </w:r>
      <w:r w:rsidR="005D64A8" w:rsidRPr="00F514E8">
        <w:rPr>
          <w:sz w:val="22"/>
          <w:szCs w:val="22"/>
        </w:rPr>
        <w:t>(Resaltamos).</w:t>
      </w:r>
      <w:r w:rsidRPr="00F514E8">
        <w:rPr>
          <w:sz w:val="22"/>
          <w:szCs w:val="22"/>
        </w:rPr>
        <w:t xml:space="preserve"> </w:t>
      </w:r>
    </w:p>
    <w:p w14:paraId="46F89645" w14:textId="77777777" w:rsidR="001C0DB9" w:rsidRPr="00F514E8" w:rsidRDefault="001C0DB9" w:rsidP="00725D19">
      <w:pPr>
        <w:pStyle w:val="Textoindependiente"/>
        <w:spacing w:line="240" w:lineRule="auto"/>
        <w:ind w:right="-85"/>
      </w:pPr>
    </w:p>
    <w:p w14:paraId="49A9BF2A" w14:textId="77777777" w:rsidR="005637DB" w:rsidRPr="00F514E8" w:rsidRDefault="005D64A8" w:rsidP="00725D19">
      <w:pPr>
        <w:pStyle w:val="Textoindependiente"/>
        <w:spacing w:line="240" w:lineRule="auto"/>
        <w:ind w:right="-85"/>
      </w:pPr>
      <w:r w:rsidRPr="00F514E8">
        <w:t xml:space="preserve">A su turno, </w:t>
      </w:r>
      <w:r w:rsidR="005637DB" w:rsidRPr="00F514E8">
        <w:t xml:space="preserve">el artículo 75 de la </w:t>
      </w:r>
      <w:r w:rsidR="001C7742" w:rsidRPr="00F514E8">
        <w:t>l</w:t>
      </w:r>
      <w:r w:rsidR="005637DB" w:rsidRPr="00F514E8">
        <w:t>ey 80 de 1993 señal</w:t>
      </w:r>
      <w:r w:rsidR="007302D1" w:rsidRPr="00F514E8">
        <w:t>ó</w:t>
      </w:r>
      <w:r w:rsidR="005637DB" w:rsidRPr="00F514E8">
        <w:t xml:space="preserve">: </w:t>
      </w:r>
    </w:p>
    <w:p w14:paraId="10178FE5" w14:textId="77777777" w:rsidR="005637DB" w:rsidRPr="00F514E8" w:rsidRDefault="005637DB" w:rsidP="00725D19">
      <w:pPr>
        <w:pStyle w:val="Textoindependiente"/>
        <w:spacing w:line="240" w:lineRule="auto"/>
        <w:ind w:right="-85"/>
      </w:pPr>
    </w:p>
    <w:p w14:paraId="72F7EB4D" w14:textId="77777777" w:rsidR="005637DB" w:rsidRPr="00F514E8" w:rsidRDefault="005637DB" w:rsidP="00725D19">
      <w:pPr>
        <w:pStyle w:val="Textoindependiente"/>
        <w:spacing w:line="240" w:lineRule="auto"/>
        <w:ind w:left="426" w:right="-85"/>
        <w:rPr>
          <w:sz w:val="22"/>
          <w:szCs w:val="22"/>
        </w:rPr>
      </w:pPr>
      <w:r w:rsidRPr="00F514E8">
        <w:rPr>
          <w:sz w:val="22"/>
          <w:szCs w:val="22"/>
        </w:rPr>
        <w:t>“</w:t>
      </w:r>
      <w:r w:rsidRPr="00F514E8">
        <w:rPr>
          <w:i/>
          <w:sz w:val="22"/>
          <w:szCs w:val="22"/>
        </w:rPr>
        <w:t>Artículo 75.- Del juez competente.</w:t>
      </w:r>
      <w:r w:rsidRPr="00F514E8">
        <w:rPr>
          <w:b/>
          <w:i/>
          <w:sz w:val="22"/>
          <w:szCs w:val="22"/>
        </w:rPr>
        <w:t xml:space="preserve"> </w:t>
      </w:r>
      <w:r w:rsidRPr="00F514E8">
        <w:rPr>
          <w:i/>
          <w:sz w:val="22"/>
          <w:szCs w:val="22"/>
        </w:rPr>
        <w:t>Sin perjuicio de lo dispuesto en los artículos anteriores, el juez competente para conocer de las controversias derivadas de los contratos estatales y de los procesos de ejecución o cumplimiento será la Jurisdicción Contenciosa Administrativa. (…)”</w:t>
      </w:r>
      <w:r w:rsidRPr="00F514E8">
        <w:rPr>
          <w:sz w:val="22"/>
          <w:szCs w:val="22"/>
        </w:rPr>
        <w:t>.</w:t>
      </w:r>
    </w:p>
    <w:p w14:paraId="2C0AE222" w14:textId="77777777" w:rsidR="001C0DB9" w:rsidRDefault="005637DB" w:rsidP="00725D19">
      <w:pPr>
        <w:pStyle w:val="Textoindependiente"/>
        <w:spacing w:line="240" w:lineRule="auto"/>
        <w:ind w:right="-85"/>
      </w:pPr>
      <w:r w:rsidRPr="00F514E8">
        <w:t xml:space="preserve">  </w:t>
      </w:r>
    </w:p>
    <w:p w14:paraId="38920140" w14:textId="77777777" w:rsidR="00EF35F9" w:rsidRPr="00F514E8" w:rsidRDefault="00EF35F9" w:rsidP="00725D19">
      <w:pPr>
        <w:pStyle w:val="Textoindependiente"/>
        <w:spacing w:line="240" w:lineRule="auto"/>
        <w:ind w:right="-85"/>
      </w:pPr>
    </w:p>
    <w:p w14:paraId="5446D85A" w14:textId="77777777" w:rsidR="00651696" w:rsidRPr="00F514E8" w:rsidRDefault="00604403" w:rsidP="00604403">
      <w:pPr>
        <w:pStyle w:val="Textoindependiente"/>
        <w:spacing w:line="240" w:lineRule="auto"/>
        <w:ind w:right="-85"/>
        <w:rPr>
          <w:b/>
        </w:rPr>
      </w:pPr>
      <w:r w:rsidRPr="00F514E8">
        <w:rPr>
          <w:b/>
        </w:rPr>
        <w:t>2.</w:t>
      </w:r>
      <w:r w:rsidRPr="00F514E8">
        <w:t xml:space="preserve"> </w:t>
      </w:r>
      <w:r w:rsidR="00A33C5F" w:rsidRPr="00F514E8">
        <w:rPr>
          <w:b/>
        </w:rPr>
        <w:t xml:space="preserve">La </w:t>
      </w:r>
      <w:r w:rsidR="001C7742" w:rsidRPr="00F514E8">
        <w:rPr>
          <w:b/>
        </w:rPr>
        <w:t>l</w:t>
      </w:r>
      <w:r w:rsidRPr="00F514E8">
        <w:rPr>
          <w:b/>
        </w:rPr>
        <w:t>ey 446 de 1996</w:t>
      </w:r>
    </w:p>
    <w:p w14:paraId="3CE6E84F" w14:textId="77777777" w:rsidR="00A33C5F" w:rsidRPr="00F514E8" w:rsidRDefault="00A33C5F" w:rsidP="00725D19">
      <w:pPr>
        <w:pStyle w:val="Textoindependiente"/>
        <w:spacing w:line="240" w:lineRule="auto"/>
        <w:ind w:right="-85"/>
      </w:pPr>
    </w:p>
    <w:p w14:paraId="016B02F5" w14:textId="77777777" w:rsidR="00A33C5F" w:rsidRPr="00F514E8" w:rsidRDefault="0051613F" w:rsidP="00725D19">
      <w:pPr>
        <w:pStyle w:val="Textoindependiente"/>
        <w:spacing w:line="240" w:lineRule="auto"/>
        <w:ind w:right="-85"/>
      </w:pPr>
      <w:r w:rsidRPr="00F514E8">
        <w:t>El artículo 3</w:t>
      </w:r>
      <w:r w:rsidR="002166D2" w:rsidRPr="00F514E8">
        <w:t>0</w:t>
      </w:r>
      <w:r w:rsidR="00825BB1" w:rsidRPr="00F514E8">
        <w:t xml:space="preserve"> de la l</w:t>
      </w:r>
      <w:r w:rsidRPr="00F514E8">
        <w:t xml:space="preserve">ey 446 de 1998 modificó el 82 del Código Contencioso Administrativo en los siguientes términos: </w:t>
      </w:r>
    </w:p>
    <w:p w14:paraId="015D25D5" w14:textId="77777777" w:rsidR="0051613F" w:rsidRPr="00F514E8" w:rsidRDefault="0051613F" w:rsidP="00725D19">
      <w:pPr>
        <w:pStyle w:val="Textoindependiente"/>
        <w:spacing w:line="240" w:lineRule="auto"/>
        <w:ind w:right="-85"/>
      </w:pPr>
    </w:p>
    <w:p w14:paraId="6D811207" w14:textId="77777777" w:rsidR="0051613F" w:rsidRPr="00F514E8" w:rsidRDefault="00644B39" w:rsidP="00725D19">
      <w:pPr>
        <w:pStyle w:val="textocaja"/>
        <w:spacing w:before="0" w:beforeAutospacing="0" w:after="0" w:afterAutospacing="0"/>
        <w:ind w:left="426"/>
        <w:rPr>
          <w:rFonts w:ascii="Arial" w:hAnsi="Arial" w:cs="Arial"/>
          <w:i/>
        </w:rPr>
      </w:pPr>
      <w:r w:rsidRPr="00F514E8">
        <w:rPr>
          <w:rFonts w:ascii="Arial" w:hAnsi="Arial" w:cs="Arial"/>
          <w:i/>
        </w:rPr>
        <w:t>“Artículo 30.</w:t>
      </w:r>
      <w:r w:rsidR="0051613F" w:rsidRPr="00F514E8">
        <w:rPr>
          <w:rFonts w:ascii="Arial" w:hAnsi="Arial" w:cs="Arial"/>
          <w:i/>
        </w:rPr>
        <w:t xml:space="preserve"> El artículo </w:t>
      </w:r>
      <w:r w:rsidRPr="00F514E8">
        <w:rPr>
          <w:rFonts w:ascii="Arial" w:hAnsi="Arial" w:cs="Arial"/>
          <w:i/>
        </w:rPr>
        <w:t xml:space="preserve">82 </w:t>
      </w:r>
      <w:r w:rsidR="0051613F" w:rsidRPr="00F514E8">
        <w:rPr>
          <w:rFonts w:ascii="Arial" w:hAnsi="Arial" w:cs="Arial"/>
          <w:i/>
        </w:rPr>
        <w:t xml:space="preserve">del Código Contencioso Administrativo, quedará así: </w:t>
      </w:r>
    </w:p>
    <w:p w14:paraId="0B9D7DFC" w14:textId="77777777" w:rsidR="00BC4415" w:rsidRPr="00F514E8" w:rsidRDefault="00BC4415" w:rsidP="00725D19">
      <w:pPr>
        <w:pStyle w:val="textocaja"/>
        <w:spacing w:before="0" w:beforeAutospacing="0" w:after="0" w:afterAutospacing="0"/>
        <w:ind w:left="426"/>
        <w:rPr>
          <w:rFonts w:ascii="Arial" w:hAnsi="Arial" w:cs="Arial"/>
          <w:i/>
        </w:rPr>
      </w:pPr>
    </w:p>
    <w:p w14:paraId="33F6D2D6" w14:textId="77777777" w:rsidR="0051613F" w:rsidRPr="00F514E8" w:rsidRDefault="0051613F" w:rsidP="00725D19">
      <w:pPr>
        <w:pStyle w:val="textocaja"/>
        <w:spacing w:before="0" w:beforeAutospacing="0" w:after="0" w:afterAutospacing="0"/>
        <w:ind w:left="426"/>
        <w:rPr>
          <w:rFonts w:ascii="Arial" w:hAnsi="Arial" w:cs="Arial"/>
          <w:i/>
          <w:sz w:val="24"/>
          <w:szCs w:val="24"/>
        </w:rPr>
      </w:pPr>
      <w:r w:rsidRPr="00F514E8">
        <w:rPr>
          <w:rFonts w:ascii="Arial" w:hAnsi="Arial" w:cs="Arial"/>
          <w:i/>
        </w:rPr>
        <w:t> 'Artículo 82. Objeto de la jurisdicción de lo contencioso administrativo</w:t>
      </w:r>
      <w:r w:rsidRPr="00F514E8">
        <w:rPr>
          <w:rFonts w:ascii="Arial" w:hAnsi="Arial" w:cs="Arial"/>
          <w:b/>
          <w:i/>
        </w:rPr>
        <w:t>.</w:t>
      </w:r>
      <w:r w:rsidRPr="00F514E8">
        <w:rPr>
          <w:rFonts w:ascii="Arial" w:hAnsi="Arial" w:cs="Arial"/>
          <w:i/>
        </w:rPr>
        <w:t xml:space="preserve"> La Jurisdicción de lo Contencioso Administrativo está instituida para juzgar las controversias y litigios administrativos originados en la actividad de las Entidades Públicas y de las personas privadas que desempeñen funciones propias de los distintos órganos del Estado. Se ejerce por el Consejo de Estado, los Tribunales Administrativos y los Juzgados Administrativos de conformidad con la Constitución y la ley.</w:t>
      </w:r>
      <w:r w:rsidRPr="00F514E8">
        <w:rPr>
          <w:rFonts w:ascii="Arial" w:hAnsi="Arial" w:cs="Arial"/>
          <w:i/>
          <w:sz w:val="24"/>
          <w:szCs w:val="24"/>
        </w:rPr>
        <w:t xml:space="preserve"> </w:t>
      </w:r>
    </w:p>
    <w:p w14:paraId="1F032E9D" w14:textId="77777777" w:rsidR="0051613F" w:rsidRPr="00F514E8" w:rsidRDefault="00F42F6A" w:rsidP="00725D19">
      <w:pPr>
        <w:pStyle w:val="textocaja"/>
        <w:spacing w:before="0" w:beforeAutospacing="0" w:after="0" w:afterAutospacing="0"/>
        <w:ind w:left="426"/>
        <w:rPr>
          <w:rFonts w:ascii="Arial" w:hAnsi="Arial" w:cs="Arial"/>
          <w:i/>
        </w:rPr>
      </w:pPr>
      <w:r w:rsidRPr="00F514E8">
        <w:rPr>
          <w:rFonts w:ascii="Arial" w:hAnsi="Arial" w:cs="Arial"/>
          <w:i/>
        </w:rPr>
        <w:t>‘</w:t>
      </w:r>
      <w:r w:rsidR="0051613F" w:rsidRPr="00F514E8">
        <w:rPr>
          <w:rFonts w:ascii="Arial" w:hAnsi="Arial" w:cs="Arial"/>
          <w:i/>
        </w:rPr>
        <w:t xml:space="preserve">Esta jurisdicción podrá juzgar, inclusive, las controversias que se originen en actos políticos o de Gobierno. </w:t>
      </w:r>
    </w:p>
    <w:p w14:paraId="582012D4" w14:textId="77777777" w:rsidR="0051613F" w:rsidRPr="00F514E8" w:rsidRDefault="00F42F6A" w:rsidP="00725D19">
      <w:pPr>
        <w:pStyle w:val="textocaja"/>
        <w:spacing w:before="0" w:beforeAutospacing="0" w:after="0" w:afterAutospacing="0"/>
        <w:ind w:left="426"/>
        <w:rPr>
          <w:rFonts w:ascii="Arial" w:hAnsi="Arial" w:cs="Arial"/>
          <w:i/>
        </w:rPr>
      </w:pPr>
      <w:r w:rsidRPr="00F514E8">
        <w:rPr>
          <w:rFonts w:ascii="Arial" w:hAnsi="Arial" w:cs="Arial"/>
          <w:i/>
        </w:rPr>
        <w:t>‘</w:t>
      </w:r>
      <w:r w:rsidR="0051613F" w:rsidRPr="00F514E8">
        <w:rPr>
          <w:rFonts w:ascii="Arial" w:hAnsi="Arial" w:cs="Arial"/>
          <w:i/>
        </w:rPr>
        <w:t xml:space="preserve">La Jurisdicción de lo Contencioso Administrativo no juzga las decisiones proferidas en juicios de policía regulados especialmente por la ley.   </w:t>
      </w:r>
    </w:p>
    <w:p w14:paraId="617F2807" w14:textId="77777777" w:rsidR="0051613F" w:rsidRPr="00F514E8" w:rsidRDefault="00F42F6A" w:rsidP="00725D19">
      <w:pPr>
        <w:pStyle w:val="textocaja"/>
        <w:spacing w:before="0" w:beforeAutospacing="0" w:after="0" w:afterAutospacing="0"/>
        <w:ind w:left="426"/>
        <w:rPr>
          <w:rFonts w:ascii="Arial" w:hAnsi="Arial" w:cs="Arial"/>
          <w:sz w:val="24"/>
          <w:szCs w:val="24"/>
        </w:rPr>
      </w:pPr>
      <w:r w:rsidRPr="00F514E8">
        <w:rPr>
          <w:rFonts w:ascii="Arial" w:hAnsi="Arial" w:cs="Arial"/>
          <w:i/>
        </w:rPr>
        <w:t>‘</w:t>
      </w:r>
      <w:r w:rsidR="0051613F" w:rsidRPr="00F514E8">
        <w:rPr>
          <w:rFonts w:ascii="Arial" w:hAnsi="Arial" w:cs="Arial"/>
          <w:i/>
        </w:rPr>
        <w:t>Las decisiones jurisdiccionales adoptadas por las Salas Jurisdiccionales Disciplinarias del Consejo Superior de la Judicatura y de los Consejos Seccionales de la Judicatura, no tendrán control jurisdiccional'.</w:t>
      </w:r>
      <w:r w:rsidR="0051613F" w:rsidRPr="00F514E8">
        <w:rPr>
          <w:rFonts w:ascii="Arial" w:hAnsi="Arial" w:cs="Arial"/>
          <w:sz w:val="24"/>
          <w:szCs w:val="24"/>
        </w:rPr>
        <w:t xml:space="preserve"> </w:t>
      </w:r>
    </w:p>
    <w:p w14:paraId="662F8CA7" w14:textId="77777777" w:rsidR="0051613F" w:rsidRDefault="0051613F" w:rsidP="00725D19">
      <w:pPr>
        <w:pStyle w:val="Textoindependiente"/>
        <w:spacing w:line="240" w:lineRule="auto"/>
        <w:ind w:right="-85"/>
      </w:pPr>
    </w:p>
    <w:p w14:paraId="4933C307" w14:textId="77777777" w:rsidR="00EF35F9" w:rsidRPr="00F514E8" w:rsidRDefault="00EF35F9" w:rsidP="00725D19">
      <w:pPr>
        <w:pStyle w:val="Textoindependiente"/>
        <w:spacing w:line="240" w:lineRule="auto"/>
        <w:ind w:right="-85"/>
      </w:pPr>
    </w:p>
    <w:p w14:paraId="61CDADA5" w14:textId="77777777" w:rsidR="001C0DB9" w:rsidRPr="00F514E8" w:rsidRDefault="00604403" w:rsidP="00604403">
      <w:pPr>
        <w:pStyle w:val="Textoindependiente"/>
        <w:spacing w:line="240" w:lineRule="auto"/>
        <w:ind w:right="-85"/>
        <w:rPr>
          <w:b/>
        </w:rPr>
      </w:pPr>
      <w:r w:rsidRPr="00F514E8">
        <w:rPr>
          <w:b/>
        </w:rPr>
        <w:t xml:space="preserve">3. </w:t>
      </w:r>
      <w:r w:rsidR="001C0DB9" w:rsidRPr="00F514E8">
        <w:rPr>
          <w:b/>
        </w:rPr>
        <w:t>La m</w:t>
      </w:r>
      <w:r w:rsidRPr="00F514E8">
        <w:rPr>
          <w:b/>
        </w:rPr>
        <w:t>odificación in</w:t>
      </w:r>
      <w:r w:rsidR="00D053C1" w:rsidRPr="00F514E8">
        <w:rPr>
          <w:b/>
        </w:rPr>
        <w:t>troduci</w:t>
      </w:r>
      <w:r w:rsidRPr="00F514E8">
        <w:rPr>
          <w:b/>
        </w:rPr>
        <w:t>da por la l</w:t>
      </w:r>
      <w:r w:rsidR="001C0DB9" w:rsidRPr="00F514E8">
        <w:rPr>
          <w:b/>
        </w:rPr>
        <w:t xml:space="preserve">ey </w:t>
      </w:r>
      <w:r w:rsidR="004B7E0F" w:rsidRPr="00F514E8">
        <w:rPr>
          <w:b/>
        </w:rPr>
        <w:t xml:space="preserve">1107 </w:t>
      </w:r>
      <w:r w:rsidR="001C0DB9" w:rsidRPr="00F514E8">
        <w:rPr>
          <w:b/>
        </w:rPr>
        <w:t>de 2006</w:t>
      </w:r>
    </w:p>
    <w:p w14:paraId="2A8B856F" w14:textId="77777777" w:rsidR="004B7E0F" w:rsidRPr="00F514E8" w:rsidRDefault="004B7E0F" w:rsidP="00725D19">
      <w:pPr>
        <w:pStyle w:val="Textoindependiente"/>
        <w:spacing w:line="240" w:lineRule="auto"/>
        <w:ind w:right="-85"/>
      </w:pPr>
    </w:p>
    <w:p w14:paraId="458ABBC8" w14:textId="77777777" w:rsidR="004B7E0F" w:rsidRPr="00F514E8" w:rsidRDefault="00825BB1" w:rsidP="00725D19">
      <w:pPr>
        <w:pStyle w:val="Textoindependiente"/>
        <w:spacing w:line="240" w:lineRule="auto"/>
        <w:ind w:right="-85"/>
      </w:pPr>
      <w:r w:rsidRPr="00F514E8">
        <w:t>La l</w:t>
      </w:r>
      <w:r w:rsidR="004B7E0F" w:rsidRPr="00F514E8">
        <w:t>ey 1107 de 2006 modificó</w:t>
      </w:r>
      <w:r w:rsidR="00644B39" w:rsidRPr="00F514E8">
        <w:t>, de nuevo,</w:t>
      </w:r>
      <w:r w:rsidR="004B7E0F" w:rsidRPr="00F514E8">
        <w:t xml:space="preserve"> el artículo 82 del Código Contencioso Administrativo, en los siguientes términos: </w:t>
      </w:r>
    </w:p>
    <w:p w14:paraId="7652B3EE" w14:textId="77777777" w:rsidR="004B7E0F" w:rsidRPr="00F514E8" w:rsidRDefault="004B7E0F" w:rsidP="00725D19">
      <w:pPr>
        <w:pStyle w:val="Textoindependiente"/>
        <w:spacing w:line="240" w:lineRule="auto"/>
        <w:ind w:right="-85"/>
      </w:pPr>
    </w:p>
    <w:p w14:paraId="5DCDAE37" w14:textId="77777777" w:rsidR="004B7E0F" w:rsidRPr="00F514E8" w:rsidRDefault="004B7E0F" w:rsidP="00725D19">
      <w:pPr>
        <w:pStyle w:val="Textoindependiente"/>
        <w:spacing w:line="240" w:lineRule="auto"/>
        <w:ind w:left="426" w:right="-85"/>
        <w:rPr>
          <w:i/>
          <w:sz w:val="22"/>
          <w:szCs w:val="22"/>
        </w:rPr>
      </w:pPr>
      <w:r w:rsidRPr="00F514E8">
        <w:rPr>
          <w:sz w:val="22"/>
          <w:szCs w:val="22"/>
        </w:rPr>
        <w:t>“</w:t>
      </w:r>
      <w:r w:rsidRPr="00F514E8">
        <w:rPr>
          <w:i/>
          <w:sz w:val="22"/>
          <w:szCs w:val="22"/>
        </w:rPr>
        <w:t>Artículo 1º. El artículo 82 del Código Contencioso Administrativo modificado por el artículo 30</w:t>
      </w:r>
      <w:r w:rsidR="00825BB1" w:rsidRPr="00F514E8">
        <w:rPr>
          <w:i/>
          <w:sz w:val="22"/>
          <w:szCs w:val="22"/>
        </w:rPr>
        <w:t xml:space="preserve"> de la Ley 446 de 1998, quedará</w:t>
      </w:r>
      <w:r w:rsidRPr="00F514E8">
        <w:rPr>
          <w:i/>
          <w:sz w:val="22"/>
          <w:szCs w:val="22"/>
        </w:rPr>
        <w:t xml:space="preserve"> así: </w:t>
      </w:r>
    </w:p>
    <w:p w14:paraId="36A15E74" w14:textId="77777777" w:rsidR="004B7E0F" w:rsidRPr="00F514E8" w:rsidRDefault="004B7E0F" w:rsidP="00725D19">
      <w:pPr>
        <w:pStyle w:val="Textoindependiente"/>
        <w:spacing w:line="240" w:lineRule="auto"/>
        <w:ind w:left="426" w:right="-85"/>
        <w:rPr>
          <w:i/>
          <w:sz w:val="22"/>
          <w:szCs w:val="22"/>
        </w:rPr>
      </w:pPr>
    </w:p>
    <w:p w14:paraId="67B16640" w14:textId="77777777" w:rsidR="001B655D" w:rsidRPr="00F514E8" w:rsidRDefault="004B7E0F" w:rsidP="00725D19">
      <w:pPr>
        <w:pStyle w:val="Textoindependiente"/>
        <w:spacing w:line="240" w:lineRule="auto"/>
        <w:ind w:left="426" w:right="-85"/>
        <w:rPr>
          <w:i/>
          <w:sz w:val="22"/>
          <w:szCs w:val="22"/>
        </w:rPr>
      </w:pPr>
      <w:r w:rsidRPr="00F514E8">
        <w:rPr>
          <w:i/>
          <w:sz w:val="22"/>
          <w:szCs w:val="22"/>
        </w:rPr>
        <w:t>“Artículo 82. Objeto de la jurisdicción de lo conten</w:t>
      </w:r>
      <w:r w:rsidR="001B655D" w:rsidRPr="00F514E8">
        <w:rPr>
          <w:i/>
          <w:sz w:val="22"/>
          <w:szCs w:val="22"/>
        </w:rPr>
        <w:t>c</w:t>
      </w:r>
      <w:r w:rsidRPr="00F514E8">
        <w:rPr>
          <w:i/>
          <w:sz w:val="22"/>
          <w:szCs w:val="22"/>
        </w:rPr>
        <w:t>ioso administrativo</w:t>
      </w:r>
      <w:r w:rsidRPr="00F514E8">
        <w:rPr>
          <w:b/>
          <w:i/>
          <w:sz w:val="22"/>
          <w:szCs w:val="22"/>
        </w:rPr>
        <w:t>.</w:t>
      </w:r>
      <w:r w:rsidRPr="00F514E8">
        <w:rPr>
          <w:i/>
          <w:sz w:val="22"/>
          <w:szCs w:val="22"/>
        </w:rPr>
        <w:t xml:space="preserve"> La jurisdicción de lo contencioso administrativo está instituida para juzgar las controversias y litigios originados en </w:t>
      </w:r>
      <w:r w:rsidR="001B655D" w:rsidRPr="00F514E8">
        <w:rPr>
          <w:i/>
          <w:sz w:val="22"/>
          <w:szCs w:val="22"/>
        </w:rPr>
        <w:t xml:space="preserve">la actividad de las entidades públicas incluidas las sociedades de economía mixta con capital superior al 50% y de las personas privadas que desempeñen funciones propias de los distintos órganos del Estado. Se ejerce por el Consejo de Estado, los </w:t>
      </w:r>
      <w:proofErr w:type="gramStart"/>
      <w:r w:rsidR="001B655D" w:rsidRPr="00F514E8">
        <w:rPr>
          <w:i/>
          <w:sz w:val="22"/>
          <w:szCs w:val="22"/>
        </w:rPr>
        <w:t>tribunales administrativos y los juzgados administrativos</w:t>
      </w:r>
      <w:proofErr w:type="gramEnd"/>
      <w:r w:rsidR="001B655D" w:rsidRPr="00F514E8">
        <w:rPr>
          <w:i/>
          <w:sz w:val="22"/>
          <w:szCs w:val="22"/>
        </w:rPr>
        <w:t xml:space="preserve"> de conformidad con la Constitución y la ley.</w:t>
      </w:r>
    </w:p>
    <w:p w14:paraId="1BAC847D" w14:textId="77777777" w:rsidR="001B655D" w:rsidRPr="00F514E8" w:rsidRDefault="001B655D" w:rsidP="00725D19">
      <w:pPr>
        <w:pStyle w:val="Textoindependiente"/>
        <w:spacing w:line="240" w:lineRule="auto"/>
        <w:ind w:left="426" w:right="-85"/>
        <w:rPr>
          <w:i/>
          <w:sz w:val="22"/>
          <w:szCs w:val="22"/>
        </w:rPr>
      </w:pPr>
    </w:p>
    <w:p w14:paraId="44635DB7" w14:textId="77777777" w:rsidR="001B655D" w:rsidRPr="00F514E8" w:rsidRDefault="001B655D" w:rsidP="00725D19">
      <w:pPr>
        <w:pStyle w:val="Textoindependiente"/>
        <w:spacing w:line="240" w:lineRule="auto"/>
        <w:ind w:left="426" w:right="-85"/>
        <w:rPr>
          <w:i/>
          <w:sz w:val="22"/>
          <w:szCs w:val="22"/>
        </w:rPr>
      </w:pPr>
      <w:r w:rsidRPr="00F514E8">
        <w:rPr>
          <w:i/>
          <w:sz w:val="22"/>
          <w:szCs w:val="22"/>
        </w:rPr>
        <w:t xml:space="preserve">“Esta jurisdicción podrá juzgar, inclusive, las controversias que se originen en actos políticos o de Gobierno. </w:t>
      </w:r>
    </w:p>
    <w:p w14:paraId="330F1910" w14:textId="77777777" w:rsidR="001B655D" w:rsidRPr="00F514E8" w:rsidRDefault="001B655D" w:rsidP="00725D19">
      <w:pPr>
        <w:pStyle w:val="Textoindependiente"/>
        <w:spacing w:line="240" w:lineRule="auto"/>
        <w:ind w:left="426" w:right="-85"/>
        <w:rPr>
          <w:i/>
          <w:sz w:val="22"/>
          <w:szCs w:val="22"/>
        </w:rPr>
      </w:pPr>
    </w:p>
    <w:p w14:paraId="65413DA6" w14:textId="77777777" w:rsidR="004B7E0F" w:rsidRPr="00F514E8" w:rsidRDefault="001B655D" w:rsidP="00725D19">
      <w:pPr>
        <w:pStyle w:val="Textoindependiente"/>
        <w:spacing w:line="240" w:lineRule="auto"/>
        <w:ind w:left="426" w:right="-85"/>
        <w:rPr>
          <w:i/>
        </w:rPr>
      </w:pPr>
      <w:r w:rsidRPr="00F514E8">
        <w:rPr>
          <w:i/>
          <w:sz w:val="22"/>
          <w:szCs w:val="22"/>
        </w:rPr>
        <w:t xml:space="preserve">“La jurisdicción de lo contencioso administrativo no juzga las decisiones proferidas en juicios de policía regulados especialmente por la ley. Las decisiones jurisdiccionales adoptadas por las Salas Jurisdiccionales Disciplinarias del Consejo Superior de la </w:t>
      </w:r>
      <w:proofErr w:type="gramStart"/>
      <w:r w:rsidRPr="00F514E8">
        <w:rPr>
          <w:i/>
          <w:sz w:val="22"/>
          <w:szCs w:val="22"/>
        </w:rPr>
        <w:t>Judicatura,</w:t>
      </w:r>
      <w:proofErr w:type="gramEnd"/>
      <w:r w:rsidRPr="00F514E8">
        <w:rPr>
          <w:i/>
          <w:sz w:val="22"/>
          <w:szCs w:val="22"/>
        </w:rPr>
        <w:t xml:space="preserve"> no tendrán control jurisdiccional”.</w:t>
      </w:r>
      <w:r w:rsidRPr="00F514E8">
        <w:rPr>
          <w:i/>
        </w:rPr>
        <w:t xml:space="preserve">  </w:t>
      </w:r>
      <w:r w:rsidR="004B7E0F" w:rsidRPr="00F514E8">
        <w:rPr>
          <w:i/>
        </w:rPr>
        <w:t xml:space="preserve"> </w:t>
      </w:r>
    </w:p>
    <w:p w14:paraId="12E6E40C" w14:textId="77777777" w:rsidR="005637DB" w:rsidRDefault="004275EF" w:rsidP="00725D19">
      <w:pPr>
        <w:pStyle w:val="Textoindependiente"/>
        <w:spacing w:line="240" w:lineRule="auto"/>
        <w:ind w:right="-85"/>
      </w:pPr>
      <w:r w:rsidRPr="00F514E8">
        <w:t xml:space="preserve">  </w:t>
      </w:r>
      <w:r w:rsidR="00747F4F" w:rsidRPr="00F514E8">
        <w:t xml:space="preserve"> </w:t>
      </w:r>
    </w:p>
    <w:p w14:paraId="3EC75290" w14:textId="77777777" w:rsidR="00EF35F9" w:rsidRPr="00F514E8" w:rsidRDefault="00EF35F9" w:rsidP="00725D19">
      <w:pPr>
        <w:pStyle w:val="Textoindependiente"/>
        <w:spacing w:line="240" w:lineRule="auto"/>
        <w:ind w:right="-85"/>
      </w:pPr>
    </w:p>
    <w:p w14:paraId="7FB72C9C" w14:textId="77777777" w:rsidR="001C0DB9" w:rsidRPr="00F514E8" w:rsidRDefault="00604403" w:rsidP="00604403">
      <w:pPr>
        <w:pStyle w:val="Textoindependiente"/>
        <w:spacing w:line="240" w:lineRule="auto"/>
        <w:ind w:right="-85"/>
        <w:rPr>
          <w:b/>
        </w:rPr>
      </w:pPr>
      <w:r w:rsidRPr="00F514E8">
        <w:rPr>
          <w:b/>
        </w:rPr>
        <w:t>4.</w:t>
      </w:r>
      <w:r w:rsidRPr="00F514E8">
        <w:t xml:space="preserve"> </w:t>
      </w:r>
      <w:r w:rsidR="001C0DB9" w:rsidRPr="00F514E8">
        <w:rPr>
          <w:b/>
        </w:rPr>
        <w:t xml:space="preserve">La </w:t>
      </w:r>
      <w:r w:rsidR="001C7742" w:rsidRPr="00F514E8">
        <w:rPr>
          <w:b/>
        </w:rPr>
        <w:t>l</w:t>
      </w:r>
      <w:r w:rsidR="001C0DB9" w:rsidRPr="00F514E8">
        <w:rPr>
          <w:b/>
        </w:rPr>
        <w:t>ey 1437 de 2011, o nuevo Código de Procedimiento Administrativo y de lo Contencioso Administrativo</w:t>
      </w:r>
    </w:p>
    <w:p w14:paraId="313755C2" w14:textId="77777777" w:rsidR="004E5D58" w:rsidRPr="00F514E8" w:rsidRDefault="001C0DB9" w:rsidP="00725D19">
      <w:pPr>
        <w:pStyle w:val="Textoindependiente"/>
        <w:spacing w:line="240" w:lineRule="auto"/>
        <w:ind w:right="-85"/>
      </w:pPr>
      <w:r w:rsidRPr="00F514E8">
        <w:lastRenderedPageBreak/>
        <w:t xml:space="preserve">    </w:t>
      </w:r>
      <w:r w:rsidR="00713871" w:rsidRPr="00F514E8">
        <w:t xml:space="preserve"> </w:t>
      </w:r>
    </w:p>
    <w:p w14:paraId="32E1BB55" w14:textId="77777777" w:rsidR="004275EF" w:rsidRPr="00F514E8" w:rsidRDefault="00157BCB" w:rsidP="00157BCB">
      <w:pPr>
        <w:spacing w:after="0" w:line="240" w:lineRule="auto"/>
        <w:ind w:right="51"/>
        <w:jc w:val="both"/>
        <w:rPr>
          <w:rFonts w:ascii="Arial" w:hAnsi="Arial" w:cs="Arial"/>
          <w:sz w:val="24"/>
          <w:szCs w:val="24"/>
        </w:rPr>
      </w:pPr>
      <w:r w:rsidRPr="00F514E8">
        <w:rPr>
          <w:rFonts w:ascii="Arial" w:hAnsi="Arial" w:cs="Arial"/>
          <w:sz w:val="24"/>
          <w:szCs w:val="24"/>
        </w:rPr>
        <w:t>1. Los</w:t>
      </w:r>
      <w:r w:rsidR="004275EF" w:rsidRPr="00F514E8">
        <w:rPr>
          <w:rFonts w:ascii="Arial" w:hAnsi="Arial" w:cs="Arial"/>
          <w:sz w:val="24"/>
          <w:szCs w:val="24"/>
        </w:rPr>
        <w:t xml:space="preserve"> artículos 104 y 105 de la </w:t>
      </w:r>
      <w:r w:rsidR="001C7742" w:rsidRPr="00F514E8">
        <w:rPr>
          <w:rFonts w:ascii="Arial" w:hAnsi="Arial" w:cs="Arial"/>
          <w:sz w:val="24"/>
          <w:szCs w:val="24"/>
        </w:rPr>
        <w:t>l</w:t>
      </w:r>
      <w:r w:rsidR="004275EF" w:rsidRPr="00F514E8">
        <w:rPr>
          <w:rFonts w:ascii="Arial" w:hAnsi="Arial" w:cs="Arial"/>
          <w:sz w:val="24"/>
          <w:szCs w:val="24"/>
        </w:rPr>
        <w:t xml:space="preserve">ey 1437 de 2011, mediante la cual se expidió el nuevo Código de Procedimiento Administrativo y de lo Contencioso Administrativo, </w:t>
      </w:r>
      <w:r w:rsidRPr="00F514E8">
        <w:rPr>
          <w:rFonts w:ascii="Arial" w:hAnsi="Arial" w:cs="Arial"/>
          <w:sz w:val="24"/>
          <w:szCs w:val="24"/>
        </w:rPr>
        <w:t xml:space="preserve">en torno al objeto de la Jurisdicción </w:t>
      </w:r>
      <w:proofErr w:type="gramStart"/>
      <w:r w:rsidRPr="00F514E8">
        <w:rPr>
          <w:rFonts w:ascii="Arial" w:hAnsi="Arial" w:cs="Arial"/>
          <w:sz w:val="24"/>
          <w:szCs w:val="24"/>
        </w:rPr>
        <w:t>Contencioso Administrativa</w:t>
      </w:r>
      <w:proofErr w:type="gramEnd"/>
      <w:r w:rsidRPr="00F514E8">
        <w:rPr>
          <w:rFonts w:ascii="Arial" w:hAnsi="Arial" w:cs="Arial"/>
          <w:sz w:val="24"/>
          <w:szCs w:val="24"/>
        </w:rPr>
        <w:t>, en general, y a la competencia para conocer de las controversias contractuales, en particular, dispusieron lo siguiente</w:t>
      </w:r>
      <w:r w:rsidR="004275EF" w:rsidRPr="00F514E8">
        <w:rPr>
          <w:rFonts w:ascii="Arial" w:hAnsi="Arial" w:cs="Arial"/>
          <w:sz w:val="24"/>
          <w:szCs w:val="24"/>
        </w:rPr>
        <w:t xml:space="preserve">: </w:t>
      </w:r>
    </w:p>
    <w:p w14:paraId="18DC8D23" w14:textId="77777777" w:rsidR="00604403" w:rsidRPr="00F514E8" w:rsidRDefault="00604403" w:rsidP="00725D19">
      <w:pPr>
        <w:spacing w:after="0" w:line="240" w:lineRule="auto"/>
        <w:ind w:right="51"/>
        <w:jc w:val="both"/>
        <w:rPr>
          <w:rFonts w:ascii="Arial" w:hAnsi="Arial" w:cs="Arial"/>
          <w:sz w:val="24"/>
          <w:szCs w:val="24"/>
        </w:rPr>
      </w:pPr>
    </w:p>
    <w:p w14:paraId="601F48B6" w14:textId="77777777" w:rsidR="00D334A2" w:rsidRPr="00F514E8" w:rsidRDefault="00D334A2" w:rsidP="00725D19">
      <w:pPr>
        <w:pStyle w:val="Normal1"/>
        <w:spacing w:line="240" w:lineRule="auto"/>
        <w:ind w:left="426"/>
        <w:jc w:val="both"/>
        <w:rPr>
          <w:i/>
          <w:color w:val="auto"/>
        </w:rPr>
      </w:pPr>
      <w:r w:rsidRPr="00F514E8">
        <w:rPr>
          <w:color w:val="auto"/>
        </w:rPr>
        <w:t>“</w:t>
      </w:r>
      <w:r w:rsidRPr="00F514E8">
        <w:rPr>
          <w:i/>
          <w:color w:val="auto"/>
        </w:rPr>
        <w:t xml:space="preserve">Artículo 104. De la Jurisdicción de lo Contencioso Administrativo. La Jurisdicción de lo Contencioso Administrativo está instituida para conocer, además de lo dispuesto en la Constitución Política y en leyes especiales, de las controversias y litigios originados en actos, </w:t>
      </w:r>
      <w:r w:rsidRPr="00F514E8">
        <w:rPr>
          <w:i/>
          <w:color w:val="auto"/>
          <w:u w:val="single"/>
        </w:rPr>
        <w:t>contratos</w:t>
      </w:r>
      <w:r w:rsidRPr="00F514E8">
        <w:rPr>
          <w:i/>
          <w:color w:val="auto"/>
        </w:rPr>
        <w:t xml:space="preserve">, hechos, omisiones y operaciones, </w:t>
      </w:r>
      <w:r w:rsidRPr="00F514E8">
        <w:rPr>
          <w:i/>
          <w:color w:val="auto"/>
          <w:u w:val="single"/>
        </w:rPr>
        <w:t>sujetos al derecho administrativo</w:t>
      </w:r>
      <w:r w:rsidRPr="00F514E8">
        <w:rPr>
          <w:i/>
          <w:color w:val="auto"/>
        </w:rPr>
        <w:t xml:space="preserve">, en los que estén involucradas </w:t>
      </w:r>
      <w:r w:rsidRPr="00F514E8">
        <w:rPr>
          <w:i/>
          <w:color w:val="auto"/>
          <w:u w:val="single"/>
        </w:rPr>
        <w:t>las entidades públicas, o los particulares cuando ejerzan función administrativa</w:t>
      </w:r>
      <w:r w:rsidRPr="00F514E8">
        <w:rPr>
          <w:i/>
          <w:color w:val="auto"/>
        </w:rPr>
        <w:t>. Igualmente conocerá de los siguientes procesos:</w:t>
      </w:r>
    </w:p>
    <w:p w14:paraId="2B355585" w14:textId="77777777" w:rsidR="00D334A2" w:rsidRPr="00F514E8" w:rsidRDefault="00D334A2" w:rsidP="00725D19">
      <w:pPr>
        <w:pStyle w:val="Normal1"/>
        <w:spacing w:line="240" w:lineRule="auto"/>
        <w:ind w:left="426"/>
        <w:jc w:val="both"/>
        <w:rPr>
          <w:i/>
          <w:color w:val="auto"/>
        </w:rPr>
      </w:pPr>
    </w:p>
    <w:p w14:paraId="381E9C45" w14:textId="77777777" w:rsidR="00D334A2" w:rsidRPr="00F514E8" w:rsidRDefault="00D334A2" w:rsidP="00725D19">
      <w:pPr>
        <w:pStyle w:val="Normal1"/>
        <w:spacing w:line="240" w:lineRule="auto"/>
        <w:ind w:left="426"/>
        <w:jc w:val="both"/>
        <w:rPr>
          <w:i/>
          <w:color w:val="auto"/>
        </w:rPr>
      </w:pPr>
      <w:r w:rsidRPr="00F514E8">
        <w:rPr>
          <w:i/>
          <w:color w:val="auto"/>
        </w:rPr>
        <w:t>1. Los relativos a la responsabilidad extracontractual de cualquier entidad pública, cualquiera que sea el régimen aplicable.</w:t>
      </w:r>
    </w:p>
    <w:p w14:paraId="095DCB73" w14:textId="77777777" w:rsidR="00D334A2" w:rsidRPr="00F514E8" w:rsidRDefault="00D334A2" w:rsidP="00725D19">
      <w:pPr>
        <w:pStyle w:val="Normal1"/>
        <w:spacing w:line="240" w:lineRule="auto"/>
        <w:ind w:left="426"/>
        <w:jc w:val="both"/>
        <w:rPr>
          <w:i/>
          <w:color w:val="auto"/>
        </w:rPr>
      </w:pPr>
      <w:r w:rsidRPr="00F514E8">
        <w:rPr>
          <w:i/>
          <w:color w:val="auto"/>
        </w:rPr>
        <w:t xml:space="preserve"> </w:t>
      </w:r>
    </w:p>
    <w:p w14:paraId="6E52C015" w14:textId="77777777" w:rsidR="00D334A2" w:rsidRPr="00F514E8" w:rsidRDefault="00D334A2" w:rsidP="00725D19">
      <w:pPr>
        <w:pStyle w:val="Normal1"/>
        <w:spacing w:line="240" w:lineRule="auto"/>
        <w:ind w:left="426"/>
        <w:jc w:val="both"/>
        <w:rPr>
          <w:i/>
          <w:color w:val="auto"/>
        </w:rPr>
      </w:pPr>
      <w:r w:rsidRPr="00F514E8">
        <w:rPr>
          <w:i/>
          <w:color w:val="auto"/>
        </w:rPr>
        <w:t xml:space="preserve">2. </w:t>
      </w:r>
      <w:r w:rsidRPr="00F514E8">
        <w:rPr>
          <w:i/>
          <w:color w:val="auto"/>
          <w:u w:val="single"/>
        </w:rPr>
        <w:t>Los relativos a los contratos, cualquiera que sea su régimen, en los que sea parte una entidad pública o un particular en ejercicio de funciones propias del Estado</w:t>
      </w:r>
      <w:r w:rsidRPr="00F514E8">
        <w:rPr>
          <w:i/>
          <w:color w:val="auto"/>
        </w:rPr>
        <w:t>.</w:t>
      </w:r>
    </w:p>
    <w:p w14:paraId="779FE681" w14:textId="77777777" w:rsidR="00D334A2" w:rsidRPr="00F514E8" w:rsidRDefault="00D334A2" w:rsidP="00725D19">
      <w:pPr>
        <w:pStyle w:val="Normal1"/>
        <w:spacing w:line="240" w:lineRule="auto"/>
        <w:ind w:left="426"/>
        <w:jc w:val="both"/>
        <w:rPr>
          <w:i/>
          <w:color w:val="auto"/>
        </w:rPr>
      </w:pPr>
      <w:r w:rsidRPr="00F514E8">
        <w:rPr>
          <w:i/>
          <w:color w:val="auto"/>
        </w:rPr>
        <w:t xml:space="preserve"> </w:t>
      </w:r>
    </w:p>
    <w:p w14:paraId="4C5ACCE3" w14:textId="77777777" w:rsidR="00D334A2" w:rsidRPr="00F514E8" w:rsidRDefault="00D334A2" w:rsidP="00725D19">
      <w:pPr>
        <w:pStyle w:val="Normal1"/>
        <w:spacing w:line="240" w:lineRule="auto"/>
        <w:ind w:left="426"/>
        <w:jc w:val="both"/>
        <w:rPr>
          <w:i/>
          <w:color w:val="auto"/>
        </w:rPr>
      </w:pPr>
      <w:r w:rsidRPr="00F514E8">
        <w:rPr>
          <w:i/>
          <w:color w:val="auto"/>
        </w:rPr>
        <w:t xml:space="preserve">3. Los relativos a </w:t>
      </w:r>
      <w:r w:rsidRPr="00F514E8">
        <w:rPr>
          <w:i/>
          <w:color w:val="auto"/>
          <w:u w:val="single"/>
        </w:rPr>
        <w:t>contratos celebrados por cualquier entidad prestadora de servicios públicos domiciliarios en los cuales se incluyan o hayan debido incluirse cláusulas exorbitantes</w:t>
      </w:r>
      <w:r w:rsidRPr="00F514E8">
        <w:rPr>
          <w:i/>
          <w:color w:val="auto"/>
        </w:rPr>
        <w:t>.</w:t>
      </w:r>
    </w:p>
    <w:p w14:paraId="5272FB34" w14:textId="77777777" w:rsidR="00D334A2" w:rsidRPr="00F514E8" w:rsidRDefault="00D334A2" w:rsidP="00725D19">
      <w:pPr>
        <w:pStyle w:val="Normal1"/>
        <w:spacing w:line="240" w:lineRule="auto"/>
        <w:ind w:left="426"/>
        <w:jc w:val="both"/>
        <w:rPr>
          <w:i/>
          <w:color w:val="auto"/>
        </w:rPr>
      </w:pPr>
      <w:r w:rsidRPr="00F514E8">
        <w:rPr>
          <w:i/>
          <w:color w:val="auto"/>
        </w:rPr>
        <w:t xml:space="preserve"> </w:t>
      </w:r>
    </w:p>
    <w:p w14:paraId="201BD275" w14:textId="77777777" w:rsidR="00D334A2" w:rsidRPr="00F514E8" w:rsidRDefault="00D334A2" w:rsidP="00725D19">
      <w:pPr>
        <w:pStyle w:val="Normal1"/>
        <w:spacing w:line="240" w:lineRule="auto"/>
        <w:ind w:left="426"/>
        <w:jc w:val="both"/>
        <w:rPr>
          <w:i/>
          <w:color w:val="auto"/>
        </w:rPr>
      </w:pPr>
      <w:r w:rsidRPr="00F514E8">
        <w:rPr>
          <w:i/>
          <w:color w:val="auto"/>
        </w:rPr>
        <w:t>4. Los relativos a la relación legal y reglamentaria entre los servidores públicos y el Estado, y la seguridad social de los mismos, cuando dicho régimen esté administrado por una persona de derecho público.</w:t>
      </w:r>
    </w:p>
    <w:p w14:paraId="6665A0CD" w14:textId="77777777" w:rsidR="00D334A2" w:rsidRPr="00F514E8" w:rsidRDefault="00D334A2" w:rsidP="00725D19">
      <w:pPr>
        <w:pStyle w:val="Normal1"/>
        <w:spacing w:line="240" w:lineRule="auto"/>
        <w:ind w:left="426"/>
        <w:jc w:val="both"/>
        <w:rPr>
          <w:i/>
          <w:color w:val="auto"/>
        </w:rPr>
      </w:pPr>
      <w:r w:rsidRPr="00F514E8">
        <w:rPr>
          <w:i/>
          <w:color w:val="auto"/>
        </w:rPr>
        <w:t xml:space="preserve"> </w:t>
      </w:r>
    </w:p>
    <w:p w14:paraId="63D6D18E" w14:textId="77777777" w:rsidR="00D334A2" w:rsidRPr="00F514E8" w:rsidRDefault="00D334A2" w:rsidP="00725D19">
      <w:pPr>
        <w:pStyle w:val="Normal1"/>
        <w:spacing w:line="240" w:lineRule="auto"/>
        <w:ind w:left="426"/>
        <w:jc w:val="both"/>
        <w:rPr>
          <w:i/>
          <w:color w:val="auto"/>
        </w:rPr>
      </w:pPr>
      <w:r w:rsidRPr="00F514E8">
        <w:rPr>
          <w:i/>
          <w:color w:val="auto"/>
        </w:rPr>
        <w:t>5. Los que se originen en actos políticos o de gobierno.</w:t>
      </w:r>
    </w:p>
    <w:p w14:paraId="433222CE" w14:textId="77777777" w:rsidR="00D334A2" w:rsidRPr="00F514E8" w:rsidRDefault="00D334A2" w:rsidP="00725D19">
      <w:pPr>
        <w:pStyle w:val="Normal1"/>
        <w:spacing w:line="240" w:lineRule="auto"/>
        <w:ind w:left="825"/>
        <w:jc w:val="both"/>
        <w:rPr>
          <w:color w:val="auto"/>
        </w:rPr>
      </w:pPr>
      <w:r w:rsidRPr="00F514E8">
        <w:rPr>
          <w:color w:val="auto"/>
          <w:sz w:val="24"/>
        </w:rPr>
        <w:t xml:space="preserve"> </w:t>
      </w:r>
    </w:p>
    <w:p w14:paraId="756E1A17" w14:textId="77777777" w:rsidR="00D334A2" w:rsidRPr="00F514E8" w:rsidRDefault="00D334A2" w:rsidP="00725D19">
      <w:pPr>
        <w:pStyle w:val="Normal1"/>
        <w:spacing w:line="240" w:lineRule="auto"/>
        <w:ind w:left="426"/>
        <w:jc w:val="both"/>
        <w:rPr>
          <w:i/>
          <w:color w:val="auto"/>
        </w:rPr>
      </w:pPr>
      <w:r w:rsidRPr="00F514E8">
        <w:rPr>
          <w:i/>
          <w:color w:val="auto"/>
        </w:rPr>
        <w:t>6.</w:t>
      </w:r>
      <w:r w:rsidRPr="00F514E8">
        <w:rPr>
          <w:color w:val="auto"/>
        </w:rPr>
        <w:t xml:space="preserve"> </w:t>
      </w:r>
      <w:r w:rsidRPr="00F514E8">
        <w:rPr>
          <w:i/>
          <w:color w:val="auto"/>
        </w:rPr>
        <w:t xml:space="preserve">Los </w:t>
      </w:r>
      <w:r w:rsidRPr="00F514E8">
        <w:rPr>
          <w:i/>
          <w:color w:val="auto"/>
          <w:u w:val="single"/>
        </w:rPr>
        <w:t>ejecutivos</w:t>
      </w:r>
      <w:r w:rsidRPr="00F514E8">
        <w:rPr>
          <w:i/>
          <w:color w:val="auto"/>
        </w:rPr>
        <w:t xml:space="preserve"> derivados de las condenas impuestas y las conciliaciones aprobadas por esta jurisdicción, así como los provenientes de laudos arbitrales en que hubiere sido parte una entidad pública; </w:t>
      </w:r>
      <w:r w:rsidRPr="00F514E8">
        <w:rPr>
          <w:i/>
          <w:color w:val="auto"/>
          <w:u w:val="single"/>
        </w:rPr>
        <w:t>e, igualmente los originados en los contratos celebrados por esas entidades</w:t>
      </w:r>
      <w:r w:rsidRPr="00F514E8">
        <w:rPr>
          <w:i/>
          <w:color w:val="auto"/>
        </w:rPr>
        <w:t>.</w:t>
      </w:r>
    </w:p>
    <w:p w14:paraId="1BEBDBB8" w14:textId="77777777" w:rsidR="00D334A2" w:rsidRPr="00F514E8" w:rsidRDefault="00D334A2" w:rsidP="00725D19">
      <w:pPr>
        <w:pStyle w:val="Normal1"/>
        <w:spacing w:line="240" w:lineRule="auto"/>
        <w:ind w:left="825"/>
        <w:jc w:val="both"/>
        <w:rPr>
          <w:i/>
          <w:color w:val="auto"/>
        </w:rPr>
      </w:pPr>
      <w:r w:rsidRPr="00F514E8">
        <w:rPr>
          <w:i/>
          <w:color w:val="auto"/>
        </w:rPr>
        <w:t xml:space="preserve"> </w:t>
      </w:r>
    </w:p>
    <w:p w14:paraId="4258E2F5" w14:textId="77777777" w:rsidR="00D334A2" w:rsidRPr="00F514E8" w:rsidRDefault="00D334A2" w:rsidP="00725D19">
      <w:pPr>
        <w:pStyle w:val="Normal1"/>
        <w:spacing w:line="240" w:lineRule="auto"/>
        <w:ind w:left="426"/>
        <w:jc w:val="both"/>
        <w:rPr>
          <w:i/>
          <w:color w:val="auto"/>
        </w:rPr>
      </w:pPr>
      <w:r w:rsidRPr="00F514E8">
        <w:rPr>
          <w:i/>
          <w:color w:val="auto"/>
        </w:rPr>
        <w:t xml:space="preserve">7. </w:t>
      </w:r>
      <w:r w:rsidRPr="00F514E8">
        <w:rPr>
          <w:i/>
          <w:color w:val="auto"/>
          <w:u w:val="single"/>
        </w:rPr>
        <w:t>Los recursos extraordinarios contra laudos arbitrales que definan conflictos relativos a contratos celebrados por entidades públicas o por particulares en ejercicio de funciones propias del Estado</w:t>
      </w:r>
      <w:r w:rsidRPr="00F514E8">
        <w:rPr>
          <w:i/>
          <w:color w:val="auto"/>
        </w:rPr>
        <w:t>.</w:t>
      </w:r>
    </w:p>
    <w:p w14:paraId="6707A4EC" w14:textId="77777777" w:rsidR="00D334A2" w:rsidRPr="00F514E8" w:rsidRDefault="00D334A2" w:rsidP="00725D19">
      <w:pPr>
        <w:pStyle w:val="Normal1"/>
        <w:spacing w:line="240" w:lineRule="auto"/>
        <w:ind w:left="426"/>
        <w:jc w:val="both"/>
        <w:rPr>
          <w:color w:val="auto"/>
        </w:rPr>
      </w:pPr>
      <w:r w:rsidRPr="00F514E8">
        <w:rPr>
          <w:color w:val="auto"/>
        </w:rPr>
        <w:t xml:space="preserve"> </w:t>
      </w:r>
    </w:p>
    <w:p w14:paraId="2B4EDC5C" w14:textId="77777777" w:rsidR="00D334A2" w:rsidRPr="00F514E8" w:rsidRDefault="00D334A2" w:rsidP="00725D19">
      <w:pPr>
        <w:pStyle w:val="Normal1"/>
        <w:spacing w:line="240" w:lineRule="auto"/>
        <w:ind w:left="426"/>
        <w:jc w:val="both"/>
        <w:rPr>
          <w:color w:val="auto"/>
        </w:rPr>
      </w:pPr>
      <w:r w:rsidRPr="00F514E8">
        <w:rPr>
          <w:i/>
          <w:color w:val="auto"/>
        </w:rPr>
        <w:t>“Parágrafo. Para los solos efectos de este Código, se entiende por entidad pública todo órgano, organismo o entidad estatal, con independencia de su denominación; las sociedades o empresas en las que el Estado tenga una participación igual o superior al 50% de su capital; y los entes con aportes o participación estatal igual o superior al 50%</w:t>
      </w:r>
      <w:r w:rsidR="009268F7" w:rsidRPr="00F514E8">
        <w:rPr>
          <w:i/>
          <w:color w:val="auto"/>
        </w:rPr>
        <w:t>”</w:t>
      </w:r>
      <w:r w:rsidRPr="00F514E8">
        <w:rPr>
          <w:i/>
          <w:color w:val="auto"/>
        </w:rPr>
        <w:t>.</w:t>
      </w:r>
      <w:r w:rsidR="009268F7" w:rsidRPr="00F514E8">
        <w:rPr>
          <w:i/>
          <w:color w:val="auto"/>
        </w:rPr>
        <w:t xml:space="preserve"> </w:t>
      </w:r>
      <w:r w:rsidR="009268F7" w:rsidRPr="00F514E8">
        <w:rPr>
          <w:color w:val="auto"/>
        </w:rPr>
        <w:t>(</w:t>
      </w:r>
      <w:r w:rsidR="002166D2" w:rsidRPr="00F514E8">
        <w:rPr>
          <w:color w:val="auto"/>
        </w:rPr>
        <w:t>S</w:t>
      </w:r>
      <w:r w:rsidR="009268F7" w:rsidRPr="00F514E8">
        <w:rPr>
          <w:color w:val="auto"/>
        </w:rPr>
        <w:t>ubrayas fuera del texto).</w:t>
      </w:r>
    </w:p>
    <w:p w14:paraId="0B687B1C" w14:textId="77777777" w:rsidR="00D334A2" w:rsidRPr="00F514E8" w:rsidRDefault="00D334A2" w:rsidP="00725D19">
      <w:pPr>
        <w:spacing w:after="0" w:line="240" w:lineRule="auto"/>
        <w:ind w:left="426" w:right="51"/>
        <w:jc w:val="both"/>
        <w:rPr>
          <w:rFonts w:ascii="Arial" w:hAnsi="Arial" w:cs="Arial"/>
          <w:i/>
        </w:rPr>
      </w:pPr>
    </w:p>
    <w:p w14:paraId="424791CD" w14:textId="77777777" w:rsidR="00D334A2" w:rsidRPr="00F514E8" w:rsidRDefault="009268F7" w:rsidP="00725D19">
      <w:pPr>
        <w:pStyle w:val="Normal1"/>
        <w:spacing w:line="240" w:lineRule="auto"/>
        <w:ind w:left="426"/>
        <w:jc w:val="both"/>
        <w:rPr>
          <w:i/>
          <w:color w:val="auto"/>
        </w:rPr>
      </w:pPr>
      <w:r w:rsidRPr="00F514E8">
        <w:rPr>
          <w:i/>
          <w:color w:val="auto"/>
        </w:rPr>
        <w:t>“</w:t>
      </w:r>
      <w:r w:rsidR="00D334A2" w:rsidRPr="00F514E8">
        <w:rPr>
          <w:i/>
          <w:color w:val="auto"/>
        </w:rPr>
        <w:t xml:space="preserve">Artículo 105. Excepciones. La Jurisdicción de lo Contencioso Administrativo </w:t>
      </w:r>
      <w:r w:rsidR="00D334A2" w:rsidRPr="00F514E8">
        <w:rPr>
          <w:i/>
          <w:color w:val="auto"/>
          <w:u w:val="single"/>
        </w:rPr>
        <w:t>no conocerá</w:t>
      </w:r>
      <w:r w:rsidR="00D334A2" w:rsidRPr="00F514E8">
        <w:rPr>
          <w:i/>
          <w:color w:val="auto"/>
        </w:rPr>
        <w:t xml:space="preserve"> de los siguientes asuntos:</w:t>
      </w:r>
    </w:p>
    <w:p w14:paraId="4EB13AE4" w14:textId="77777777" w:rsidR="00D334A2" w:rsidRPr="00F514E8" w:rsidRDefault="00D334A2" w:rsidP="00725D19">
      <w:pPr>
        <w:pStyle w:val="Normal1"/>
        <w:spacing w:line="240" w:lineRule="auto"/>
        <w:ind w:left="426"/>
        <w:jc w:val="both"/>
        <w:rPr>
          <w:i/>
          <w:color w:val="auto"/>
        </w:rPr>
      </w:pPr>
      <w:r w:rsidRPr="00F514E8">
        <w:rPr>
          <w:i/>
          <w:color w:val="auto"/>
        </w:rPr>
        <w:t xml:space="preserve"> </w:t>
      </w:r>
    </w:p>
    <w:p w14:paraId="002D195E" w14:textId="77777777" w:rsidR="00D334A2" w:rsidRPr="00F514E8" w:rsidRDefault="00D334A2" w:rsidP="00725D19">
      <w:pPr>
        <w:pStyle w:val="Normal1"/>
        <w:spacing w:line="240" w:lineRule="auto"/>
        <w:ind w:left="426"/>
        <w:jc w:val="both"/>
        <w:rPr>
          <w:color w:val="auto"/>
        </w:rPr>
      </w:pPr>
      <w:r w:rsidRPr="00F514E8">
        <w:rPr>
          <w:i/>
          <w:color w:val="auto"/>
        </w:rPr>
        <w:t xml:space="preserve">1. Las </w:t>
      </w:r>
      <w:r w:rsidRPr="00F514E8">
        <w:rPr>
          <w:i/>
          <w:color w:val="auto"/>
          <w:u w:val="single"/>
        </w:rPr>
        <w:t>controversias relativas a</w:t>
      </w:r>
      <w:r w:rsidRPr="00F514E8">
        <w:rPr>
          <w:i/>
          <w:color w:val="auto"/>
        </w:rPr>
        <w:t xml:space="preserve"> la responsabilidad extracontractual y a </w:t>
      </w:r>
      <w:r w:rsidRPr="00F514E8">
        <w:rPr>
          <w:i/>
          <w:color w:val="auto"/>
          <w:u w:val="single"/>
        </w:rPr>
        <w:t xml:space="preserve">los contratos celebrados por entidades públicas que tengan el carácter de instituciones financieras, aseguradoras, intermediarios de seguros o intermediarios de valores vigilados por la Superintendencia Financiera, cuando </w:t>
      </w:r>
      <w:bookmarkStart w:id="1" w:name="OLE_LINK1"/>
      <w:bookmarkStart w:id="2" w:name="OLE_LINK2"/>
      <w:r w:rsidRPr="00F514E8">
        <w:rPr>
          <w:i/>
          <w:color w:val="auto"/>
          <w:u w:val="single"/>
        </w:rPr>
        <w:t>correspondan al giro ordinario de los negocios</w:t>
      </w:r>
      <w:bookmarkEnd w:id="1"/>
      <w:bookmarkEnd w:id="2"/>
      <w:r w:rsidRPr="00F514E8">
        <w:rPr>
          <w:i/>
          <w:color w:val="auto"/>
          <w:u w:val="single"/>
        </w:rPr>
        <w:t xml:space="preserve"> de dichas entidades, incluyendo los procesos ejecutivos</w:t>
      </w:r>
      <w:r w:rsidRPr="00F514E8">
        <w:rPr>
          <w:i/>
          <w:color w:val="auto"/>
        </w:rPr>
        <w:t>.</w:t>
      </w:r>
      <w:r w:rsidR="009268F7" w:rsidRPr="00F514E8">
        <w:rPr>
          <w:color w:val="auto"/>
        </w:rPr>
        <w:t xml:space="preserve"> </w:t>
      </w:r>
      <w:r w:rsidR="009268F7" w:rsidRPr="00F514E8">
        <w:rPr>
          <w:i/>
          <w:color w:val="auto"/>
        </w:rPr>
        <w:t>(</w:t>
      </w:r>
      <w:proofErr w:type="gramStart"/>
      <w:r w:rsidR="009268F7" w:rsidRPr="00F514E8">
        <w:rPr>
          <w:i/>
          <w:color w:val="auto"/>
        </w:rPr>
        <w:t>…)</w:t>
      </w:r>
      <w:r w:rsidR="009268F7" w:rsidRPr="00F514E8">
        <w:rPr>
          <w:color w:val="auto"/>
        </w:rPr>
        <w:t>“</w:t>
      </w:r>
      <w:proofErr w:type="gramEnd"/>
      <w:r w:rsidR="009268F7" w:rsidRPr="00F514E8">
        <w:rPr>
          <w:color w:val="auto"/>
        </w:rPr>
        <w:t xml:space="preserve"> (</w:t>
      </w:r>
      <w:r w:rsidR="004E7322" w:rsidRPr="00F514E8">
        <w:rPr>
          <w:color w:val="auto"/>
        </w:rPr>
        <w:t xml:space="preserve">Resalta </w:t>
      </w:r>
      <w:r w:rsidR="009268F7" w:rsidRPr="00F514E8">
        <w:rPr>
          <w:color w:val="auto"/>
        </w:rPr>
        <w:t>la Sala).</w:t>
      </w:r>
    </w:p>
    <w:p w14:paraId="5D32EB23" w14:textId="77777777" w:rsidR="00081DA5" w:rsidRPr="00F514E8" w:rsidRDefault="004275EF" w:rsidP="00725D19">
      <w:pPr>
        <w:spacing w:after="0" w:line="240" w:lineRule="auto"/>
        <w:ind w:right="51"/>
        <w:jc w:val="both"/>
        <w:rPr>
          <w:rFonts w:ascii="Arial" w:hAnsi="Arial" w:cs="Arial"/>
          <w:sz w:val="24"/>
          <w:szCs w:val="24"/>
        </w:rPr>
      </w:pPr>
      <w:r w:rsidRPr="00F514E8">
        <w:rPr>
          <w:rFonts w:ascii="Arial" w:hAnsi="Arial" w:cs="Arial"/>
          <w:sz w:val="24"/>
          <w:szCs w:val="24"/>
        </w:rPr>
        <w:t xml:space="preserve">    </w:t>
      </w:r>
    </w:p>
    <w:p w14:paraId="05737C34" w14:textId="77777777" w:rsidR="009268F7" w:rsidRPr="00F514E8" w:rsidRDefault="00825BB1" w:rsidP="00725D19">
      <w:pPr>
        <w:spacing w:after="0" w:line="240" w:lineRule="auto"/>
        <w:ind w:right="51"/>
        <w:jc w:val="both"/>
        <w:rPr>
          <w:rFonts w:ascii="Arial" w:hAnsi="Arial" w:cs="Arial"/>
          <w:sz w:val="24"/>
          <w:szCs w:val="24"/>
        </w:rPr>
      </w:pPr>
      <w:r w:rsidRPr="00F514E8">
        <w:rPr>
          <w:rFonts w:ascii="Arial" w:hAnsi="Arial" w:cs="Arial"/>
          <w:sz w:val="24"/>
          <w:szCs w:val="24"/>
        </w:rPr>
        <w:t>La ley 1437 de 2011</w:t>
      </w:r>
      <w:r w:rsidR="009268F7" w:rsidRPr="00F514E8">
        <w:rPr>
          <w:rFonts w:ascii="Arial" w:hAnsi="Arial" w:cs="Arial"/>
          <w:sz w:val="24"/>
          <w:szCs w:val="24"/>
        </w:rPr>
        <w:t xml:space="preserve"> </w:t>
      </w:r>
      <w:r w:rsidRPr="00F514E8">
        <w:rPr>
          <w:rFonts w:ascii="Arial" w:hAnsi="Arial" w:cs="Arial"/>
          <w:sz w:val="24"/>
          <w:szCs w:val="24"/>
        </w:rPr>
        <w:t xml:space="preserve">se fijó como propósito, </w:t>
      </w:r>
      <w:r w:rsidR="009268F7" w:rsidRPr="00F514E8">
        <w:rPr>
          <w:rFonts w:ascii="Arial" w:hAnsi="Arial" w:cs="Arial"/>
          <w:sz w:val="24"/>
          <w:szCs w:val="24"/>
        </w:rPr>
        <w:t xml:space="preserve">en </w:t>
      </w:r>
      <w:r w:rsidRPr="00F514E8">
        <w:rPr>
          <w:rFonts w:ascii="Arial" w:hAnsi="Arial" w:cs="Arial"/>
          <w:sz w:val="24"/>
          <w:szCs w:val="24"/>
        </w:rPr>
        <w:t xml:space="preserve">esta materia, </w:t>
      </w:r>
      <w:r w:rsidR="009268F7" w:rsidRPr="00F514E8">
        <w:rPr>
          <w:rFonts w:ascii="Arial" w:hAnsi="Arial" w:cs="Arial"/>
          <w:sz w:val="24"/>
          <w:szCs w:val="24"/>
        </w:rPr>
        <w:t>establecer</w:t>
      </w:r>
      <w:r w:rsidRPr="00F514E8">
        <w:rPr>
          <w:rFonts w:ascii="Arial" w:hAnsi="Arial" w:cs="Arial"/>
          <w:sz w:val="24"/>
          <w:szCs w:val="24"/>
        </w:rPr>
        <w:t xml:space="preserve"> </w:t>
      </w:r>
      <w:r w:rsidR="009268F7" w:rsidRPr="00F514E8">
        <w:rPr>
          <w:rFonts w:ascii="Arial" w:hAnsi="Arial" w:cs="Arial"/>
          <w:sz w:val="24"/>
          <w:szCs w:val="24"/>
        </w:rPr>
        <w:t>una regla general</w:t>
      </w:r>
      <w:r w:rsidR="00E6426B" w:rsidRPr="00F514E8">
        <w:rPr>
          <w:rFonts w:ascii="Arial" w:hAnsi="Arial" w:cs="Arial"/>
          <w:sz w:val="24"/>
          <w:szCs w:val="24"/>
        </w:rPr>
        <w:t xml:space="preserve"> que permit</w:t>
      </w:r>
      <w:r w:rsidR="009268F7" w:rsidRPr="00F514E8">
        <w:rPr>
          <w:rFonts w:ascii="Arial" w:hAnsi="Arial" w:cs="Arial"/>
          <w:sz w:val="24"/>
          <w:szCs w:val="24"/>
        </w:rPr>
        <w:t>iera determinar con claridad el objeto de la Jurisdicción Contencioso Administrativa, para lo cual optó por combinar el criterio orgánico (referido a la naturaleza de las personas o entidades involucradas: entidades públicas o particulares en ejercicio de funciones administrativas)</w:t>
      </w:r>
      <w:r w:rsidR="00311D66" w:rsidRPr="00F514E8">
        <w:rPr>
          <w:rFonts w:ascii="Arial" w:hAnsi="Arial" w:cs="Arial"/>
          <w:sz w:val="24"/>
          <w:szCs w:val="24"/>
        </w:rPr>
        <w:t xml:space="preserve"> con </w:t>
      </w:r>
      <w:r w:rsidR="006B2C11" w:rsidRPr="00F514E8">
        <w:rPr>
          <w:rFonts w:ascii="Arial" w:hAnsi="Arial" w:cs="Arial"/>
          <w:sz w:val="24"/>
          <w:szCs w:val="24"/>
        </w:rPr>
        <w:t>el</w:t>
      </w:r>
      <w:r w:rsidR="00311D66" w:rsidRPr="00F514E8">
        <w:rPr>
          <w:rFonts w:ascii="Arial" w:hAnsi="Arial" w:cs="Arial"/>
          <w:sz w:val="24"/>
          <w:szCs w:val="24"/>
        </w:rPr>
        <w:t xml:space="preserve"> criterio </w:t>
      </w:r>
      <w:r w:rsidR="00311D66" w:rsidRPr="00F514E8">
        <w:rPr>
          <w:rFonts w:ascii="Arial" w:hAnsi="Arial" w:cs="Arial"/>
          <w:sz w:val="24"/>
          <w:szCs w:val="24"/>
        </w:rPr>
        <w:lastRenderedPageBreak/>
        <w:t>material</w:t>
      </w:r>
      <w:r w:rsidR="00E6426B" w:rsidRPr="00F514E8">
        <w:rPr>
          <w:rFonts w:ascii="Arial" w:hAnsi="Arial" w:cs="Arial"/>
          <w:sz w:val="24"/>
          <w:szCs w:val="24"/>
        </w:rPr>
        <w:t>, definido,</w:t>
      </w:r>
      <w:r w:rsidR="00311D66" w:rsidRPr="00F514E8">
        <w:rPr>
          <w:rFonts w:ascii="Arial" w:hAnsi="Arial" w:cs="Arial"/>
          <w:sz w:val="24"/>
          <w:szCs w:val="24"/>
        </w:rPr>
        <w:t xml:space="preserve"> en este caso, como la sujeción </w:t>
      </w:r>
      <w:r w:rsidR="00D12F33" w:rsidRPr="00F514E8">
        <w:rPr>
          <w:rFonts w:ascii="Arial" w:hAnsi="Arial" w:cs="Arial"/>
          <w:sz w:val="24"/>
          <w:szCs w:val="24"/>
        </w:rPr>
        <w:t xml:space="preserve">al derecho administrativo </w:t>
      </w:r>
      <w:r w:rsidR="006B2C11" w:rsidRPr="00F514E8">
        <w:rPr>
          <w:rFonts w:ascii="Arial" w:hAnsi="Arial" w:cs="Arial"/>
          <w:sz w:val="24"/>
          <w:szCs w:val="24"/>
        </w:rPr>
        <w:t>de los actos, contratos, hechos, omisiones y operaciones respectivos.</w:t>
      </w:r>
      <w:r w:rsidR="00311D66" w:rsidRPr="00F514E8">
        <w:rPr>
          <w:rFonts w:ascii="Arial" w:hAnsi="Arial" w:cs="Arial"/>
          <w:sz w:val="24"/>
          <w:szCs w:val="24"/>
        </w:rPr>
        <w:t xml:space="preserve">  </w:t>
      </w:r>
    </w:p>
    <w:p w14:paraId="3A709AA0" w14:textId="77777777" w:rsidR="00825BB1" w:rsidRPr="00F514E8" w:rsidRDefault="00825BB1" w:rsidP="00725D19">
      <w:pPr>
        <w:spacing w:after="0" w:line="240" w:lineRule="auto"/>
        <w:ind w:right="51"/>
        <w:jc w:val="both"/>
        <w:rPr>
          <w:rFonts w:ascii="Arial" w:hAnsi="Arial" w:cs="Arial"/>
          <w:sz w:val="24"/>
          <w:szCs w:val="24"/>
        </w:rPr>
      </w:pPr>
    </w:p>
    <w:p w14:paraId="0CE8CDC3" w14:textId="77777777" w:rsidR="00311D66" w:rsidRPr="00F514E8" w:rsidRDefault="00E9305F" w:rsidP="00725D19">
      <w:pPr>
        <w:spacing w:after="0" w:line="240" w:lineRule="auto"/>
        <w:ind w:right="51"/>
        <w:jc w:val="both"/>
        <w:rPr>
          <w:rFonts w:ascii="Arial" w:hAnsi="Arial" w:cs="Arial"/>
          <w:sz w:val="24"/>
          <w:szCs w:val="24"/>
        </w:rPr>
      </w:pPr>
      <w:r w:rsidRPr="00F514E8">
        <w:rPr>
          <w:rFonts w:ascii="Arial" w:hAnsi="Arial" w:cs="Arial"/>
          <w:sz w:val="24"/>
          <w:szCs w:val="24"/>
        </w:rPr>
        <w:t xml:space="preserve">2. </w:t>
      </w:r>
      <w:r w:rsidR="00D12F33" w:rsidRPr="00F514E8">
        <w:rPr>
          <w:rFonts w:ascii="Arial" w:hAnsi="Arial" w:cs="Arial"/>
          <w:sz w:val="24"/>
          <w:szCs w:val="24"/>
        </w:rPr>
        <w:t>Sabiendo</w:t>
      </w:r>
      <w:r w:rsidR="00311D66" w:rsidRPr="00F514E8">
        <w:rPr>
          <w:rFonts w:ascii="Arial" w:hAnsi="Arial" w:cs="Arial"/>
          <w:sz w:val="24"/>
          <w:szCs w:val="24"/>
        </w:rPr>
        <w:t xml:space="preserve"> que</w:t>
      </w:r>
      <w:r w:rsidR="006B2C11" w:rsidRPr="00F514E8">
        <w:rPr>
          <w:rFonts w:ascii="Arial" w:hAnsi="Arial" w:cs="Arial"/>
          <w:sz w:val="24"/>
          <w:szCs w:val="24"/>
        </w:rPr>
        <w:t>,</w:t>
      </w:r>
      <w:r w:rsidR="00311D66" w:rsidRPr="00F514E8">
        <w:rPr>
          <w:rFonts w:ascii="Arial" w:hAnsi="Arial" w:cs="Arial"/>
          <w:sz w:val="24"/>
          <w:szCs w:val="24"/>
        </w:rPr>
        <w:t xml:space="preserve"> cualesquiera </w:t>
      </w:r>
      <w:r w:rsidR="004E7322" w:rsidRPr="00F514E8">
        <w:rPr>
          <w:rFonts w:ascii="Arial" w:hAnsi="Arial" w:cs="Arial"/>
          <w:sz w:val="24"/>
          <w:szCs w:val="24"/>
        </w:rPr>
        <w:t xml:space="preserve">fuesen los </w:t>
      </w:r>
      <w:r w:rsidR="00311D66" w:rsidRPr="00F514E8">
        <w:rPr>
          <w:rFonts w:ascii="Arial" w:hAnsi="Arial" w:cs="Arial"/>
          <w:sz w:val="24"/>
          <w:szCs w:val="24"/>
        </w:rPr>
        <w:t>criterios generales que se adopta</w:t>
      </w:r>
      <w:r w:rsidR="004E7322" w:rsidRPr="00F514E8">
        <w:rPr>
          <w:rFonts w:ascii="Arial" w:hAnsi="Arial" w:cs="Arial"/>
          <w:sz w:val="24"/>
          <w:szCs w:val="24"/>
        </w:rPr>
        <w:t xml:space="preserve">ran, </w:t>
      </w:r>
      <w:r w:rsidR="00311D66" w:rsidRPr="00F514E8">
        <w:rPr>
          <w:rFonts w:ascii="Arial" w:hAnsi="Arial" w:cs="Arial"/>
          <w:sz w:val="24"/>
          <w:szCs w:val="24"/>
        </w:rPr>
        <w:t xml:space="preserve">no serían suficientes para evitar los conflictos de competencia que con cierta frecuencia se presentan entre la Jurisdicción Contencioso Administrativa y otras Jurisdicciones, </w:t>
      </w:r>
      <w:r w:rsidR="006B2C11" w:rsidRPr="00F514E8">
        <w:rPr>
          <w:rFonts w:ascii="Arial" w:hAnsi="Arial" w:cs="Arial"/>
          <w:sz w:val="24"/>
          <w:szCs w:val="24"/>
        </w:rPr>
        <w:t>des</w:t>
      </w:r>
      <w:r w:rsidR="00D12F33" w:rsidRPr="00F514E8">
        <w:rPr>
          <w:rFonts w:ascii="Arial" w:hAnsi="Arial" w:cs="Arial"/>
          <w:sz w:val="24"/>
          <w:szCs w:val="24"/>
        </w:rPr>
        <w:t>de un punto de vista pragmático</w:t>
      </w:r>
      <w:r w:rsidR="006B2C11" w:rsidRPr="00F514E8">
        <w:rPr>
          <w:rFonts w:ascii="Arial" w:hAnsi="Arial" w:cs="Arial"/>
          <w:sz w:val="24"/>
          <w:szCs w:val="24"/>
        </w:rPr>
        <w:t xml:space="preserve"> </w:t>
      </w:r>
      <w:r w:rsidR="00D12F33" w:rsidRPr="00F514E8">
        <w:rPr>
          <w:rFonts w:ascii="Arial" w:hAnsi="Arial" w:cs="Arial"/>
          <w:sz w:val="24"/>
          <w:szCs w:val="24"/>
        </w:rPr>
        <w:t xml:space="preserve">se decidió </w:t>
      </w:r>
      <w:r w:rsidR="00311D66" w:rsidRPr="00F514E8">
        <w:rPr>
          <w:rFonts w:ascii="Arial" w:hAnsi="Arial" w:cs="Arial"/>
          <w:sz w:val="24"/>
          <w:szCs w:val="24"/>
        </w:rPr>
        <w:t xml:space="preserve">complementar dichos criterios con </w:t>
      </w:r>
      <w:r w:rsidR="00D053C1" w:rsidRPr="00F514E8">
        <w:rPr>
          <w:rFonts w:ascii="Arial" w:hAnsi="Arial" w:cs="Arial"/>
          <w:sz w:val="24"/>
          <w:szCs w:val="24"/>
        </w:rPr>
        <w:t xml:space="preserve">la enumeración de </w:t>
      </w:r>
      <w:r w:rsidR="00311D66" w:rsidRPr="00F514E8">
        <w:rPr>
          <w:rFonts w:ascii="Arial" w:hAnsi="Arial" w:cs="Arial"/>
          <w:sz w:val="24"/>
          <w:szCs w:val="24"/>
        </w:rPr>
        <w:t>vari</w:t>
      </w:r>
      <w:r w:rsidR="00D053C1" w:rsidRPr="00F514E8">
        <w:rPr>
          <w:rFonts w:ascii="Arial" w:hAnsi="Arial" w:cs="Arial"/>
          <w:sz w:val="24"/>
          <w:szCs w:val="24"/>
        </w:rPr>
        <w:t>os asuntos específicos que deb</w:t>
      </w:r>
      <w:r w:rsidR="00311D66" w:rsidRPr="00F514E8">
        <w:rPr>
          <w:rFonts w:ascii="Arial" w:hAnsi="Arial" w:cs="Arial"/>
          <w:sz w:val="24"/>
          <w:szCs w:val="24"/>
        </w:rPr>
        <w:t>ían ser del conocimiento de la Jurisdicción Contencioso Administrativa (segunda parte del artículo 104)</w:t>
      </w:r>
      <w:r w:rsidR="006B2C11" w:rsidRPr="00F514E8">
        <w:rPr>
          <w:rFonts w:ascii="Arial" w:hAnsi="Arial" w:cs="Arial"/>
          <w:sz w:val="24"/>
          <w:szCs w:val="24"/>
        </w:rPr>
        <w:t>,</w:t>
      </w:r>
      <w:r w:rsidR="00311D66" w:rsidRPr="00F514E8">
        <w:rPr>
          <w:rFonts w:ascii="Arial" w:hAnsi="Arial" w:cs="Arial"/>
          <w:sz w:val="24"/>
          <w:szCs w:val="24"/>
        </w:rPr>
        <w:t xml:space="preserve"> y con varias </w:t>
      </w:r>
      <w:r w:rsidR="00311D66" w:rsidRPr="00F514E8">
        <w:rPr>
          <w:rFonts w:ascii="Arial" w:hAnsi="Arial" w:cs="Arial"/>
          <w:b/>
          <w:sz w:val="24"/>
          <w:szCs w:val="24"/>
        </w:rPr>
        <w:t>excepciones</w:t>
      </w:r>
      <w:r w:rsidR="00311D66" w:rsidRPr="00F514E8">
        <w:rPr>
          <w:rFonts w:ascii="Arial" w:hAnsi="Arial" w:cs="Arial"/>
          <w:sz w:val="24"/>
          <w:szCs w:val="24"/>
        </w:rPr>
        <w:t xml:space="preserve"> (artículo 105), es</w:t>
      </w:r>
      <w:r w:rsidR="006B2C11" w:rsidRPr="00F514E8">
        <w:rPr>
          <w:rFonts w:ascii="Arial" w:hAnsi="Arial" w:cs="Arial"/>
          <w:sz w:val="24"/>
          <w:szCs w:val="24"/>
        </w:rPr>
        <w:t xml:space="preserve">to es, </w:t>
      </w:r>
      <w:r w:rsidR="00311D66" w:rsidRPr="00F514E8">
        <w:rPr>
          <w:rFonts w:ascii="Arial" w:hAnsi="Arial" w:cs="Arial"/>
          <w:sz w:val="24"/>
          <w:szCs w:val="24"/>
        </w:rPr>
        <w:t xml:space="preserve">situaciones que, a pesar de </w:t>
      </w:r>
      <w:r w:rsidR="006B2C11" w:rsidRPr="00F514E8">
        <w:rPr>
          <w:rFonts w:ascii="Arial" w:hAnsi="Arial" w:cs="Arial"/>
          <w:sz w:val="24"/>
          <w:szCs w:val="24"/>
        </w:rPr>
        <w:t xml:space="preserve">encajar, en principio, </w:t>
      </w:r>
      <w:r w:rsidR="00311D66" w:rsidRPr="00F514E8">
        <w:rPr>
          <w:rFonts w:ascii="Arial" w:hAnsi="Arial" w:cs="Arial"/>
          <w:sz w:val="24"/>
          <w:szCs w:val="24"/>
        </w:rPr>
        <w:t>dentro de los criterios generales</w:t>
      </w:r>
      <w:r w:rsidR="006B2C11" w:rsidRPr="00F514E8">
        <w:rPr>
          <w:rFonts w:ascii="Arial" w:hAnsi="Arial" w:cs="Arial"/>
          <w:sz w:val="24"/>
          <w:szCs w:val="24"/>
        </w:rPr>
        <w:t xml:space="preserve"> </w:t>
      </w:r>
      <w:r w:rsidR="00311D66" w:rsidRPr="00F514E8">
        <w:rPr>
          <w:rFonts w:ascii="Arial" w:hAnsi="Arial" w:cs="Arial"/>
          <w:sz w:val="24"/>
          <w:szCs w:val="24"/>
        </w:rPr>
        <w:t xml:space="preserve">o </w:t>
      </w:r>
      <w:r w:rsidR="004E7322" w:rsidRPr="00F514E8">
        <w:rPr>
          <w:rFonts w:ascii="Arial" w:hAnsi="Arial" w:cs="Arial"/>
          <w:sz w:val="24"/>
          <w:szCs w:val="24"/>
        </w:rPr>
        <w:t xml:space="preserve">dentro </w:t>
      </w:r>
      <w:r w:rsidR="006B2C11" w:rsidRPr="00F514E8">
        <w:rPr>
          <w:rFonts w:ascii="Arial" w:hAnsi="Arial" w:cs="Arial"/>
          <w:sz w:val="24"/>
          <w:szCs w:val="24"/>
        </w:rPr>
        <w:t xml:space="preserve">de alguno de los casos especiales, </w:t>
      </w:r>
      <w:r w:rsidR="00880350" w:rsidRPr="00F514E8">
        <w:rPr>
          <w:rFonts w:ascii="Arial" w:hAnsi="Arial" w:cs="Arial"/>
          <w:sz w:val="24"/>
          <w:szCs w:val="24"/>
        </w:rPr>
        <w:t>no deb</w:t>
      </w:r>
      <w:r w:rsidR="006B2C11" w:rsidRPr="00F514E8">
        <w:rPr>
          <w:rFonts w:ascii="Arial" w:hAnsi="Arial" w:cs="Arial"/>
          <w:sz w:val="24"/>
          <w:szCs w:val="24"/>
        </w:rPr>
        <w:t xml:space="preserve">erían </w:t>
      </w:r>
      <w:r w:rsidR="00880350" w:rsidRPr="00F514E8">
        <w:rPr>
          <w:rFonts w:ascii="Arial" w:hAnsi="Arial" w:cs="Arial"/>
          <w:sz w:val="24"/>
          <w:szCs w:val="24"/>
        </w:rPr>
        <w:t xml:space="preserve">ser competencia de esta Jurisdicción, por diversas razones. </w:t>
      </w:r>
    </w:p>
    <w:p w14:paraId="5A2A58F3" w14:textId="77777777" w:rsidR="00825BB1" w:rsidRPr="00F514E8" w:rsidRDefault="00825BB1" w:rsidP="00725D19">
      <w:pPr>
        <w:spacing w:after="0" w:line="240" w:lineRule="auto"/>
        <w:ind w:right="51"/>
        <w:jc w:val="both"/>
        <w:rPr>
          <w:rFonts w:ascii="Arial" w:hAnsi="Arial" w:cs="Arial"/>
          <w:sz w:val="24"/>
          <w:szCs w:val="24"/>
        </w:rPr>
      </w:pPr>
    </w:p>
    <w:p w14:paraId="25A35B70" w14:textId="77777777" w:rsidR="00880350" w:rsidRPr="00F514E8" w:rsidRDefault="00880350" w:rsidP="00725D19">
      <w:pPr>
        <w:spacing w:after="0" w:line="240" w:lineRule="auto"/>
        <w:ind w:right="51"/>
        <w:jc w:val="both"/>
        <w:rPr>
          <w:rFonts w:ascii="Arial" w:hAnsi="Arial" w:cs="Arial"/>
          <w:sz w:val="24"/>
          <w:szCs w:val="24"/>
        </w:rPr>
      </w:pPr>
      <w:r w:rsidRPr="00F514E8">
        <w:rPr>
          <w:rFonts w:ascii="Arial" w:hAnsi="Arial" w:cs="Arial"/>
          <w:sz w:val="24"/>
          <w:szCs w:val="24"/>
        </w:rPr>
        <w:t>Así, de conformidad con la parte inicial del artículo 104 del CPACA, los litigios originados en la celebración de contratos por parte de cualquier entidad pública o de un particular cumpliendo funciones administrativas, est</w:t>
      </w:r>
      <w:r w:rsidR="009C1B4A" w:rsidRPr="00F514E8">
        <w:rPr>
          <w:rFonts w:ascii="Arial" w:hAnsi="Arial" w:cs="Arial"/>
          <w:sz w:val="24"/>
          <w:szCs w:val="24"/>
        </w:rPr>
        <w:t xml:space="preserve">án </w:t>
      </w:r>
      <w:r w:rsidRPr="00F514E8">
        <w:rPr>
          <w:rFonts w:ascii="Arial" w:hAnsi="Arial" w:cs="Arial"/>
          <w:sz w:val="24"/>
          <w:szCs w:val="24"/>
        </w:rPr>
        <w:t xml:space="preserve">sometidos a la Jurisdicción </w:t>
      </w:r>
      <w:proofErr w:type="gramStart"/>
      <w:r w:rsidRPr="00F514E8">
        <w:rPr>
          <w:rFonts w:ascii="Arial" w:hAnsi="Arial" w:cs="Arial"/>
          <w:sz w:val="24"/>
          <w:szCs w:val="24"/>
        </w:rPr>
        <w:t>Contencioso Adminis</w:t>
      </w:r>
      <w:r w:rsidR="00D12F33" w:rsidRPr="00F514E8">
        <w:rPr>
          <w:rFonts w:ascii="Arial" w:hAnsi="Arial" w:cs="Arial"/>
          <w:sz w:val="24"/>
          <w:szCs w:val="24"/>
        </w:rPr>
        <w:t>trativa</w:t>
      </w:r>
      <w:proofErr w:type="gramEnd"/>
      <w:r w:rsidR="00D12F33" w:rsidRPr="00F514E8">
        <w:rPr>
          <w:rFonts w:ascii="Arial" w:hAnsi="Arial" w:cs="Arial"/>
          <w:sz w:val="24"/>
          <w:szCs w:val="24"/>
        </w:rPr>
        <w:t>, siempre que estén regul</w:t>
      </w:r>
      <w:r w:rsidRPr="00F514E8">
        <w:rPr>
          <w:rFonts w:ascii="Arial" w:hAnsi="Arial" w:cs="Arial"/>
          <w:sz w:val="24"/>
          <w:szCs w:val="24"/>
        </w:rPr>
        <w:t xml:space="preserve">ados por el derecho administrativo. </w:t>
      </w:r>
    </w:p>
    <w:p w14:paraId="06F7A684" w14:textId="77777777" w:rsidR="00D12F33" w:rsidRPr="00F514E8" w:rsidRDefault="00D12F33" w:rsidP="00725D19">
      <w:pPr>
        <w:spacing w:after="0" w:line="240" w:lineRule="auto"/>
        <w:ind w:right="51"/>
        <w:jc w:val="both"/>
        <w:rPr>
          <w:rFonts w:ascii="Arial" w:hAnsi="Arial" w:cs="Arial"/>
          <w:sz w:val="24"/>
          <w:szCs w:val="24"/>
        </w:rPr>
      </w:pPr>
    </w:p>
    <w:p w14:paraId="65BBCCB9" w14:textId="77777777" w:rsidR="00880350" w:rsidRPr="00F514E8" w:rsidRDefault="00880350" w:rsidP="00725D19">
      <w:pPr>
        <w:spacing w:after="0" w:line="240" w:lineRule="auto"/>
        <w:ind w:right="51"/>
        <w:jc w:val="both"/>
        <w:rPr>
          <w:rFonts w:ascii="Arial" w:hAnsi="Arial" w:cs="Arial"/>
          <w:sz w:val="24"/>
          <w:szCs w:val="24"/>
        </w:rPr>
      </w:pPr>
      <w:r w:rsidRPr="00F514E8">
        <w:rPr>
          <w:rFonts w:ascii="Arial" w:hAnsi="Arial" w:cs="Arial"/>
          <w:sz w:val="24"/>
          <w:szCs w:val="24"/>
        </w:rPr>
        <w:t xml:space="preserve">No obstante, el numeral 2º de la misma disposición </w:t>
      </w:r>
      <w:r w:rsidR="004E7322" w:rsidRPr="00F514E8">
        <w:rPr>
          <w:rFonts w:ascii="Arial" w:hAnsi="Arial" w:cs="Arial"/>
          <w:sz w:val="24"/>
          <w:szCs w:val="24"/>
        </w:rPr>
        <w:t xml:space="preserve">(norma especial) </w:t>
      </w:r>
      <w:r w:rsidRPr="00F514E8">
        <w:rPr>
          <w:rFonts w:ascii="Arial" w:hAnsi="Arial" w:cs="Arial"/>
          <w:sz w:val="24"/>
          <w:szCs w:val="24"/>
        </w:rPr>
        <w:t xml:space="preserve">advierte que serán del conocimiento de dicha Jurisdicción los conflictos relativos a </w:t>
      </w:r>
      <w:r w:rsidR="003439BC" w:rsidRPr="00F514E8">
        <w:rPr>
          <w:rFonts w:ascii="Arial" w:hAnsi="Arial" w:cs="Arial"/>
          <w:sz w:val="24"/>
          <w:szCs w:val="24"/>
        </w:rPr>
        <w:t xml:space="preserve">los </w:t>
      </w:r>
      <w:r w:rsidR="00D053C1" w:rsidRPr="00F514E8">
        <w:rPr>
          <w:rFonts w:ascii="Arial" w:hAnsi="Arial" w:cs="Arial"/>
          <w:sz w:val="24"/>
          <w:szCs w:val="24"/>
        </w:rPr>
        <w:t xml:space="preserve">contratos </w:t>
      </w:r>
      <w:r w:rsidRPr="00F514E8">
        <w:rPr>
          <w:rFonts w:ascii="Arial" w:hAnsi="Arial" w:cs="Arial"/>
          <w:sz w:val="24"/>
          <w:szCs w:val="24"/>
        </w:rPr>
        <w:t xml:space="preserve">en los que sea parte una entidad </w:t>
      </w:r>
      <w:r w:rsidR="009C1B4A" w:rsidRPr="00F514E8">
        <w:rPr>
          <w:rFonts w:ascii="Arial" w:hAnsi="Arial" w:cs="Arial"/>
          <w:sz w:val="24"/>
          <w:szCs w:val="24"/>
        </w:rPr>
        <w:t xml:space="preserve">pública </w:t>
      </w:r>
      <w:r w:rsidRPr="00F514E8">
        <w:rPr>
          <w:rFonts w:ascii="Arial" w:hAnsi="Arial" w:cs="Arial"/>
          <w:sz w:val="24"/>
          <w:szCs w:val="24"/>
        </w:rPr>
        <w:t>o un particular en ejercicio de funciones propias del Estado</w:t>
      </w:r>
      <w:r w:rsidR="00D053C1" w:rsidRPr="00F514E8">
        <w:rPr>
          <w:rFonts w:ascii="Arial" w:hAnsi="Arial" w:cs="Arial"/>
          <w:sz w:val="24"/>
          <w:szCs w:val="24"/>
        </w:rPr>
        <w:t xml:space="preserve">, </w:t>
      </w:r>
      <w:r w:rsidR="00D053C1" w:rsidRPr="00F514E8">
        <w:rPr>
          <w:rFonts w:ascii="Arial" w:hAnsi="Arial" w:cs="Arial"/>
          <w:i/>
          <w:sz w:val="24"/>
          <w:szCs w:val="24"/>
        </w:rPr>
        <w:t>cualquiera que sea su régimen</w:t>
      </w:r>
      <w:r w:rsidRPr="00F514E8">
        <w:rPr>
          <w:rFonts w:ascii="Arial" w:hAnsi="Arial" w:cs="Arial"/>
          <w:sz w:val="24"/>
          <w:szCs w:val="24"/>
        </w:rPr>
        <w:t>.</w:t>
      </w:r>
    </w:p>
    <w:p w14:paraId="70A9CCF1" w14:textId="77777777" w:rsidR="00D12F33" w:rsidRPr="00F514E8" w:rsidRDefault="00D12F33" w:rsidP="00725D19">
      <w:pPr>
        <w:spacing w:after="0" w:line="240" w:lineRule="auto"/>
        <w:ind w:right="51"/>
        <w:jc w:val="both"/>
        <w:rPr>
          <w:rFonts w:ascii="Arial" w:hAnsi="Arial" w:cs="Arial"/>
          <w:sz w:val="24"/>
          <w:szCs w:val="24"/>
        </w:rPr>
      </w:pPr>
    </w:p>
    <w:p w14:paraId="3D281D6E" w14:textId="77777777" w:rsidR="002166D2" w:rsidRPr="00F514E8" w:rsidRDefault="00E9305F" w:rsidP="00725D19">
      <w:pPr>
        <w:spacing w:after="0" w:line="240" w:lineRule="auto"/>
        <w:ind w:right="51"/>
        <w:jc w:val="both"/>
        <w:rPr>
          <w:rFonts w:ascii="Arial" w:hAnsi="Arial" w:cs="Arial"/>
          <w:sz w:val="24"/>
          <w:szCs w:val="24"/>
        </w:rPr>
      </w:pPr>
      <w:r w:rsidRPr="00F514E8">
        <w:rPr>
          <w:rFonts w:ascii="Arial" w:hAnsi="Arial" w:cs="Arial"/>
          <w:sz w:val="24"/>
          <w:szCs w:val="24"/>
        </w:rPr>
        <w:t xml:space="preserve">3. </w:t>
      </w:r>
      <w:r w:rsidR="009C1B4A" w:rsidRPr="00F514E8">
        <w:rPr>
          <w:rFonts w:ascii="Arial" w:hAnsi="Arial" w:cs="Arial"/>
          <w:sz w:val="24"/>
          <w:szCs w:val="24"/>
        </w:rPr>
        <w:t xml:space="preserve">A pesar </w:t>
      </w:r>
      <w:r w:rsidR="002166D2" w:rsidRPr="00F514E8">
        <w:rPr>
          <w:rFonts w:ascii="Arial" w:hAnsi="Arial" w:cs="Arial"/>
          <w:sz w:val="24"/>
          <w:szCs w:val="24"/>
        </w:rPr>
        <w:t>de esta última regla</w:t>
      </w:r>
      <w:r w:rsidR="003439BC" w:rsidRPr="00F514E8">
        <w:rPr>
          <w:rFonts w:ascii="Arial" w:hAnsi="Arial" w:cs="Arial"/>
          <w:sz w:val="24"/>
          <w:szCs w:val="24"/>
        </w:rPr>
        <w:t xml:space="preserve"> especial</w:t>
      </w:r>
      <w:r w:rsidR="002166D2" w:rsidRPr="00F514E8">
        <w:rPr>
          <w:rFonts w:ascii="Arial" w:hAnsi="Arial" w:cs="Arial"/>
          <w:sz w:val="24"/>
          <w:szCs w:val="24"/>
        </w:rPr>
        <w:t xml:space="preserve">, el artículo 105 del Código consagra una excepción, consistente en que la Jurisdicción Contencioso Administrativa </w:t>
      </w:r>
      <w:r w:rsidR="00D053C1" w:rsidRPr="00F514E8">
        <w:rPr>
          <w:rFonts w:ascii="Arial" w:hAnsi="Arial" w:cs="Arial"/>
          <w:sz w:val="24"/>
          <w:szCs w:val="24"/>
        </w:rPr>
        <w:t xml:space="preserve">no conocerá de </w:t>
      </w:r>
      <w:r w:rsidR="002166D2" w:rsidRPr="00F514E8">
        <w:rPr>
          <w:rFonts w:ascii="Arial" w:hAnsi="Arial" w:cs="Arial"/>
          <w:sz w:val="24"/>
          <w:szCs w:val="24"/>
        </w:rPr>
        <w:t>las controversias relacionadas con aquellos contratos en los que sea parte una entidad pública que tenga el carácter de institución financiera, aseguradora, intermediario de seguros o intermediario de valores vigilado por la Superintendencia Financiera</w:t>
      </w:r>
      <w:r w:rsidR="003439BC" w:rsidRPr="00F514E8">
        <w:rPr>
          <w:rFonts w:ascii="Arial" w:hAnsi="Arial" w:cs="Arial"/>
          <w:sz w:val="24"/>
          <w:szCs w:val="24"/>
        </w:rPr>
        <w:t xml:space="preserve">, y que se refieran al </w:t>
      </w:r>
      <w:r w:rsidRPr="00F514E8">
        <w:rPr>
          <w:rFonts w:ascii="Arial" w:hAnsi="Arial" w:cs="Arial"/>
          <w:sz w:val="24"/>
          <w:szCs w:val="24"/>
        </w:rPr>
        <w:t>“</w:t>
      </w:r>
      <w:r w:rsidR="003439BC" w:rsidRPr="00F514E8">
        <w:rPr>
          <w:rFonts w:ascii="Arial" w:hAnsi="Arial" w:cs="Arial"/>
          <w:sz w:val="24"/>
          <w:szCs w:val="24"/>
        </w:rPr>
        <w:t>giro ordinario</w:t>
      </w:r>
      <w:r w:rsidRPr="00F514E8">
        <w:rPr>
          <w:rFonts w:ascii="Arial" w:hAnsi="Arial" w:cs="Arial"/>
          <w:sz w:val="24"/>
          <w:szCs w:val="24"/>
        </w:rPr>
        <w:t>”</w:t>
      </w:r>
      <w:r w:rsidR="003439BC" w:rsidRPr="00F514E8">
        <w:rPr>
          <w:rFonts w:ascii="Arial" w:hAnsi="Arial" w:cs="Arial"/>
          <w:sz w:val="24"/>
          <w:szCs w:val="24"/>
        </w:rPr>
        <w:t xml:space="preserve"> de sus negocios</w:t>
      </w:r>
      <w:r w:rsidR="002166D2" w:rsidRPr="00F514E8">
        <w:rPr>
          <w:rFonts w:ascii="Arial" w:hAnsi="Arial" w:cs="Arial"/>
          <w:sz w:val="24"/>
          <w:szCs w:val="24"/>
        </w:rPr>
        <w:t xml:space="preserve">. </w:t>
      </w:r>
    </w:p>
    <w:p w14:paraId="46FDE3BF" w14:textId="77777777" w:rsidR="00D12F33" w:rsidRPr="00F514E8" w:rsidRDefault="00D12F33" w:rsidP="00725D19">
      <w:pPr>
        <w:spacing w:after="0" w:line="240" w:lineRule="auto"/>
        <w:ind w:right="51"/>
        <w:jc w:val="both"/>
        <w:rPr>
          <w:rFonts w:ascii="Arial" w:hAnsi="Arial" w:cs="Arial"/>
          <w:sz w:val="24"/>
          <w:szCs w:val="24"/>
        </w:rPr>
      </w:pPr>
    </w:p>
    <w:p w14:paraId="1516E79D" w14:textId="77777777" w:rsidR="00262085" w:rsidRPr="00F514E8" w:rsidRDefault="00D053C1" w:rsidP="00725D19">
      <w:pPr>
        <w:spacing w:after="0" w:line="240" w:lineRule="auto"/>
        <w:ind w:right="51"/>
        <w:jc w:val="both"/>
        <w:rPr>
          <w:rFonts w:ascii="Arial" w:hAnsi="Arial" w:cs="Arial"/>
          <w:sz w:val="24"/>
          <w:szCs w:val="24"/>
        </w:rPr>
      </w:pPr>
      <w:r w:rsidRPr="00F514E8">
        <w:rPr>
          <w:rFonts w:ascii="Arial" w:hAnsi="Arial" w:cs="Arial"/>
          <w:sz w:val="24"/>
          <w:szCs w:val="24"/>
        </w:rPr>
        <w:t>Puesto que</w:t>
      </w:r>
      <w:r w:rsidR="00262085" w:rsidRPr="00F514E8">
        <w:rPr>
          <w:rFonts w:ascii="Arial" w:hAnsi="Arial" w:cs="Arial"/>
          <w:sz w:val="24"/>
          <w:szCs w:val="24"/>
        </w:rPr>
        <w:t xml:space="preserve"> FONADE es una institución financiera de carácter público vigilada por la Superintendencia Financiera</w:t>
      </w:r>
      <w:r w:rsidR="003439BC" w:rsidRPr="00F514E8">
        <w:rPr>
          <w:rFonts w:ascii="Arial" w:hAnsi="Arial" w:cs="Arial"/>
          <w:sz w:val="24"/>
          <w:szCs w:val="24"/>
        </w:rPr>
        <w:t xml:space="preserve">, </w:t>
      </w:r>
      <w:r w:rsidR="00262085" w:rsidRPr="00F514E8">
        <w:rPr>
          <w:rFonts w:ascii="Arial" w:hAnsi="Arial" w:cs="Arial"/>
          <w:sz w:val="24"/>
          <w:szCs w:val="24"/>
        </w:rPr>
        <w:t xml:space="preserve">resulta claro que los litigios originados en los contratos que FONADE celebre y que </w:t>
      </w:r>
      <w:r w:rsidR="00262085" w:rsidRPr="00F514E8">
        <w:rPr>
          <w:rFonts w:ascii="Arial" w:hAnsi="Arial" w:cs="Arial"/>
          <w:sz w:val="24"/>
        </w:rPr>
        <w:t>correspondan al giro ordinario de sus negocios</w:t>
      </w:r>
      <w:r w:rsidR="009C1B4A" w:rsidRPr="00F514E8">
        <w:rPr>
          <w:rFonts w:ascii="Arial" w:hAnsi="Arial" w:cs="Arial"/>
          <w:sz w:val="24"/>
        </w:rPr>
        <w:t>,</w:t>
      </w:r>
      <w:r w:rsidR="00262085" w:rsidRPr="00F514E8">
        <w:rPr>
          <w:rFonts w:ascii="Arial" w:hAnsi="Arial" w:cs="Arial"/>
          <w:sz w:val="24"/>
        </w:rPr>
        <w:t xml:space="preserve"> no están sometidos</w:t>
      </w:r>
      <w:r w:rsidR="009C1B4A" w:rsidRPr="00F514E8">
        <w:rPr>
          <w:rFonts w:ascii="Arial" w:hAnsi="Arial" w:cs="Arial"/>
          <w:sz w:val="24"/>
        </w:rPr>
        <w:t xml:space="preserve"> </w:t>
      </w:r>
      <w:r w:rsidR="00262085" w:rsidRPr="00F514E8">
        <w:rPr>
          <w:rFonts w:ascii="Arial" w:hAnsi="Arial" w:cs="Arial"/>
          <w:sz w:val="24"/>
        </w:rPr>
        <w:t>a</w:t>
      </w:r>
      <w:r w:rsidRPr="00F514E8">
        <w:rPr>
          <w:rFonts w:ascii="Arial" w:hAnsi="Arial" w:cs="Arial"/>
          <w:sz w:val="24"/>
        </w:rPr>
        <w:t>l conocimiento de</w:t>
      </w:r>
      <w:r w:rsidR="00262085" w:rsidRPr="00F514E8">
        <w:rPr>
          <w:rFonts w:ascii="Arial" w:hAnsi="Arial" w:cs="Arial"/>
          <w:sz w:val="24"/>
        </w:rPr>
        <w:t xml:space="preserve"> la Jurisdicción </w:t>
      </w:r>
      <w:proofErr w:type="gramStart"/>
      <w:r w:rsidR="00262085" w:rsidRPr="00F514E8">
        <w:rPr>
          <w:rFonts w:ascii="Arial" w:hAnsi="Arial" w:cs="Arial"/>
          <w:sz w:val="24"/>
        </w:rPr>
        <w:t>Contencioso Administrativa</w:t>
      </w:r>
      <w:proofErr w:type="gramEnd"/>
      <w:r w:rsidR="00262085" w:rsidRPr="00F514E8">
        <w:rPr>
          <w:rFonts w:ascii="Arial" w:hAnsi="Arial" w:cs="Arial"/>
          <w:sz w:val="24"/>
        </w:rPr>
        <w:t>, sino a</w:t>
      </w:r>
      <w:r w:rsidRPr="00F514E8">
        <w:rPr>
          <w:rFonts w:ascii="Arial" w:hAnsi="Arial" w:cs="Arial"/>
          <w:sz w:val="24"/>
        </w:rPr>
        <w:t>l</w:t>
      </w:r>
      <w:r w:rsidR="00262085" w:rsidRPr="00F514E8">
        <w:rPr>
          <w:rFonts w:ascii="Arial" w:hAnsi="Arial" w:cs="Arial"/>
          <w:sz w:val="24"/>
        </w:rPr>
        <w:t xml:space="preserve"> de la Jurisdicción Ordinaria. </w:t>
      </w:r>
    </w:p>
    <w:p w14:paraId="2AC0219E" w14:textId="77777777" w:rsidR="00D12F33" w:rsidRPr="00F514E8" w:rsidRDefault="00D12F33" w:rsidP="00725D19">
      <w:pPr>
        <w:spacing w:after="0" w:line="240" w:lineRule="auto"/>
        <w:ind w:right="51"/>
        <w:jc w:val="both"/>
        <w:rPr>
          <w:rFonts w:ascii="Arial" w:hAnsi="Arial" w:cs="Arial"/>
          <w:sz w:val="24"/>
        </w:rPr>
      </w:pPr>
    </w:p>
    <w:p w14:paraId="27D66AFD" w14:textId="77777777" w:rsidR="0039138E" w:rsidRPr="00F514E8" w:rsidRDefault="00C7354C" w:rsidP="00725D19">
      <w:pPr>
        <w:spacing w:after="0" w:line="240" w:lineRule="auto"/>
        <w:ind w:right="51"/>
        <w:jc w:val="both"/>
        <w:rPr>
          <w:rFonts w:ascii="Arial" w:hAnsi="Arial" w:cs="Arial"/>
          <w:sz w:val="24"/>
        </w:rPr>
      </w:pPr>
      <w:r w:rsidRPr="00F514E8">
        <w:rPr>
          <w:rFonts w:ascii="Arial" w:hAnsi="Arial" w:cs="Arial"/>
          <w:sz w:val="24"/>
        </w:rPr>
        <w:t xml:space="preserve">La Sala de Consulta y Servicio Civil, en el concepto </w:t>
      </w:r>
      <w:proofErr w:type="spellStart"/>
      <w:r w:rsidRPr="00F514E8">
        <w:rPr>
          <w:rFonts w:ascii="Arial" w:hAnsi="Arial" w:cs="Arial"/>
          <w:sz w:val="24"/>
        </w:rPr>
        <w:t>Nº</w:t>
      </w:r>
      <w:proofErr w:type="spellEnd"/>
      <w:r w:rsidRPr="00F514E8">
        <w:rPr>
          <w:rFonts w:ascii="Arial" w:hAnsi="Arial" w:cs="Arial"/>
          <w:sz w:val="24"/>
        </w:rPr>
        <w:t xml:space="preserve"> 1488, antes citado, analizó </w:t>
      </w:r>
      <w:r w:rsidR="00373ACC" w:rsidRPr="00F514E8">
        <w:rPr>
          <w:rFonts w:ascii="Arial" w:hAnsi="Arial" w:cs="Arial"/>
          <w:sz w:val="24"/>
        </w:rPr>
        <w:t>detenidamente</w:t>
      </w:r>
      <w:r w:rsidR="00DE65FE" w:rsidRPr="00F514E8">
        <w:rPr>
          <w:rFonts w:ascii="Arial" w:hAnsi="Arial" w:cs="Arial"/>
          <w:sz w:val="24"/>
        </w:rPr>
        <w:t xml:space="preserve"> </w:t>
      </w:r>
      <w:r w:rsidRPr="00F514E8">
        <w:rPr>
          <w:rFonts w:ascii="Arial" w:hAnsi="Arial" w:cs="Arial"/>
          <w:sz w:val="24"/>
        </w:rPr>
        <w:t>lo que debe entenderse por “</w:t>
      </w:r>
      <w:r w:rsidRPr="00F514E8">
        <w:rPr>
          <w:rFonts w:ascii="Arial" w:hAnsi="Arial" w:cs="Arial"/>
          <w:i/>
          <w:sz w:val="24"/>
        </w:rPr>
        <w:t xml:space="preserve">giro ordinario de </w:t>
      </w:r>
      <w:r w:rsidR="00DE65FE" w:rsidRPr="00F514E8">
        <w:rPr>
          <w:rFonts w:ascii="Arial" w:hAnsi="Arial" w:cs="Arial"/>
          <w:i/>
          <w:sz w:val="24"/>
        </w:rPr>
        <w:t xml:space="preserve">las actividades propias del objeto” </w:t>
      </w:r>
      <w:r w:rsidRPr="00F514E8">
        <w:rPr>
          <w:rFonts w:ascii="Arial" w:hAnsi="Arial" w:cs="Arial"/>
          <w:sz w:val="24"/>
        </w:rPr>
        <w:t>de una persona jurídica</w:t>
      </w:r>
      <w:r w:rsidR="003439BC" w:rsidRPr="00F514E8">
        <w:rPr>
          <w:rFonts w:ascii="Arial" w:hAnsi="Arial" w:cs="Arial"/>
          <w:sz w:val="24"/>
        </w:rPr>
        <w:t xml:space="preserve">, </w:t>
      </w:r>
      <w:r w:rsidRPr="00F514E8">
        <w:rPr>
          <w:rFonts w:ascii="Arial" w:hAnsi="Arial" w:cs="Arial"/>
          <w:sz w:val="24"/>
        </w:rPr>
        <w:t>pública o privada</w:t>
      </w:r>
      <w:r w:rsidR="00DE65FE" w:rsidRPr="00F514E8">
        <w:rPr>
          <w:rFonts w:ascii="Arial" w:hAnsi="Arial" w:cs="Arial"/>
          <w:sz w:val="24"/>
        </w:rPr>
        <w:t xml:space="preserve">, </w:t>
      </w:r>
      <w:r w:rsidR="003439BC" w:rsidRPr="00F514E8">
        <w:rPr>
          <w:rFonts w:ascii="Arial" w:hAnsi="Arial" w:cs="Arial"/>
          <w:sz w:val="24"/>
        </w:rPr>
        <w:t xml:space="preserve">expresión </w:t>
      </w:r>
      <w:r w:rsidR="00DE65FE" w:rsidRPr="00F514E8">
        <w:rPr>
          <w:rFonts w:ascii="Arial" w:hAnsi="Arial" w:cs="Arial"/>
          <w:sz w:val="24"/>
        </w:rPr>
        <w:t>que</w:t>
      </w:r>
      <w:r w:rsidR="004C62BF" w:rsidRPr="00F514E8">
        <w:rPr>
          <w:rFonts w:ascii="Arial" w:hAnsi="Arial" w:cs="Arial"/>
          <w:sz w:val="24"/>
        </w:rPr>
        <w:t>,</w:t>
      </w:r>
      <w:r w:rsidR="00DE65FE" w:rsidRPr="00F514E8">
        <w:rPr>
          <w:rFonts w:ascii="Arial" w:hAnsi="Arial" w:cs="Arial"/>
          <w:sz w:val="24"/>
        </w:rPr>
        <w:t xml:space="preserve"> para la Sala</w:t>
      </w:r>
      <w:r w:rsidR="004C62BF" w:rsidRPr="00F514E8">
        <w:rPr>
          <w:rFonts w:ascii="Arial" w:hAnsi="Arial" w:cs="Arial"/>
          <w:sz w:val="24"/>
        </w:rPr>
        <w:t>,</w:t>
      </w:r>
      <w:r w:rsidR="00DE65FE" w:rsidRPr="00F514E8">
        <w:rPr>
          <w:rFonts w:ascii="Arial" w:hAnsi="Arial" w:cs="Arial"/>
          <w:sz w:val="24"/>
        </w:rPr>
        <w:t xml:space="preserve"> </w:t>
      </w:r>
      <w:r w:rsidR="009C1B4A" w:rsidRPr="00F514E8">
        <w:rPr>
          <w:rFonts w:ascii="Arial" w:hAnsi="Arial" w:cs="Arial"/>
          <w:sz w:val="24"/>
        </w:rPr>
        <w:t xml:space="preserve">resulta </w:t>
      </w:r>
      <w:r w:rsidR="00DE65FE" w:rsidRPr="00F514E8">
        <w:rPr>
          <w:rFonts w:ascii="Arial" w:hAnsi="Arial" w:cs="Arial"/>
          <w:sz w:val="24"/>
        </w:rPr>
        <w:t>equivalente a la de “</w:t>
      </w:r>
      <w:r w:rsidR="00DE65FE" w:rsidRPr="00F514E8">
        <w:rPr>
          <w:rFonts w:ascii="Arial" w:hAnsi="Arial" w:cs="Arial"/>
          <w:i/>
          <w:sz w:val="24"/>
        </w:rPr>
        <w:t>giro ordinario de los negocios”</w:t>
      </w:r>
      <w:r w:rsidR="004C62BF" w:rsidRPr="00F514E8">
        <w:rPr>
          <w:rFonts w:ascii="Arial" w:hAnsi="Arial" w:cs="Arial"/>
          <w:sz w:val="24"/>
        </w:rPr>
        <w:t xml:space="preserve">, razón por la cual nos remitimos a lo </w:t>
      </w:r>
      <w:r w:rsidR="00881C40" w:rsidRPr="00F514E8">
        <w:rPr>
          <w:rFonts w:ascii="Arial" w:hAnsi="Arial" w:cs="Arial"/>
          <w:sz w:val="24"/>
        </w:rPr>
        <w:t xml:space="preserve">explicado </w:t>
      </w:r>
      <w:r w:rsidR="004C62BF" w:rsidRPr="00F514E8">
        <w:rPr>
          <w:rFonts w:ascii="Arial" w:hAnsi="Arial" w:cs="Arial"/>
          <w:sz w:val="24"/>
        </w:rPr>
        <w:t>en la parte general de dicho concepto.</w:t>
      </w:r>
    </w:p>
    <w:p w14:paraId="67D3356A" w14:textId="77777777" w:rsidR="00D12F33" w:rsidRPr="00F514E8" w:rsidRDefault="00D12F33" w:rsidP="00725D19">
      <w:pPr>
        <w:spacing w:after="0" w:line="240" w:lineRule="auto"/>
        <w:ind w:right="51"/>
        <w:jc w:val="both"/>
        <w:rPr>
          <w:rFonts w:ascii="Arial" w:hAnsi="Arial" w:cs="Arial"/>
          <w:sz w:val="24"/>
        </w:rPr>
      </w:pPr>
    </w:p>
    <w:p w14:paraId="2CB5049E" w14:textId="77777777" w:rsidR="004C62BF" w:rsidRPr="00F514E8" w:rsidRDefault="00D12F33" w:rsidP="00725D19">
      <w:pPr>
        <w:spacing w:after="0" w:line="240" w:lineRule="auto"/>
        <w:ind w:right="51"/>
        <w:jc w:val="both"/>
        <w:rPr>
          <w:rFonts w:ascii="Arial" w:hAnsi="Arial" w:cs="Arial"/>
          <w:sz w:val="24"/>
        </w:rPr>
      </w:pPr>
      <w:r w:rsidRPr="00F514E8">
        <w:rPr>
          <w:rFonts w:ascii="Arial" w:hAnsi="Arial" w:cs="Arial"/>
          <w:sz w:val="24"/>
        </w:rPr>
        <w:t>Por su parte,</w:t>
      </w:r>
      <w:r w:rsidR="0039138E" w:rsidRPr="00F514E8">
        <w:rPr>
          <w:rFonts w:ascii="Arial" w:hAnsi="Arial" w:cs="Arial"/>
          <w:sz w:val="24"/>
        </w:rPr>
        <w:t xml:space="preserve"> el concepto proferido por la Superintendencia de Sociedades mediante el oficio </w:t>
      </w:r>
      <w:proofErr w:type="spellStart"/>
      <w:r w:rsidR="0039138E" w:rsidRPr="00F514E8">
        <w:rPr>
          <w:rFonts w:ascii="Arial" w:hAnsi="Arial" w:cs="Arial"/>
          <w:sz w:val="24"/>
        </w:rPr>
        <w:t>Nº</w:t>
      </w:r>
      <w:proofErr w:type="spellEnd"/>
      <w:r w:rsidR="0039138E" w:rsidRPr="00F514E8">
        <w:rPr>
          <w:rFonts w:ascii="Arial" w:hAnsi="Arial" w:cs="Arial"/>
          <w:sz w:val="24"/>
        </w:rPr>
        <w:t xml:space="preserve"> 220-53338 del 25 de agosto de 2.000, reiterado en los oficios Nos. 220-055759 del 11 de octubre de 2006 y 220-016468 del 15 de marzo de 2012, </w:t>
      </w:r>
      <w:r w:rsidR="00157BCB" w:rsidRPr="00F514E8">
        <w:rPr>
          <w:rFonts w:ascii="Arial" w:hAnsi="Arial" w:cs="Arial"/>
          <w:sz w:val="24"/>
        </w:rPr>
        <w:t xml:space="preserve">al </w:t>
      </w:r>
      <w:r w:rsidRPr="00F514E8">
        <w:rPr>
          <w:rFonts w:ascii="Arial" w:hAnsi="Arial" w:cs="Arial"/>
          <w:sz w:val="24"/>
        </w:rPr>
        <w:t>analiza</w:t>
      </w:r>
      <w:r w:rsidR="00157BCB" w:rsidRPr="00F514E8">
        <w:rPr>
          <w:rFonts w:ascii="Arial" w:hAnsi="Arial" w:cs="Arial"/>
          <w:sz w:val="24"/>
        </w:rPr>
        <w:t>r</w:t>
      </w:r>
      <w:r w:rsidR="0039138E" w:rsidRPr="00F514E8">
        <w:rPr>
          <w:rFonts w:ascii="Arial" w:hAnsi="Arial" w:cs="Arial"/>
          <w:sz w:val="24"/>
        </w:rPr>
        <w:t xml:space="preserve"> el concepto de “objeto social” y su diferencia con </w:t>
      </w:r>
      <w:r w:rsidR="00881C40" w:rsidRPr="00F514E8">
        <w:rPr>
          <w:rFonts w:ascii="Arial" w:hAnsi="Arial" w:cs="Arial"/>
          <w:sz w:val="24"/>
        </w:rPr>
        <w:t xml:space="preserve">el </w:t>
      </w:r>
      <w:r w:rsidR="00157BCB" w:rsidRPr="00F514E8">
        <w:rPr>
          <w:rFonts w:ascii="Arial" w:hAnsi="Arial" w:cs="Arial"/>
          <w:sz w:val="24"/>
        </w:rPr>
        <w:t xml:space="preserve">de </w:t>
      </w:r>
      <w:r w:rsidR="0039138E" w:rsidRPr="00F514E8">
        <w:rPr>
          <w:rFonts w:ascii="Arial" w:hAnsi="Arial" w:cs="Arial"/>
          <w:sz w:val="24"/>
        </w:rPr>
        <w:t>“</w:t>
      </w:r>
      <w:r w:rsidRPr="00F514E8">
        <w:rPr>
          <w:rFonts w:ascii="Arial" w:hAnsi="Arial" w:cs="Arial"/>
          <w:sz w:val="24"/>
        </w:rPr>
        <w:t>giro ordinario de los negocios”</w:t>
      </w:r>
      <w:r w:rsidR="00157BCB" w:rsidRPr="00F514E8">
        <w:rPr>
          <w:rFonts w:ascii="Arial" w:hAnsi="Arial" w:cs="Arial"/>
          <w:sz w:val="24"/>
        </w:rPr>
        <w:t xml:space="preserve">, </w:t>
      </w:r>
      <w:r w:rsidR="00BC4415" w:rsidRPr="00F514E8">
        <w:rPr>
          <w:rFonts w:ascii="Arial" w:hAnsi="Arial" w:cs="Arial"/>
          <w:sz w:val="24"/>
        </w:rPr>
        <w:t xml:space="preserve">contiene </w:t>
      </w:r>
      <w:r w:rsidR="007E152F" w:rsidRPr="00F514E8">
        <w:rPr>
          <w:rFonts w:ascii="Arial" w:hAnsi="Arial" w:cs="Arial"/>
          <w:sz w:val="24"/>
        </w:rPr>
        <w:t>las siguientes precisiones</w:t>
      </w:r>
      <w:r w:rsidR="0039138E" w:rsidRPr="00F514E8">
        <w:rPr>
          <w:rFonts w:ascii="Arial" w:hAnsi="Arial" w:cs="Arial"/>
          <w:sz w:val="24"/>
        </w:rPr>
        <w:t xml:space="preserve">: </w:t>
      </w:r>
    </w:p>
    <w:p w14:paraId="377EE476" w14:textId="77777777" w:rsidR="00D12F33" w:rsidRPr="00F514E8" w:rsidRDefault="00D12F33" w:rsidP="00725D19">
      <w:pPr>
        <w:spacing w:after="0" w:line="240" w:lineRule="auto"/>
        <w:ind w:right="51"/>
        <w:jc w:val="both"/>
        <w:rPr>
          <w:rFonts w:ascii="Arial" w:hAnsi="Arial" w:cs="Arial"/>
          <w:sz w:val="24"/>
        </w:rPr>
      </w:pPr>
    </w:p>
    <w:p w14:paraId="1A0F4C26" w14:textId="77777777" w:rsidR="00471878" w:rsidRPr="00F514E8" w:rsidRDefault="0039138E" w:rsidP="00725D19">
      <w:pPr>
        <w:spacing w:after="0" w:line="240" w:lineRule="auto"/>
        <w:ind w:left="426" w:right="51"/>
        <w:jc w:val="both"/>
        <w:rPr>
          <w:rFonts w:ascii="Arial" w:hAnsi="Arial" w:cs="Arial"/>
          <w:i/>
        </w:rPr>
      </w:pPr>
      <w:r w:rsidRPr="00F514E8">
        <w:rPr>
          <w:rFonts w:ascii="Arial" w:hAnsi="Arial" w:cs="Arial"/>
          <w:sz w:val="24"/>
        </w:rPr>
        <w:t>“</w:t>
      </w:r>
      <w:r w:rsidRPr="00F514E8">
        <w:rPr>
          <w:rFonts w:ascii="Arial" w:hAnsi="Arial" w:cs="Arial"/>
          <w:i/>
        </w:rPr>
        <w:t xml:space="preserve">De conformidad con el numeral 4 del artículo 110 del Código de Comercio, la escritura pública por la cual se constituye la sociedad debe enunciar clara y completamente las actividades que comprenden su objeto social, teniendo en cuenta que su capacidad se encuentra circunscrita a los actos y negocios allí consignados. Sin embargo, la doctrina ha clasificado el objeto social en principal y en objeto social secundario o subordinado. </w:t>
      </w:r>
      <w:r w:rsidRPr="00F514E8">
        <w:rPr>
          <w:rFonts w:ascii="Arial" w:hAnsi="Arial" w:cs="Arial"/>
          <w:i/>
        </w:rPr>
        <w:lastRenderedPageBreak/>
        <w:t>Aquel se refiere a los negocios o actividades principales que la sociedad se propone desarrollar, los cuales pueden tener o no conexión entre sí</w:t>
      </w:r>
      <w:r w:rsidR="00471878" w:rsidRPr="00F514E8">
        <w:rPr>
          <w:rFonts w:ascii="Arial" w:hAnsi="Arial" w:cs="Arial"/>
          <w:i/>
        </w:rPr>
        <w:t xml:space="preserve">, siempre que se encuentren debidamente enunciados en la escritura social. En el objeto social secundario se entienden incluidos todos aquellos actos o contratos tendientes al desarrollo del objeto social principal. Es preciso tener en cuenta que existe una normatividad especial que define el campo de acción de las instituciones financieras y de las llamadas empresas de objeto social exclusivo, según la cual, no les es permitido desarrollar actividades distintas a las que allí se indican. </w:t>
      </w:r>
    </w:p>
    <w:p w14:paraId="57E91A01" w14:textId="77777777" w:rsidR="00D12F33" w:rsidRPr="00F514E8" w:rsidRDefault="00D12F33" w:rsidP="00725D19">
      <w:pPr>
        <w:spacing w:after="0" w:line="240" w:lineRule="auto"/>
        <w:ind w:left="426" w:right="51"/>
        <w:jc w:val="both"/>
        <w:rPr>
          <w:rFonts w:ascii="Arial" w:hAnsi="Arial" w:cs="Arial"/>
          <w:i/>
        </w:rPr>
      </w:pPr>
    </w:p>
    <w:p w14:paraId="24978E27" w14:textId="77777777" w:rsidR="00F80D86" w:rsidRPr="00F514E8" w:rsidRDefault="00471878" w:rsidP="00725D19">
      <w:pPr>
        <w:spacing w:after="0" w:line="240" w:lineRule="auto"/>
        <w:ind w:left="426" w:right="51"/>
        <w:jc w:val="both"/>
        <w:rPr>
          <w:rFonts w:ascii="Arial" w:hAnsi="Arial" w:cs="Arial"/>
          <w:i/>
        </w:rPr>
      </w:pPr>
      <w:r w:rsidRPr="00F514E8">
        <w:rPr>
          <w:rFonts w:ascii="Arial" w:hAnsi="Arial" w:cs="Arial"/>
          <w:i/>
        </w:rPr>
        <w:t xml:space="preserve">“Si bien el llamado giro ordinario de los negocios </w:t>
      </w:r>
      <w:r w:rsidR="00F80D86" w:rsidRPr="00F514E8">
        <w:rPr>
          <w:rFonts w:ascii="Arial" w:hAnsi="Arial" w:cs="Arial"/>
          <w:i/>
        </w:rPr>
        <w:t>se encuentra determinado por las actividades que constituyen el objeto social, resultan oportunas algunas precisiones conceptuales en torno al empleo con</w:t>
      </w:r>
      <w:r w:rsidR="0071171A" w:rsidRPr="00F514E8">
        <w:rPr>
          <w:rFonts w:ascii="Arial" w:hAnsi="Arial" w:cs="Arial"/>
          <w:i/>
        </w:rPr>
        <w:t>s</w:t>
      </w:r>
      <w:r w:rsidR="00F80D86" w:rsidRPr="00F514E8">
        <w:rPr>
          <w:rFonts w:ascii="Arial" w:hAnsi="Arial" w:cs="Arial"/>
          <w:i/>
        </w:rPr>
        <w:t>tante en la práctica mercantil de la referida expresión ‘</w:t>
      </w:r>
      <w:r w:rsidR="00F80D86" w:rsidRPr="00F514E8">
        <w:rPr>
          <w:rFonts w:ascii="Arial" w:hAnsi="Arial" w:cs="Arial"/>
        </w:rPr>
        <w:t xml:space="preserve">giro ordinario de los negocios’. </w:t>
      </w:r>
      <w:r w:rsidR="00F80D86" w:rsidRPr="00F514E8">
        <w:rPr>
          <w:rFonts w:ascii="Arial" w:hAnsi="Arial" w:cs="Arial"/>
          <w:i/>
        </w:rPr>
        <w:t>Partiendo de las anteriores consideraciones en cu</w:t>
      </w:r>
      <w:r w:rsidR="0071171A" w:rsidRPr="00F514E8">
        <w:rPr>
          <w:rFonts w:ascii="Arial" w:hAnsi="Arial" w:cs="Arial"/>
          <w:i/>
        </w:rPr>
        <w:t>a</w:t>
      </w:r>
      <w:r w:rsidR="00F80D86" w:rsidRPr="00F514E8">
        <w:rPr>
          <w:rFonts w:ascii="Arial" w:hAnsi="Arial" w:cs="Arial"/>
          <w:i/>
        </w:rPr>
        <w:t xml:space="preserve">nto al tema del objeto social, se concluye que éste alude a las actividades que desarrolla o se propone realizar el ente social, al paso que </w:t>
      </w:r>
      <w:r w:rsidR="00F80D86" w:rsidRPr="00F514E8">
        <w:rPr>
          <w:rFonts w:ascii="Arial" w:hAnsi="Arial" w:cs="Arial"/>
          <w:b/>
          <w:i/>
        </w:rPr>
        <w:t>solamente quedan cobijadas por ‘</w:t>
      </w:r>
      <w:r w:rsidR="00F80D86" w:rsidRPr="00F514E8">
        <w:rPr>
          <w:rFonts w:ascii="Arial" w:hAnsi="Arial" w:cs="Arial"/>
          <w:b/>
        </w:rPr>
        <w:t>giro ordinario’</w:t>
      </w:r>
      <w:r w:rsidR="00F80D86" w:rsidRPr="00F514E8">
        <w:rPr>
          <w:rFonts w:ascii="Arial" w:hAnsi="Arial" w:cs="Arial"/>
          <w:b/>
          <w:i/>
        </w:rPr>
        <w:t xml:space="preserve"> aquellas actividades </w:t>
      </w:r>
      <w:proofErr w:type="gramStart"/>
      <w:r w:rsidR="00F80D86" w:rsidRPr="00F514E8">
        <w:rPr>
          <w:rFonts w:ascii="Arial" w:hAnsi="Arial" w:cs="Arial"/>
          <w:b/>
          <w:i/>
        </w:rPr>
        <w:t>que</w:t>
      </w:r>
      <w:proofErr w:type="gramEnd"/>
      <w:r w:rsidR="00F80D86" w:rsidRPr="00F514E8">
        <w:rPr>
          <w:rFonts w:ascii="Arial" w:hAnsi="Arial" w:cs="Arial"/>
          <w:b/>
          <w:i/>
        </w:rPr>
        <w:t xml:space="preserve"> en forma habitual u ordinaria, ejecuta la sociedad</w:t>
      </w:r>
      <w:r w:rsidR="00F80D86" w:rsidRPr="00F514E8">
        <w:rPr>
          <w:rFonts w:ascii="Arial" w:hAnsi="Arial" w:cs="Arial"/>
          <w:i/>
        </w:rPr>
        <w:t xml:space="preserve">. </w:t>
      </w:r>
    </w:p>
    <w:p w14:paraId="65353652" w14:textId="77777777" w:rsidR="00D12F33" w:rsidRPr="00F514E8" w:rsidRDefault="00D12F33" w:rsidP="00725D19">
      <w:pPr>
        <w:spacing w:after="0" w:line="240" w:lineRule="auto"/>
        <w:ind w:left="426" w:right="51"/>
        <w:jc w:val="both"/>
        <w:rPr>
          <w:rFonts w:ascii="Arial" w:hAnsi="Arial" w:cs="Arial"/>
          <w:i/>
        </w:rPr>
      </w:pPr>
    </w:p>
    <w:p w14:paraId="4571E4EB" w14:textId="77777777" w:rsidR="0071171A" w:rsidRPr="00F514E8" w:rsidRDefault="00F80D86" w:rsidP="00725D19">
      <w:pPr>
        <w:spacing w:after="0" w:line="240" w:lineRule="auto"/>
        <w:ind w:left="426" w:right="51"/>
        <w:jc w:val="both"/>
        <w:rPr>
          <w:rFonts w:ascii="Arial" w:hAnsi="Arial" w:cs="Arial"/>
        </w:rPr>
      </w:pPr>
      <w:r w:rsidRPr="00F514E8">
        <w:rPr>
          <w:rFonts w:ascii="Arial" w:hAnsi="Arial" w:cs="Arial"/>
          <w:i/>
        </w:rPr>
        <w:t xml:space="preserve">“Advierte el profesor GAVIRIA GUTIÉRREZ (Lecciones de Derecho Comercial, Biblioteca Jurídica DIKE, Medellín, 1987, </w:t>
      </w:r>
      <w:proofErr w:type="spellStart"/>
      <w:r w:rsidRPr="00F514E8">
        <w:rPr>
          <w:rFonts w:ascii="Arial" w:hAnsi="Arial" w:cs="Arial"/>
          <w:i/>
        </w:rPr>
        <w:t>pag.</w:t>
      </w:r>
      <w:proofErr w:type="spellEnd"/>
      <w:r w:rsidRPr="00F514E8">
        <w:rPr>
          <w:rFonts w:ascii="Arial" w:hAnsi="Arial" w:cs="Arial"/>
          <w:i/>
        </w:rPr>
        <w:t xml:space="preserve"> 251) que ‘</w:t>
      </w:r>
      <w:r w:rsidRPr="00F514E8">
        <w:rPr>
          <w:rFonts w:ascii="Arial" w:hAnsi="Arial" w:cs="Arial"/>
          <w:b/>
        </w:rPr>
        <w:t>el objeto social tiene un significado de mayor amplitud que el giro ordinario</w:t>
      </w:r>
      <w:r w:rsidRPr="00F514E8">
        <w:rPr>
          <w:rFonts w:ascii="Arial" w:hAnsi="Arial" w:cs="Arial"/>
        </w:rPr>
        <w:t xml:space="preserve">, pues aquel comprende cuanto acto sea necesario o conveniente para realizar el fin social propuesto, ya sea de simple gestión ordinaria, como la compra de materias primas y la venta de productos elaborados, </w:t>
      </w:r>
      <w:r w:rsidRPr="00F514E8">
        <w:rPr>
          <w:rFonts w:ascii="Arial" w:hAnsi="Arial" w:cs="Arial"/>
          <w:b/>
        </w:rPr>
        <w:t>ya de gestión extraordinaria, como un traslado de las instalaciones industriales, un despido masivo, un cambio de marcas y demás signos distintivos</w:t>
      </w:r>
      <w:r w:rsidR="00DC13EC" w:rsidRPr="00F514E8">
        <w:rPr>
          <w:rFonts w:ascii="Arial" w:hAnsi="Arial" w:cs="Arial"/>
        </w:rPr>
        <w:t>’</w:t>
      </w:r>
      <w:r w:rsidR="00DC13EC" w:rsidRPr="00F514E8">
        <w:rPr>
          <w:rFonts w:ascii="Arial" w:hAnsi="Arial" w:cs="Arial"/>
          <w:i/>
        </w:rPr>
        <w:t xml:space="preserve">, de lo cual puede deducirse una relación de </w:t>
      </w:r>
      <w:r w:rsidR="00DC13EC" w:rsidRPr="00F514E8">
        <w:rPr>
          <w:rFonts w:ascii="Arial" w:hAnsi="Arial" w:cs="Arial"/>
          <w:b/>
          <w:i/>
        </w:rPr>
        <w:t>género a especie entre ambos conceptos, siendo el giro ordinario una especie que se enmarca al interior del genérico objeto social</w:t>
      </w:r>
      <w:r w:rsidR="00DC13EC" w:rsidRPr="00F514E8">
        <w:rPr>
          <w:rFonts w:ascii="Arial" w:hAnsi="Arial" w:cs="Arial"/>
          <w:i/>
        </w:rPr>
        <w:t xml:space="preserve">. Así las cosas, debe entenderse que </w:t>
      </w:r>
      <w:r w:rsidR="00DC13EC" w:rsidRPr="00F514E8">
        <w:rPr>
          <w:rFonts w:ascii="Arial" w:hAnsi="Arial" w:cs="Arial"/>
          <w:b/>
          <w:i/>
        </w:rPr>
        <w:t>el objeto social está circunscrito tanto al giro ordinario como a aquellas actividades que se adelantan de manera extraordinar</w:t>
      </w:r>
      <w:r w:rsidR="00F65617" w:rsidRPr="00F514E8">
        <w:rPr>
          <w:rFonts w:ascii="Arial" w:hAnsi="Arial" w:cs="Arial"/>
          <w:b/>
          <w:i/>
        </w:rPr>
        <w:t>i</w:t>
      </w:r>
      <w:r w:rsidR="00DC13EC" w:rsidRPr="00F514E8">
        <w:rPr>
          <w:rFonts w:ascii="Arial" w:hAnsi="Arial" w:cs="Arial"/>
          <w:b/>
          <w:i/>
        </w:rPr>
        <w:t>a o esporádica</w:t>
      </w:r>
      <w:r w:rsidR="00DC13EC" w:rsidRPr="00F514E8">
        <w:rPr>
          <w:rFonts w:ascii="Arial" w:hAnsi="Arial" w:cs="Arial"/>
          <w:i/>
        </w:rPr>
        <w:t>, de manera que cualquier operación que no esté allí comprendida será catalogada como extralimitación o des</w:t>
      </w:r>
      <w:r w:rsidR="00F65617" w:rsidRPr="00F514E8">
        <w:rPr>
          <w:rFonts w:ascii="Arial" w:hAnsi="Arial" w:cs="Arial"/>
          <w:i/>
        </w:rPr>
        <w:t>b</w:t>
      </w:r>
      <w:r w:rsidR="00DC13EC" w:rsidRPr="00F514E8">
        <w:rPr>
          <w:rFonts w:ascii="Arial" w:hAnsi="Arial" w:cs="Arial"/>
          <w:i/>
        </w:rPr>
        <w:t>ordamiento del objeto social</w:t>
      </w:r>
      <w:r w:rsidR="0071171A" w:rsidRPr="00F514E8">
        <w:rPr>
          <w:rFonts w:ascii="Arial" w:hAnsi="Arial" w:cs="Arial"/>
          <w:i/>
        </w:rPr>
        <w:t>, independientemente de q</w:t>
      </w:r>
      <w:r w:rsidR="00801039" w:rsidRPr="00F514E8">
        <w:rPr>
          <w:rFonts w:ascii="Arial" w:hAnsi="Arial" w:cs="Arial"/>
          <w:i/>
        </w:rPr>
        <w:t>ue los estatutos sociales limite</w:t>
      </w:r>
      <w:r w:rsidR="0071171A" w:rsidRPr="00F514E8">
        <w:rPr>
          <w:rFonts w:ascii="Arial" w:hAnsi="Arial" w:cs="Arial"/>
          <w:i/>
        </w:rPr>
        <w:t xml:space="preserve">n o restrinjan las facultades de quien represente legalmente la sociedad, en los términos del artículo 196 del Código de Comercio. (…)”. </w:t>
      </w:r>
      <w:r w:rsidR="0071171A" w:rsidRPr="00F514E8">
        <w:rPr>
          <w:rFonts w:ascii="Arial" w:hAnsi="Arial" w:cs="Arial"/>
        </w:rPr>
        <w:t xml:space="preserve">(Negrillas fuera del texto). </w:t>
      </w:r>
    </w:p>
    <w:p w14:paraId="3D67F240" w14:textId="77777777" w:rsidR="0087307F" w:rsidRPr="00F514E8" w:rsidRDefault="0087307F" w:rsidP="00725D19">
      <w:pPr>
        <w:spacing w:after="0" w:line="240" w:lineRule="auto"/>
        <w:ind w:right="51"/>
        <w:jc w:val="both"/>
        <w:rPr>
          <w:rFonts w:ascii="Arial" w:hAnsi="Arial" w:cs="Arial"/>
          <w:sz w:val="24"/>
        </w:rPr>
      </w:pPr>
    </w:p>
    <w:p w14:paraId="57C543C9" w14:textId="77777777" w:rsidR="0071171A" w:rsidRPr="00F514E8" w:rsidRDefault="008E0BA2" w:rsidP="00725D19">
      <w:pPr>
        <w:spacing w:after="0" w:line="240" w:lineRule="auto"/>
        <w:ind w:right="51"/>
        <w:jc w:val="both"/>
        <w:rPr>
          <w:rFonts w:ascii="Arial" w:hAnsi="Arial" w:cs="Arial"/>
          <w:sz w:val="24"/>
        </w:rPr>
      </w:pPr>
      <w:r w:rsidRPr="00F514E8">
        <w:rPr>
          <w:rFonts w:ascii="Arial" w:hAnsi="Arial" w:cs="Arial"/>
          <w:sz w:val="24"/>
        </w:rPr>
        <w:t xml:space="preserve">Con base en las normas y conceptos anteriormente citados, además de </w:t>
      </w:r>
      <w:r w:rsidR="00765CF4" w:rsidRPr="00F514E8">
        <w:rPr>
          <w:rFonts w:ascii="Arial" w:hAnsi="Arial" w:cs="Arial"/>
          <w:sz w:val="24"/>
        </w:rPr>
        <w:t xml:space="preserve">diversas </w:t>
      </w:r>
      <w:r w:rsidRPr="00F514E8">
        <w:rPr>
          <w:rFonts w:ascii="Arial" w:hAnsi="Arial" w:cs="Arial"/>
          <w:sz w:val="24"/>
        </w:rPr>
        <w:t xml:space="preserve">fuentes jurisprudenciales y doctrinales, </w:t>
      </w:r>
      <w:r w:rsidR="0071171A" w:rsidRPr="00F514E8">
        <w:rPr>
          <w:rFonts w:ascii="Arial" w:hAnsi="Arial" w:cs="Arial"/>
          <w:sz w:val="24"/>
        </w:rPr>
        <w:t xml:space="preserve">la Sala </w:t>
      </w:r>
      <w:r w:rsidRPr="00F514E8">
        <w:rPr>
          <w:rFonts w:ascii="Arial" w:hAnsi="Arial" w:cs="Arial"/>
          <w:sz w:val="24"/>
        </w:rPr>
        <w:t>puntualiza</w:t>
      </w:r>
      <w:r w:rsidR="0071171A" w:rsidRPr="00F514E8">
        <w:rPr>
          <w:rFonts w:ascii="Arial" w:hAnsi="Arial" w:cs="Arial"/>
          <w:sz w:val="24"/>
        </w:rPr>
        <w:t xml:space="preserve"> los siguientes aspectos: </w:t>
      </w:r>
    </w:p>
    <w:p w14:paraId="45C65B3F" w14:textId="77777777" w:rsidR="0087307F" w:rsidRPr="00F514E8" w:rsidRDefault="0087307F" w:rsidP="00725D19">
      <w:pPr>
        <w:spacing w:after="0" w:line="240" w:lineRule="auto"/>
        <w:ind w:right="51"/>
        <w:jc w:val="both"/>
        <w:rPr>
          <w:rFonts w:ascii="Arial" w:hAnsi="Arial" w:cs="Arial"/>
          <w:sz w:val="24"/>
        </w:rPr>
      </w:pPr>
    </w:p>
    <w:p w14:paraId="65A768EF" w14:textId="77777777" w:rsidR="00C22B39" w:rsidRPr="00F514E8" w:rsidRDefault="00E46646" w:rsidP="00E46646">
      <w:pPr>
        <w:spacing w:after="0" w:line="240" w:lineRule="auto"/>
        <w:jc w:val="both"/>
        <w:rPr>
          <w:rFonts w:ascii="Arial" w:hAnsi="Arial" w:cs="Arial"/>
          <w:sz w:val="24"/>
        </w:rPr>
      </w:pPr>
      <w:r w:rsidRPr="00F514E8">
        <w:rPr>
          <w:rFonts w:ascii="Arial" w:hAnsi="Arial" w:cs="Arial"/>
          <w:sz w:val="24"/>
        </w:rPr>
        <w:t xml:space="preserve">- </w:t>
      </w:r>
      <w:r w:rsidR="0071171A" w:rsidRPr="00F514E8">
        <w:rPr>
          <w:rFonts w:ascii="Arial" w:hAnsi="Arial" w:cs="Arial"/>
          <w:sz w:val="24"/>
        </w:rPr>
        <w:t>El objeto de una sociedad</w:t>
      </w:r>
      <w:r w:rsidR="008E0BA2" w:rsidRPr="00F514E8">
        <w:rPr>
          <w:rFonts w:ascii="Arial" w:hAnsi="Arial" w:cs="Arial"/>
          <w:sz w:val="24"/>
        </w:rPr>
        <w:t>, y en general</w:t>
      </w:r>
      <w:r w:rsidR="0071171A" w:rsidRPr="00F514E8">
        <w:rPr>
          <w:rFonts w:ascii="Arial" w:hAnsi="Arial" w:cs="Arial"/>
          <w:sz w:val="24"/>
        </w:rPr>
        <w:t xml:space="preserve"> de cualquier persona jurídica</w:t>
      </w:r>
      <w:r w:rsidR="008E0BA2" w:rsidRPr="00F514E8">
        <w:rPr>
          <w:rFonts w:ascii="Arial" w:hAnsi="Arial" w:cs="Arial"/>
          <w:sz w:val="24"/>
        </w:rPr>
        <w:t>,</w:t>
      </w:r>
      <w:r w:rsidR="0071171A" w:rsidRPr="00F514E8">
        <w:rPr>
          <w:rFonts w:ascii="Arial" w:hAnsi="Arial" w:cs="Arial"/>
          <w:sz w:val="24"/>
        </w:rPr>
        <w:t xml:space="preserve"> está conformado por el denominado “objeto principal</w:t>
      </w:r>
      <w:r w:rsidR="00C22B39" w:rsidRPr="00F514E8">
        <w:rPr>
          <w:rFonts w:ascii="Arial" w:hAnsi="Arial" w:cs="Arial"/>
          <w:sz w:val="24"/>
        </w:rPr>
        <w:t>” y el llamado “objeto secundario, complementario</w:t>
      </w:r>
      <w:r w:rsidR="00037A9D" w:rsidRPr="00F514E8">
        <w:rPr>
          <w:rFonts w:ascii="Arial" w:hAnsi="Arial" w:cs="Arial"/>
          <w:sz w:val="24"/>
        </w:rPr>
        <w:t xml:space="preserve"> o subsidiario</w:t>
      </w:r>
      <w:r w:rsidR="00C22B39" w:rsidRPr="00F514E8">
        <w:rPr>
          <w:rFonts w:ascii="Arial" w:hAnsi="Arial" w:cs="Arial"/>
          <w:sz w:val="24"/>
        </w:rPr>
        <w:t xml:space="preserve">”. </w:t>
      </w:r>
    </w:p>
    <w:p w14:paraId="62718BFD" w14:textId="77777777" w:rsidR="00C22B39" w:rsidRPr="00F514E8" w:rsidRDefault="00E46646" w:rsidP="00E46646">
      <w:pPr>
        <w:spacing w:after="0" w:line="240" w:lineRule="auto"/>
        <w:jc w:val="both"/>
        <w:rPr>
          <w:rFonts w:ascii="Arial" w:hAnsi="Arial" w:cs="Arial"/>
          <w:sz w:val="24"/>
        </w:rPr>
      </w:pPr>
      <w:r w:rsidRPr="00F514E8">
        <w:rPr>
          <w:rFonts w:ascii="Arial" w:hAnsi="Arial" w:cs="Arial"/>
          <w:sz w:val="24"/>
        </w:rPr>
        <w:t xml:space="preserve">- </w:t>
      </w:r>
      <w:r w:rsidR="00C22B39" w:rsidRPr="00F514E8">
        <w:rPr>
          <w:rFonts w:ascii="Arial" w:hAnsi="Arial" w:cs="Arial"/>
          <w:sz w:val="24"/>
        </w:rPr>
        <w:t xml:space="preserve">El primero comprende las actividades y los actos expresamente previstos en el acto de constitución de la persona jurídica (estatutos, en el caso de las sociedades; ley, en el caso de las empresas industriales y comerciales del Estado, o acto </w:t>
      </w:r>
      <w:r w:rsidR="00037A9D" w:rsidRPr="00F514E8">
        <w:rPr>
          <w:rFonts w:ascii="Arial" w:hAnsi="Arial" w:cs="Arial"/>
          <w:sz w:val="24"/>
        </w:rPr>
        <w:t>de creación</w:t>
      </w:r>
      <w:r w:rsidR="00C22B39" w:rsidRPr="00F514E8">
        <w:rPr>
          <w:rFonts w:ascii="Arial" w:hAnsi="Arial" w:cs="Arial"/>
          <w:sz w:val="24"/>
        </w:rPr>
        <w:t xml:space="preserve">, en general). </w:t>
      </w:r>
    </w:p>
    <w:p w14:paraId="391449B8" w14:textId="77777777" w:rsidR="00037A9D" w:rsidRPr="00F514E8" w:rsidRDefault="00E46646" w:rsidP="00E46646">
      <w:pPr>
        <w:spacing w:after="0" w:line="240" w:lineRule="auto"/>
        <w:jc w:val="both"/>
        <w:rPr>
          <w:rFonts w:ascii="Arial" w:hAnsi="Arial" w:cs="Arial"/>
          <w:sz w:val="24"/>
        </w:rPr>
      </w:pPr>
      <w:r w:rsidRPr="00F514E8">
        <w:rPr>
          <w:rFonts w:ascii="Arial" w:hAnsi="Arial" w:cs="Arial"/>
          <w:sz w:val="24"/>
        </w:rPr>
        <w:t xml:space="preserve">- </w:t>
      </w:r>
      <w:r w:rsidR="00C22B39" w:rsidRPr="00F514E8">
        <w:rPr>
          <w:rFonts w:ascii="Arial" w:hAnsi="Arial" w:cs="Arial"/>
          <w:sz w:val="24"/>
        </w:rPr>
        <w:t xml:space="preserve">El segundo incluye dos </w:t>
      </w:r>
      <w:r w:rsidR="00037A9D" w:rsidRPr="00F514E8">
        <w:rPr>
          <w:rFonts w:ascii="Arial" w:hAnsi="Arial" w:cs="Arial"/>
          <w:sz w:val="24"/>
        </w:rPr>
        <w:t xml:space="preserve">grupos </w:t>
      </w:r>
      <w:r w:rsidR="00C22B39" w:rsidRPr="00F514E8">
        <w:rPr>
          <w:rFonts w:ascii="Arial" w:hAnsi="Arial" w:cs="Arial"/>
          <w:sz w:val="24"/>
        </w:rPr>
        <w:t xml:space="preserve">de actos jurídicos: </w:t>
      </w:r>
      <w:r w:rsidR="001A71F3" w:rsidRPr="00F514E8">
        <w:rPr>
          <w:rFonts w:ascii="Arial" w:hAnsi="Arial" w:cs="Arial"/>
          <w:sz w:val="24"/>
        </w:rPr>
        <w:t>i</w:t>
      </w:r>
      <w:r w:rsidR="00C22B39" w:rsidRPr="00F514E8">
        <w:rPr>
          <w:rFonts w:ascii="Arial" w:hAnsi="Arial" w:cs="Arial"/>
          <w:sz w:val="24"/>
        </w:rPr>
        <w:t>) Aquellos que, sin estar mencionados expresamente, guardan una relación o conexidad direct</w:t>
      </w:r>
      <w:r w:rsidR="001A71F3" w:rsidRPr="00F514E8">
        <w:rPr>
          <w:rFonts w:ascii="Arial" w:hAnsi="Arial" w:cs="Arial"/>
          <w:sz w:val="24"/>
        </w:rPr>
        <w:t>a con el objeto principal, como</w:t>
      </w:r>
      <w:r w:rsidR="00C22B39" w:rsidRPr="00F514E8">
        <w:rPr>
          <w:rFonts w:ascii="Arial" w:hAnsi="Arial" w:cs="Arial"/>
          <w:sz w:val="24"/>
        </w:rPr>
        <w:t xml:space="preserve"> por ejemplo, el otorgamiento de una garantía necesaria para realizar una operación prevista en el objeto principal; </w:t>
      </w:r>
      <w:r w:rsidR="001A71F3" w:rsidRPr="00F514E8">
        <w:rPr>
          <w:rFonts w:ascii="Arial" w:hAnsi="Arial" w:cs="Arial"/>
          <w:sz w:val="24"/>
        </w:rPr>
        <w:t>ii</w:t>
      </w:r>
      <w:r w:rsidR="00C22B39" w:rsidRPr="00F514E8">
        <w:rPr>
          <w:rFonts w:ascii="Arial" w:hAnsi="Arial" w:cs="Arial"/>
          <w:sz w:val="24"/>
        </w:rPr>
        <w:t xml:space="preserve">) todos los demás que resulten necesarios para ejercer los derechos y cumplir las obligaciones que implica la existencia y el funcionamiento de la persona jurídica, tales como el pago de impuestos, la contratación de personal, la adquisición de </w:t>
      </w:r>
      <w:r w:rsidR="00037A9D" w:rsidRPr="00F514E8">
        <w:rPr>
          <w:rFonts w:ascii="Arial" w:hAnsi="Arial" w:cs="Arial"/>
          <w:sz w:val="24"/>
        </w:rPr>
        <w:t xml:space="preserve">insumos o de </w:t>
      </w:r>
      <w:r w:rsidR="00C22B39" w:rsidRPr="00F514E8">
        <w:rPr>
          <w:rFonts w:ascii="Arial" w:hAnsi="Arial" w:cs="Arial"/>
          <w:sz w:val="24"/>
        </w:rPr>
        <w:t xml:space="preserve">activos fijos (muebles e inmuebles) etc. </w:t>
      </w:r>
    </w:p>
    <w:p w14:paraId="5A5CE565" w14:textId="77777777" w:rsidR="00F96E86" w:rsidRPr="00F514E8" w:rsidRDefault="00E46646" w:rsidP="00E46646">
      <w:pPr>
        <w:spacing w:after="0" w:line="240" w:lineRule="auto"/>
        <w:jc w:val="both"/>
        <w:rPr>
          <w:rFonts w:ascii="Arial" w:hAnsi="Arial" w:cs="Arial"/>
          <w:sz w:val="24"/>
        </w:rPr>
      </w:pPr>
      <w:r w:rsidRPr="00F514E8">
        <w:rPr>
          <w:rFonts w:ascii="Arial" w:hAnsi="Arial" w:cs="Arial"/>
          <w:sz w:val="24"/>
        </w:rPr>
        <w:t xml:space="preserve">- </w:t>
      </w:r>
      <w:r w:rsidR="00C22B39" w:rsidRPr="00F514E8">
        <w:rPr>
          <w:rFonts w:ascii="Arial" w:hAnsi="Arial" w:cs="Arial"/>
          <w:sz w:val="24"/>
        </w:rPr>
        <w:t xml:space="preserve">Cualquier acto que no esté comprendido dentro del objeto, ya sea principal o secundario, </w:t>
      </w:r>
      <w:r w:rsidR="00C22B39" w:rsidRPr="00F514E8">
        <w:rPr>
          <w:rFonts w:ascii="Arial" w:hAnsi="Arial" w:cs="Arial"/>
          <w:b/>
          <w:sz w:val="24"/>
        </w:rPr>
        <w:t>no puede</w:t>
      </w:r>
      <w:r w:rsidR="00C22B39" w:rsidRPr="00F514E8">
        <w:rPr>
          <w:rFonts w:ascii="Arial" w:hAnsi="Arial" w:cs="Arial"/>
          <w:sz w:val="24"/>
        </w:rPr>
        <w:t xml:space="preserve"> ser realizado válidamente por la persona jurídica, pues excede su capacidad </w:t>
      </w:r>
      <w:r w:rsidR="00037A9D" w:rsidRPr="00F514E8">
        <w:rPr>
          <w:rFonts w:ascii="Arial" w:hAnsi="Arial" w:cs="Arial"/>
          <w:sz w:val="24"/>
        </w:rPr>
        <w:t xml:space="preserve">legal. </w:t>
      </w:r>
      <w:r w:rsidR="00F96E86" w:rsidRPr="00F514E8">
        <w:rPr>
          <w:rFonts w:ascii="Arial" w:hAnsi="Arial" w:cs="Arial"/>
          <w:sz w:val="24"/>
        </w:rPr>
        <w:t>Por lo tanto, de llegar a celebrar un acto de esta clase, el mismo estaría viciado de nulidad y</w:t>
      </w:r>
      <w:r w:rsidR="00BC4415" w:rsidRPr="00F514E8">
        <w:rPr>
          <w:rFonts w:ascii="Arial" w:hAnsi="Arial" w:cs="Arial"/>
          <w:sz w:val="24"/>
        </w:rPr>
        <w:t>,</w:t>
      </w:r>
      <w:r w:rsidR="00F96E86" w:rsidRPr="00F514E8">
        <w:rPr>
          <w:rFonts w:ascii="Arial" w:hAnsi="Arial" w:cs="Arial"/>
          <w:sz w:val="24"/>
        </w:rPr>
        <w:t xml:space="preserve"> </w:t>
      </w:r>
      <w:r w:rsidR="001C7742" w:rsidRPr="00F514E8">
        <w:rPr>
          <w:rFonts w:ascii="Arial" w:hAnsi="Arial" w:cs="Arial"/>
          <w:sz w:val="24"/>
        </w:rPr>
        <w:t xml:space="preserve">en esa medida, </w:t>
      </w:r>
      <w:r w:rsidR="00F96E86" w:rsidRPr="00F514E8">
        <w:rPr>
          <w:rFonts w:ascii="Arial" w:hAnsi="Arial" w:cs="Arial"/>
          <w:sz w:val="24"/>
        </w:rPr>
        <w:t>no obliga</w:t>
      </w:r>
      <w:r w:rsidR="00037A9D" w:rsidRPr="00F514E8">
        <w:rPr>
          <w:rFonts w:ascii="Arial" w:hAnsi="Arial" w:cs="Arial"/>
          <w:sz w:val="24"/>
        </w:rPr>
        <w:t>ría</w:t>
      </w:r>
      <w:r w:rsidR="00BC4415" w:rsidRPr="00F514E8">
        <w:rPr>
          <w:rFonts w:ascii="Arial" w:hAnsi="Arial" w:cs="Arial"/>
          <w:sz w:val="24"/>
        </w:rPr>
        <w:t xml:space="preserve"> válidamente </w:t>
      </w:r>
      <w:r w:rsidR="00F96E86" w:rsidRPr="00F514E8">
        <w:rPr>
          <w:rFonts w:ascii="Arial" w:hAnsi="Arial" w:cs="Arial"/>
          <w:sz w:val="24"/>
        </w:rPr>
        <w:t xml:space="preserve">a la entidad. </w:t>
      </w:r>
    </w:p>
    <w:p w14:paraId="38D92D75" w14:textId="77777777" w:rsidR="0071171A" w:rsidRPr="00F514E8" w:rsidRDefault="00E46646" w:rsidP="00E46646">
      <w:pPr>
        <w:spacing w:after="0" w:line="240" w:lineRule="auto"/>
        <w:jc w:val="both"/>
        <w:rPr>
          <w:rFonts w:ascii="Arial" w:hAnsi="Arial" w:cs="Arial"/>
          <w:sz w:val="24"/>
        </w:rPr>
      </w:pPr>
      <w:r w:rsidRPr="00F514E8">
        <w:rPr>
          <w:rFonts w:ascii="Arial" w:hAnsi="Arial" w:cs="Arial"/>
          <w:sz w:val="24"/>
        </w:rPr>
        <w:lastRenderedPageBreak/>
        <w:t xml:space="preserve">- </w:t>
      </w:r>
      <w:r w:rsidR="00F96E86" w:rsidRPr="00F514E8">
        <w:rPr>
          <w:rFonts w:ascii="Arial" w:hAnsi="Arial" w:cs="Arial"/>
          <w:sz w:val="24"/>
        </w:rPr>
        <w:t>Todos los actos (incluyendo los contratos) que una persona jurídica celebra “</w:t>
      </w:r>
      <w:r w:rsidR="00F96E86" w:rsidRPr="00F514E8">
        <w:rPr>
          <w:rFonts w:ascii="Arial" w:hAnsi="Arial" w:cs="Arial"/>
          <w:i/>
          <w:sz w:val="24"/>
        </w:rPr>
        <w:t xml:space="preserve">dentro del giro ordinario de sus negocios” </w:t>
      </w:r>
      <w:r w:rsidR="00F96E86" w:rsidRPr="00F514E8">
        <w:rPr>
          <w:rFonts w:ascii="Arial" w:hAnsi="Arial" w:cs="Arial"/>
          <w:sz w:val="24"/>
        </w:rPr>
        <w:t>deben estar comprendidos en su objeto (principal o accesorio), pero existen algunos actos que las personas jurídicas puede</w:t>
      </w:r>
      <w:r w:rsidR="00037A9D" w:rsidRPr="00F514E8">
        <w:rPr>
          <w:rFonts w:ascii="Arial" w:hAnsi="Arial" w:cs="Arial"/>
          <w:sz w:val="24"/>
        </w:rPr>
        <w:t>n</w:t>
      </w:r>
      <w:r w:rsidR="00F96E86" w:rsidRPr="00F514E8">
        <w:rPr>
          <w:rFonts w:ascii="Arial" w:hAnsi="Arial" w:cs="Arial"/>
          <w:sz w:val="24"/>
        </w:rPr>
        <w:t xml:space="preserve"> celebrar válidamente, por estar incluidos dentro de su objeto, que no corresponden, sin embargo, al “</w:t>
      </w:r>
      <w:r w:rsidR="00F96E86" w:rsidRPr="00F514E8">
        <w:rPr>
          <w:rFonts w:ascii="Arial" w:hAnsi="Arial" w:cs="Arial"/>
          <w:i/>
          <w:sz w:val="24"/>
        </w:rPr>
        <w:t>giro ordinario de sus negocios</w:t>
      </w:r>
      <w:r w:rsidR="00F96E86" w:rsidRPr="00F514E8">
        <w:rPr>
          <w:rFonts w:ascii="Arial" w:hAnsi="Arial" w:cs="Arial"/>
          <w:sz w:val="24"/>
        </w:rPr>
        <w:t xml:space="preserve">”, por tratarse de actos u operaciones que se realizan de forma extraordinaria o esporádica. </w:t>
      </w:r>
    </w:p>
    <w:p w14:paraId="7EB1AC34" w14:textId="77777777" w:rsidR="0087307F" w:rsidRPr="00F514E8" w:rsidRDefault="0087307F" w:rsidP="00E46646">
      <w:pPr>
        <w:spacing w:after="0" w:line="240" w:lineRule="auto"/>
        <w:jc w:val="both"/>
        <w:rPr>
          <w:rFonts w:ascii="Arial" w:hAnsi="Arial" w:cs="Arial"/>
          <w:sz w:val="24"/>
        </w:rPr>
      </w:pPr>
    </w:p>
    <w:p w14:paraId="01284AC5" w14:textId="77777777" w:rsidR="00F96E86" w:rsidRPr="00F514E8" w:rsidRDefault="00765CF4" w:rsidP="00725D19">
      <w:pPr>
        <w:spacing w:after="0" w:line="240" w:lineRule="auto"/>
        <w:ind w:right="51"/>
        <w:jc w:val="both"/>
        <w:rPr>
          <w:rFonts w:ascii="Arial" w:hAnsi="Arial" w:cs="Arial"/>
          <w:sz w:val="24"/>
        </w:rPr>
      </w:pPr>
      <w:r w:rsidRPr="00F514E8">
        <w:rPr>
          <w:rFonts w:ascii="Arial" w:hAnsi="Arial" w:cs="Arial"/>
          <w:sz w:val="24"/>
        </w:rPr>
        <w:t xml:space="preserve">4. </w:t>
      </w:r>
      <w:r w:rsidR="00F96E86" w:rsidRPr="00F514E8">
        <w:rPr>
          <w:rFonts w:ascii="Arial" w:hAnsi="Arial" w:cs="Arial"/>
          <w:sz w:val="24"/>
        </w:rPr>
        <w:t xml:space="preserve">De los criterios </w:t>
      </w:r>
      <w:r w:rsidR="001A71F3" w:rsidRPr="00F514E8">
        <w:rPr>
          <w:rFonts w:ascii="Arial" w:hAnsi="Arial" w:cs="Arial"/>
          <w:sz w:val="24"/>
        </w:rPr>
        <w:t>expuestos se desprende</w:t>
      </w:r>
      <w:r w:rsidR="00F96E86" w:rsidRPr="00F514E8">
        <w:rPr>
          <w:rFonts w:ascii="Arial" w:hAnsi="Arial" w:cs="Arial"/>
          <w:sz w:val="24"/>
        </w:rPr>
        <w:t xml:space="preserve"> que, en el caso </w:t>
      </w:r>
      <w:r w:rsidR="00037A9D" w:rsidRPr="00F514E8">
        <w:rPr>
          <w:rFonts w:ascii="Arial" w:hAnsi="Arial" w:cs="Arial"/>
          <w:sz w:val="24"/>
        </w:rPr>
        <w:t xml:space="preserve">específico </w:t>
      </w:r>
      <w:r w:rsidR="00F96E86" w:rsidRPr="00F514E8">
        <w:rPr>
          <w:rFonts w:ascii="Arial" w:hAnsi="Arial" w:cs="Arial"/>
          <w:sz w:val="24"/>
        </w:rPr>
        <w:t>de FONADE, los siguientes contratos forma</w:t>
      </w:r>
      <w:r w:rsidR="00157BCB" w:rsidRPr="00F514E8">
        <w:rPr>
          <w:rFonts w:ascii="Arial" w:hAnsi="Arial" w:cs="Arial"/>
          <w:sz w:val="24"/>
        </w:rPr>
        <w:t>n</w:t>
      </w:r>
      <w:r w:rsidR="00F96E86" w:rsidRPr="00F514E8">
        <w:rPr>
          <w:rFonts w:ascii="Arial" w:hAnsi="Arial" w:cs="Arial"/>
          <w:sz w:val="24"/>
        </w:rPr>
        <w:t xml:space="preserve"> parte del </w:t>
      </w:r>
      <w:r w:rsidR="00CD74B4" w:rsidRPr="00F514E8">
        <w:rPr>
          <w:rFonts w:ascii="Arial" w:hAnsi="Arial" w:cs="Arial"/>
          <w:sz w:val="24"/>
        </w:rPr>
        <w:t>“</w:t>
      </w:r>
      <w:r w:rsidR="00F96E86" w:rsidRPr="00F514E8">
        <w:rPr>
          <w:rFonts w:ascii="Arial" w:hAnsi="Arial" w:cs="Arial"/>
          <w:sz w:val="24"/>
        </w:rPr>
        <w:t>giro ordinario</w:t>
      </w:r>
      <w:r w:rsidR="00CD74B4" w:rsidRPr="00F514E8">
        <w:rPr>
          <w:rFonts w:ascii="Arial" w:hAnsi="Arial" w:cs="Arial"/>
          <w:sz w:val="24"/>
        </w:rPr>
        <w:t>”</w:t>
      </w:r>
      <w:r w:rsidR="00F96E86" w:rsidRPr="00F514E8">
        <w:rPr>
          <w:rFonts w:ascii="Arial" w:hAnsi="Arial" w:cs="Arial"/>
          <w:sz w:val="24"/>
        </w:rPr>
        <w:t xml:space="preserve"> de sus negocios: </w:t>
      </w:r>
    </w:p>
    <w:p w14:paraId="01C90F0F" w14:textId="77777777" w:rsidR="00234D6C" w:rsidRPr="00F514E8" w:rsidRDefault="00234D6C" w:rsidP="00725D19">
      <w:pPr>
        <w:spacing w:after="0" w:line="240" w:lineRule="auto"/>
        <w:ind w:right="51"/>
        <w:jc w:val="both"/>
        <w:rPr>
          <w:rFonts w:ascii="Arial" w:hAnsi="Arial" w:cs="Arial"/>
          <w:sz w:val="24"/>
        </w:rPr>
      </w:pPr>
    </w:p>
    <w:p w14:paraId="19535B5D" w14:textId="77777777" w:rsidR="00F96E86" w:rsidRPr="00F514E8" w:rsidRDefault="00765CF4" w:rsidP="00765CF4">
      <w:pPr>
        <w:spacing w:after="0" w:line="240" w:lineRule="auto"/>
        <w:ind w:right="51"/>
        <w:jc w:val="both"/>
        <w:rPr>
          <w:rFonts w:ascii="Arial" w:hAnsi="Arial" w:cs="Arial"/>
          <w:sz w:val="24"/>
        </w:rPr>
      </w:pPr>
      <w:r w:rsidRPr="00F514E8">
        <w:rPr>
          <w:rFonts w:ascii="Arial" w:hAnsi="Arial" w:cs="Arial"/>
          <w:sz w:val="24"/>
        </w:rPr>
        <w:t xml:space="preserve">a. </w:t>
      </w:r>
      <w:r w:rsidR="00F96E86" w:rsidRPr="00F514E8">
        <w:rPr>
          <w:rFonts w:ascii="Arial" w:hAnsi="Arial" w:cs="Arial"/>
          <w:sz w:val="24"/>
        </w:rPr>
        <w:t xml:space="preserve">Todos aquellos que celebra para realizar las actividades y cumplir las funciones que la ley y las demás normas con fuerza de ley le </w:t>
      </w:r>
      <w:r w:rsidR="00037A9D" w:rsidRPr="00F514E8">
        <w:rPr>
          <w:rFonts w:ascii="Arial" w:hAnsi="Arial" w:cs="Arial"/>
          <w:sz w:val="24"/>
        </w:rPr>
        <w:t xml:space="preserve">asignan </w:t>
      </w:r>
      <w:r w:rsidR="00F96E86" w:rsidRPr="00F514E8">
        <w:rPr>
          <w:rFonts w:ascii="Arial" w:hAnsi="Arial" w:cs="Arial"/>
          <w:sz w:val="24"/>
        </w:rPr>
        <w:t>expresamente, ya sea que correspondan a actividades típicamente financieras</w:t>
      </w:r>
      <w:r w:rsidR="00886038" w:rsidRPr="00F514E8">
        <w:rPr>
          <w:rStyle w:val="Refdenotaalpie"/>
          <w:rFonts w:ascii="Arial" w:hAnsi="Arial" w:cs="Arial"/>
          <w:sz w:val="24"/>
        </w:rPr>
        <w:footnoteReference w:id="28"/>
      </w:r>
      <w:r w:rsidR="00F96E86" w:rsidRPr="00F514E8">
        <w:rPr>
          <w:rFonts w:ascii="Arial" w:hAnsi="Arial" w:cs="Arial"/>
          <w:sz w:val="24"/>
        </w:rPr>
        <w:t xml:space="preserve"> o no (objeto principal).</w:t>
      </w:r>
    </w:p>
    <w:p w14:paraId="2DE4C481" w14:textId="77777777" w:rsidR="00765CF4" w:rsidRPr="00F514E8" w:rsidRDefault="00765CF4" w:rsidP="00765CF4">
      <w:pPr>
        <w:spacing w:after="0" w:line="240" w:lineRule="auto"/>
        <w:ind w:right="51"/>
        <w:jc w:val="both"/>
        <w:rPr>
          <w:rFonts w:ascii="Arial" w:hAnsi="Arial" w:cs="Arial"/>
          <w:sz w:val="24"/>
        </w:rPr>
      </w:pPr>
    </w:p>
    <w:p w14:paraId="3C535F85" w14:textId="77777777" w:rsidR="00037A9D" w:rsidRPr="00F514E8" w:rsidRDefault="00765CF4" w:rsidP="00765CF4">
      <w:pPr>
        <w:spacing w:after="0" w:line="240" w:lineRule="auto"/>
        <w:ind w:right="51"/>
        <w:jc w:val="both"/>
        <w:rPr>
          <w:rFonts w:ascii="Arial" w:hAnsi="Arial" w:cs="Arial"/>
          <w:sz w:val="24"/>
        </w:rPr>
      </w:pPr>
      <w:r w:rsidRPr="00F514E8">
        <w:rPr>
          <w:rFonts w:ascii="Arial" w:hAnsi="Arial" w:cs="Arial"/>
          <w:sz w:val="24"/>
        </w:rPr>
        <w:t xml:space="preserve">b. </w:t>
      </w:r>
      <w:r w:rsidR="00F96E86" w:rsidRPr="00F514E8">
        <w:rPr>
          <w:rFonts w:ascii="Arial" w:hAnsi="Arial" w:cs="Arial"/>
          <w:sz w:val="24"/>
        </w:rPr>
        <w:t>Todos los que celebre en</w:t>
      </w:r>
      <w:r w:rsidR="0019727D" w:rsidRPr="00F514E8">
        <w:rPr>
          <w:rFonts w:ascii="Arial" w:hAnsi="Arial" w:cs="Arial"/>
          <w:sz w:val="24"/>
        </w:rPr>
        <w:t xml:space="preserve"> conexión o en relación directa con dichos negocios (objeto secundario, actos conexos). </w:t>
      </w:r>
      <w:r w:rsidR="001A71F3" w:rsidRPr="00F514E8">
        <w:rPr>
          <w:rFonts w:ascii="Arial" w:hAnsi="Arial" w:cs="Arial"/>
          <w:sz w:val="24"/>
        </w:rPr>
        <w:t xml:space="preserve">Ejemplo de dichos contratos podría ser </w:t>
      </w:r>
      <w:r w:rsidR="0019727D" w:rsidRPr="00F514E8">
        <w:rPr>
          <w:rFonts w:ascii="Arial" w:hAnsi="Arial" w:cs="Arial"/>
          <w:sz w:val="24"/>
        </w:rPr>
        <w:t xml:space="preserve">los que suscribe FONADE para </w:t>
      </w:r>
      <w:r w:rsidR="001A71F3" w:rsidRPr="00F514E8">
        <w:rPr>
          <w:rFonts w:ascii="Arial" w:hAnsi="Arial" w:cs="Arial"/>
          <w:sz w:val="24"/>
        </w:rPr>
        <w:t>cumplir</w:t>
      </w:r>
      <w:r w:rsidR="0019727D" w:rsidRPr="00F514E8">
        <w:rPr>
          <w:rFonts w:ascii="Arial" w:hAnsi="Arial" w:cs="Arial"/>
          <w:sz w:val="24"/>
        </w:rPr>
        <w:t xml:space="preserve"> o ejecutar las obligaciones que asume frente a otras entidades públicas, en desarrollo de los contratos de gerencia integral de proyectos, de gerencia de recursos</w:t>
      </w:r>
      <w:r w:rsidR="00037A9D" w:rsidRPr="00F514E8">
        <w:rPr>
          <w:rFonts w:ascii="Arial" w:hAnsi="Arial" w:cs="Arial"/>
          <w:sz w:val="24"/>
        </w:rPr>
        <w:t>,</w:t>
      </w:r>
      <w:r w:rsidR="0019727D" w:rsidRPr="00F514E8">
        <w:rPr>
          <w:rFonts w:ascii="Arial" w:hAnsi="Arial" w:cs="Arial"/>
          <w:sz w:val="24"/>
        </w:rPr>
        <w:t xml:space="preserve"> y </w:t>
      </w:r>
      <w:r w:rsidR="001C7742" w:rsidRPr="00F514E8">
        <w:rPr>
          <w:rFonts w:ascii="Arial" w:hAnsi="Arial" w:cs="Arial"/>
          <w:sz w:val="24"/>
        </w:rPr>
        <w:t xml:space="preserve">de </w:t>
      </w:r>
      <w:r w:rsidR="00037A9D" w:rsidRPr="00F514E8">
        <w:rPr>
          <w:rFonts w:ascii="Arial" w:hAnsi="Arial" w:cs="Arial"/>
          <w:sz w:val="24"/>
        </w:rPr>
        <w:t xml:space="preserve">los </w:t>
      </w:r>
      <w:r w:rsidR="001C7742" w:rsidRPr="00F514E8">
        <w:rPr>
          <w:rFonts w:ascii="Arial" w:hAnsi="Arial" w:cs="Arial"/>
          <w:sz w:val="24"/>
        </w:rPr>
        <w:t xml:space="preserve">otros </w:t>
      </w:r>
      <w:r w:rsidR="0019727D" w:rsidRPr="00F514E8">
        <w:rPr>
          <w:rFonts w:ascii="Arial" w:hAnsi="Arial" w:cs="Arial"/>
          <w:sz w:val="24"/>
        </w:rPr>
        <w:t xml:space="preserve">contratos interadministrativos que celebra en </w:t>
      </w:r>
      <w:r w:rsidR="00037A9D" w:rsidRPr="00F514E8">
        <w:rPr>
          <w:rFonts w:ascii="Arial" w:hAnsi="Arial" w:cs="Arial"/>
          <w:sz w:val="24"/>
        </w:rPr>
        <w:t xml:space="preserve">ejercicio </w:t>
      </w:r>
      <w:r w:rsidR="0019727D" w:rsidRPr="00F514E8">
        <w:rPr>
          <w:rFonts w:ascii="Arial" w:hAnsi="Arial" w:cs="Arial"/>
          <w:sz w:val="24"/>
        </w:rPr>
        <w:t>de sus funciones.</w:t>
      </w:r>
    </w:p>
    <w:p w14:paraId="65843A8F" w14:textId="77777777" w:rsidR="00765CF4" w:rsidRPr="00F514E8" w:rsidRDefault="00765CF4" w:rsidP="00765CF4">
      <w:pPr>
        <w:spacing w:after="0" w:line="240" w:lineRule="auto"/>
        <w:ind w:right="51"/>
        <w:jc w:val="both"/>
        <w:rPr>
          <w:rFonts w:ascii="Arial" w:hAnsi="Arial" w:cs="Arial"/>
          <w:sz w:val="24"/>
        </w:rPr>
      </w:pPr>
    </w:p>
    <w:p w14:paraId="1CC75BD0" w14:textId="77777777" w:rsidR="0019727D" w:rsidRPr="00F514E8" w:rsidRDefault="00765CF4" w:rsidP="00765CF4">
      <w:pPr>
        <w:spacing w:after="0" w:line="240" w:lineRule="auto"/>
        <w:ind w:right="51"/>
        <w:jc w:val="both"/>
        <w:rPr>
          <w:rFonts w:ascii="Arial" w:hAnsi="Arial" w:cs="Arial"/>
          <w:sz w:val="24"/>
        </w:rPr>
      </w:pPr>
      <w:r w:rsidRPr="00F514E8">
        <w:rPr>
          <w:rFonts w:ascii="Arial" w:hAnsi="Arial" w:cs="Arial"/>
          <w:sz w:val="24"/>
        </w:rPr>
        <w:t xml:space="preserve">c. </w:t>
      </w:r>
      <w:r w:rsidR="00F96E86" w:rsidRPr="00F514E8">
        <w:rPr>
          <w:rFonts w:ascii="Arial" w:hAnsi="Arial" w:cs="Arial"/>
          <w:sz w:val="24"/>
        </w:rPr>
        <w:t>Todos aquellos que resultan</w:t>
      </w:r>
      <w:r w:rsidR="0019727D" w:rsidRPr="00F514E8">
        <w:rPr>
          <w:rFonts w:ascii="Arial" w:hAnsi="Arial" w:cs="Arial"/>
          <w:sz w:val="24"/>
        </w:rPr>
        <w:t xml:space="preserve"> necesarios para la existencia de FONADE y su funcionamiento normal como empresa industrial y comercial del Estado (objeto secundario), siempre que sean habituales u ordinarios, como la contratación de personal, el mantenimiento de sus sedes y vehículos, </w:t>
      </w:r>
      <w:r w:rsidR="00886038" w:rsidRPr="00F514E8">
        <w:rPr>
          <w:rFonts w:ascii="Arial" w:hAnsi="Arial" w:cs="Arial"/>
          <w:sz w:val="24"/>
        </w:rPr>
        <w:t xml:space="preserve">el licenciamiento de software, </w:t>
      </w:r>
      <w:r w:rsidR="00591AEB" w:rsidRPr="00F514E8">
        <w:rPr>
          <w:rFonts w:ascii="Arial" w:hAnsi="Arial" w:cs="Arial"/>
          <w:sz w:val="24"/>
        </w:rPr>
        <w:t xml:space="preserve">la contratación de servicios de aseo o vigilancia, </w:t>
      </w:r>
      <w:r w:rsidR="0027274B" w:rsidRPr="00F514E8">
        <w:rPr>
          <w:rFonts w:ascii="Arial" w:hAnsi="Arial" w:cs="Arial"/>
          <w:sz w:val="24"/>
        </w:rPr>
        <w:t>la asesoría jurídica</w:t>
      </w:r>
      <w:r w:rsidR="00866770" w:rsidRPr="00F514E8">
        <w:rPr>
          <w:rFonts w:ascii="Arial" w:hAnsi="Arial" w:cs="Arial"/>
          <w:sz w:val="24"/>
        </w:rPr>
        <w:t>, administrativa</w:t>
      </w:r>
      <w:r w:rsidR="00591AEB" w:rsidRPr="00F514E8">
        <w:rPr>
          <w:rFonts w:ascii="Arial" w:hAnsi="Arial" w:cs="Arial"/>
          <w:sz w:val="24"/>
        </w:rPr>
        <w:t xml:space="preserve">, contable </w:t>
      </w:r>
      <w:r w:rsidR="0027274B" w:rsidRPr="00F514E8">
        <w:rPr>
          <w:rFonts w:ascii="Arial" w:hAnsi="Arial" w:cs="Arial"/>
          <w:sz w:val="24"/>
        </w:rPr>
        <w:t xml:space="preserve">o técnica ordinaria, </w:t>
      </w:r>
      <w:r w:rsidR="0019727D" w:rsidRPr="00F514E8">
        <w:rPr>
          <w:rFonts w:ascii="Arial" w:hAnsi="Arial" w:cs="Arial"/>
          <w:sz w:val="24"/>
        </w:rPr>
        <w:t>la adquisición de computadores, muebles de oficina, papelería</w:t>
      </w:r>
      <w:r w:rsidR="001A71F3" w:rsidRPr="00F514E8">
        <w:rPr>
          <w:rFonts w:ascii="Arial" w:hAnsi="Arial" w:cs="Arial"/>
          <w:sz w:val="24"/>
        </w:rPr>
        <w:t>,</w:t>
      </w:r>
      <w:r w:rsidR="0019727D" w:rsidRPr="00F514E8">
        <w:rPr>
          <w:rFonts w:ascii="Arial" w:hAnsi="Arial" w:cs="Arial"/>
          <w:sz w:val="24"/>
        </w:rPr>
        <w:t xml:space="preserve"> etc. </w:t>
      </w:r>
    </w:p>
    <w:p w14:paraId="271A0891" w14:textId="77777777" w:rsidR="00234D6C" w:rsidRPr="00F514E8" w:rsidRDefault="00234D6C" w:rsidP="00725D19">
      <w:pPr>
        <w:spacing w:after="0" w:line="240" w:lineRule="auto"/>
        <w:ind w:right="51"/>
        <w:jc w:val="both"/>
        <w:rPr>
          <w:rFonts w:ascii="Arial" w:hAnsi="Arial" w:cs="Arial"/>
          <w:sz w:val="24"/>
        </w:rPr>
      </w:pPr>
    </w:p>
    <w:p w14:paraId="2CC75986" w14:textId="77777777" w:rsidR="00881C40" w:rsidRPr="00F514E8" w:rsidRDefault="00881C40" w:rsidP="00725D19">
      <w:pPr>
        <w:spacing w:after="0" w:line="240" w:lineRule="auto"/>
        <w:ind w:right="51"/>
        <w:jc w:val="both"/>
        <w:rPr>
          <w:rFonts w:ascii="Arial" w:hAnsi="Arial" w:cs="Arial"/>
          <w:sz w:val="24"/>
        </w:rPr>
      </w:pPr>
      <w:r w:rsidRPr="00F514E8">
        <w:rPr>
          <w:rFonts w:ascii="Arial" w:hAnsi="Arial" w:cs="Arial"/>
          <w:sz w:val="24"/>
        </w:rPr>
        <w:t xml:space="preserve">Por </w:t>
      </w:r>
      <w:r w:rsidR="001A71F3" w:rsidRPr="00F514E8">
        <w:rPr>
          <w:rFonts w:ascii="Arial" w:hAnsi="Arial" w:cs="Arial"/>
          <w:sz w:val="24"/>
        </w:rPr>
        <w:t>consiguiente</w:t>
      </w:r>
      <w:r w:rsidRPr="00F514E8">
        <w:rPr>
          <w:rFonts w:ascii="Arial" w:hAnsi="Arial" w:cs="Arial"/>
          <w:sz w:val="24"/>
        </w:rPr>
        <w:t xml:space="preserve">, todos los contratos indicados en los numerales anteriores están comprendidos dentro de la excepción prevista en el artículo 105, numeral 1º de la </w:t>
      </w:r>
      <w:r w:rsidR="001C7742" w:rsidRPr="00F514E8">
        <w:rPr>
          <w:rFonts w:ascii="Arial" w:hAnsi="Arial" w:cs="Arial"/>
          <w:sz w:val="24"/>
        </w:rPr>
        <w:t>l</w:t>
      </w:r>
      <w:r w:rsidRPr="00F514E8">
        <w:rPr>
          <w:rFonts w:ascii="Arial" w:hAnsi="Arial" w:cs="Arial"/>
          <w:sz w:val="24"/>
        </w:rPr>
        <w:t xml:space="preserve">ey 1437 de 2011 y, en consecuencia, </w:t>
      </w:r>
      <w:r w:rsidR="0027274B" w:rsidRPr="00F514E8">
        <w:rPr>
          <w:rFonts w:ascii="Arial" w:hAnsi="Arial" w:cs="Arial"/>
          <w:sz w:val="24"/>
        </w:rPr>
        <w:t xml:space="preserve">se encuentran </w:t>
      </w:r>
      <w:r w:rsidRPr="00F514E8">
        <w:rPr>
          <w:rFonts w:ascii="Arial" w:hAnsi="Arial" w:cs="Arial"/>
          <w:sz w:val="24"/>
        </w:rPr>
        <w:t xml:space="preserve">por fuera de la órbita de la Jurisdicción </w:t>
      </w:r>
      <w:proofErr w:type="gramStart"/>
      <w:r w:rsidRPr="00F514E8">
        <w:rPr>
          <w:rFonts w:ascii="Arial" w:hAnsi="Arial" w:cs="Arial"/>
          <w:sz w:val="24"/>
        </w:rPr>
        <w:t>Contencioso Administrativa</w:t>
      </w:r>
      <w:proofErr w:type="gramEnd"/>
      <w:r w:rsidRPr="00F514E8">
        <w:rPr>
          <w:rFonts w:ascii="Arial" w:hAnsi="Arial" w:cs="Arial"/>
          <w:sz w:val="24"/>
        </w:rPr>
        <w:t>.</w:t>
      </w:r>
    </w:p>
    <w:p w14:paraId="76C24204" w14:textId="77777777" w:rsidR="00234D6C" w:rsidRPr="00F514E8" w:rsidRDefault="00234D6C" w:rsidP="00725D19">
      <w:pPr>
        <w:spacing w:after="0" w:line="240" w:lineRule="auto"/>
        <w:ind w:right="51"/>
        <w:jc w:val="both"/>
        <w:rPr>
          <w:rFonts w:ascii="Arial" w:hAnsi="Arial" w:cs="Arial"/>
          <w:sz w:val="24"/>
        </w:rPr>
      </w:pPr>
    </w:p>
    <w:p w14:paraId="156B9994" w14:textId="77777777" w:rsidR="0019727D" w:rsidRPr="00F514E8" w:rsidRDefault="00765CF4" w:rsidP="00725D19">
      <w:pPr>
        <w:spacing w:after="0" w:line="240" w:lineRule="auto"/>
        <w:ind w:right="51"/>
        <w:jc w:val="both"/>
        <w:rPr>
          <w:rFonts w:ascii="Arial" w:hAnsi="Arial" w:cs="Arial"/>
          <w:sz w:val="24"/>
        </w:rPr>
      </w:pPr>
      <w:r w:rsidRPr="00F514E8">
        <w:rPr>
          <w:rFonts w:ascii="Arial" w:hAnsi="Arial" w:cs="Arial"/>
          <w:sz w:val="24"/>
        </w:rPr>
        <w:t>5</w:t>
      </w:r>
      <w:r w:rsidR="004F2547" w:rsidRPr="00F514E8">
        <w:rPr>
          <w:rFonts w:ascii="Arial" w:hAnsi="Arial" w:cs="Arial"/>
          <w:sz w:val="24"/>
        </w:rPr>
        <w:t xml:space="preserve">.  </w:t>
      </w:r>
      <w:r w:rsidR="0019727D" w:rsidRPr="00F514E8">
        <w:rPr>
          <w:rFonts w:ascii="Arial" w:hAnsi="Arial" w:cs="Arial"/>
          <w:sz w:val="24"/>
        </w:rPr>
        <w:t xml:space="preserve">De esta forma, los únicos contratos que </w:t>
      </w:r>
      <w:r w:rsidR="0019727D" w:rsidRPr="00F514E8">
        <w:rPr>
          <w:rFonts w:ascii="Arial" w:hAnsi="Arial" w:cs="Arial"/>
          <w:b/>
          <w:sz w:val="24"/>
        </w:rPr>
        <w:t>no</w:t>
      </w:r>
      <w:r w:rsidR="0019727D" w:rsidRPr="00F514E8">
        <w:rPr>
          <w:rFonts w:ascii="Arial" w:hAnsi="Arial" w:cs="Arial"/>
          <w:sz w:val="24"/>
        </w:rPr>
        <w:t xml:space="preserve"> </w:t>
      </w:r>
      <w:r w:rsidR="00881C40" w:rsidRPr="00F514E8">
        <w:rPr>
          <w:rFonts w:ascii="Arial" w:hAnsi="Arial" w:cs="Arial"/>
          <w:sz w:val="24"/>
        </w:rPr>
        <w:t xml:space="preserve">estarían incluidos </w:t>
      </w:r>
      <w:r w:rsidR="0019727D" w:rsidRPr="00F514E8">
        <w:rPr>
          <w:rFonts w:ascii="Arial" w:hAnsi="Arial" w:cs="Arial"/>
          <w:sz w:val="24"/>
        </w:rPr>
        <w:t>dentro del “</w:t>
      </w:r>
      <w:r w:rsidR="0019727D" w:rsidRPr="00F514E8">
        <w:rPr>
          <w:rFonts w:ascii="Arial" w:hAnsi="Arial" w:cs="Arial"/>
          <w:i/>
          <w:sz w:val="24"/>
        </w:rPr>
        <w:t>giro ordinario de sus negocios</w:t>
      </w:r>
      <w:r w:rsidR="0019727D" w:rsidRPr="00F514E8">
        <w:rPr>
          <w:rFonts w:ascii="Arial" w:hAnsi="Arial" w:cs="Arial"/>
          <w:sz w:val="24"/>
        </w:rPr>
        <w:t xml:space="preserve">” </w:t>
      </w:r>
      <w:r w:rsidR="00881C40" w:rsidRPr="00F514E8">
        <w:rPr>
          <w:rFonts w:ascii="Arial" w:hAnsi="Arial" w:cs="Arial"/>
          <w:sz w:val="24"/>
        </w:rPr>
        <w:t xml:space="preserve">y que, por </w:t>
      </w:r>
      <w:r w:rsidR="0027274B" w:rsidRPr="00F514E8">
        <w:rPr>
          <w:rFonts w:ascii="Arial" w:hAnsi="Arial" w:cs="Arial"/>
          <w:sz w:val="24"/>
        </w:rPr>
        <w:t xml:space="preserve">lo </w:t>
      </w:r>
      <w:r w:rsidR="00881C40" w:rsidRPr="00F514E8">
        <w:rPr>
          <w:rFonts w:ascii="Arial" w:hAnsi="Arial" w:cs="Arial"/>
          <w:sz w:val="24"/>
        </w:rPr>
        <w:t xml:space="preserve">tanto, </w:t>
      </w:r>
      <w:r w:rsidR="0019727D" w:rsidRPr="00F514E8">
        <w:rPr>
          <w:rFonts w:ascii="Arial" w:hAnsi="Arial" w:cs="Arial"/>
          <w:sz w:val="24"/>
        </w:rPr>
        <w:t>s</w:t>
      </w:r>
      <w:r w:rsidR="00881C40" w:rsidRPr="00F514E8">
        <w:rPr>
          <w:rFonts w:ascii="Arial" w:hAnsi="Arial" w:cs="Arial"/>
          <w:sz w:val="24"/>
        </w:rPr>
        <w:t xml:space="preserve">on del conocimiento de la Jurisdicción Contencioso Administrativa, serían </w:t>
      </w:r>
      <w:r w:rsidR="0019727D" w:rsidRPr="00F514E8">
        <w:rPr>
          <w:rFonts w:ascii="Arial" w:hAnsi="Arial" w:cs="Arial"/>
          <w:sz w:val="24"/>
        </w:rPr>
        <w:t>aquellos que llegare a celebrar FONADE</w:t>
      </w:r>
      <w:r w:rsidR="00881C40" w:rsidRPr="00F514E8">
        <w:rPr>
          <w:rFonts w:ascii="Arial" w:hAnsi="Arial" w:cs="Arial"/>
          <w:sz w:val="24"/>
        </w:rPr>
        <w:t xml:space="preserve">, dentro de su objeto secundario o complementario, </w:t>
      </w:r>
      <w:r w:rsidR="0019727D" w:rsidRPr="00F514E8">
        <w:rPr>
          <w:rFonts w:ascii="Arial" w:hAnsi="Arial" w:cs="Arial"/>
          <w:b/>
          <w:sz w:val="24"/>
        </w:rPr>
        <w:t>en forma extraordinaria o esporádica</w:t>
      </w:r>
      <w:r w:rsidR="0019727D" w:rsidRPr="00F514E8">
        <w:rPr>
          <w:rFonts w:ascii="Arial" w:hAnsi="Arial" w:cs="Arial"/>
          <w:sz w:val="24"/>
        </w:rPr>
        <w:t xml:space="preserve">, como la adquisición de una nueva sede principal, el cambio integral de su </w:t>
      </w:r>
      <w:r w:rsidR="00886038" w:rsidRPr="00F514E8">
        <w:rPr>
          <w:rFonts w:ascii="Arial" w:hAnsi="Arial" w:cs="Arial"/>
          <w:sz w:val="24"/>
        </w:rPr>
        <w:t xml:space="preserve">plataforma tecnológica, una consultoría especial (por ejemplo, para una </w:t>
      </w:r>
      <w:r w:rsidR="00881C40" w:rsidRPr="00F514E8">
        <w:rPr>
          <w:rFonts w:ascii="Arial" w:hAnsi="Arial" w:cs="Arial"/>
          <w:sz w:val="24"/>
        </w:rPr>
        <w:t xml:space="preserve">eventual </w:t>
      </w:r>
      <w:r w:rsidR="00886038" w:rsidRPr="00F514E8">
        <w:rPr>
          <w:rFonts w:ascii="Arial" w:hAnsi="Arial" w:cs="Arial"/>
          <w:sz w:val="24"/>
        </w:rPr>
        <w:t xml:space="preserve">reestructuración interna o “reingeniería”), </w:t>
      </w:r>
      <w:r w:rsidR="00881C40" w:rsidRPr="00F514E8">
        <w:rPr>
          <w:rFonts w:ascii="Arial" w:hAnsi="Arial" w:cs="Arial"/>
          <w:sz w:val="24"/>
        </w:rPr>
        <w:t xml:space="preserve">el cambio </w:t>
      </w:r>
      <w:r w:rsidR="00886038" w:rsidRPr="00F514E8">
        <w:rPr>
          <w:rFonts w:ascii="Arial" w:hAnsi="Arial" w:cs="Arial"/>
          <w:sz w:val="24"/>
        </w:rPr>
        <w:t xml:space="preserve">general de sus marcas y demás signos distintivos, entre otros. </w:t>
      </w:r>
      <w:r w:rsidR="0019727D" w:rsidRPr="00F514E8">
        <w:rPr>
          <w:rFonts w:ascii="Arial" w:hAnsi="Arial" w:cs="Arial"/>
          <w:sz w:val="24"/>
        </w:rPr>
        <w:t xml:space="preserve">  </w:t>
      </w:r>
    </w:p>
    <w:p w14:paraId="5BEF7BA3" w14:textId="77777777" w:rsidR="00234D6C" w:rsidRPr="00F514E8" w:rsidRDefault="00234D6C" w:rsidP="00725D19">
      <w:pPr>
        <w:spacing w:after="0" w:line="240" w:lineRule="auto"/>
        <w:ind w:right="51"/>
        <w:jc w:val="both"/>
        <w:rPr>
          <w:rFonts w:ascii="Arial" w:hAnsi="Arial" w:cs="Arial"/>
          <w:sz w:val="24"/>
        </w:rPr>
      </w:pPr>
    </w:p>
    <w:p w14:paraId="0D66F0E3" w14:textId="77777777" w:rsidR="0071171A" w:rsidRPr="00F514E8" w:rsidRDefault="00886038" w:rsidP="00725D19">
      <w:pPr>
        <w:spacing w:after="0" w:line="240" w:lineRule="auto"/>
        <w:ind w:right="51"/>
        <w:jc w:val="both"/>
        <w:rPr>
          <w:rFonts w:ascii="Arial" w:hAnsi="Arial" w:cs="Arial"/>
          <w:sz w:val="24"/>
        </w:rPr>
      </w:pPr>
      <w:r w:rsidRPr="00F514E8">
        <w:rPr>
          <w:rFonts w:ascii="Arial" w:hAnsi="Arial" w:cs="Arial"/>
          <w:sz w:val="24"/>
        </w:rPr>
        <w:t>Obviamente, tampoco forman parte del “</w:t>
      </w:r>
      <w:r w:rsidRPr="00F514E8">
        <w:rPr>
          <w:rFonts w:ascii="Arial" w:hAnsi="Arial" w:cs="Arial"/>
          <w:i/>
          <w:sz w:val="24"/>
        </w:rPr>
        <w:t xml:space="preserve">giro ordinario de </w:t>
      </w:r>
      <w:r w:rsidR="00881C40" w:rsidRPr="00F514E8">
        <w:rPr>
          <w:rFonts w:ascii="Arial" w:hAnsi="Arial" w:cs="Arial"/>
          <w:i/>
          <w:sz w:val="24"/>
        </w:rPr>
        <w:t xml:space="preserve">sus </w:t>
      </w:r>
      <w:r w:rsidRPr="00F514E8">
        <w:rPr>
          <w:rFonts w:ascii="Arial" w:hAnsi="Arial" w:cs="Arial"/>
          <w:i/>
          <w:sz w:val="24"/>
        </w:rPr>
        <w:t xml:space="preserve">negocios” </w:t>
      </w:r>
      <w:r w:rsidRPr="00F514E8">
        <w:rPr>
          <w:rFonts w:ascii="Arial" w:hAnsi="Arial" w:cs="Arial"/>
          <w:sz w:val="24"/>
        </w:rPr>
        <w:t>aquellos</w:t>
      </w:r>
      <w:r w:rsidR="00D32AB8" w:rsidRPr="00F514E8">
        <w:rPr>
          <w:rFonts w:ascii="Arial" w:hAnsi="Arial" w:cs="Arial"/>
          <w:sz w:val="24"/>
        </w:rPr>
        <w:t xml:space="preserve"> contratos </w:t>
      </w:r>
      <w:r w:rsidRPr="00F514E8">
        <w:rPr>
          <w:rFonts w:ascii="Arial" w:hAnsi="Arial" w:cs="Arial"/>
          <w:sz w:val="24"/>
        </w:rPr>
        <w:t xml:space="preserve">que FONADE llegare a celebrar por fuera de su objeto. Sin embargo, </w:t>
      </w:r>
      <w:r w:rsidR="001A71F3" w:rsidRPr="00F514E8">
        <w:rPr>
          <w:rFonts w:ascii="Arial" w:hAnsi="Arial" w:cs="Arial"/>
          <w:sz w:val="24"/>
        </w:rPr>
        <w:t xml:space="preserve">no parece </w:t>
      </w:r>
      <w:r w:rsidRPr="00F514E8">
        <w:rPr>
          <w:rFonts w:ascii="Arial" w:hAnsi="Arial" w:cs="Arial"/>
          <w:sz w:val="24"/>
        </w:rPr>
        <w:t xml:space="preserve">necesario </w:t>
      </w:r>
      <w:r w:rsidR="00881C40" w:rsidRPr="00F514E8">
        <w:rPr>
          <w:rFonts w:ascii="Arial" w:hAnsi="Arial" w:cs="Arial"/>
          <w:sz w:val="24"/>
        </w:rPr>
        <w:t xml:space="preserve">profundizar en este </w:t>
      </w:r>
      <w:r w:rsidR="00591AEB" w:rsidRPr="00F514E8">
        <w:rPr>
          <w:rFonts w:ascii="Arial" w:hAnsi="Arial" w:cs="Arial"/>
          <w:sz w:val="24"/>
        </w:rPr>
        <w:t xml:space="preserve">punto, </w:t>
      </w:r>
      <w:r w:rsidR="00881C40" w:rsidRPr="00F514E8">
        <w:rPr>
          <w:rFonts w:ascii="Arial" w:hAnsi="Arial" w:cs="Arial"/>
          <w:sz w:val="24"/>
        </w:rPr>
        <w:t>por</w:t>
      </w:r>
      <w:r w:rsidRPr="00F514E8">
        <w:rPr>
          <w:rFonts w:ascii="Arial" w:hAnsi="Arial" w:cs="Arial"/>
          <w:sz w:val="24"/>
        </w:rPr>
        <w:t xml:space="preserve">que </w:t>
      </w:r>
      <w:r w:rsidR="00881C40" w:rsidRPr="00F514E8">
        <w:rPr>
          <w:rFonts w:ascii="Arial" w:hAnsi="Arial" w:cs="Arial"/>
          <w:sz w:val="24"/>
        </w:rPr>
        <w:t xml:space="preserve">tales </w:t>
      </w:r>
      <w:r w:rsidR="00D32AB8" w:rsidRPr="00F514E8">
        <w:rPr>
          <w:rFonts w:ascii="Arial" w:hAnsi="Arial" w:cs="Arial"/>
          <w:sz w:val="24"/>
        </w:rPr>
        <w:t xml:space="preserve">contratos </w:t>
      </w:r>
      <w:r w:rsidRPr="00F514E8">
        <w:rPr>
          <w:rFonts w:ascii="Arial" w:hAnsi="Arial" w:cs="Arial"/>
          <w:sz w:val="24"/>
        </w:rPr>
        <w:t>no podrían ser celebrados válidamente por FONADE</w:t>
      </w:r>
      <w:r w:rsidR="00866770" w:rsidRPr="00F514E8">
        <w:rPr>
          <w:rStyle w:val="Refdenotaalpie"/>
          <w:rFonts w:ascii="Arial" w:hAnsi="Arial" w:cs="Arial"/>
          <w:sz w:val="24"/>
        </w:rPr>
        <w:footnoteReference w:id="29"/>
      </w:r>
      <w:r w:rsidRPr="00F514E8">
        <w:rPr>
          <w:rFonts w:ascii="Arial" w:hAnsi="Arial" w:cs="Arial"/>
          <w:sz w:val="24"/>
        </w:rPr>
        <w:t xml:space="preserve"> y, de llegar a hacerlo, estarían viciados de </w:t>
      </w:r>
      <w:r w:rsidRPr="00F514E8">
        <w:rPr>
          <w:rFonts w:ascii="Arial" w:hAnsi="Arial" w:cs="Arial"/>
          <w:sz w:val="24"/>
        </w:rPr>
        <w:lastRenderedPageBreak/>
        <w:t>nulidad</w:t>
      </w:r>
      <w:r w:rsidR="00591AEB" w:rsidRPr="00F514E8">
        <w:rPr>
          <w:rFonts w:ascii="Arial" w:hAnsi="Arial" w:cs="Arial"/>
          <w:sz w:val="24"/>
        </w:rPr>
        <w:t>, sin perjuicio de las responsabilidades que correspondan a las personas involucradas en los mismos</w:t>
      </w:r>
      <w:r w:rsidRPr="00F514E8">
        <w:rPr>
          <w:rFonts w:ascii="Arial" w:hAnsi="Arial" w:cs="Arial"/>
          <w:sz w:val="24"/>
        </w:rPr>
        <w:t xml:space="preserve">. </w:t>
      </w:r>
    </w:p>
    <w:p w14:paraId="4133F1AE" w14:textId="77777777" w:rsidR="00604403" w:rsidRPr="00F514E8" w:rsidRDefault="00604403" w:rsidP="00725D19">
      <w:pPr>
        <w:spacing w:after="0" w:line="240" w:lineRule="auto"/>
        <w:ind w:right="51"/>
        <w:jc w:val="both"/>
        <w:rPr>
          <w:rFonts w:ascii="Arial" w:hAnsi="Arial" w:cs="Arial"/>
          <w:sz w:val="24"/>
        </w:rPr>
      </w:pPr>
    </w:p>
    <w:p w14:paraId="00CB896A" w14:textId="77777777" w:rsidR="009943CA" w:rsidRPr="00F514E8" w:rsidRDefault="00765CF4" w:rsidP="00725D19">
      <w:pPr>
        <w:spacing w:after="0" w:line="240" w:lineRule="auto"/>
        <w:ind w:right="51"/>
        <w:jc w:val="both"/>
        <w:rPr>
          <w:rFonts w:ascii="Arial" w:hAnsi="Arial" w:cs="Arial"/>
          <w:sz w:val="24"/>
        </w:rPr>
      </w:pPr>
      <w:r w:rsidRPr="00F514E8">
        <w:rPr>
          <w:rFonts w:ascii="Arial" w:hAnsi="Arial" w:cs="Arial"/>
          <w:sz w:val="24"/>
        </w:rPr>
        <w:t xml:space="preserve">6. </w:t>
      </w:r>
      <w:r w:rsidR="009943CA" w:rsidRPr="00F514E8">
        <w:rPr>
          <w:rFonts w:ascii="Arial" w:hAnsi="Arial" w:cs="Arial"/>
          <w:sz w:val="24"/>
        </w:rPr>
        <w:t xml:space="preserve">Aparte de los </w:t>
      </w:r>
      <w:r w:rsidR="00BE0E21" w:rsidRPr="00F514E8">
        <w:rPr>
          <w:rFonts w:ascii="Arial" w:hAnsi="Arial" w:cs="Arial"/>
          <w:sz w:val="24"/>
        </w:rPr>
        <w:t xml:space="preserve">litigios referidos a los </w:t>
      </w:r>
      <w:r w:rsidR="009943CA" w:rsidRPr="00F514E8">
        <w:rPr>
          <w:rFonts w:ascii="Arial" w:hAnsi="Arial" w:cs="Arial"/>
          <w:sz w:val="24"/>
        </w:rPr>
        <w:t>contratos que</w:t>
      </w:r>
      <w:r w:rsidR="003439BC" w:rsidRPr="00F514E8">
        <w:rPr>
          <w:rFonts w:ascii="Arial" w:hAnsi="Arial" w:cs="Arial"/>
          <w:sz w:val="24"/>
        </w:rPr>
        <w:t xml:space="preserve"> </w:t>
      </w:r>
      <w:r w:rsidR="009943CA" w:rsidRPr="00F514E8">
        <w:rPr>
          <w:rFonts w:ascii="Arial" w:hAnsi="Arial" w:cs="Arial"/>
          <w:sz w:val="24"/>
        </w:rPr>
        <w:t xml:space="preserve">no correspondan al giro ordinario de sus negocios, también serían </w:t>
      </w:r>
      <w:r w:rsidR="00866770" w:rsidRPr="00F514E8">
        <w:rPr>
          <w:rFonts w:ascii="Arial" w:hAnsi="Arial" w:cs="Arial"/>
          <w:sz w:val="24"/>
        </w:rPr>
        <w:t xml:space="preserve">competencia </w:t>
      </w:r>
      <w:r w:rsidR="009943CA" w:rsidRPr="00F514E8">
        <w:rPr>
          <w:rFonts w:ascii="Arial" w:hAnsi="Arial" w:cs="Arial"/>
          <w:sz w:val="24"/>
        </w:rPr>
        <w:t xml:space="preserve">de </w:t>
      </w:r>
      <w:r w:rsidR="00866770" w:rsidRPr="00F514E8">
        <w:rPr>
          <w:rFonts w:ascii="Arial" w:hAnsi="Arial" w:cs="Arial"/>
          <w:sz w:val="24"/>
        </w:rPr>
        <w:t xml:space="preserve">la </w:t>
      </w:r>
      <w:r w:rsidR="00BE0E21" w:rsidRPr="00F514E8">
        <w:rPr>
          <w:rFonts w:ascii="Arial" w:hAnsi="Arial" w:cs="Arial"/>
          <w:sz w:val="24"/>
        </w:rPr>
        <w:t>J</w:t>
      </w:r>
      <w:r w:rsidR="009943CA" w:rsidRPr="00F514E8">
        <w:rPr>
          <w:rFonts w:ascii="Arial" w:hAnsi="Arial" w:cs="Arial"/>
          <w:sz w:val="24"/>
        </w:rPr>
        <w:t xml:space="preserve">urisdicción </w:t>
      </w:r>
      <w:proofErr w:type="gramStart"/>
      <w:r w:rsidR="00866770" w:rsidRPr="00F514E8">
        <w:rPr>
          <w:rFonts w:ascii="Arial" w:hAnsi="Arial" w:cs="Arial"/>
          <w:sz w:val="24"/>
        </w:rPr>
        <w:t>Contencioso Administrativa</w:t>
      </w:r>
      <w:proofErr w:type="gramEnd"/>
      <w:r w:rsidR="00866770" w:rsidRPr="00F514E8">
        <w:rPr>
          <w:rFonts w:ascii="Arial" w:hAnsi="Arial" w:cs="Arial"/>
          <w:sz w:val="24"/>
        </w:rPr>
        <w:t xml:space="preserve"> </w:t>
      </w:r>
      <w:r w:rsidR="009943CA" w:rsidRPr="00F514E8">
        <w:rPr>
          <w:rFonts w:ascii="Arial" w:hAnsi="Arial" w:cs="Arial"/>
          <w:sz w:val="24"/>
        </w:rPr>
        <w:t>los siguientes</w:t>
      </w:r>
      <w:r w:rsidR="00BE0E21" w:rsidRPr="00F514E8">
        <w:rPr>
          <w:rFonts w:ascii="Arial" w:hAnsi="Arial" w:cs="Arial"/>
          <w:sz w:val="24"/>
        </w:rPr>
        <w:t xml:space="preserve"> conflictos</w:t>
      </w:r>
      <w:r w:rsidR="009943CA" w:rsidRPr="00F514E8">
        <w:rPr>
          <w:rFonts w:ascii="Arial" w:hAnsi="Arial" w:cs="Arial"/>
          <w:sz w:val="24"/>
        </w:rPr>
        <w:t xml:space="preserve">, los cuales, por </w:t>
      </w:r>
      <w:r w:rsidR="00BE0E21" w:rsidRPr="00F514E8">
        <w:rPr>
          <w:rFonts w:ascii="Arial" w:hAnsi="Arial" w:cs="Arial"/>
          <w:sz w:val="24"/>
        </w:rPr>
        <w:t xml:space="preserve">ende, tampoco </w:t>
      </w:r>
      <w:r w:rsidR="009943CA" w:rsidRPr="00F514E8">
        <w:rPr>
          <w:rFonts w:ascii="Arial" w:hAnsi="Arial" w:cs="Arial"/>
          <w:sz w:val="24"/>
        </w:rPr>
        <w:t>quedarían comprendidos dentro de la excepción prevista en el artículo 105, numeral 1º de</w:t>
      </w:r>
      <w:r w:rsidR="00BE0E21" w:rsidRPr="00F514E8">
        <w:rPr>
          <w:rFonts w:ascii="Arial" w:hAnsi="Arial" w:cs="Arial"/>
          <w:sz w:val="24"/>
        </w:rPr>
        <w:t xml:space="preserve">l CPACA: </w:t>
      </w:r>
    </w:p>
    <w:p w14:paraId="1B635BE3" w14:textId="77777777" w:rsidR="00604403" w:rsidRPr="00F514E8" w:rsidRDefault="00604403" w:rsidP="00725D19">
      <w:pPr>
        <w:spacing w:after="0" w:line="240" w:lineRule="auto"/>
        <w:ind w:right="51"/>
        <w:jc w:val="both"/>
        <w:rPr>
          <w:rFonts w:ascii="Arial" w:hAnsi="Arial" w:cs="Arial"/>
          <w:sz w:val="24"/>
        </w:rPr>
      </w:pPr>
    </w:p>
    <w:p w14:paraId="4DC8C5AB" w14:textId="77777777" w:rsidR="009943CA" w:rsidRPr="00F514E8" w:rsidRDefault="00765CF4" w:rsidP="004F2547">
      <w:pPr>
        <w:spacing w:after="0" w:line="240" w:lineRule="auto"/>
        <w:ind w:right="51"/>
        <w:jc w:val="both"/>
        <w:rPr>
          <w:rFonts w:ascii="Arial" w:hAnsi="Arial" w:cs="Arial"/>
          <w:sz w:val="24"/>
          <w:szCs w:val="24"/>
        </w:rPr>
      </w:pPr>
      <w:r w:rsidRPr="00F514E8">
        <w:rPr>
          <w:rFonts w:ascii="Arial" w:hAnsi="Arial" w:cs="Arial"/>
          <w:sz w:val="24"/>
        </w:rPr>
        <w:t xml:space="preserve">a. </w:t>
      </w:r>
      <w:r w:rsidR="009943CA" w:rsidRPr="00F514E8">
        <w:rPr>
          <w:rFonts w:ascii="Arial" w:hAnsi="Arial" w:cs="Arial"/>
          <w:sz w:val="24"/>
        </w:rPr>
        <w:t>Los contratos celebrados por FONADE con otras entidades públicas</w:t>
      </w:r>
      <w:r w:rsidR="004F2547" w:rsidRPr="00F514E8">
        <w:rPr>
          <w:rFonts w:ascii="Arial" w:hAnsi="Arial" w:cs="Arial"/>
          <w:sz w:val="24"/>
        </w:rPr>
        <w:t>,</w:t>
      </w:r>
      <w:r w:rsidR="009943CA" w:rsidRPr="00F514E8">
        <w:rPr>
          <w:rFonts w:ascii="Arial" w:hAnsi="Arial" w:cs="Arial"/>
          <w:sz w:val="24"/>
        </w:rPr>
        <w:t xml:space="preserve"> distintas de las instituciones financieras, aseguradoras, intermediarios de seguros o intermediarios de valores de carácter estatal. </w:t>
      </w:r>
    </w:p>
    <w:p w14:paraId="2A540AED" w14:textId="77777777" w:rsidR="00604403" w:rsidRPr="00F514E8" w:rsidRDefault="00604403" w:rsidP="00604403">
      <w:pPr>
        <w:spacing w:after="0" w:line="240" w:lineRule="auto"/>
        <w:ind w:right="51"/>
        <w:jc w:val="both"/>
        <w:rPr>
          <w:rFonts w:ascii="Arial" w:hAnsi="Arial" w:cs="Arial"/>
          <w:sz w:val="24"/>
          <w:szCs w:val="24"/>
        </w:rPr>
      </w:pPr>
    </w:p>
    <w:p w14:paraId="7533E123" w14:textId="77777777" w:rsidR="00C6747D" w:rsidRPr="00F514E8" w:rsidRDefault="00BE0E21" w:rsidP="00725D19">
      <w:pPr>
        <w:spacing w:after="0" w:line="240" w:lineRule="auto"/>
        <w:ind w:right="51"/>
        <w:jc w:val="both"/>
        <w:rPr>
          <w:rFonts w:ascii="Arial" w:hAnsi="Arial" w:cs="Arial"/>
          <w:sz w:val="24"/>
          <w:szCs w:val="24"/>
        </w:rPr>
      </w:pPr>
      <w:r w:rsidRPr="00F514E8">
        <w:rPr>
          <w:rFonts w:ascii="Arial" w:hAnsi="Arial" w:cs="Arial"/>
          <w:sz w:val="24"/>
          <w:szCs w:val="24"/>
        </w:rPr>
        <w:t>L</w:t>
      </w:r>
      <w:r w:rsidR="009943CA" w:rsidRPr="00F514E8">
        <w:rPr>
          <w:rFonts w:ascii="Arial" w:hAnsi="Arial" w:cs="Arial"/>
          <w:sz w:val="24"/>
          <w:szCs w:val="24"/>
        </w:rPr>
        <w:t>a razón para que las disputas originadas en dichos contratos sean competencia de esta Jurisdicción es análoga a la exp</w:t>
      </w:r>
      <w:r w:rsidRPr="00F514E8">
        <w:rPr>
          <w:rFonts w:ascii="Arial" w:hAnsi="Arial" w:cs="Arial"/>
          <w:sz w:val="24"/>
          <w:szCs w:val="24"/>
        </w:rPr>
        <w:t xml:space="preserve">uesta </w:t>
      </w:r>
      <w:r w:rsidR="009943CA" w:rsidRPr="00F514E8">
        <w:rPr>
          <w:rFonts w:ascii="Arial" w:hAnsi="Arial" w:cs="Arial"/>
          <w:sz w:val="24"/>
          <w:szCs w:val="24"/>
        </w:rPr>
        <w:t>para concluir que tales contratos están sometidos al Estatuto General de Contratación de la Administración Pública, pues si bien, desde el punto de vista de FONADE, el conflicto sería competencia de la Jurisdicción Ordinaria, desde la perspectiva de la otra entidad pública contratante, la jurisdicción competente sería la Contencioso Administrativa, en virtud de lo dispuesto en el artículo 104 del CPACA</w:t>
      </w:r>
      <w:r w:rsidR="00C6747D" w:rsidRPr="00F514E8">
        <w:rPr>
          <w:rFonts w:ascii="Arial" w:hAnsi="Arial" w:cs="Arial"/>
          <w:sz w:val="24"/>
          <w:szCs w:val="24"/>
        </w:rPr>
        <w:t xml:space="preserve">. </w:t>
      </w:r>
    </w:p>
    <w:p w14:paraId="62510103" w14:textId="77777777" w:rsidR="00604403" w:rsidRPr="00F514E8" w:rsidRDefault="00604403" w:rsidP="00725D19">
      <w:pPr>
        <w:spacing w:after="0" w:line="240" w:lineRule="auto"/>
        <w:ind w:right="51"/>
        <w:jc w:val="both"/>
        <w:rPr>
          <w:rFonts w:ascii="Arial" w:hAnsi="Arial" w:cs="Arial"/>
          <w:sz w:val="24"/>
          <w:szCs w:val="24"/>
        </w:rPr>
      </w:pPr>
    </w:p>
    <w:p w14:paraId="58A0AF53" w14:textId="77777777" w:rsidR="00C6747D" w:rsidRPr="00F514E8" w:rsidRDefault="00C6747D" w:rsidP="00725D19">
      <w:pPr>
        <w:spacing w:after="0" w:line="240" w:lineRule="auto"/>
        <w:ind w:right="51"/>
        <w:jc w:val="both"/>
        <w:rPr>
          <w:rFonts w:ascii="Arial" w:hAnsi="Arial" w:cs="Arial"/>
          <w:sz w:val="24"/>
          <w:szCs w:val="24"/>
        </w:rPr>
      </w:pPr>
      <w:r w:rsidRPr="00F514E8">
        <w:rPr>
          <w:rFonts w:ascii="Arial" w:hAnsi="Arial" w:cs="Arial"/>
          <w:sz w:val="24"/>
          <w:szCs w:val="24"/>
        </w:rPr>
        <w:t>Dado que el artículo 105, numeral 1º del Código establece una excepción, y las excepciones</w:t>
      </w:r>
      <w:r w:rsidR="009943CA" w:rsidRPr="00F514E8">
        <w:rPr>
          <w:rFonts w:ascii="Arial" w:hAnsi="Arial" w:cs="Arial"/>
          <w:sz w:val="24"/>
          <w:szCs w:val="24"/>
        </w:rPr>
        <w:t xml:space="preserve">, </w:t>
      </w:r>
      <w:r w:rsidRPr="00F514E8">
        <w:rPr>
          <w:rFonts w:ascii="Arial" w:hAnsi="Arial" w:cs="Arial"/>
          <w:sz w:val="24"/>
          <w:szCs w:val="24"/>
        </w:rPr>
        <w:t xml:space="preserve">como es bien sabido, deben interpretarse y aplicarse en forma restrictiva o estricta, y no de manera analógica ni extensiva, dicha salvedad sólo puede entenderse referida a los contratos que las </w:t>
      </w:r>
      <w:r w:rsidR="00553EC1" w:rsidRPr="00F514E8">
        <w:rPr>
          <w:rFonts w:ascii="Arial" w:hAnsi="Arial" w:cs="Arial"/>
          <w:sz w:val="24"/>
          <w:szCs w:val="24"/>
        </w:rPr>
        <w:t xml:space="preserve">instituciones </w:t>
      </w:r>
      <w:r w:rsidRPr="00F514E8">
        <w:rPr>
          <w:rFonts w:ascii="Arial" w:hAnsi="Arial" w:cs="Arial"/>
          <w:sz w:val="24"/>
          <w:szCs w:val="24"/>
        </w:rPr>
        <w:t xml:space="preserve">financieras, aseguradoras, intermediarios de seguros o intermediarios de valores </w:t>
      </w:r>
      <w:r w:rsidR="003439BC" w:rsidRPr="00F514E8">
        <w:rPr>
          <w:rFonts w:ascii="Arial" w:hAnsi="Arial" w:cs="Arial"/>
          <w:sz w:val="24"/>
          <w:szCs w:val="24"/>
        </w:rPr>
        <w:t xml:space="preserve">de carácter público </w:t>
      </w:r>
      <w:r w:rsidRPr="00F514E8">
        <w:rPr>
          <w:rFonts w:ascii="Arial" w:hAnsi="Arial" w:cs="Arial"/>
          <w:sz w:val="24"/>
          <w:szCs w:val="24"/>
        </w:rPr>
        <w:t>suscriban, dentro del giro ordinario de sus negocios, con personas naturales o jurídicas privadas</w:t>
      </w:r>
      <w:r w:rsidR="00553EC1" w:rsidRPr="00F514E8">
        <w:rPr>
          <w:rFonts w:ascii="Arial" w:hAnsi="Arial" w:cs="Arial"/>
          <w:sz w:val="24"/>
          <w:szCs w:val="24"/>
        </w:rPr>
        <w:t>,</w:t>
      </w:r>
      <w:r w:rsidRPr="00F514E8">
        <w:rPr>
          <w:rFonts w:ascii="Arial" w:hAnsi="Arial" w:cs="Arial"/>
          <w:sz w:val="24"/>
          <w:szCs w:val="24"/>
        </w:rPr>
        <w:t xml:space="preserve"> o con otras entidades públicas que tengan </w:t>
      </w:r>
      <w:r w:rsidR="001C7742" w:rsidRPr="00F514E8">
        <w:rPr>
          <w:rFonts w:ascii="Arial" w:hAnsi="Arial" w:cs="Arial"/>
          <w:sz w:val="24"/>
          <w:szCs w:val="24"/>
        </w:rPr>
        <w:t>su</w:t>
      </w:r>
      <w:r w:rsidRPr="00F514E8">
        <w:rPr>
          <w:rFonts w:ascii="Arial" w:hAnsi="Arial" w:cs="Arial"/>
          <w:sz w:val="24"/>
          <w:szCs w:val="24"/>
        </w:rPr>
        <w:t xml:space="preserve"> misma condición (institución financiera, aseguradora, intermediario de seguros o intermediario de valores). </w:t>
      </w:r>
    </w:p>
    <w:p w14:paraId="2772D7D3" w14:textId="77777777" w:rsidR="00604403" w:rsidRPr="00F514E8" w:rsidRDefault="00604403" w:rsidP="00725D19">
      <w:pPr>
        <w:spacing w:after="0" w:line="240" w:lineRule="auto"/>
        <w:ind w:right="51"/>
        <w:jc w:val="both"/>
        <w:rPr>
          <w:rFonts w:ascii="Arial" w:hAnsi="Arial" w:cs="Arial"/>
          <w:sz w:val="24"/>
          <w:szCs w:val="24"/>
        </w:rPr>
      </w:pPr>
    </w:p>
    <w:p w14:paraId="7BCE76DE" w14:textId="77777777" w:rsidR="00C6747D" w:rsidRPr="00F514E8" w:rsidRDefault="00765CF4" w:rsidP="004F2547">
      <w:pPr>
        <w:spacing w:after="0" w:line="240" w:lineRule="auto"/>
        <w:ind w:right="51"/>
        <w:jc w:val="both"/>
        <w:rPr>
          <w:rFonts w:ascii="Arial" w:hAnsi="Arial" w:cs="Arial"/>
          <w:sz w:val="24"/>
          <w:szCs w:val="24"/>
        </w:rPr>
      </w:pPr>
      <w:r w:rsidRPr="00F514E8">
        <w:rPr>
          <w:rFonts w:ascii="Arial" w:hAnsi="Arial" w:cs="Arial"/>
          <w:sz w:val="24"/>
        </w:rPr>
        <w:t xml:space="preserve">b. </w:t>
      </w:r>
      <w:r w:rsidR="00C6747D" w:rsidRPr="00F514E8">
        <w:rPr>
          <w:rFonts w:ascii="Arial" w:hAnsi="Arial" w:cs="Arial"/>
          <w:sz w:val="24"/>
        </w:rPr>
        <w:t>Los litigios en los que se pretend</w:t>
      </w:r>
      <w:r w:rsidR="003439BC" w:rsidRPr="00F514E8">
        <w:rPr>
          <w:rFonts w:ascii="Arial" w:hAnsi="Arial" w:cs="Arial"/>
          <w:sz w:val="24"/>
        </w:rPr>
        <w:t>a</w:t>
      </w:r>
      <w:r w:rsidR="00C6747D" w:rsidRPr="00F514E8">
        <w:rPr>
          <w:rFonts w:ascii="Arial" w:hAnsi="Arial" w:cs="Arial"/>
          <w:sz w:val="24"/>
        </w:rPr>
        <w:t xml:space="preserve"> atacar la validez de actos administrativos dictados por </w:t>
      </w:r>
      <w:r w:rsidR="00553EC1" w:rsidRPr="00F514E8">
        <w:rPr>
          <w:rFonts w:ascii="Arial" w:hAnsi="Arial" w:cs="Arial"/>
          <w:sz w:val="24"/>
        </w:rPr>
        <w:t xml:space="preserve">FONADE </w:t>
      </w:r>
      <w:r w:rsidR="00C6747D" w:rsidRPr="00F514E8">
        <w:rPr>
          <w:rFonts w:ascii="Arial" w:hAnsi="Arial" w:cs="Arial"/>
          <w:sz w:val="24"/>
        </w:rPr>
        <w:t>en relación con su actividad contractual.</w:t>
      </w:r>
    </w:p>
    <w:p w14:paraId="3AB30BD9" w14:textId="77777777" w:rsidR="00604403" w:rsidRPr="00F514E8" w:rsidRDefault="00604403" w:rsidP="00604403">
      <w:pPr>
        <w:spacing w:after="0" w:line="240" w:lineRule="auto"/>
        <w:ind w:right="51"/>
        <w:jc w:val="both"/>
        <w:rPr>
          <w:rFonts w:ascii="Arial" w:hAnsi="Arial" w:cs="Arial"/>
          <w:sz w:val="24"/>
          <w:szCs w:val="24"/>
        </w:rPr>
      </w:pPr>
    </w:p>
    <w:p w14:paraId="01DA5E93" w14:textId="77777777" w:rsidR="00FC34AF" w:rsidRPr="00F514E8" w:rsidRDefault="00C6747D" w:rsidP="00725D19">
      <w:pPr>
        <w:spacing w:after="0" w:line="240" w:lineRule="auto"/>
        <w:ind w:right="51"/>
        <w:jc w:val="both"/>
        <w:rPr>
          <w:rFonts w:ascii="Arial" w:hAnsi="Arial" w:cs="Arial"/>
          <w:sz w:val="24"/>
        </w:rPr>
      </w:pPr>
      <w:r w:rsidRPr="00F514E8">
        <w:rPr>
          <w:rFonts w:ascii="Arial" w:hAnsi="Arial" w:cs="Arial"/>
          <w:sz w:val="24"/>
        </w:rPr>
        <w:t>Aunque</w:t>
      </w:r>
      <w:r w:rsidR="00553EC1" w:rsidRPr="00F514E8">
        <w:rPr>
          <w:rFonts w:ascii="Arial" w:hAnsi="Arial" w:cs="Arial"/>
          <w:sz w:val="24"/>
        </w:rPr>
        <w:t xml:space="preserve"> </w:t>
      </w:r>
      <w:r w:rsidRPr="00F514E8">
        <w:rPr>
          <w:rFonts w:ascii="Arial" w:hAnsi="Arial" w:cs="Arial"/>
          <w:sz w:val="24"/>
        </w:rPr>
        <w:t xml:space="preserve">las entidades públicas </w:t>
      </w:r>
      <w:r w:rsidR="00553EC1" w:rsidRPr="00F514E8">
        <w:rPr>
          <w:rFonts w:ascii="Arial" w:hAnsi="Arial" w:cs="Arial"/>
          <w:sz w:val="24"/>
        </w:rPr>
        <w:t xml:space="preserve">que realizan actividades financieras, aseguradoras o bursátiles </w:t>
      </w:r>
      <w:r w:rsidRPr="00F514E8">
        <w:rPr>
          <w:rFonts w:ascii="Arial" w:hAnsi="Arial" w:cs="Arial"/>
          <w:sz w:val="24"/>
        </w:rPr>
        <w:t>no deberían</w:t>
      </w:r>
      <w:r w:rsidR="00553EC1" w:rsidRPr="00F514E8">
        <w:rPr>
          <w:rFonts w:ascii="Arial" w:hAnsi="Arial" w:cs="Arial"/>
          <w:sz w:val="24"/>
        </w:rPr>
        <w:t>, por regla general,</w:t>
      </w:r>
      <w:r w:rsidRPr="00F514E8">
        <w:rPr>
          <w:rFonts w:ascii="Arial" w:hAnsi="Arial" w:cs="Arial"/>
          <w:sz w:val="24"/>
        </w:rPr>
        <w:t xml:space="preserve"> expedir actos administrativos en relación con su actividad contractual, pues, como ya se analizó, sus contratos no</w:t>
      </w:r>
      <w:r w:rsidR="00D32AB8" w:rsidRPr="00F514E8">
        <w:rPr>
          <w:rFonts w:ascii="Arial" w:hAnsi="Arial" w:cs="Arial"/>
          <w:sz w:val="24"/>
        </w:rPr>
        <w:t xml:space="preserve"> están </w:t>
      </w:r>
      <w:r w:rsidRPr="00F514E8">
        <w:rPr>
          <w:rFonts w:ascii="Arial" w:hAnsi="Arial" w:cs="Arial"/>
          <w:sz w:val="24"/>
        </w:rPr>
        <w:t>sometidos al Estatuto General de Contratación de la Administración Pública, si tales entidades, por cualquier razón, llegaren a expedir actos administrativos, ya sea en forma previa a la celebración del contrato (actos precontractuales, como el de adjudicación) o posterior (actos contractuales propiamente dichos, como la declaratoria de caducidad), y</w:t>
      </w:r>
      <w:r w:rsidR="001C7742" w:rsidRPr="00F514E8">
        <w:rPr>
          <w:rFonts w:ascii="Arial" w:hAnsi="Arial" w:cs="Arial"/>
          <w:sz w:val="24"/>
        </w:rPr>
        <w:t xml:space="preserve"> la otra parte </w:t>
      </w:r>
      <w:r w:rsidRPr="00F514E8">
        <w:rPr>
          <w:rFonts w:ascii="Arial" w:hAnsi="Arial" w:cs="Arial"/>
          <w:sz w:val="24"/>
        </w:rPr>
        <w:t xml:space="preserve">pretendiere </w:t>
      </w:r>
      <w:r w:rsidR="00FC34AF" w:rsidRPr="00F514E8">
        <w:rPr>
          <w:rFonts w:ascii="Arial" w:hAnsi="Arial" w:cs="Arial"/>
          <w:sz w:val="24"/>
        </w:rPr>
        <w:t xml:space="preserve">atacar la legalidad o validez de dichos actos, tales procesos no podrían ser conocidos por la Jurisdicción Ordinaria sino por la Contencioso Administrativa. </w:t>
      </w:r>
    </w:p>
    <w:p w14:paraId="316ADF9B" w14:textId="77777777" w:rsidR="00604403" w:rsidRPr="00F514E8" w:rsidRDefault="00604403" w:rsidP="00725D19">
      <w:pPr>
        <w:spacing w:after="0" w:line="240" w:lineRule="auto"/>
        <w:ind w:right="51"/>
        <w:jc w:val="both"/>
        <w:rPr>
          <w:rFonts w:ascii="Arial" w:hAnsi="Arial" w:cs="Arial"/>
          <w:sz w:val="24"/>
        </w:rPr>
      </w:pPr>
    </w:p>
    <w:p w14:paraId="6C110B9C" w14:textId="77777777" w:rsidR="00454C72" w:rsidRPr="00F514E8" w:rsidRDefault="00FC34AF" w:rsidP="00725D19">
      <w:pPr>
        <w:spacing w:after="0" w:line="240" w:lineRule="auto"/>
        <w:ind w:right="51"/>
        <w:jc w:val="both"/>
        <w:rPr>
          <w:rFonts w:ascii="Arial" w:hAnsi="Arial" w:cs="Arial"/>
          <w:sz w:val="24"/>
        </w:rPr>
      </w:pPr>
      <w:r w:rsidRPr="00F514E8">
        <w:rPr>
          <w:rFonts w:ascii="Arial" w:hAnsi="Arial" w:cs="Arial"/>
          <w:sz w:val="24"/>
        </w:rPr>
        <w:t xml:space="preserve">Esta situación podría </w:t>
      </w:r>
      <w:r w:rsidR="00553EC1" w:rsidRPr="00F514E8">
        <w:rPr>
          <w:rFonts w:ascii="Arial" w:hAnsi="Arial" w:cs="Arial"/>
          <w:sz w:val="24"/>
        </w:rPr>
        <w:t xml:space="preserve">presentarse </w:t>
      </w:r>
      <w:r w:rsidR="00523494" w:rsidRPr="00F514E8">
        <w:rPr>
          <w:rFonts w:ascii="Arial" w:hAnsi="Arial" w:cs="Arial"/>
          <w:sz w:val="24"/>
        </w:rPr>
        <w:t>en el caso de FONADE</w:t>
      </w:r>
      <w:r w:rsidRPr="00F514E8">
        <w:rPr>
          <w:rFonts w:ascii="Arial" w:hAnsi="Arial" w:cs="Arial"/>
          <w:sz w:val="24"/>
        </w:rPr>
        <w:t xml:space="preserve"> ya que, como se mencionó, durante el período comprendido entre la </w:t>
      </w:r>
      <w:proofErr w:type="gramStart"/>
      <w:r w:rsidRPr="00F514E8">
        <w:rPr>
          <w:rFonts w:ascii="Arial" w:hAnsi="Arial" w:cs="Arial"/>
          <w:sz w:val="24"/>
        </w:rPr>
        <w:t>entrada en vigencia</w:t>
      </w:r>
      <w:proofErr w:type="gramEnd"/>
      <w:r w:rsidRPr="00F514E8">
        <w:rPr>
          <w:rFonts w:ascii="Arial" w:hAnsi="Arial" w:cs="Arial"/>
          <w:sz w:val="24"/>
        </w:rPr>
        <w:t xml:space="preserve"> de la </w:t>
      </w:r>
      <w:r w:rsidR="00523494" w:rsidRPr="00F514E8">
        <w:rPr>
          <w:rFonts w:ascii="Arial" w:hAnsi="Arial" w:cs="Arial"/>
          <w:sz w:val="24"/>
        </w:rPr>
        <w:t>ley 1150 de 2007 y la promulgación de la ley 1450 de 2011, los contratos celebrado</w:t>
      </w:r>
      <w:r w:rsidRPr="00F514E8">
        <w:rPr>
          <w:rFonts w:ascii="Arial" w:hAnsi="Arial" w:cs="Arial"/>
          <w:sz w:val="24"/>
        </w:rPr>
        <w:t>s por FONADE estuvieron sometidos en su integridad al Estatuto General de Contratación de la Ad</w:t>
      </w:r>
      <w:r w:rsidR="00523494" w:rsidRPr="00F514E8">
        <w:rPr>
          <w:rFonts w:ascii="Arial" w:hAnsi="Arial" w:cs="Arial"/>
          <w:sz w:val="24"/>
        </w:rPr>
        <w:t xml:space="preserve">ministración Pública. </w:t>
      </w:r>
      <w:r w:rsidR="00553EC1" w:rsidRPr="00F514E8">
        <w:rPr>
          <w:rFonts w:ascii="Arial" w:hAnsi="Arial" w:cs="Arial"/>
          <w:sz w:val="24"/>
        </w:rPr>
        <w:t xml:space="preserve">Teniendo en cuenta </w:t>
      </w:r>
      <w:r w:rsidRPr="00F514E8">
        <w:rPr>
          <w:rFonts w:ascii="Arial" w:hAnsi="Arial" w:cs="Arial"/>
          <w:sz w:val="24"/>
        </w:rPr>
        <w:t xml:space="preserve">que, </w:t>
      </w:r>
      <w:r w:rsidR="00523494" w:rsidRPr="00F514E8">
        <w:rPr>
          <w:rFonts w:ascii="Arial" w:hAnsi="Arial" w:cs="Arial"/>
          <w:sz w:val="24"/>
        </w:rPr>
        <w:t>de acuerdo con el artículo 38 de la l</w:t>
      </w:r>
      <w:r w:rsidRPr="00F514E8">
        <w:rPr>
          <w:rFonts w:ascii="Arial" w:hAnsi="Arial" w:cs="Arial"/>
          <w:sz w:val="24"/>
        </w:rPr>
        <w:t>ey 153 de 1887, “</w:t>
      </w:r>
      <w:r w:rsidRPr="00F514E8">
        <w:rPr>
          <w:rFonts w:ascii="Arial" w:hAnsi="Arial" w:cs="Arial"/>
          <w:i/>
          <w:sz w:val="24"/>
        </w:rPr>
        <w:t>en todo contrato se entenderán incorporadas las leyes vigentes al tiempo de su celebración”</w:t>
      </w:r>
      <w:r w:rsidRPr="00F514E8">
        <w:rPr>
          <w:rFonts w:ascii="Arial" w:hAnsi="Arial" w:cs="Arial"/>
          <w:sz w:val="24"/>
        </w:rPr>
        <w:t xml:space="preserve">, </w:t>
      </w:r>
      <w:r w:rsidR="00454C72" w:rsidRPr="00F514E8">
        <w:rPr>
          <w:rFonts w:ascii="Arial" w:hAnsi="Arial" w:cs="Arial"/>
          <w:sz w:val="24"/>
        </w:rPr>
        <w:t xml:space="preserve">los contratos celebrados por FONADE durante </w:t>
      </w:r>
      <w:r w:rsidR="00C44AF4" w:rsidRPr="00F514E8">
        <w:rPr>
          <w:rFonts w:ascii="Arial" w:hAnsi="Arial" w:cs="Arial"/>
          <w:sz w:val="24"/>
        </w:rPr>
        <w:t>el</w:t>
      </w:r>
      <w:r w:rsidR="00454C72" w:rsidRPr="00F514E8">
        <w:rPr>
          <w:rFonts w:ascii="Arial" w:hAnsi="Arial" w:cs="Arial"/>
          <w:sz w:val="24"/>
        </w:rPr>
        <w:t xml:space="preserve"> lap</w:t>
      </w:r>
      <w:r w:rsidR="00523494" w:rsidRPr="00F514E8">
        <w:rPr>
          <w:rFonts w:ascii="Arial" w:hAnsi="Arial" w:cs="Arial"/>
          <w:sz w:val="24"/>
        </w:rPr>
        <w:t xml:space="preserve">so </w:t>
      </w:r>
      <w:r w:rsidR="00C44AF4" w:rsidRPr="00F514E8">
        <w:rPr>
          <w:rFonts w:ascii="Arial" w:hAnsi="Arial" w:cs="Arial"/>
          <w:sz w:val="24"/>
        </w:rPr>
        <w:t xml:space="preserve">indicado </w:t>
      </w:r>
      <w:r w:rsidR="00697AEA" w:rsidRPr="00F514E8">
        <w:rPr>
          <w:rFonts w:ascii="Arial" w:hAnsi="Arial" w:cs="Arial"/>
          <w:sz w:val="24"/>
        </w:rPr>
        <w:t>continúan sujetá</w:t>
      </w:r>
      <w:r w:rsidR="00523494" w:rsidRPr="00F514E8">
        <w:rPr>
          <w:rFonts w:ascii="Arial" w:hAnsi="Arial" w:cs="Arial"/>
          <w:sz w:val="24"/>
        </w:rPr>
        <w:t>ndo</w:t>
      </w:r>
      <w:r w:rsidR="00033C5A" w:rsidRPr="00F514E8">
        <w:rPr>
          <w:rFonts w:ascii="Arial" w:hAnsi="Arial" w:cs="Arial"/>
          <w:sz w:val="24"/>
        </w:rPr>
        <w:t xml:space="preserve">se </w:t>
      </w:r>
      <w:r w:rsidR="00523494" w:rsidRPr="00F514E8">
        <w:rPr>
          <w:rFonts w:ascii="Arial" w:hAnsi="Arial" w:cs="Arial"/>
          <w:sz w:val="24"/>
        </w:rPr>
        <w:t>a la l</w:t>
      </w:r>
      <w:r w:rsidR="00454C72" w:rsidRPr="00F514E8">
        <w:rPr>
          <w:rFonts w:ascii="Arial" w:hAnsi="Arial" w:cs="Arial"/>
          <w:sz w:val="24"/>
        </w:rPr>
        <w:t xml:space="preserve">ey 80 de 1993 hasta su terminación y liquidación, incluyendo sus prórrogas, adiciones y demás modificaciones. </w:t>
      </w:r>
    </w:p>
    <w:p w14:paraId="64F74965" w14:textId="77777777" w:rsidR="00604403" w:rsidRPr="00F514E8" w:rsidRDefault="00604403" w:rsidP="00725D19">
      <w:pPr>
        <w:spacing w:after="0" w:line="240" w:lineRule="auto"/>
        <w:ind w:right="51"/>
        <w:jc w:val="both"/>
        <w:rPr>
          <w:rFonts w:ascii="Arial" w:hAnsi="Arial" w:cs="Arial"/>
          <w:sz w:val="24"/>
        </w:rPr>
      </w:pPr>
    </w:p>
    <w:p w14:paraId="7DC78CEB" w14:textId="77777777" w:rsidR="00E94348" w:rsidRPr="00F514E8" w:rsidRDefault="00454C72" w:rsidP="00725D19">
      <w:pPr>
        <w:spacing w:after="0" w:line="240" w:lineRule="auto"/>
        <w:ind w:right="51"/>
        <w:jc w:val="both"/>
        <w:rPr>
          <w:rFonts w:ascii="Arial" w:hAnsi="Arial" w:cs="Arial"/>
          <w:sz w:val="24"/>
        </w:rPr>
      </w:pPr>
      <w:r w:rsidRPr="00F514E8">
        <w:rPr>
          <w:rFonts w:ascii="Arial" w:hAnsi="Arial" w:cs="Arial"/>
          <w:sz w:val="24"/>
        </w:rPr>
        <w:t xml:space="preserve">Por lo tanto, en la medida en que algunos de dichos contratos pueden estar vigentes, o </w:t>
      </w:r>
      <w:proofErr w:type="gramStart"/>
      <w:r w:rsidR="00991AE4" w:rsidRPr="00F514E8">
        <w:rPr>
          <w:rFonts w:ascii="Arial" w:hAnsi="Arial" w:cs="Arial"/>
          <w:sz w:val="24"/>
        </w:rPr>
        <w:t>terminados</w:t>
      </w:r>
      <w:proofErr w:type="gramEnd"/>
      <w:r w:rsidR="00991AE4" w:rsidRPr="00F514E8">
        <w:rPr>
          <w:rFonts w:ascii="Arial" w:hAnsi="Arial" w:cs="Arial"/>
          <w:sz w:val="24"/>
        </w:rPr>
        <w:t xml:space="preserve"> </w:t>
      </w:r>
      <w:r w:rsidRPr="00F514E8">
        <w:rPr>
          <w:rFonts w:ascii="Arial" w:hAnsi="Arial" w:cs="Arial"/>
          <w:sz w:val="24"/>
        </w:rPr>
        <w:t>pero sin liquidar</w:t>
      </w:r>
      <w:r w:rsidR="00991AE4" w:rsidRPr="00F514E8">
        <w:rPr>
          <w:rFonts w:ascii="Arial" w:hAnsi="Arial" w:cs="Arial"/>
          <w:sz w:val="24"/>
        </w:rPr>
        <w:t>, FONADE podría haber dictado o dictar actos administrativos en relación con los mismos, los cuales</w:t>
      </w:r>
      <w:r w:rsidR="00553EC1" w:rsidRPr="00F514E8">
        <w:rPr>
          <w:rFonts w:ascii="Arial" w:hAnsi="Arial" w:cs="Arial"/>
          <w:sz w:val="24"/>
        </w:rPr>
        <w:t xml:space="preserve">, en el evento de ser </w:t>
      </w:r>
      <w:r w:rsidR="00991AE4" w:rsidRPr="00F514E8">
        <w:rPr>
          <w:rFonts w:ascii="Arial" w:hAnsi="Arial" w:cs="Arial"/>
          <w:sz w:val="24"/>
        </w:rPr>
        <w:t xml:space="preserve">objeto de impugnación </w:t>
      </w:r>
      <w:r w:rsidR="00553EC1" w:rsidRPr="00F514E8">
        <w:rPr>
          <w:rFonts w:ascii="Arial" w:hAnsi="Arial" w:cs="Arial"/>
          <w:sz w:val="24"/>
        </w:rPr>
        <w:t xml:space="preserve">judicial </w:t>
      </w:r>
      <w:r w:rsidR="00991AE4" w:rsidRPr="00F514E8">
        <w:rPr>
          <w:rFonts w:ascii="Arial" w:hAnsi="Arial" w:cs="Arial"/>
          <w:sz w:val="24"/>
        </w:rPr>
        <w:t xml:space="preserve">por parte de los </w:t>
      </w:r>
      <w:r w:rsidR="003439BC" w:rsidRPr="00F514E8">
        <w:rPr>
          <w:rFonts w:ascii="Arial" w:hAnsi="Arial" w:cs="Arial"/>
          <w:sz w:val="24"/>
        </w:rPr>
        <w:t xml:space="preserve">respectivos </w:t>
      </w:r>
      <w:r w:rsidR="00991AE4" w:rsidRPr="00F514E8">
        <w:rPr>
          <w:rFonts w:ascii="Arial" w:hAnsi="Arial" w:cs="Arial"/>
          <w:sz w:val="24"/>
        </w:rPr>
        <w:t xml:space="preserve">contratistas </w:t>
      </w:r>
      <w:r w:rsidR="00553EC1" w:rsidRPr="00F514E8">
        <w:rPr>
          <w:rFonts w:ascii="Arial" w:hAnsi="Arial" w:cs="Arial"/>
          <w:sz w:val="24"/>
        </w:rPr>
        <w:t xml:space="preserve">u otros </w:t>
      </w:r>
      <w:r w:rsidR="00991AE4" w:rsidRPr="00F514E8">
        <w:rPr>
          <w:rFonts w:ascii="Arial" w:hAnsi="Arial" w:cs="Arial"/>
          <w:sz w:val="24"/>
        </w:rPr>
        <w:t>afectados</w:t>
      </w:r>
      <w:r w:rsidR="00553EC1" w:rsidRPr="00F514E8">
        <w:rPr>
          <w:rFonts w:ascii="Arial" w:hAnsi="Arial" w:cs="Arial"/>
          <w:sz w:val="24"/>
        </w:rPr>
        <w:t xml:space="preserve">, </w:t>
      </w:r>
      <w:r w:rsidR="00991AE4" w:rsidRPr="00F514E8">
        <w:rPr>
          <w:rFonts w:ascii="Arial" w:hAnsi="Arial" w:cs="Arial"/>
          <w:sz w:val="24"/>
        </w:rPr>
        <w:t>no sería</w:t>
      </w:r>
      <w:r w:rsidR="00033C5A" w:rsidRPr="00F514E8">
        <w:rPr>
          <w:rFonts w:ascii="Arial" w:hAnsi="Arial" w:cs="Arial"/>
          <w:sz w:val="24"/>
        </w:rPr>
        <w:t>n</w:t>
      </w:r>
      <w:r w:rsidR="00991AE4" w:rsidRPr="00F514E8">
        <w:rPr>
          <w:rFonts w:ascii="Arial" w:hAnsi="Arial" w:cs="Arial"/>
          <w:sz w:val="24"/>
        </w:rPr>
        <w:t xml:space="preserve"> competencia</w:t>
      </w:r>
      <w:r w:rsidR="00553EC1" w:rsidRPr="00F514E8">
        <w:rPr>
          <w:rFonts w:ascii="Arial" w:hAnsi="Arial" w:cs="Arial"/>
          <w:sz w:val="24"/>
        </w:rPr>
        <w:t xml:space="preserve"> </w:t>
      </w:r>
      <w:r w:rsidR="00991AE4" w:rsidRPr="00F514E8">
        <w:rPr>
          <w:rFonts w:ascii="Arial" w:hAnsi="Arial" w:cs="Arial"/>
          <w:sz w:val="24"/>
        </w:rPr>
        <w:t xml:space="preserve">de la Jurisdicción Ordinaria, sino de la Contencioso Administrativa, a pesar de lo dispuesto en el artículo 105, numeral 1º del CPACA. </w:t>
      </w:r>
      <w:r w:rsidR="00FC34AF" w:rsidRPr="00F514E8">
        <w:rPr>
          <w:rFonts w:ascii="Arial" w:hAnsi="Arial" w:cs="Arial"/>
          <w:sz w:val="24"/>
        </w:rPr>
        <w:t xml:space="preserve">La razón </w:t>
      </w:r>
      <w:r w:rsidR="00C44AF4" w:rsidRPr="00F514E8">
        <w:rPr>
          <w:rFonts w:ascii="Arial" w:hAnsi="Arial" w:cs="Arial"/>
          <w:sz w:val="24"/>
        </w:rPr>
        <w:t>para ello estriba en que</w:t>
      </w:r>
      <w:r w:rsidR="00FC34AF" w:rsidRPr="00F514E8">
        <w:rPr>
          <w:rFonts w:ascii="Arial" w:hAnsi="Arial" w:cs="Arial"/>
          <w:sz w:val="24"/>
        </w:rPr>
        <w:t xml:space="preserve"> la única Jurisdicción instituida para juzgar la validez de los actos administrativos, suspenderlos provisionalmente y, dado el caso, declarar su nulidad, es la Jurisdicción </w:t>
      </w:r>
      <w:proofErr w:type="gramStart"/>
      <w:r w:rsidR="00FC34AF" w:rsidRPr="00F514E8">
        <w:rPr>
          <w:rFonts w:ascii="Arial" w:hAnsi="Arial" w:cs="Arial"/>
          <w:sz w:val="24"/>
        </w:rPr>
        <w:t>Contencioso Administrativa</w:t>
      </w:r>
      <w:proofErr w:type="gramEnd"/>
      <w:r w:rsidR="00FC34AF" w:rsidRPr="00F514E8">
        <w:rPr>
          <w:rFonts w:ascii="Arial" w:hAnsi="Arial" w:cs="Arial"/>
          <w:sz w:val="24"/>
        </w:rPr>
        <w:t xml:space="preserve">. </w:t>
      </w:r>
      <w:r w:rsidR="00C44AF4" w:rsidRPr="00F514E8">
        <w:rPr>
          <w:rFonts w:ascii="Arial" w:hAnsi="Arial" w:cs="Arial"/>
          <w:sz w:val="24"/>
        </w:rPr>
        <w:t xml:space="preserve"> </w:t>
      </w:r>
      <w:r w:rsidR="00CA7D38" w:rsidRPr="00F514E8">
        <w:rPr>
          <w:rFonts w:ascii="Arial" w:hAnsi="Arial" w:cs="Arial"/>
          <w:sz w:val="24"/>
        </w:rPr>
        <w:t xml:space="preserve">Así se deduce, entre otras normas, de lo dispuesto en los artículos </w:t>
      </w:r>
      <w:r w:rsidR="001C7742" w:rsidRPr="00F514E8">
        <w:rPr>
          <w:rFonts w:ascii="Arial" w:hAnsi="Arial" w:cs="Arial"/>
          <w:sz w:val="24"/>
        </w:rPr>
        <w:t>238 de la Constitución Política</w:t>
      </w:r>
      <w:r w:rsidR="001C7742" w:rsidRPr="00F514E8">
        <w:rPr>
          <w:rStyle w:val="Refdenotaalpie"/>
          <w:rFonts w:ascii="Arial" w:hAnsi="Arial" w:cs="Arial"/>
          <w:sz w:val="24"/>
        </w:rPr>
        <w:footnoteReference w:id="30"/>
      </w:r>
      <w:r w:rsidR="001C7742" w:rsidRPr="00F514E8">
        <w:rPr>
          <w:rFonts w:ascii="Arial" w:hAnsi="Arial" w:cs="Arial"/>
          <w:sz w:val="24"/>
        </w:rPr>
        <w:t xml:space="preserve">, </w:t>
      </w:r>
      <w:r w:rsidR="00CA7D38" w:rsidRPr="00F514E8">
        <w:rPr>
          <w:rFonts w:ascii="Arial" w:hAnsi="Arial" w:cs="Arial"/>
          <w:sz w:val="24"/>
        </w:rPr>
        <w:t xml:space="preserve">77 de la </w:t>
      </w:r>
      <w:r w:rsidR="00190430" w:rsidRPr="00F514E8">
        <w:rPr>
          <w:rFonts w:ascii="Arial" w:hAnsi="Arial" w:cs="Arial"/>
          <w:sz w:val="24"/>
        </w:rPr>
        <w:t>l</w:t>
      </w:r>
      <w:r w:rsidR="00CA7D38" w:rsidRPr="00F514E8">
        <w:rPr>
          <w:rFonts w:ascii="Arial" w:hAnsi="Arial" w:cs="Arial"/>
          <w:sz w:val="24"/>
        </w:rPr>
        <w:t>ey 80 de 1993</w:t>
      </w:r>
      <w:r w:rsidR="00CA7D38" w:rsidRPr="00F514E8">
        <w:rPr>
          <w:rStyle w:val="Refdenotaalpie"/>
          <w:rFonts w:ascii="Arial" w:hAnsi="Arial" w:cs="Arial"/>
          <w:sz w:val="24"/>
        </w:rPr>
        <w:footnoteReference w:id="31"/>
      </w:r>
      <w:r w:rsidR="00CA7D38" w:rsidRPr="00F514E8">
        <w:rPr>
          <w:rFonts w:ascii="Arial" w:hAnsi="Arial" w:cs="Arial"/>
          <w:sz w:val="24"/>
        </w:rPr>
        <w:t xml:space="preserve"> y 141 del CPACA</w:t>
      </w:r>
      <w:r w:rsidR="00CA7D38" w:rsidRPr="00F514E8">
        <w:rPr>
          <w:rStyle w:val="Refdenotaalpie"/>
          <w:rFonts w:ascii="Arial" w:hAnsi="Arial" w:cs="Arial"/>
          <w:sz w:val="24"/>
        </w:rPr>
        <w:footnoteReference w:id="32"/>
      </w:r>
      <w:r w:rsidR="00CA7D38" w:rsidRPr="00F514E8">
        <w:rPr>
          <w:rFonts w:ascii="Arial" w:hAnsi="Arial" w:cs="Arial"/>
          <w:sz w:val="24"/>
        </w:rPr>
        <w:t xml:space="preserve">, y </w:t>
      </w:r>
      <w:r w:rsidR="00553EC1" w:rsidRPr="00F514E8">
        <w:rPr>
          <w:rFonts w:ascii="Arial" w:hAnsi="Arial" w:cs="Arial"/>
          <w:sz w:val="24"/>
        </w:rPr>
        <w:t xml:space="preserve">lo tiene establecido, también, la jurisprudencia de la </w:t>
      </w:r>
      <w:r w:rsidR="009B35A4" w:rsidRPr="00F514E8">
        <w:rPr>
          <w:rFonts w:ascii="Arial" w:hAnsi="Arial" w:cs="Arial"/>
          <w:sz w:val="24"/>
        </w:rPr>
        <w:t xml:space="preserve">Corte Constitucional y de la </w:t>
      </w:r>
      <w:r w:rsidR="00553EC1" w:rsidRPr="00F514E8">
        <w:rPr>
          <w:rFonts w:ascii="Arial" w:hAnsi="Arial" w:cs="Arial"/>
          <w:sz w:val="24"/>
        </w:rPr>
        <w:t xml:space="preserve">Sección Tercera de esta Corporación, a propósito de la competencia de los tribunales de arbitramento </w:t>
      </w:r>
      <w:r w:rsidR="003439BC" w:rsidRPr="00F514E8">
        <w:rPr>
          <w:rFonts w:ascii="Arial" w:hAnsi="Arial" w:cs="Arial"/>
          <w:sz w:val="24"/>
        </w:rPr>
        <w:t xml:space="preserve">integrados </w:t>
      </w:r>
      <w:r w:rsidR="00553EC1" w:rsidRPr="00F514E8">
        <w:rPr>
          <w:rFonts w:ascii="Arial" w:hAnsi="Arial" w:cs="Arial"/>
          <w:sz w:val="24"/>
        </w:rPr>
        <w:t xml:space="preserve">para dirimir controversias contractuales entre entidades públicas y particulares, al considerar que los árbitros no pueden </w:t>
      </w:r>
      <w:r w:rsidR="00C44AF4" w:rsidRPr="00F514E8">
        <w:rPr>
          <w:rFonts w:ascii="Arial" w:hAnsi="Arial" w:cs="Arial"/>
          <w:sz w:val="24"/>
        </w:rPr>
        <w:t>pronunciarse</w:t>
      </w:r>
      <w:r w:rsidR="00553EC1" w:rsidRPr="00F514E8">
        <w:rPr>
          <w:rFonts w:ascii="Arial" w:hAnsi="Arial" w:cs="Arial"/>
          <w:sz w:val="24"/>
        </w:rPr>
        <w:t xml:space="preserve"> sobre la validez o no de los actos administrativos expedidos por la entidad contratante, porque tal asunto </w:t>
      </w:r>
      <w:r w:rsidR="00CA7D38" w:rsidRPr="00F514E8">
        <w:rPr>
          <w:rFonts w:ascii="Arial" w:hAnsi="Arial" w:cs="Arial"/>
          <w:sz w:val="24"/>
        </w:rPr>
        <w:t xml:space="preserve">no es transigible y </w:t>
      </w:r>
      <w:r w:rsidR="00553EC1" w:rsidRPr="00F514E8">
        <w:rPr>
          <w:rFonts w:ascii="Arial" w:hAnsi="Arial" w:cs="Arial"/>
          <w:sz w:val="24"/>
        </w:rPr>
        <w:t>es competencia privativa de la Jurisdicción Contencioso Administrativa.</w:t>
      </w:r>
    </w:p>
    <w:p w14:paraId="6B75FC6B" w14:textId="77777777" w:rsidR="00604403" w:rsidRPr="00F514E8" w:rsidRDefault="00604403" w:rsidP="00725D19">
      <w:pPr>
        <w:spacing w:after="0" w:line="240" w:lineRule="auto"/>
        <w:ind w:right="51"/>
        <w:jc w:val="both"/>
        <w:rPr>
          <w:rFonts w:ascii="Arial" w:hAnsi="Arial" w:cs="Arial"/>
          <w:sz w:val="24"/>
        </w:rPr>
      </w:pPr>
    </w:p>
    <w:p w14:paraId="28618830" w14:textId="77777777" w:rsidR="002166D2" w:rsidRPr="00F514E8" w:rsidRDefault="00B91E4B" w:rsidP="00765CF4">
      <w:pPr>
        <w:spacing w:after="0" w:line="240" w:lineRule="auto"/>
        <w:ind w:right="51"/>
        <w:jc w:val="both"/>
        <w:rPr>
          <w:rFonts w:ascii="Arial" w:hAnsi="Arial" w:cs="Arial"/>
          <w:sz w:val="24"/>
          <w:szCs w:val="24"/>
        </w:rPr>
      </w:pPr>
      <w:r w:rsidRPr="00F514E8">
        <w:rPr>
          <w:rFonts w:ascii="Arial" w:hAnsi="Arial" w:cs="Arial"/>
          <w:sz w:val="24"/>
        </w:rPr>
        <w:t>c</w:t>
      </w:r>
      <w:r w:rsidR="00765CF4" w:rsidRPr="00F514E8">
        <w:rPr>
          <w:rFonts w:ascii="Arial" w:hAnsi="Arial" w:cs="Arial"/>
          <w:sz w:val="24"/>
        </w:rPr>
        <w:t xml:space="preserve">. </w:t>
      </w:r>
      <w:r w:rsidRPr="00F514E8">
        <w:rPr>
          <w:rFonts w:ascii="Arial" w:hAnsi="Arial" w:cs="Arial"/>
          <w:sz w:val="24"/>
          <w:szCs w:val="24"/>
        </w:rPr>
        <w:t>Finalmente,</w:t>
      </w:r>
      <w:r w:rsidR="00B429BB" w:rsidRPr="00F514E8">
        <w:rPr>
          <w:rFonts w:ascii="Arial" w:hAnsi="Arial" w:cs="Arial"/>
          <w:sz w:val="24"/>
          <w:szCs w:val="24"/>
        </w:rPr>
        <w:t xml:space="preserve"> tampoco </w:t>
      </w:r>
      <w:r w:rsidR="00C44AF4" w:rsidRPr="00F514E8">
        <w:rPr>
          <w:rFonts w:ascii="Arial" w:hAnsi="Arial" w:cs="Arial"/>
          <w:sz w:val="24"/>
          <w:szCs w:val="24"/>
        </w:rPr>
        <w:t>compete a</w:t>
      </w:r>
      <w:r w:rsidR="00B429BB" w:rsidRPr="00F514E8">
        <w:rPr>
          <w:rFonts w:ascii="Arial" w:hAnsi="Arial" w:cs="Arial"/>
          <w:sz w:val="24"/>
          <w:szCs w:val="24"/>
        </w:rPr>
        <w:t xml:space="preserve"> la Jurisdicción Ordinaria, sino </w:t>
      </w:r>
      <w:r w:rsidR="00C44AF4" w:rsidRPr="00F514E8">
        <w:rPr>
          <w:rFonts w:ascii="Arial" w:hAnsi="Arial" w:cs="Arial"/>
          <w:sz w:val="24"/>
          <w:szCs w:val="24"/>
        </w:rPr>
        <w:t>a</w:t>
      </w:r>
      <w:r w:rsidR="00B429BB" w:rsidRPr="00F514E8">
        <w:rPr>
          <w:rFonts w:ascii="Arial" w:hAnsi="Arial" w:cs="Arial"/>
          <w:sz w:val="24"/>
          <w:szCs w:val="24"/>
        </w:rPr>
        <w:t xml:space="preserve"> la Contencioso Administrativa, </w:t>
      </w:r>
      <w:r w:rsidR="00E94348" w:rsidRPr="00F514E8">
        <w:rPr>
          <w:rFonts w:ascii="Arial" w:hAnsi="Arial" w:cs="Arial"/>
          <w:sz w:val="24"/>
          <w:szCs w:val="24"/>
        </w:rPr>
        <w:t xml:space="preserve">el conocimiento de </w:t>
      </w:r>
      <w:r w:rsidR="00B429BB" w:rsidRPr="00F514E8">
        <w:rPr>
          <w:rFonts w:ascii="Arial" w:hAnsi="Arial" w:cs="Arial"/>
          <w:sz w:val="24"/>
          <w:szCs w:val="24"/>
        </w:rPr>
        <w:t xml:space="preserve">los recursos extraordinarios </w:t>
      </w:r>
      <w:r w:rsidR="00CD3F86" w:rsidRPr="00F514E8">
        <w:rPr>
          <w:rFonts w:ascii="Arial" w:hAnsi="Arial" w:cs="Arial"/>
          <w:sz w:val="24"/>
          <w:szCs w:val="24"/>
        </w:rPr>
        <w:t xml:space="preserve">(anulación y revisión) </w:t>
      </w:r>
      <w:r w:rsidR="00B429BB" w:rsidRPr="00F514E8">
        <w:rPr>
          <w:rFonts w:ascii="Arial" w:hAnsi="Arial" w:cs="Arial"/>
          <w:sz w:val="24"/>
          <w:szCs w:val="24"/>
        </w:rPr>
        <w:t xml:space="preserve">contra laudos arbitrales dictados para resolver conflictos contractuales en los que aparezca involucrada FONADE, </w:t>
      </w:r>
      <w:r w:rsidR="00D32AB8" w:rsidRPr="00F514E8">
        <w:rPr>
          <w:rFonts w:ascii="Arial" w:hAnsi="Arial" w:cs="Arial"/>
          <w:sz w:val="24"/>
          <w:szCs w:val="24"/>
        </w:rPr>
        <w:t xml:space="preserve">por ser entidad pública, </w:t>
      </w:r>
      <w:r w:rsidR="00B429BB" w:rsidRPr="00F514E8">
        <w:rPr>
          <w:rFonts w:ascii="Arial" w:hAnsi="Arial" w:cs="Arial"/>
          <w:sz w:val="24"/>
          <w:szCs w:val="24"/>
        </w:rPr>
        <w:t xml:space="preserve">pues la competencia para conocer de tales recursos está asignada </w:t>
      </w:r>
      <w:r w:rsidR="00F47FBC" w:rsidRPr="00F514E8">
        <w:rPr>
          <w:rFonts w:ascii="Arial" w:hAnsi="Arial" w:cs="Arial"/>
          <w:sz w:val="24"/>
          <w:szCs w:val="24"/>
        </w:rPr>
        <w:t xml:space="preserve">de manera especial </w:t>
      </w:r>
      <w:r w:rsidR="00B429BB" w:rsidRPr="00F514E8">
        <w:rPr>
          <w:rFonts w:ascii="Arial" w:hAnsi="Arial" w:cs="Arial"/>
          <w:sz w:val="24"/>
          <w:szCs w:val="24"/>
        </w:rPr>
        <w:t>a esta Jurisdicción</w:t>
      </w:r>
      <w:r w:rsidR="00E94348" w:rsidRPr="00F514E8">
        <w:rPr>
          <w:rFonts w:ascii="Arial" w:hAnsi="Arial" w:cs="Arial"/>
          <w:sz w:val="24"/>
          <w:szCs w:val="24"/>
        </w:rPr>
        <w:t xml:space="preserve"> </w:t>
      </w:r>
      <w:r w:rsidR="00B429BB" w:rsidRPr="00F514E8">
        <w:rPr>
          <w:rFonts w:ascii="Arial" w:hAnsi="Arial" w:cs="Arial"/>
          <w:sz w:val="24"/>
          <w:szCs w:val="24"/>
        </w:rPr>
        <w:t xml:space="preserve">por </w:t>
      </w:r>
      <w:r w:rsidR="00F47FBC" w:rsidRPr="00F514E8">
        <w:rPr>
          <w:rFonts w:ascii="Arial" w:hAnsi="Arial" w:cs="Arial"/>
          <w:sz w:val="24"/>
          <w:szCs w:val="24"/>
        </w:rPr>
        <w:t xml:space="preserve">los </w:t>
      </w:r>
      <w:r w:rsidR="00B429BB" w:rsidRPr="00F514E8">
        <w:rPr>
          <w:rFonts w:ascii="Arial" w:hAnsi="Arial" w:cs="Arial"/>
          <w:sz w:val="24"/>
          <w:szCs w:val="24"/>
        </w:rPr>
        <w:t>artículo</w:t>
      </w:r>
      <w:r w:rsidR="00F47FBC" w:rsidRPr="00F514E8">
        <w:rPr>
          <w:rFonts w:ascii="Arial" w:hAnsi="Arial" w:cs="Arial"/>
          <w:sz w:val="24"/>
          <w:szCs w:val="24"/>
        </w:rPr>
        <w:t>s</w:t>
      </w:r>
      <w:r w:rsidR="00B429BB" w:rsidRPr="00F514E8">
        <w:rPr>
          <w:rFonts w:ascii="Arial" w:hAnsi="Arial" w:cs="Arial"/>
          <w:sz w:val="24"/>
          <w:szCs w:val="24"/>
        </w:rPr>
        <w:t xml:space="preserve"> 104, numeral 7º</w:t>
      </w:r>
      <w:r w:rsidR="00F47FBC" w:rsidRPr="00F514E8">
        <w:rPr>
          <w:rFonts w:ascii="Arial" w:hAnsi="Arial" w:cs="Arial"/>
          <w:sz w:val="24"/>
          <w:szCs w:val="24"/>
        </w:rPr>
        <w:t>, y 149, numeral 7º</w:t>
      </w:r>
      <w:r w:rsidR="00B429BB" w:rsidRPr="00F514E8">
        <w:rPr>
          <w:rFonts w:ascii="Arial" w:hAnsi="Arial" w:cs="Arial"/>
          <w:sz w:val="24"/>
          <w:szCs w:val="24"/>
        </w:rPr>
        <w:t xml:space="preserve"> del C</w:t>
      </w:r>
      <w:r w:rsidR="00F47FBC" w:rsidRPr="00F514E8">
        <w:rPr>
          <w:rFonts w:ascii="Arial" w:hAnsi="Arial" w:cs="Arial"/>
          <w:sz w:val="24"/>
          <w:szCs w:val="24"/>
        </w:rPr>
        <w:t>PACA</w:t>
      </w:r>
      <w:r w:rsidR="00B429BB" w:rsidRPr="00F514E8">
        <w:rPr>
          <w:rStyle w:val="Refdenotaalpie"/>
          <w:rFonts w:ascii="Arial" w:hAnsi="Arial" w:cs="Arial"/>
          <w:sz w:val="24"/>
          <w:szCs w:val="24"/>
        </w:rPr>
        <w:footnoteReference w:id="33"/>
      </w:r>
      <w:r w:rsidR="00F47FBC" w:rsidRPr="00F514E8">
        <w:rPr>
          <w:rFonts w:ascii="Arial" w:hAnsi="Arial" w:cs="Arial"/>
          <w:sz w:val="24"/>
          <w:szCs w:val="24"/>
        </w:rPr>
        <w:t xml:space="preserve">, y por el artículo 46, inciso 3º de la </w:t>
      </w:r>
      <w:r w:rsidR="00190430" w:rsidRPr="00F514E8">
        <w:rPr>
          <w:rFonts w:ascii="Arial" w:hAnsi="Arial" w:cs="Arial"/>
          <w:sz w:val="24"/>
          <w:szCs w:val="24"/>
        </w:rPr>
        <w:t>l</w:t>
      </w:r>
      <w:r w:rsidR="00F47FBC" w:rsidRPr="00F514E8">
        <w:rPr>
          <w:rFonts w:ascii="Arial" w:hAnsi="Arial" w:cs="Arial"/>
          <w:sz w:val="24"/>
          <w:szCs w:val="24"/>
        </w:rPr>
        <w:t>ey 1563 de 2012</w:t>
      </w:r>
      <w:r w:rsidR="00F47FBC" w:rsidRPr="00F514E8">
        <w:rPr>
          <w:rStyle w:val="Refdenotaalpie"/>
          <w:rFonts w:ascii="Arial" w:hAnsi="Arial" w:cs="Arial"/>
          <w:sz w:val="24"/>
          <w:szCs w:val="24"/>
        </w:rPr>
        <w:footnoteReference w:id="34"/>
      </w:r>
      <w:r w:rsidR="00B429BB" w:rsidRPr="00F514E8">
        <w:rPr>
          <w:rFonts w:ascii="Arial" w:hAnsi="Arial" w:cs="Arial"/>
          <w:sz w:val="24"/>
          <w:szCs w:val="24"/>
        </w:rPr>
        <w:t xml:space="preserve">.   </w:t>
      </w:r>
      <w:r w:rsidR="002166D2" w:rsidRPr="00F514E8">
        <w:rPr>
          <w:rFonts w:ascii="Arial" w:hAnsi="Arial" w:cs="Arial"/>
          <w:sz w:val="24"/>
          <w:szCs w:val="24"/>
        </w:rPr>
        <w:t xml:space="preserve"> </w:t>
      </w:r>
    </w:p>
    <w:p w14:paraId="40B261E5" w14:textId="77777777" w:rsidR="00C44AF4" w:rsidRPr="00F514E8" w:rsidRDefault="00C44AF4" w:rsidP="00725D19">
      <w:pPr>
        <w:spacing w:after="0" w:line="240" w:lineRule="auto"/>
        <w:ind w:right="51"/>
        <w:jc w:val="both"/>
        <w:rPr>
          <w:rFonts w:ascii="Arial" w:hAnsi="Arial" w:cs="Arial"/>
          <w:sz w:val="24"/>
          <w:szCs w:val="24"/>
        </w:rPr>
      </w:pPr>
    </w:p>
    <w:p w14:paraId="16625A79" w14:textId="77777777" w:rsidR="00311D66" w:rsidRPr="00F514E8" w:rsidRDefault="00B429BB" w:rsidP="00725D19">
      <w:pPr>
        <w:spacing w:after="0" w:line="240" w:lineRule="auto"/>
        <w:ind w:right="51"/>
        <w:jc w:val="both"/>
        <w:rPr>
          <w:rFonts w:ascii="Arial" w:hAnsi="Arial" w:cs="Arial"/>
          <w:sz w:val="24"/>
          <w:szCs w:val="24"/>
        </w:rPr>
      </w:pPr>
      <w:r w:rsidRPr="00F514E8">
        <w:rPr>
          <w:rFonts w:ascii="Arial" w:hAnsi="Arial" w:cs="Arial"/>
          <w:sz w:val="24"/>
          <w:szCs w:val="24"/>
        </w:rPr>
        <w:t xml:space="preserve">Además, porque técnicamente hablando, los recursos extraordinarios contra los laudos arbitrales no constituyen un litigio o una controversia sobre la relación </w:t>
      </w:r>
      <w:r w:rsidRPr="00F514E8">
        <w:rPr>
          <w:rFonts w:ascii="Arial" w:hAnsi="Arial" w:cs="Arial"/>
          <w:sz w:val="24"/>
          <w:szCs w:val="24"/>
        </w:rPr>
        <w:lastRenderedPageBreak/>
        <w:t>contractual que suscitó la convocatoria al tribunal de arbitramento, sino sobre el laudo</w:t>
      </w:r>
      <w:r w:rsidR="00E94348" w:rsidRPr="00F514E8">
        <w:rPr>
          <w:rFonts w:ascii="Arial" w:hAnsi="Arial" w:cs="Arial"/>
          <w:sz w:val="24"/>
          <w:szCs w:val="24"/>
        </w:rPr>
        <w:t>,</w:t>
      </w:r>
      <w:r w:rsidRPr="00F514E8">
        <w:rPr>
          <w:rFonts w:ascii="Arial" w:hAnsi="Arial" w:cs="Arial"/>
          <w:sz w:val="24"/>
          <w:szCs w:val="24"/>
        </w:rPr>
        <w:t xml:space="preserve"> en sí mismo. Es decir, el objeto de dichos recursos no es el contrato </w:t>
      </w:r>
      <w:r w:rsidR="005D28C1" w:rsidRPr="00F514E8">
        <w:rPr>
          <w:rFonts w:ascii="Arial" w:hAnsi="Arial" w:cs="Arial"/>
          <w:sz w:val="24"/>
          <w:szCs w:val="24"/>
        </w:rPr>
        <w:t xml:space="preserve">(hipótesis prevista en el artículo 105, numeral 1º del CPACA), sino el laudo arbitral.  </w:t>
      </w:r>
      <w:r w:rsidRPr="00F514E8">
        <w:rPr>
          <w:rFonts w:ascii="Arial" w:hAnsi="Arial" w:cs="Arial"/>
          <w:sz w:val="24"/>
          <w:szCs w:val="24"/>
        </w:rPr>
        <w:t xml:space="preserve"> </w:t>
      </w:r>
      <w:r w:rsidR="00880350" w:rsidRPr="00F514E8">
        <w:rPr>
          <w:rFonts w:ascii="Arial" w:hAnsi="Arial" w:cs="Arial"/>
          <w:sz w:val="24"/>
          <w:szCs w:val="24"/>
        </w:rPr>
        <w:t xml:space="preserve">    </w:t>
      </w:r>
    </w:p>
    <w:p w14:paraId="563583FC" w14:textId="77777777" w:rsidR="00F47FBC" w:rsidRPr="00F514E8" w:rsidRDefault="00F47FBC" w:rsidP="00725D19">
      <w:pPr>
        <w:spacing w:after="0" w:line="240" w:lineRule="auto"/>
        <w:ind w:right="51"/>
        <w:jc w:val="both"/>
        <w:rPr>
          <w:rFonts w:ascii="Arial" w:hAnsi="Arial" w:cs="Arial"/>
          <w:b/>
          <w:sz w:val="24"/>
          <w:szCs w:val="24"/>
        </w:rPr>
      </w:pPr>
    </w:p>
    <w:p w14:paraId="5E1544F2" w14:textId="77777777" w:rsidR="00DD01A7" w:rsidRPr="00F514E8" w:rsidRDefault="00E94348" w:rsidP="008B3FAB">
      <w:pPr>
        <w:tabs>
          <w:tab w:val="left" w:pos="567"/>
        </w:tabs>
        <w:spacing w:after="0" w:line="240" w:lineRule="auto"/>
        <w:ind w:right="51"/>
        <w:jc w:val="both"/>
        <w:rPr>
          <w:rFonts w:ascii="Arial" w:hAnsi="Arial" w:cs="Arial"/>
          <w:b/>
          <w:sz w:val="24"/>
          <w:szCs w:val="24"/>
        </w:rPr>
      </w:pPr>
      <w:r w:rsidRPr="00F514E8">
        <w:rPr>
          <w:rFonts w:ascii="Arial" w:hAnsi="Arial" w:cs="Arial"/>
          <w:b/>
          <w:sz w:val="24"/>
          <w:szCs w:val="24"/>
        </w:rPr>
        <w:t>D.</w:t>
      </w:r>
      <w:r w:rsidR="00311D66" w:rsidRPr="00F514E8">
        <w:rPr>
          <w:rFonts w:ascii="Arial" w:hAnsi="Arial" w:cs="Arial"/>
          <w:b/>
          <w:sz w:val="24"/>
          <w:szCs w:val="24"/>
        </w:rPr>
        <w:t xml:space="preserve">  </w:t>
      </w:r>
      <w:r w:rsidR="00604403" w:rsidRPr="00F514E8">
        <w:rPr>
          <w:rFonts w:ascii="Arial" w:hAnsi="Arial" w:cs="Arial"/>
          <w:b/>
          <w:sz w:val="24"/>
          <w:szCs w:val="24"/>
        </w:rPr>
        <w:t>Caducidad y prescripción</w:t>
      </w:r>
    </w:p>
    <w:p w14:paraId="7102CF0E" w14:textId="77777777" w:rsidR="00604403" w:rsidRPr="00F514E8" w:rsidRDefault="00604403" w:rsidP="00725D19">
      <w:pPr>
        <w:spacing w:after="0" w:line="240" w:lineRule="auto"/>
        <w:ind w:right="51"/>
        <w:jc w:val="both"/>
        <w:rPr>
          <w:rFonts w:ascii="Arial" w:hAnsi="Arial" w:cs="Arial"/>
          <w:b/>
          <w:sz w:val="24"/>
          <w:szCs w:val="24"/>
        </w:rPr>
      </w:pPr>
    </w:p>
    <w:p w14:paraId="13CE2F72" w14:textId="77777777" w:rsidR="00604403" w:rsidRPr="00F514E8" w:rsidRDefault="005D28C1" w:rsidP="00725D19">
      <w:pPr>
        <w:spacing w:after="0" w:line="240" w:lineRule="auto"/>
        <w:ind w:right="51"/>
        <w:jc w:val="both"/>
        <w:rPr>
          <w:rFonts w:ascii="Arial" w:hAnsi="Arial" w:cs="Arial"/>
          <w:sz w:val="24"/>
          <w:szCs w:val="24"/>
        </w:rPr>
      </w:pPr>
      <w:r w:rsidRPr="00F514E8">
        <w:rPr>
          <w:rFonts w:ascii="Arial" w:hAnsi="Arial" w:cs="Arial"/>
          <w:sz w:val="24"/>
          <w:szCs w:val="24"/>
        </w:rPr>
        <w:t xml:space="preserve">Finalmente, para </w:t>
      </w:r>
      <w:r w:rsidR="00A04DFD" w:rsidRPr="00F514E8">
        <w:rPr>
          <w:rFonts w:ascii="Arial" w:hAnsi="Arial" w:cs="Arial"/>
          <w:sz w:val="24"/>
          <w:szCs w:val="24"/>
        </w:rPr>
        <w:t xml:space="preserve">contestar </w:t>
      </w:r>
      <w:r w:rsidRPr="00F514E8">
        <w:rPr>
          <w:rFonts w:ascii="Arial" w:hAnsi="Arial" w:cs="Arial"/>
          <w:sz w:val="24"/>
          <w:szCs w:val="24"/>
        </w:rPr>
        <w:t>a la pregunta sobre cuáles serían los términos de prescripción o de caducidad de las acciones relacionadas con los contratos celebrados por FONADE</w:t>
      </w:r>
      <w:r w:rsidR="00E94348" w:rsidRPr="00F514E8">
        <w:rPr>
          <w:rFonts w:ascii="Arial" w:hAnsi="Arial" w:cs="Arial"/>
          <w:sz w:val="24"/>
          <w:szCs w:val="24"/>
        </w:rPr>
        <w:t>,</w:t>
      </w:r>
      <w:r w:rsidRPr="00F514E8">
        <w:rPr>
          <w:rFonts w:ascii="Arial" w:hAnsi="Arial" w:cs="Arial"/>
          <w:sz w:val="24"/>
          <w:szCs w:val="24"/>
        </w:rPr>
        <w:t xml:space="preserve"> en el </w:t>
      </w:r>
      <w:r w:rsidR="002478CF" w:rsidRPr="00F514E8">
        <w:rPr>
          <w:rFonts w:ascii="Arial" w:hAnsi="Arial" w:cs="Arial"/>
          <w:sz w:val="24"/>
          <w:szCs w:val="24"/>
        </w:rPr>
        <w:t>evento de acudir ante la Jurisdicción Ordinaria</w:t>
      </w:r>
      <w:r w:rsidR="00767E51" w:rsidRPr="00F514E8">
        <w:rPr>
          <w:rFonts w:ascii="Arial" w:hAnsi="Arial" w:cs="Arial"/>
          <w:sz w:val="24"/>
          <w:szCs w:val="24"/>
        </w:rPr>
        <w:t xml:space="preserve">, baste </w:t>
      </w:r>
      <w:r w:rsidR="00F06E37" w:rsidRPr="00F514E8">
        <w:rPr>
          <w:rFonts w:ascii="Arial" w:hAnsi="Arial" w:cs="Arial"/>
          <w:sz w:val="24"/>
          <w:szCs w:val="24"/>
        </w:rPr>
        <w:t>recordar</w:t>
      </w:r>
      <w:r w:rsidR="00BD28C5" w:rsidRPr="00F514E8">
        <w:rPr>
          <w:rFonts w:ascii="Arial" w:hAnsi="Arial" w:cs="Arial"/>
          <w:sz w:val="24"/>
          <w:szCs w:val="24"/>
        </w:rPr>
        <w:t xml:space="preserve"> </w:t>
      </w:r>
      <w:r w:rsidR="002478CF" w:rsidRPr="00F514E8">
        <w:rPr>
          <w:rFonts w:ascii="Arial" w:hAnsi="Arial" w:cs="Arial"/>
          <w:sz w:val="24"/>
          <w:szCs w:val="24"/>
        </w:rPr>
        <w:t>que</w:t>
      </w:r>
      <w:r w:rsidR="00767E51" w:rsidRPr="00F514E8">
        <w:rPr>
          <w:rFonts w:ascii="Arial" w:hAnsi="Arial" w:cs="Arial"/>
          <w:sz w:val="24"/>
          <w:szCs w:val="24"/>
        </w:rPr>
        <w:t>, en tanto que</w:t>
      </w:r>
      <w:r w:rsidR="002478CF" w:rsidRPr="00F514E8">
        <w:rPr>
          <w:rFonts w:ascii="Arial" w:hAnsi="Arial" w:cs="Arial"/>
          <w:sz w:val="24"/>
          <w:szCs w:val="24"/>
        </w:rPr>
        <w:t xml:space="preserve"> la</w:t>
      </w:r>
      <w:r w:rsidR="00E94348" w:rsidRPr="00F514E8">
        <w:rPr>
          <w:rFonts w:ascii="Arial" w:hAnsi="Arial" w:cs="Arial"/>
          <w:sz w:val="24"/>
          <w:szCs w:val="24"/>
        </w:rPr>
        <w:t>s</w:t>
      </w:r>
      <w:r w:rsidR="002478CF" w:rsidRPr="00F514E8">
        <w:rPr>
          <w:rFonts w:ascii="Arial" w:hAnsi="Arial" w:cs="Arial"/>
          <w:sz w:val="24"/>
          <w:szCs w:val="24"/>
        </w:rPr>
        <w:t xml:space="preserve"> vía</w:t>
      </w:r>
      <w:r w:rsidR="00E94348" w:rsidRPr="00F514E8">
        <w:rPr>
          <w:rFonts w:ascii="Arial" w:hAnsi="Arial" w:cs="Arial"/>
          <w:sz w:val="24"/>
          <w:szCs w:val="24"/>
        </w:rPr>
        <w:t>s</w:t>
      </w:r>
      <w:r w:rsidR="002478CF" w:rsidRPr="00F514E8">
        <w:rPr>
          <w:rFonts w:ascii="Arial" w:hAnsi="Arial" w:cs="Arial"/>
          <w:sz w:val="24"/>
          <w:szCs w:val="24"/>
        </w:rPr>
        <w:t xml:space="preserve"> de acceso a la Jurisdicción </w:t>
      </w:r>
      <w:proofErr w:type="gramStart"/>
      <w:r w:rsidR="002478CF" w:rsidRPr="00F514E8">
        <w:rPr>
          <w:rFonts w:ascii="Arial" w:hAnsi="Arial" w:cs="Arial"/>
          <w:sz w:val="24"/>
          <w:szCs w:val="24"/>
        </w:rPr>
        <w:t>Contencioso Administrativa</w:t>
      </w:r>
      <w:proofErr w:type="gramEnd"/>
      <w:r w:rsidR="002478CF" w:rsidRPr="00F514E8">
        <w:rPr>
          <w:rFonts w:ascii="Arial" w:hAnsi="Arial" w:cs="Arial"/>
          <w:sz w:val="24"/>
          <w:szCs w:val="24"/>
        </w:rPr>
        <w:t>,</w:t>
      </w:r>
      <w:r w:rsidR="00767E51" w:rsidRPr="00F514E8">
        <w:rPr>
          <w:rFonts w:ascii="Arial" w:hAnsi="Arial" w:cs="Arial"/>
          <w:sz w:val="24"/>
          <w:szCs w:val="24"/>
        </w:rPr>
        <w:t xml:space="preserve"> o medios de control,</w:t>
      </w:r>
      <w:r w:rsidR="002478CF" w:rsidRPr="00F514E8">
        <w:rPr>
          <w:rFonts w:ascii="Arial" w:hAnsi="Arial" w:cs="Arial"/>
          <w:sz w:val="24"/>
          <w:szCs w:val="24"/>
        </w:rPr>
        <w:t xml:space="preserve"> está</w:t>
      </w:r>
      <w:r w:rsidR="00767E51" w:rsidRPr="00F514E8">
        <w:rPr>
          <w:rFonts w:ascii="Arial" w:hAnsi="Arial" w:cs="Arial"/>
          <w:sz w:val="24"/>
          <w:szCs w:val="24"/>
        </w:rPr>
        <w:t>n</w:t>
      </w:r>
      <w:r w:rsidR="002478CF" w:rsidRPr="00F514E8">
        <w:rPr>
          <w:rFonts w:ascii="Arial" w:hAnsi="Arial" w:cs="Arial"/>
          <w:sz w:val="24"/>
          <w:szCs w:val="24"/>
        </w:rPr>
        <w:t xml:space="preserve"> sujet</w:t>
      </w:r>
      <w:r w:rsidR="00E94348" w:rsidRPr="00F514E8">
        <w:rPr>
          <w:rFonts w:ascii="Arial" w:hAnsi="Arial" w:cs="Arial"/>
          <w:sz w:val="24"/>
          <w:szCs w:val="24"/>
        </w:rPr>
        <w:t>a</w:t>
      </w:r>
      <w:r w:rsidR="00767E51" w:rsidRPr="00F514E8">
        <w:rPr>
          <w:rFonts w:ascii="Arial" w:hAnsi="Arial" w:cs="Arial"/>
          <w:sz w:val="24"/>
          <w:szCs w:val="24"/>
        </w:rPr>
        <w:t>s</w:t>
      </w:r>
      <w:r w:rsidR="002478CF" w:rsidRPr="00F514E8">
        <w:rPr>
          <w:rFonts w:ascii="Arial" w:hAnsi="Arial" w:cs="Arial"/>
          <w:sz w:val="24"/>
          <w:szCs w:val="24"/>
        </w:rPr>
        <w:t xml:space="preserve"> a término</w:t>
      </w:r>
      <w:r w:rsidR="00767E51" w:rsidRPr="00F514E8">
        <w:rPr>
          <w:rFonts w:ascii="Arial" w:hAnsi="Arial" w:cs="Arial"/>
          <w:sz w:val="24"/>
          <w:szCs w:val="24"/>
        </w:rPr>
        <w:t>s</w:t>
      </w:r>
      <w:r w:rsidR="002478CF" w:rsidRPr="00F514E8">
        <w:rPr>
          <w:rFonts w:ascii="Arial" w:hAnsi="Arial" w:cs="Arial"/>
          <w:sz w:val="24"/>
          <w:szCs w:val="24"/>
        </w:rPr>
        <w:t xml:space="preserve"> especial</w:t>
      </w:r>
      <w:r w:rsidR="00767E51" w:rsidRPr="00F514E8">
        <w:rPr>
          <w:rFonts w:ascii="Arial" w:hAnsi="Arial" w:cs="Arial"/>
          <w:sz w:val="24"/>
          <w:szCs w:val="24"/>
        </w:rPr>
        <w:t>es</w:t>
      </w:r>
      <w:r w:rsidR="002478CF" w:rsidRPr="00F514E8">
        <w:rPr>
          <w:rFonts w:ascii="Arial" w:hAnsi="Arial" w:cs="Arial"/>
          <w:sz w:val="24"/>
          <w:szCs w:val="24"/>
        </w:rPr>
        <w:t xml:space="preserve"> de </w:t>
      </w:r>
      <w:r w:rsidR="002478CF" w:rsidRPr="00F514E8">
        <w:rPr>
          <w:rFonts w:ascii="Arial" w:hAnsi="Arial" w:cs="Arial"/>
          <w:b/>
          <w:sz w:val="24"/>
          <w:szCs w:val="24"/>
        </w:rPr>
        <w:t>caducidad</w:t>
      </w:r>
      <w:r w:rsidR="00767E51" w:rsidRPr="00F514E8">
        <w:rPr>
          <w:rFonts w:ascii="Arial" w:hAnsi="Arial" w:cs="Arial"/>
          <w:sz w:val="24"/>
          <w:szCs w:val="24"/>
        </w:rPr>
        <w:t xml:space="preserve">, no ocurre lo mismo </w:t>
      </w:r>
      <w:r w:rsidR="00BD28C5" w:rsidRPr="00F514E8">
        <w:rPr>
          <w:rFonts w:ascii="Arial" w:hAnsi="Arial" w:cs="Arial"/>
          <w:sz w:val="24"/>
          <w:szCs w:val="24"/>
        </w:rPr>
        <w:t>en la Jurisdicción Ordinaria</w:t>
      </w:r>
      <w:r w:rsidR="00767E51" w:rsidRPr="00F514E8">
        <w:rPr>
          <w:rFonts w:ascii="Arial" w:hAnsi="Arial" w:cs="Arial"/>
          <w:sz w:val="24"/>
          <w:szCs w:val="24"/>
        </w:rPr>
        <w:t xml:space="preserve">. En esta, </w:t>
      </w:r>
      <w:r w:rsidR="00BD28C5" w:rsidRPr="00F514E8">
        <w:rPr>
          <w:rFonts w:ascii="Arial" w:hAnsi="Arial" w:cs="Arial"/>
          <w:sz w:val="24"/>
          <w:szCs w:val="24"/>
        </w:rPr>
        <w:t>de acuerdo con lo dispuesto en el Código de Procedimiento Civil y</w:t>
      </w:r>
      <w:r w:rsidR="00E94348" w:rsidRPr="00F514E8">
        <w:rPr>
          <w:rFonts w:ascii="Arial" w:hAnsi="Arial" w:cs="Arial"/>
          <w:sz w:val="24"/>
          <w:szCs w:val="24"/>
        </w:rPr>
        <w:t xml:space="preserve"> </w:t>
      </w:r>
      <w:r w:rsidR="00BD28C5" w:rsidRPr="00F514E8">
        <w:rPr>
          <w:rFonts w:ascii="Arial" w:hAnsi="Arial" w:cs="Arial"/>
          <w:sz w:val="24"/>
          <w:szCs w:val="24"/>
        </w:rPr>
        <w:t xml:space="preserve">en </w:t>
      </w:r>
      <w:r w:rsidR="00767E51" w:rsidRPr="00F514E8">
        <w:rPr>
          <w:rFonts w:ascii="Arial" w:hAnsi="Arial" w:cs="Arial"/>
          <w:sz w:val="24"/>
          <w:szCs w:val="24"/>
        </w:rPr>
        <w:t>el Código General del Proceso (l</w:t>
      </w:r>
      <w:r w:rsidR="00BD28C5" w:rsidRPr="00F514E8">
        <w:rPr>
          <w:rFonts w:ascii="Arial" w:hAnsi="Arial" w:cs="Arial"/>
          <w:sz w:val="24"/>
          <w:szCs w:val="24"/>
        </w:rPr>
        <w:t xml:space="preserve">ey 1564 de 2012), por regla general, el ejercicio del derecho de acción no se encuentra sujeto a plazos de caducidad, pero el </w:t>
      </w:r>
      <w:r w:rsidR="00E94348" w:rsidRPr="00F514E8">
        <w:rPr>
          <w:rFonts w:ascii="Arial" w:hAnsi="Arial" w:cs="Arial"/>
          <w:sz w:val="24"/>
          <w:szCs w:val="24"/>
        </w:rPr>
        <w:t>sujeto pasivo de la acción</w:t>
      </w:r>
      <w:r w:rsidR="00767E51" w:rsidRPr="00F514E8">
        <w:rPr>
          <w:rFonts w:ascii="Arial" w:hAnsi="Arial" w:cs="Arial"/>
          <w:sz w:val="24"/>
          <w:szCs w:val="24"/>
        </w:rPr>
        <w:t xml:space="preserve"> </w:t>
      </w:r>
      <w:r w:rsidR="00E94348" w:rsidRPr="00F514E8">
        <w:rPr>
          <w:rStyle w:val="Refdenotaalpie"/>
          <w:rFonts w:ascii="Arial" w:hAnsi="Arial" w:cs="Arial"/>
          <w:sz w:val="24"/>
          <w:szCs w:val="24"/>
        </w:rPr>
        <w:footnoteReference w:id="35"/>
      </w:r>
      <w:r w:rsidR="00E94348" w:rsidRPr="00F514E8">
        <w:rPr>
          <w:rFonts w:ascii="Arial" w:hAnsi="Arial" w:cs="Arial"/>
          <w:sz w:val="24"/>
          <w:szCs w:val="24"/>
        </w:rPr>
        <w:t xml:space="preserve"> </w:t>
      </w:r>
      <w:r w:rsidR="00BD28C5" w:rsidRPr="00F514E8">
        <w:rPr>
          <w:rFonts w:ascii="Arial" w:hAnsi="Arial" w:cs="Arial"/>
          <w:sz w:val="24"/>
          <w:szCs w:val="24"/>
        </w:rPr>
        <w:t>puede proponer, como medio de defensa, la prescripción</w:t>
      </w:r>
      <w:r w:rsidR="00B4281C" w:rsidRPr="00F514E8">
        <w:rPr>
          <w:rFonts w:ascii="Arial" w:hAnsi="Arial" w:cs="Arial"/>
          <w:sz w:val="24"/>
          <w:szCs w:val="24"/>
        </w:rPr>
        <w:t xml:space="preserve"> de la acción</w:t>
      </w:r>
      <w:r w:rsidR="00BD28C5" w:rsidRPr="00F514E8">
        <w:rPr>
          <w:rFonts w:ascii="Arial" w:hAnsi="Arial" w:cs="Arial"/>
          <w:sz w:val="24"/>
          <w:szCs w:val="24"/>
        </w:rPr>
        <w:t xml:space="preserve">, </w:t>
      </w:r>
      <w:r w:rsidR="00533F10" w:rsidRPr="00F514E8">
        <w:rPr>
          <w:rFonts w:ascii="Arial" w:hAnsi="Arial" w:cs="Arial"/>
          <w:sz w:val="24"/>
          <w:szCs w:val="24"/>
        </w:rPr>
        <w:t xml:space="preserve">que </w:t>
      </w:r>
      <w:r w:rsidR="00E94348" w:rsidRPr="00F514E8">
        <w:rPr>
          <w:rFonts w:ascii="Arial" w:hAnsi="Arial" w:cs="Arial"/>
          <w:sz w:val="24"/>
          <w:szCs w:val="24"/>
        </w:rPr>
        <w:t xml:space="preserve">equivale, </w:t>
      </w:r>
      <w:r w:rsidR="00B4281C" w:rsidRPr="00F514E8">
        <w:rPr>
          <w:rFonts w:ascii="Arial" w:hAnsi="Arial" w:cs="Arial"/>
          <w:sz w:val="24"/>
          <w:szCs w:val="24"/>
        </w:rPr>
        <w:t>en este caso,</w:t>
      </w:r>
      <w:r w:rsidR="00BD28C5" w:rsidRPr="00F514E8">
        <w:rPr>
          <w:rFonts w:ascii="Arial" w:hAnsi="Arial" w:cs="Arial"/>
          <w:sz w:val="24"/>
          <w:szCs w:val="24"/>
        </w:rPr>
        <w:t xml:space="preserve"> a la prescripción extintiva del respectivo derecho.</w:t>
      </w:r>
    </w:p>
    <w:p w14:paraId="67FED67E" w14:textId="77777777" w:rsidR="00BD28C5" w:rsidRPr="00F514E8" w:rsidRDefault="00BD28C5" w:rsidP="00725D19">
      <w:pPr>
        <w:spacing w:after="0" w:line="240" w:lineRule="auto"/>
        <w:ind w:right="51"/>
        <w:jc w:val="both"/>
        <w:rPr>
          <w:rFonts w:ascii="Arial" w:hAnsi="Arial" w:cs="Arial"/>
          <w:sz w:val="24"/>
          <w:szCs w:val="24"/>
        </w:rPr>
      </w:pPr>
      <w:r w:rsidRPr="00F514E8">
        <w:rPr>
          <w:rFonts w:ascii="Arial" w:hAnsi="Arial" w:cs="Arial"/>
          <w:sz w:val="24"/>
          <w:szCs w:val="24"/>
        </w:rPr>
        <w:t xml:space="preserve"> </w:t>
      </w:r>
    </w:p>
    <w:p w14:paraId="367794D0" w14:textId="77777777" w:rsidR="00F862BA" w:rsidRPr="00F514E8" w:rsidRDefault="00767E51" w:rsidP="00725D19">
      <w:pPr>
        <w:spacing w:after="0" w:line="240" w:lineRule="auto"/>
        <w:ind w:right="51"/>
        <w:jc w:val="both"/>
        <w:rPr>
          <w:rFonts w:ascii="Arial" w:hAnsi="Arial" w:cs="Arial"/>
          <w:sz w:val="24"/>
          <w:szCs w:val="24"/>
        </w:rPr>
      </w:pPr>
      <w:r w:rsidRPr="00F514E8">
        <w:rPr>
          <w:rFonts w:ascii="Arial" w:hAnsi="Arial" w:cs="Arial"/>
          <w:sz w:val="24"/>
          <w:szCs w:val="24"/>
        </w:rPr>
        <w:t>Así las cosas</w:t>
      </w:r>
      <w:r w:rsidR="00BD28C5" w:rsidRPr="00F514E8">
        <w:rPr>
          <w:rFonts w:ascii="Arial" w:hAnsi="Arial" w:cs="Arial"/>
          <w:sz w:val="24"/>
          <w:szCs w:val="24"/>
        </w:rPr>
        <w:t>, en el evento de acudir FONADE a la Jurisdicción Ordinaria, ya sea como demandante o como demandado, o como tercero interviniente, no estaría sometido a términos de caducidad, por regla general</w:t>
      </w:r>
      <w:r w:rsidR="00F06E37" w:rsidRPr="00F514E8">
        <w:rPr>
          <w:rFonts w:ascii="Arial" w:hAnsi="Arial" w:cs="Arial"/>
          <w:sz w:val="24"/>
          <w:szCs w:val="24"/>
        </w:rPr>
        <w:t>,</w:t>
      </w:r>
      <w:r w:rsidR="00BD28C5" w:rsidRPr="00F514E8">
        <w:rPr>
          <w:rStyle w:val="Refdenotaalpie"/>
          <w:rFonts w:ascii="Arial" w:hAnsi="Arial" w:cs="Arial"/>
          <w:sz w:val="24"/>
          <w:szCs w:val="24"/>
        </w:rPr>
        <w:footnoteReference w:id="36"/>
      </w:r>
      <w:r w:rsidR="00F06E37" w:rsidRPr="00F514E8">
        <w:rPr>
          <w:rFonts w:ascii="Arial" w:hAnsi="Arial" w:cs="Arial"/>
          <w:sz w:val="24"/>
          <w:szCs w:val="24"/>
        </w:rPr>
        <w:t xml:space="preserve"> </w:t>
      </w:r>
      <w:r w:rsidR="00B4281C" w:rsidRPr="00F514E8">
        <w:rPr>
          <w:rFonts w:ascii="Arial" w:hAnsi="Arial" w:cs="Arial"/>
          <w:sz w:val="24"/>
          <w:szCs w:val="24"/>
        </w:rPr>
        <w:t xml:space="preserve">independientemente del régimen jurídico sustancial aplicable al contrato, </w:t>
      </w:r>
      <w:r w:rsidR="00BD28C5" w:rsidRPr="00F514E8">
        <w:rPr>
          <w:rFonts w:ascii="Arial" w:hAnsi="Arial" w:cs="Arial"/>
          <w:sz w:val="24"/>
          <w:szCs w:val="24"/>
        </w:rPr>
        <w:t xml:space="preserve">y </w:t>
      </w:r>
      <w:r w:rsidRPr="00F514E8">
        <w:rPr>
          <w:rFonts w:ascii="Arial" w:hAnsi="Arial" w:cs="Arial"/>
          <w:sz w:val="24"/>
          <w:szCs w:val="24"/>
        </w:rPr>
        <w:t>estaría</w:t>
      </w:r>
      <w:r w:rsidR="00BD28C5" w:rsidRPr="00F514E8">
        <w:rPr>
          <w:rFonts w:ascii="Arial" w:hAnsi="Arial" w:cs="Arial"/>
          <w:sz w:val="24"/>
          <w:szCs w:val="24"/>
        </w:rPr>
        <w:t xml:space="preserve"> sujeto</w:t>
      </w:r>
      <w:r w:rsidR="008D0DD0" w:rsidRPr="00F514E8">
        <w:rPr>
          <w:rFonts w:ascii="Arial" w:hAnsi="Arial" w:cs="Arial"/>
          <w:sz w:val="24"/>
          <w:szCs w:val="24"/>
        </w:rPr>
        <w:t xml:space="preserve"> a </w:t>
      </w:r>
      <w:r w:rsidR="00BD28C5" w:rsidRPr="00F514E8">
        <w:rPr>
          <w:rFonts w:ascii="Arial" w:hAnsi="Arial" w:cs="Arial"/>
          <w:sz w:val="24"/>
          <w:szCs w:val="24"/>
        </w:rPr>
        <w:t xml:space="preserve">los términos de prescripción generales consagrados en el </w:t>
      </w:r>
      <w:r w:rsidR="00B4281C" w:rsidRPr="00F514E8">
        <w:rPr>
          <w:rFonts w:ascii="Arial" w:hAnsi="Arial" w:cs="Arial"/>
          <w:sz w:val="24"/>
          <w:szCs w:val="24"/>
        </w:rPr>
        <w:t xml:space="preserve">artículo 2536 del </w:t>
      </w:r>
      <w:r w:rsidR="00BD28C5" w:rsidRPr="00F514E8">
        <w:rPr>
          <w:rFonts w:ascii="Arial" w:hAnsi="Arial" w:cs="Arial"/>
          <w:sz w:val="24"/>
          <w:szCs w:val="24"/>
        </w:rPr>
        <w:t xml:space="preserve">Código Civil, con la modificación </w:t>
      </w:r>
      <w:r w:rsidR="00A10E5B" w:rsidRPr="00F514E8">
        <w:rPr>
          <w:rFonts w:ascii="Arial" w:hAnsi="Arial" w:cs="Arial"/>
          <w:sz w:val="24"/>
          <w:szCs w:val="24"/>
        </w:rPr>
        <w:t xml:space="preserve">efectuada </w:t>
      </w:r>
      <w:r w:rsidR="00BD28C5" w:rsidRPr="00F514E8">
        <w:rPr>
          <w:rFonts w:ascii="Arial" w:hAnsi="Arial" w:cs="Arial"/>
          <w:sz w:val="24"/>
          <w:szCs w:val="24"/>
        </w:rPr>
        <w:t>por e</w:t>
      </w:r>
      <w:r w:rsidR="00B4281C" w:rsidRPr="00F514E8">
        <w:rPr>
          <w:rFonts w:ascii="Arial" w:hAnsi="Arial" w:cs="Arial"/>
          <w:sz w:val="24"/>
          <w:szCs w:val="24"/>
        </w:rPr>
        <w:t xml:space="preserve">l artículo 8º de la </w:t>
      </w:r>
      <w:r w:rsidR="00190430" w:rsidRPr="00F514E8">
        <w:rPr>
          <w:rFonts w:ascii="Arial" w:hAnsi="Arial" w:cs="Arial"/>
          <w:sz w:val="24"/>
          <w:szCs w:val="24"/>
        </w:rPr>
        <w:t>l</w:t>
      </w:r>
      <w:r w:rsidR="00B4281C" w:rsidRPr="00F514E8">
        <w:rPr>
          <w:rFonts w:ascii="Arial" w:hAnsi="Arial" w:cs="Arial"/>
          <w:sz w:val="24"/>
          <w:szCs w:val="24"/>
        </w:rPr>
        <w:t xml:space="preserve">ey 791 de 2002, </w:t>
      </w:r>
      <w:r w:rsidR="00BD28C5" w:rsidRPr="00F514E8">
        <w:rPr>
          <w:rFonts w:ascii="Arial" w:hAnsi="Arial" w:cs="Arial"/>
          <w:sz w:val="24"/>
          <w:szCs w:val="24"/>
        </w:rPr>
        <w:t>es decir</w:t>
      </w:r>
      <w:r w:rsidR="00A10E5B" w:rsidRPr="00F514E8">
        <w:rPr>
          <w:rFonts w:ascii="Arial" w:hAnsi="Arial" w:cs="Arial"/>
          <w:sz w:val="24"/>
          <w:szCs w:val="24"/>
        </w:rPr>
        <w:t>:</w:t>
      </w:r>
      <w:r w:rsidR="00BD28C5" w:rsidRPr="00F514E8">
        <w:rPr>
          <w:rFonts w:ascii="Arial" w:hAnsi="Arial" w:cs="Arial"/>
          <w:sz w:val="24"/>
          <w:szCs w:val="24"/>
        </w:rPr>
        <w:t xml:space="preserve"> diez (10) años para la acción ordinaria y cinco (5) para la acción ejecutiva</w:t>
      </w:r>
      <w:r w:rsidR="00803CCB" w:rsidRPr="00F514E8">
        <w:rPr>
          <w:rFonts w:ascii="Arial" w:hAnsi="Arial" w:cs="Arial"/>
          <w:sz w:val="24"/>
          <w:szCs w:val="24"/>
        </w:rPr>
        <w:t>;</w:t>
      </w:r>
      <w:r w:rsidR="00BD28C5" w:rsidRPr="00F514E8">
        <w:rPr>
          <w:rFonts w:ascii="Arial" w:hAnsi="Arial" w:cs="Arial"/>
          <w:sz w:val="24"/>
          <w:szCs w:val="24"/>
        </w:rPr>
        <w:t xml:space="preserve"> </w:t>
      </w:r>
      <w:r w:rsidR="00B4281C" w:rsidRPr="00F514E8">
        <w:rPr>
          <w:rFonts w:ascii="Arial" w:hAnsi="Arial" w:cs="Arial"/>
          <w:sz w:val="24"/>
          <w:szCs w:val="24"/>
        </w:rPr>
        <w:t xml:space="preserve">o, según el caso, a </w:t>
      </w:r>
      <w:r w:rsidR="00BD28C5" w:rsidRPr="00F514E8">
        <w:rPr>
          <w:rFonts w:ascii="Arial" w:hAnsi="Arial" w:cs="Arial"/>
          <w:sz w:val="24"/>
          <w:szCs w:val="24"/>
        </w:rPr>
        <w:t xml:space="preserve">los plazos </w:t>
      </w:r>
      <w:r w:rsidR="00B4281C" w:rsidRPr="00F514E8">
        <w:rPr>
          <w:rFonts w:ascii="Arial" w:hAnsi="Arial" w:cs="Arial"/>
          <w:sz w:val="24"/>
          <w:szCs w:val="24"/>
        </w:rPr>
        <w:t xml:space="preserve">de prescripción </w:t>
      </w:r>
      <w:r w:rsidR="00BD28C5" w:rsidRPr="00F514E8">
        <w:rPr>
          <w:rFonts w:ascii="Arial" w:hAnsi="Arial" w:cs="Arial"/>
          <w:sz w:val="24"/>
          <w:szCs w:val="24"/>
        </w:rPr>
        <w:t xml:space="preserve">especiales o </w:t>
      </w:r>
      <w:r w:rsidR="00B4281C" w:rsidRPr="00F514E8">
        <w:rPr>
          <w:rFonts w:ascii="Arial" w:hAnsi="Arial" w:cs="Arial"/>
          <w:sz w:val="24"/>
          <w:szCs w:val="24"/>
        </w:rPr>
        <w:t xml:space="preserve">“de corto tiempo” </w:t>
      </w:r>
      <w:r w:rsidR="00BD28C5" w:rsidRPr="00F514E8">
        <w:rPr>
          <w:rFonts w:ascii="Arial" w:hAnsi="Arial" w:cs="Arial"/>
          <w:sz w:val="24"/>
          <w:szCs w:val="24"/>
        </w:rPr>
        <w:t>consagrados en diferentes normas del Código Civil y del Código de Comercio</w:t>
      </w:r>
      <w:r w:rsidR="008D0DD0" w:rsidRPr="00F514E8">
        <w:rPr>
          <w:rFonts w:ascii="Arial" w:hAnsi="Arial" w:cs="Arial"/>
          <w:sz w:val="24"/>
          <w:szCs w:val="24"/>
        </w:rPr>
        <w:t>.</w:t>
      </w:r>
      <w:r w:rsidR="00BD28C5" w:rsidRPr="00F514E8">
        <w:rPr>
          <w:rFonts w:ascii="Arial" w:hAnsi="Arial" w:cs="Arial"/>
          <w:sz w:val="24"/>
          <w:szCs w:val="24"/>
        </w:rPr>
        <w:t xml:space="preserve"> </w:t>
      </w:r>
    </w:p>
    <w:p w14:paraId="2494BEC4" w14:textId="77777777" w:rsidR="00697AEA" w:rsidRPr="00F514E8" w:rsidRDefault="00697AEA" w:rsidP="00725D19">
      <w:pPr>
        <w:spacing w:after="0" w:line="240" w:lineRule="auto"/>
        <w:ind w:right="51"/>
        <w:jc w:val="both"/>
        <w:rPr>
          <w:rFonts w:ascii="Arial" w:hAnsi="Arial" w:cs="Arial"/>
          <w:sz w:val="24"/>
          <w:szCs w:val="24"/>
        </w:rPr>
      </w:pPr>
    </w:p>
    <w:p w14:paraId="79671873" w14:textId="77777777" w:rsidR="008B3FAB" w:rsidRPr="00F514E8" w:rsidRDefault="008B3FAB" w:rsidP="008B3FAB">
      <w:pPr>
        <w:spacing w:after="0" w:line="240" w:lineRule="auto"/>
        <w:ind w:right="51"/>
        <w:jc w:val="both"/>
        <w:rPr>
          <w:rFonts w:ascii="Arial" w:hAnsi="Arial" w:cs="Arial"/>
          <w:b/>
          <w:sz w:val="24"/>
          <w:szCs w:val="24"/>
        </w:rPr>
      </w:pPr>
      <w:r w:rsidRPr="00F514E8">
        <w:rPr>
          <w:rFonts w:ascii="Arial" w:hAnsi="Arial" w:cs="Arial"/>
          <w:b/>
          <w:sz w:val="24"/>
          <w:szCs w:val="24"/>
        </w:rPr>
        <w:t>E.  Improcedencia de cláusulas exorbitantes</w:t>
      </w:r>
    </w:p>
    <w:p w14:paraId="0321FD46" w14:textId="77777777" w:rsidR="008B3FAB" w:rsidRPr="00F514E8" w:rsidRDefault="008B3FAB" w:rsidP="008B3FAB">
      <w:pPr>
        <w:spacing w:after="0" w:line="240" w:lineRule="auto"/>
        <w:ind w:right="51"/>
        <w:jc w:val="both"/>
        <w:rPr>
          <w:rFonts w:ascii="Arial" w:hAnsi="Arial" w:cs="Arial"/>
          <w:b/>
          <w:sz w:val="24"/>
          <w:szCs w:val="24"/>
        </w:rPr>
      </w:pPr>
    </w:p>
    <w:p w14:paraId="49FE25E5" w14:textId="77777777" w:rsidR="004D1F98" w:rsidRPr="00F514E8" w:rsidRDefault="008B3FAB" w:rsidP="008B3FAB">
      <w:pPr>
        <w:spacing w:after="0" w:line="240" w:lineRule="auto"/>
        <w:ind w:right="51"/>
        <w:jc w:val="both"/>
        <w:rPr>
          <w:rFonts w:ascii="Arial" w:hAnsi="Arial" w:cs="Arial"/>
          <w:sz w:val="24"/>
          <w:szCs w:val="24"/>
        </w:rPr>
      </w:pPr>
      <w:r w:rsidRPr="00F514E8">
        <w:rPr>
          <w:rFonts w:ascii="Arial" w:hAnsi="Arial" w:cs="Arial"/>
          <w:sz w:val="24"/>
          <w:szCs w:val="24"/>
        </w:rPr>
        <w:t>Tal como se explicó en el literal B. de este concepto, especialmente en su numeral 4, la Sala considera que FONADE no puede incluir o pactar cláusulas exorbitantes en los contratos que celebre con particulares o con otras entidades públicas (</w:t>
      </w:r>
      <w:r w:rsidR="00E30ABC" w:rsidRPr="00F514E8">
        <w:rPr>
          <w:rFonts w:ascii="Arial" w:hAnsi="Arial" w:cs="Arial"/>
          <w:sz w:val="24"/>
          <w:szCs w:val="24"/>
        </w:rPr>
        <w:t xml:space="preserve">sean éstas de las sujetas </w:t>
      </w:r>
      <w:r w:rsidRPr="00F514E8">
        <w:rPr>
          <w:rFonts w:ascii="Arial" w:hAnsi="Arial" w:cs="Arial"/>
          <w:sz w:val="24"/>
          <w:szCs w:val="24"/>
        </w:rPr>
        <w:t xml:space="preserve">al régimen de la </w:t>
      </w:r>
      <w:r w:rsidR="004D1F98" w:rsidRPr="00F514E8">
        <w:rPr>
          <w:rFonts w:ascii="Arial" w:hAnsi="Arial" w:cs="Arial"/>
          <w:sz w:val="24"/>
          <w:szCs w:val="24"/>
        </w:rPr>
        <w:t>l</w:t>
      </w:r>
      <w:r w:rsidRPr="00F514E8">
        <w:rPr>
          <w:rFonts w:ascii="Arial" w:hAnsi="Arial" w:cs="Arial"/>
          <w:sz w:val="24"/>
          <w:szCs w:val="24"/>
        </w:rPr>
        <w:t>ey 80 de 1993</w:t>
      </w:r>
      <w:r w:rsidR="00E30ABC" w:rsidRPr="00F514E8">
        <w:rPr>
          <w:rFonts w:ascii="Arial" w:hAnsi="Arial" w:cs="Arial"/>
          <w:sz w:val="24"/>
          <w:szCs w:val="24"/>
        </w:rPr>
        <w:t xml:space="preserve"> o no</w:t>
      </w:r>
      <w:r w:rsidRPr="00F514E8">
        <w:rPr>
          <w:rFonts w:ascii="Arial" w:hAnsi="Arial" w:cs="Arial"/>
          <w:sz w:val="24"/>
          <w:szCs w:val="24"/>
        </w:rPr>
        <w:t>), pues en ninguno de</w:t>
      </w:r>
      <w:r w:rsidR="004D1F98" w:rsidRPr="00F514E8">
        <w:rPr>
          <w:rFonts w:ascii="Arial" w:hAnsi="Arial" w:cs="Arial"/>
          <w:sz w:val="24"/>
          <w:szCs w:val="24"/>
        </w:rPr>
        <w:t xml:space="preserve"> dichos </w:t>
      </w:r>
      <w:r w:rsidRPr="00F514E8">
        <w:rPr>
          <w:rFonts w:ascii="Arial" w:hAnsi="Arial" w:cs="Arial"/>
          <w:sz w:val="24"/>
          <w:szCs w:val="24"/>
        </w:rPr>
        <w:t xml:space="preserve">casos FONADE se entiende </w:t>
      </w:r>
      <w:r w:rsidR="00A72A0E" w:rsidRPr="00F514E8">
        <w:rPr>
          <w:rFonts w:ascii="Arial" w:hAnsi="Arial" w:cs="Arial"/>
          <w:sz w:val="24"/>
          <w:szCs w:val="24"/>
        </w:rPr>
        <w:t xml:space="preserve">colocado, </w:t>
      </w:r>
      <w:r w:rsidRPr="00F514E8">
        <w:rPr>
          <w:rFonts w:ascii="Arial" w:hAnsi="Arial" w:cs="Arial"/>
          <w:sz w:val="24"/>
          <w:szCs w:val="24"/>
        </w:rPr>
        <w:t xml:space="preserve">desde el punto de vista jurídico, en una situación de superioridad o preeminencia </w:t>
      </w:r>
      <w:r w:rsidR="004D1F98" w:rsidRPr="00F514E8">
        <w:rPr>
          <w:rFonts w:ascii="Arial" w:hAnsi="Arial" w:cs="Arial"/>
          <w:sz w:val="24"/>
          <w:szCs w:val="24"/>
        </w:rPr>
        <w:t xml:space="preserve">frente a </w:t>
      </w:r>
      <w:r w:rsidRPr="00F514E8">
        <w:rPr>
          <w:rFonts w:ascii="Arial" w:hAnsi="Arial" w:cs="Arial"/>
          <w:sz w:val="24"/>
          <w:szCs w:val="24"/>
        </w:rPr>
        <w:t>su contraparte</w:t>
      </w:r>
      <w:r w:rsidR="004D1F98" w:rsidRPr="00F514E8">
        <w:rPr>
          <w:rFonts w:ascii="Arial" w:hAnsi="Arial" w:cs="Arial"/>
          <w:sz w:val="24"/>
          <w:szCs w:val="24"/>
        </w:rPr>
        <w:t xml:space="preserve">. </w:t>
      </w:r>
    </w:p>
    <w:p w14:paraId="36009644" w14:textId="77777777" w:rsidR="004D1F98" w:rsidRPr="00F514E8" w:rsidRDefault="004D1F98" w:rsidP="008B3FAB">
      <w:pPr>
        <w:spacing w:after="0" w:line="240" w:lineRule="auto"/>
        <w:ind w:right="51"/>
        <w:jc w:val="both"/>
        <w:rPr>
          <w:rFonts w:ascii="Arial" w:hAnsi="Arial" w:cs="Arial"/>
          <w:sz w:val="24"/>
          <w:szCs w:val="24"/>
        </w:rPr>
      </w:pPr>
    </w:p>
    <w:p w14:paraId="4F91718A" w14:textId="77777777" w:rsidR="008B3FAB" w:rsidRPr="00F514E8" w:rsidRDefault="004D1F98" w:rsidP="008B3FAB">
      <w:pPr>
        <w:spacing w:after="0" w:line="240" w:lineRule="auto"/>
        <w:ind w:right="51"/>
        <w:jc w:val="both"/>
        <w:rPr>
          <w:rFonts w:ascii="Arial" w:hAnsi="Arial" w:cs="Arial"/>
          <w:sz w:val="24"/>
          <w:szCs w:val="24"/>
        </w:rPr>
      </w:pPr>
      <w:r w:rsidRPr="00F514E8">
        <w:rPr>
          <w:rFonts w:ascii="Arial" w:hAnsi="Arial" w:cs="Arial"/>
          <w:sz w:val="24"/>
          <w:szCs w:val="24"/>
        </w:rPr>
        <w:t xml:space="preserve">Adicionalmente, en ninguno de los eventos descritos </w:t>
      </w:r>
      <w:r w:rsidR="00AF3A9C" w:rsidRPr="00F514E8">
        <w:rPr>
          <w:rFonts w:ascii="Arial" w:hAnsi="Arial" w:cs="Arial"/>
          <w:sz w:val="24"/>
          <w:szCs w:val="24"/>
        </w:rPr>
        <w:t xml:space="preserve">los </w:t>
      </w:r>
      <w:r w:rsidRPr="00F514E8">
        <w:rPr>
          <w:rFonts w:ascii="Arial" w:hAnsi="Arial" w:cs="Arial"/>
          <w:sz w:val="24"/>
          <w:szCs w:val="24"/>
        </w:rPr>
        <w:t>r</w:t>
      </w:r>
      <w:r w:rsidR="00AF3A9C" w:rsidRPr="00F514E8">
        <w:rPr>
          <w:rFonts w:ascii="Arial" w:hAnsi="Arial" w:cs="Arial"/>
          <w:sz w:val="24"/>
          <w:szCs w:val="24"/>
        </w:rPr>
        <w:t>e</w:t>
      </w:r>
      <w:r w:rsidRPr="00F514E8">
        <w:rPr>
          <w:rFonts w:ascii="Arial" w:hAnsi="Arial" w:cs="Arial"/>
          <w:sz w:val="24"/>
          <w:szCs w:val="24"/>
        </w:rPr>
        <w:t>g</w:t>
      </w:r>
      <w:r w:rsidR="00AF3A9C" w:rsidRPr="00F514E8">
        <w:rPr>
          <w:rFonts w:ascii="Arial" w:hAnsi="Arial" w:cs="Arial"/>
          <w:sz w:val="24"/>
          <w:szCs w:val="24"/>
        </w:rPr>
        <w:t xml:space="preserve">ímenes </w:t>
      </w:r>
      <w:r w:rsidRPr="00F514E8">
        <w:rPr>
          <w:rFonts w:ascii="Arial" w:hAnsi="Arial" w:cs="Arial"/>
          <w:sz w:val="24"/>
          <w:szCs w:val="24"/>
        </w:rPr>
        <w:t>jurídico</w:t>
      </w:r>
      <w:r w:rsidR="00AF3A9C" w:rsidRPr="00F514E8">
        <w:rPr>
          <w:rFonts w:ascii="Arial" w:hAnsi="Arial" w:cs="Arial"/>
          <w:sz w:val="24"/>
          <w:szCs w:val="24"/>
        </w:rPr>
        <w:t>s</w:t>
      </w:r>
      <w:r w:rsidRPr="00F514E8">
        <w:rPr>
          <w:rFonts w:ascii="Arial" w:hAnsi="Arial" w:cs="Arial"/>
          <w:sz w:val="24"/>
          <w:szCs w:val="24"/>
        </w:rPr>
        <w:t xml:space="preserve"> a</w:t>
      </w:r>
      <w:r w:rsidR="00AF3A9C" w:rsidRPr="00F514E8">
        <w:rPr>
          <w:rFonts w:ascii="Arial" w:hAnsi="Arial" w:cs="Arial"/>
          <w:sz w:val="24"/>
          <w:szCs w:val="24"/>
        </w:rPr>
        <w:t xml:space="preserve"> </w:t>
      </w:r>
      <w:r w:rsidRPr="00F514E8">
        <w:rPr>
          <w:rFonts w:ascii="Arial" w:hAnsi="Arial" w:cs="Arial"/>
          <w:sz w:val="24"/>
          <w:szCs w:val="24"/>
        </w:rPr>
        <w:t>l</w:t>
      </w:r>
      <w:r w:rsidR="00AF3A9C" w:rsidRPr="00F514E8">
        <w:rPr>
          <w:rFonts w:ascii="Arial" w:hAnsi="Arial" w:cs="Arial"/>
          <w:sz w:val="24"/>
          <w:szCs w:val="24"/>
        </w:rPr>
        <w:t>os</w:t>
      </w:r>
      <w:r w:rsidRPr="00F514E8">
        <w:rPr>
          <w:rFonts w:ascii="Arial" w:hAnsi="Arial" w:cs="Arial"/>
          <w:sz w:val="24"/>
          <w:szCs w:val="24"/>
        </w:rPr>
        <w:t xml:space="preserve"> cual</w:t>
      </w:r>
      <w:r w:rsidR="00AF3A9C" w:rsidRPr="00F514E8">
        <w:rPr>
          <w:rFonts w:ascii="Arial" w:hAnsi="Arial" w:cs="Arial"/>
          <w:sz w:val="24"/>
          <w:szCs w:val="24"/>
        </w:rPr>
        <w:t>es</w:t>
      </w:r>
      <w:r w:rsidRPr="00F514E8">
        <w:rPr>
          <w:rFonts w:ascii="Arial" w:hAnsi="Arial" w:cs="Arial"/>
          <w:sz w:val="24"/>
          <w:szCs w:val="24"/>
        </w:rPr>
        <w:t xml:space="preserve"> estarían s</w:t>
      </w:r>
      <w:r w:rsidR="00E30ABC" w:rsidRPr="00F514E8">
        <w:rPr>
          <w:rFonts w:ascii="Arial" w:hAnsi="Arial" w:cs="Arial"/>
          <w:sz w:val="24"/>
          <w:szCs w:val="24"/>
        </w:rPr>
        <w:t xml:space="preserve">ometidos </w:t>
      </w:r>
      <w:r w:rsidRPr="00F514E8">
        <w:rPr>
          <w:rFonts w:ascii="Arial" w:hAnsi="Arial" w:cs="Arial"/>
          <w:sz w:val="24"/>
          <w:szCs w:val="24"/>
        </w:rPr>
        <w:t>los respectivos contratos, esto es, el derecho privado, en el caso de los contratos celebrados por FONADE con particulares o con otras entidades públicas excluidas de la aplicación de la ley 80 de 1993, o bien el Estatuto General de Contratación de la Administración Pública, en el caso de los contratos interadministrativos suscritos por FONADE con entidades públicas s</w:t>
      </w:r>
      <w:r w:rsidR="00E30ABC" w:rsidRPr="00F514E8">
        <w:rPr>
          <w:rFonts w:ascii="Arial" w:hAnsi="Arial" w:cs="Arial"/>
          <w:sz w:val="24"/>
          <w:szCs w:val="24"/>
        </w:rPr>
        <w:t>ujetas</w:t>
      </w:r>
      <w:r w:rsidRPr="00F514E8">
        <w:rPr>
          <w:rFonts w:ascii="Arial" w:hAnsi="Arial" w:cs="Arial"/>
          <w:sz w:val="24"/>
          <w:szCs w:val="24"/>
        </w:rPr>
        <w:t xml:space="preserve"> a la </w:t>
      </w:r>
      <w:r w:rsidR="00AF3A9C" w:rsidRPr="00F514E8">
        <w:rPr>
          <w:rFonts w:ascii="Arial" w:hAnsi="Arial" w:cs="Arial"/>
          <w:sz w:val="24"/>
          <w:szCs w:val="24"/>
        </w:rPr>
        <w:t xml:space="preserve">citada ley, </w:t>
      </w:r>
      <w:r w:rsidRPr="00F514E8">
        <w:rPr>
          <w:rFonts w:ascii="Arial" w:hAnsi="Arial" w:cs="Arial"/>
          <w:sz w:val="24"/>
          <w:szCs w:val="24"/>
        </w:rPr>
        <w:t>permite</w:t>
      </w:r>
      <w:r w:rsidR="00AF3A9C" w:rsidRPr="00F514E8">
        <w:rPr>
          <w:rFonts w:ascii="Arial" w:hAnsi="Arial" w:cs="Arial"/>
          <w:sz w:val="24"/>
          <w:szCs w:val="24"/>
        </w:rPr>
        <w:t>n</w:t>
      </w:r>
      <w:r w:rsidRPr="00F514E8">
        <w:rPr>
          <w:rFonts w:ascii="Arial" w:hAnsi="Arial" w:cs="Arial"/>
          <w:sz w:val="24"/>
          <w:szCs w:val="24"/>
        </w:rPr>
        <w:t xml:space="preserve"> la estipulación de cláusulas exorbitantes a favor de ninguna de las partes.  </w:t>
      </w:r>
      <w:r w:rsidR="008B3FAB" w:rsidRPr="00F514E8">
        <w:rPr>
          <w:rFonts w:ascii="Arial" w:hAnsi="Arial" w:cs="Arial"/>
          <w:sz w:val="24"/>
          <w:szCs w:val="24"/>
        </w:rPr>
        <w:t xml:space="preserve">   </w:t>
      </w:r>
    </w:p>
    <w:p w14:paraId="19BD95E0" w14:textId="77777777" w:rsidR="008B3FAB" w:rsidRPr="00F514E8" w:rsidRDefault="008B3FAB" w:rsidP="008B3FAB">
      <w:pPr>
        <w:spacing w:after="0" w:line="240" w:lineRule="auto"/>
        <w:ind w:right="51"/>
        <w:jc w:val="both"/>
        <w:rPr>
          <w:rFonts w:ascii="Arial" w:hAnsi="Arial" w:cs="Arial"/>
          <w:b/>
          <w:sz w:val="24"/>
          <w:szCs w:val="24"/>
        </w:rPr>
      </w:pPr>
    </w:p>
    <w:p w14:paraId="192B6494" w14:textId="77777777" w:rsidR="005D28C1" w:rsidRPr="00F514E8" w:rsidRDefault="005D28C1" w:rsidP="00725D19">
      <w:pPr>
        <w:spacing w:after="0" w:line="240" w:lineRule="auto"/>
        <w:ind w:right="51"/>
        <w:jc w:val="both"/>
        <w:rPr>
          <w:rFonts w:ascii="Arial" w:hAnsi="Arial" w:cs="Arial"/>
        </w:rPr>
      </w:pPr>
    </w:p>
    <w:p w14:paraId="30BE5011" w14:textId="77777777" w:rsidR="00DD01A7" w:rsidRPr="00F514E8" w:rsidRDefault="00DD01A7" w:rsidP="00725D19">
      <w:pPr>
        <w:spacing w:after="0" w:line="240" w:lineRule="auto"/>
        <w:ind w:left="567" w:right="21"/>
        <w:jc w:val="center"/>
        <w:rPr>
          <w:rFonts w:ascii="Arial" w:hAnsi="Arial" w:cs="Arial"/>
          <w:b/>
          <w:sz w:val="24"/>
          <w:szCs w:val="24"/>
        </w:rPr>
      </w:pPr>
      <w:r w:rsidRPr="00F514E8">
        <w:rPr>
          <w:rFonts w:ascii="Arial" w:hAnsi="Arial" w:cs="Arial"/>
          <w:b/>
          <w:sz w:val="24"/>
          <w:szCs w:val="24"/>
        </w:rPr>
        <w:t xml:space="preserve">III. </w:t>
      </w:r>
      <w:smartTag w:uri="urn:schemas-microsoft-com:office:smarttags" w:element="PersonName">
        <w:smartTagPr>
          <w:attr w:name="ProductID" w:val="La Sala RESPONDE"/>
        </w:smartTagPr>
        <w:smartTag w:uri="urn:schemas-microsoft-com:office:smarttags" w:element="PersonName">
          <w:smartTagPr>
            <w:attr w:name="ProductID" w:val="la Sala"/>
          </w:smartTagPr>
          <w:r w:rsidRPr="00F514E8">
            <w:rPr>
              <w:rFonts w:ascii="Arial" w:hAnsi="Arial" w:cs="Arial"/>
              <w:b/>
              <w:sz w:val="24"/>
              <w:szCs w:val="24"/>
            </w:rPr>
            <w:t>La Sala</w:t>
          </w:r>
        </w:smartTag>
        <w:r w:rsidRPr="00F514E8">
          <w:rPr>
            <w:rFonts w:ascii="Arial" w:hAnsi="Arial" w:cs="Arial"/>
            <w:b/>
            <w:sz w:val="24"/>
            <w:szCs w:val="24"/>
          </w:rPr>
          <w:t xml:space="preserve"> RESPONDE</w:t>
        </w:r>
      </w:smartTag>
      <w:r w:rsidRPr="00F514E8">
        <w:rPr>
          <w:rFonts w:ascii="Arial" w:hAnsi="Arial" w:cs="Arial"/>
          <w:b/>
          <w:sz w:val="24"/>
          <w:szCs w:val="24"/>
        </w:rPr>
        <w:t>:</w:t>
      </w:r>
    </w:p>
    <w:p w14:paraId="10126EE6" w14:textId="77777777" w:rsidR="00DD01A7" w:rsidRPr="00F514E8" w:rsidRDefault="00DD01A7" w:rsidP="00725D19">
      <w:pPr>
        <w:spacing w:after="0" w:line="240" w:lineRule="auto"/>
        <w:ind w:left="567" w:right="21"/>
        <w:rPr>
          <w:rFonts w:ascii="Arial" w:hAnsi="Arial" w:cs="Arial"/>
          <w:sz w:val="24"/>
          <w:szCs w:val="24"/>
        </w:rPr>
      </w:pPr>
    </w:p>
    <w:p w14:paraId="2E35356A" w14:textId="77777777" w:rsidR="00EB0CE1" w:rsidRPr="00F514E8" w:rsidRDefault="00EB0CE1" w:rsidP="00725D19">
      <w:pPr>
        <w:spacing w:after="0" w:line="240" w:lineRule="auto"/>
        <w:ind w:left="567" w:right="21"/>
        <w:rPr>
          <w:rFonts w:ascii="Arial" w:hAnsi="Arial" w:cs="Arial"/>
          <w:sz w:val="24"/>
          <w:szCs w:val="24"/>
        </w:rPr>
      </w:pPr>
    </w:p>
    <w:p w14:paraId="4A4EDE67" w14:textId="77777777" w:rsidR="005A0707" w:rsidRPr="00F514E8" w:rsidRDefault="005A0707" w:rsidP="00725D19">
      <w:pPr>
        <w:spacing w:after="0" w:line="240" w:lineRule="auto"/>
        <w:ind w:right="-199"/>
        <w:jc w:val="both"/>
        <w:rPr>
          <w:rFonts w:ascii="Arial" w:hAnsi="Arial" w:cs="Arial"/>
          <w:b/>
          <w:i/>
          <w:lang w:val="es-ES_tradnl"/>
        </w:rPr>
      </w:pPr>
      <w:r w:rsidRPr="00F514E8">
        <w:rPr>
          <w:rFonts w:ascii="Arial" w:hAnsi="Arial" w:cs="Arial"/>
          <w:b/>
          <w:sz w:val="24"/>
          <w:szCs w:val="24"/>
          <w:lang w:val="es-ES_tradnl"/>
        </w:rPr>
        <w:t xml:space="preserve">1) </w:t>
      </w:r>
      <w:r w:rsidR="004E5D58" w:rsidRPr="00F514E8">
        <w:rPr>
          <w:rFonts w:ascii="Arial" w:hAnsi="Arial" w:cs="Arial"/>
          <w:b/>
          <w:i/>
          <w:lang w:val="es-ES_tradnl"/>
        </w:rPr>
        <w:t xml:space="preserve">¿Cuál es el Juez competente para conocer las controversias en las que sería parte el Fondo Financiero de Proyectos de Desarrollo – FONADE, diferentes a las derivadas </w:t>
      </w:r>
      <w:r w:rsidR="004E5D58" w:rsidRPr="00F514E8">
        <w:rPr>
          <w:rFonts w:ascii="Arial" w:hAnsi="Arial" w:cs="Arial"/>
          <w:b/>
          <w:i/>
          <w:lang w:val="es-ES_tradnl"/>
        </w:rPr>
        <w:lastRenderedPageBreak/>
        <w:t>de las actividades financieras que realice la Entidad, ya sea que actúe como demandante o como demandado, en aplicación de las disposiciones contenidas en la Ley 1437 de 2011 –</w:t>
      </w:r>
      <w:r w:rsidR="00D9135C" w:rsidRPr="00F514E8">
        <w:rPr>
          <w:rFonts w:ascii="Arial" w:hAnsi="Arial" w:cs="Arial"/>
          <w:b/>
          <w:i/>
          <w:lang w:val="es-ES_tradnl"/>
        </w:rPr>
        <w:t xml:space="preserve"> </w:t>
      </w:r>
      <w:r w:rsidR="004E5D58" w:rsidRPr="00F514E8">
        <w:rPr>
          <w:rFonts w:ascii="Arial" w:hAnsi="Arial" w:cs="Arial"/>
          <w:b/>
          <w:i/>
          <w:lang w:val="es-ES_tradnl"/>
        </w:rPr>
        <w:t>Código de procedimiento Administrativo y de lo Contencioso Administrativo y en armonía con las disposiciones contenidas en el Decreto 288 de 2004?</w:t>
      </w:r>
    </w:p>
    <w:p w14:paraId="4EB6E66A" w14:textId="77777777" w:rsidR="00604403" w:rsidRPr="00F514E8" w:rsidRDefault="00604403" w:rsidP="00725D19">
      <w:pPr>
        <w:spacing w:after="0" w:line="240" w:lineRule="auto"/>
        <w:ind w:right="-199"/>
        <w:jc w:val="both"/>
        <w:rPr>
          <w:rFonts w:ascii="Arial" w:hAnsi="Arial" w:cs="Arial"/>
          <w:b/>
          <w:sz w:val="24"/>
          <w:szCs w:val="24"/>
          <w:lang w:val="es-ES_tradnl"/>
        </w:rPr>
      </w:pPr>
    </w:p>
    <w:p w14:paraId="59B257E8" w14:textId="77777777" w:rsidR="00F12F21" w:rsidRPr="00F514E8" w:rsidRDefault="008D0DD0" w:rsidP="00725D19">
      <w:p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 xml:space="preserve">La jurisdicción competente para conocer de los conflictos contractuales en que sea parte FONADE es la Jurisdicción Ordinaria, con excepción de los siguientes </w:t>
      </w:r>
      <w:r w:rsidR="00866770" w:rsidRPr="00F514E8">
        <w:rPr>
          <w:rFonts w:ascii="Arial" w:hAnsi="Arial" w:cs="Arial"/>
          <w:sz w:val="24"/>
          <w:szCs w:val="24"/>
          <w:lang w:val="es-ES_tradnl"/>
        </w:rPr>
        <w:t>asuntos</w:t>
      </w:r>
      <w:r w:rsidRPr="00F514E8">
        <w:rPr>
          <w:rFonts w:ascii="Arial" w:hAnsi="Arial" w:cs="Arial"/>
          <w:sz w:val="24"/>
          <w:szCs w:val="24"/>
          <w:lang w:val="es-ES_tradnl"/>
        </w:rPr>
        <w:t xml:space="preserve">, cuya competencia corresponde a la Jurisdicción de lo Contencioso Administrativo: </w:t>
      </w:r>
    </w:p>
    <w:p w14:paraId="29E35299" w14:textId="77777777" w:rsidR="00604403" w:rsidRPr="00F514E8" w:rsidRDefault="00604403" w:rsidP="00725D19">
      <w:pPr>
        <w:spacing w:after="0" w:line="240" w:lineRule="auto"/>
        <w:ind w:right="-199"/>
        <w:jc w:val="both"/>
        <w:rPr>
          <w:rFonts w:ascii="Arial" w:hAnsi="Arial" w:cs="Arial"/>
          <w:sz w:val="24"/>
          <w:szCs w:val="24"/>
          <w:lang w:val="es-ES_tradnl"/>
        </w:rPr>
      </w:pPr>
    </w:p>
    <w:p w14:paraId="10E47FF7" w14:textId="77777777" w:rsidR="00604403" w:rsidRPr="00F514E8" w:rsidRDefault="008D0DD0" w:rsidP="00604403">
      <w:pPr>
        <w:numPr>
          <w:ilvl w:val="0"/>
          <w:numId w:val="35"/>
        </w:num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 xml:space="preserve">Los relacionados con contratos ajenos al giro ordinario de los negocios de FONADE. </w:t>
      </w:r>
    </w:p>
    <w:p w14:paraId="290DEC0A" w14:textId="77777777" w:rsidR="008D0DD0" w:rsidRPr="00F514E8" w:rsidRDefault="008D0DD0" w:rsidP="00725D19">
      <w:pPr>
        <w:numPr>
          <w:ilvl w:val="0"/>
          <w:numId w:val="35"/>
        </w:num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Los atinentes a contratos interadministrativos celebrados por FONADE,</w:t>
      </w:r>
      <w:r w:rsidR="00AB71BF" w:rsidRPr="00F514E8">
        <w:rPr>
          <w:rFonts w:ascii="Arial" w:hAnsi="Arial" w:cs="Arial"/>
          <w:sz w:val="24"/>
          <w:szCs w:val="24"/>
          <w:lang w:val="es-ES_tradnl"/>
        </w:rPr>
        <w:t xml:space="preserve"> salvo que </w:t>
      </w:r>
      <w:r w:rsidR="00803CCB" w:rsidRPr="00F514E8">
        <w:rPr>
          <w:rFonts w:ascii="Arial" w:hAnsi="Arial" w:cs="Arial"/>
          <w:sz w:val="24"/>
          <w:szCs w:val="24"/>
          <w:lang w:val="es-ES_tradnl"/>
        </w:rPr>
        <w:t xml:space="preserve">la otra entidad pública </w:t>
      </w:r>
      <w:r w:rsidRPr="00F514E8">
        <w:rPr>
          <w:rFonts w:ascii="Arial" w:hAnsi="Arial" w:cs="Arial"/>
          <w:sz w:val="24"/>
          <w:szCs w:val="24"/>
          <w:lang w:val="es-ES_tradnl"/>
        </w:rPr>
        <w:t>tenga el carácter de institución financiera, aseguradora, intermediari</w:t>
      </w:r>
      <w:r w:rsidR="00803CCB" w:rsidRPr="00F514E8">
        <w:rPr>
          <w:rFonts w:ascii="Arial" w:hAnsi="Arial" w:cs="Arial"/>
          <w:sz w:val="24"/>
          <w:szCs w:val="24"/>
          <w:lang w:val="es-ES_tradnl"/>
        </w:rPr>
        <w:t>o</w:t>
      </w:r>
      <w:r w:rsidRPr="00F514E8">
        <w:rPr>
          <w:rFonts w:ascii="Arial" w:hAnsi="Arial" w:cs="Arial"/>
          <w:sz w:val="24"/>
          <w:szCs w:val="24"/>
          <w:lang w:val="es-ES_tradnl"/>
        </w:rPr>
        <w:t xml:space="preserve"> de seguros o intermediari</w:t>
      </w:r>
      <w:r w:rsidR="00803CCB" w:rsidRPr="00F514E8">
        <w:rPr>
          <w:rFonts w:ascii="Arial" w:hAnsi="Arial" w:cs="Arial"/>
          <w:sz w:val="24"/>
          <w:szCs w:val="24"/>
          <w:lang w:val="es-ES_tradnl"/>
        </w:rPr>
        <w:t>o</w:t>
      </w:r>
      <w:r w:rsidRPr="00F514E8">
        <w:rPr>
          <w:rFonts w:ascii="Arial" w:hAnsi="Arial" w:cs="Arial"/>
          <w:sz w:val="24"/>
          <w:szCs w:val="24"/>
          <w:lang w:val="es-ES_tradnl"/>
        </w:rPr>
        <w:t xml:space="preserve"> de valores</w:t>
      </w:r>
      <w:r w:rsidR="00803CCB" w:rsidRPr="00F514E8">
        <w:rPr>
          <w:rFonts w:ascii="Arial" w:hAnsi="Arial" w:cs="Arial"/>
          <w:sz w:val="24"/>
          <w:szCs w:val="24"/>
          <w:lang w:val="es-ES_tradnl"/>
        </w:rPr>
        <w:t xml:space="preserve"> vigilado por la Superintendencia Financiera</w:t>
      </w:r>
      <w:r w:rsidRPr="00F514E8">
        <w:rPr>
          <w:rFonts w:ascii="Arial" w:hAnsi="Arial" w:cs="Arial"/>
          <w:sz w:val="24"/>
          <w:szCs w:val="24"/>
          <w:lang w:val="es-ES_tradnl"/>
        </w:rPr>
        <w:t xml:space="preserve">, y </w:t>
      </w:r>
      <w:r w:rsidR="00190430" w:rsidRPr="00F514E8">
        <w:rPr>
          <w:rFonts w:ascii="Arial" w:hAnsi="Arial" w:cs="Arial"/>
          <w:sz w:val="24"/>
          <w:szCs w:val="24"/>
          <w:lang w:val="es-ES_tradnl"/>
        </w:rPr>
        <w:t xml:space="preserve">que </w:t>
      </w:r>
      <w:r w:rsidRPr="00F514E8">
        <w:rPr>
          <w:rFonts w:ascii="Arial" w:hAnsi="Arial" w:cs="Arial"/>
          <w:sz w:val="24"/>
          <w:szCs w:val="24"/>
          <w:lang w:val="es-ES_tradnl"/>
        </w:rPr>
        <w:t xml:space="preserve">el contrato </w:t>
      </w:r>
      <w:r w:rsidR="00221FB8" w:rsidRPr="00F514E8">
        <w:rPr>
          <w:rFonts w:ascii="Arial" w:hAnsi="Arial" w:cs="Arial"/>
          <w:sz w:val="24"/>
          <w:szCs w:val="24"/>
          <w:lang w:val="es-ES_tradnl"/>
        </w:rPr>
        <w:t xml:space="preserve">respectivo </w:t>
      </w:r>
      <w:r w:rsidRPr="00F514E8">
        <w:rPr>
          <w:rFonts w:ascii="Arial" w:hAnsi="Arial" w:cs="Arial"/>
          <w:sz w:val="24"/>
          <w:szCs w:val="24"/>
          <w:lang w:val="es-ES_tradnl"/>
        </w:rPr>
        <w:t xml:space="preserve">corresponda al giro ordinario de los negocios de las dos entidades. </w:t>
      </w:r>
    </w:p>
    <w:p w14:paraId="16251626" w14:textId="77777777" w:rsidR="008D0DD0" w:rsidRPr="00F514E8" w:rsidRDefault="008D0DD0" w:rsidP="00725D19">
      <w:pPr>
        <w:numPr>
          <w:ilvl w:val="0"/>
          <w:numId w:val="35"/>
        </w:num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 xml:space="preserve">Los procesos en donde se </w:t>
      </w:r>
      <w:r w:rsidR="00803CCB" w:rsidRPr="00F514E8">
        <w:rPr>
          <w:rFonts w:ascii="Arial" w:hAnsi="Arial" w:cs="Arial"/>
          <w:sz w:val="24"/>
          <w:szCs w:val="24"/>
          <w:lang w:val="es-ES_tradnl"/>
        </w:rPr>
        <w:t xml:space="preserve">discuta o </w:t>
      </w:r>
      <w:r w:rsidRPr="00F514E8">
        <w:rPr>
          <w:rFonts w:ascii="Arial" w:hAnsi="Arial" w:cs="Arial"/>
          <w:sz w:val="24"/>
          <w:szCs w:val="24"/>
          <w:lang w:val="es-ES_tradnl"/>
        </w:rPr>
        <w:t>pretenda discutir la validez o legalidad de actos administrativos (expresos o presuntos) dictados por FONADE en relación con su actividad contractual.</w:t>
      </w:r>
    </w:p>
    <w:p w14:paraId="27CF7377" w14:textId="77777777" w:rsidR="00604403" w:rsidRPr="00F514E8" w:rsidRDefault="008E22DE" w:rsidP="00725D19">
      <w:pPr>
        <w:numPr>
          <w:ilvl w:val="0"/>
          <w:numId w:val="35"/>
        </w:num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 xml:space="preserve">Los recursos extraordinarios contra laudos arbitrales </w:t>
      </w:r>
      <w:r w:rsidR="00CD3F86" w:rsidRPr="00F514E8">
        <w:rPr>
          <w:rFonts w:ascii="Arial" w:hAnsi="Arial" w:cs="Arial"/>
          <w:sz w:val="24"/>
          <w:szCs w:val="24"/>
          <w:lang w:val="es-ES_tradnl"/>
        </w:rPr>
        <w:t xml:space="preserve">(anulación y revisión) </w:t>
      </w:r>
      <w:r w:rsidRPr="00F514E8">
        <w:rPr>
          <w:rFonts w:ascii="Arial" w:hAnsi="Arial" w:cs="Arial"/>
          <w:sz w:val="24"/>
          <w:szCs w:val="24"/>
          <w:lang w:val="es-ES_tradnl"/>
        </w:rPr>
        <w:t xml:space="preserve">en </w:t>
      </w:r>
      <w:r w:rsidR="00A10E5B" w:rsidRPr="00F514E8">
        <w:rPr>
          <w:rFonts w:ascii="Arial" w:hAnsi="Arial" w:cs="Arial"/>
          <w:sz w:val="24"/>
          <w:szCs w:val="24"/>
          <w:lang w:val="es-ES_tradnl"/>
        </w:rPr>
        <w:t xml:space="preserve">los que </w:t>
      </w:r>
      <w:r w:rsidRPr="00F514E8">
        <w:rPr>
          <w:rFonts w:ascii="Arial" w:hAnsi="Arial" w:cs="Arial"/>
          <w:sz w:val="24"/>
          <w:szCs w:val="24"/>
          <w:lang w:val="es-ES_tradnl"/>
        </w:rPr>
        <w:t xml:space="preserve">haya sido parte FONADE. </w:t>
      </w:r>
    </w:p>
    <w:p w14:paraId="5C8D76E4" w14:textId="77777777" w:rsidR="008D0DD0" w:rsidRPr="00F514E8" w:rsidRDefault="008D0DD0" w:rsidP="00604403">
      <w:pPr>
        <w:spacing w:after="0" w:line="240" w:lineRule="auto"/>
        <w:ind w:left="720" w:right="-199"/>
        <w:jc w:val="both"/>
        <w:rPr>
          <w:rFonts w:ascii="Arial" w:hAnsi="Arial" w:cs="Arial"/>
          <w:sz w:val="24"/>
          <w:szCs w:val="24"/>
          <w:lang w:val="es-ES_tradnl"/>
        </w:rPr>
      </w:pPr>
      <w:r w:rsidRPr="00F514E8">
        <w:rPr>
          <w:rFonts w:ascii="Arial" w:hAnsi="Arial" w:cs="Arial"/>
          <w:sz w:val="24"/>
          <w:szCs w:val="24"/>
          <w:lang w:val="es-ES_tradnl"/>
        </w:rPr>
        <w:t xml:space="preserve"> </w:t>
      </w:r>
    </w:p>
    <w:p w14:paraId="3A1700CA" w14:textId="77777777" w:rsidR="005A0707" w:rsidRPr="00F514E8" w:rsidRDefault="005A0707" w:rsidP="00725D19">
      <w:pPr>
        <w:spacing w:after="0" w:line="240" w:lineRule="auto"/>
        <w:ind w:right="-199"/>
        <w:jc w:val="both"/>
        <w:rPr>
          <w:rFonts w:ascii="Arial" w:hAnsi="Arial" w:cs="Arial"/>
          <w:b/>
          <w:i/>
          <w:lang w:val="es-ES_tradnl"/>
        </w:rPr>
      </w:pPr>
      <w:r w:rsidRPr="00F514E8">
        <w:rPr>
          <w:rFonts w:ascii="Arial" w:hAnsi="Arial" w:cs="Arial"/>
          <w:b/>
          <w:sz w:val="24"/>
          <w:szCs w:val="24"/>
          <w:lang w:val="es-ES_tradnl"/>
        </w:rPr>
        <w:t xml:space="preserve">2) </w:t>
      </w:r>
      <w:r w:rsidR="004E5D58" w:rsidRPr="00F514E8">
        <w:rPr>
          <w:rFonts w:ascii="Arial" w:hAnsi="Arial" w:cs="Arial"/>
          <w:b/>
          <w:i/>
          <w:lang w:val="es-ES_tradnl"/>
        </w:rPr>
        <w:t>¿Cuál es el Juez competente para conocer las controversias en las que sería parte el Fondo Financiero de Proyectos de Desarrollo – FONADE, en las que estén involucradas la celebración, ejecución, terminación y liquidación de convenios intera</w:t>
      </w:r>
      <w:r w:rsidR="00D9135C" w:rsidRPr="00F514E8">
        <w:rPr>
          <w:rFonts w:ascii="Arial" w:hAnsi="Arial" w:cs="Arial"/>
          <w:b/>
          <w:i/>
          <w:lang w:val="es-ES_tradnl"/>
        </w:rPr>
        <w:t>dministrativos que celebre esta</w:t>
      </w:r>
      <w:r w:rsidR="004E5D58" w:rsidRPr="00F514E8">
        <w:rPr>
          <w:rFonts w:ascii="Arial" w:hAnsi="Arial" w:cs="Arial"/>
          <w:b/>
          <w:lang w:val="es-ES_tradnl"/>
        </w:rPr>
        <w:t xml:space="preserve"> </w:t>
      </w:r>
      <w:r w:rsidR="004E5D58" w:rsidRPr="00F514E8">
        <w:rPr>
          <w:rFonts w:ascii="Arial" w:hAnsi="Arial" w:cs="Arial"/>
          <w:b/>
          <w:i/>
          <w:lang w:val="es-ES_tradnl"/>
        </w:rPr>
        <w:t>Entidad con otras Entidades Estatales que tengan o no el carácter de financieras?</w:t>
      </w:r>
    </w:p>
    <w:p w14:paraId="1F8617CE" w14:textId="77777777" w:rsidR="00604403" w:rsidRPr="00F514E8" w:rsidRDefault="00604403" w:rsidP="00725D19">
      <w:pPr>
        <w:spacing w:after="0" w:line="240" w:lineRule="auto"/>
        <w:ind w:right="-199"/>
        <w:jc w:val="both"/>
        <w:rPr>
          <w:rFonts w:ascii="Arial" w:hAnsi="Arial" w:cs="Arial"/>
          <w:b/>
          <w:i/>
          <w:lang w:val="es-ES_tradnl"/>
        </w:rPr>
      </w:pPr>
    </w:p>
    <w:p w14:paraId="764C0C2E" w14:textId="77777777" w:rsidR="00604403" w:rsidRPr="00F514E8" w:rsidRDefault="00AB71BF" w:rsidP="00725D19">
      <w:pPr>
        <w:spacing w:after="0" w:line="240" w:lineRule="auto"/>
        <w:ind w:right="-199"/>
        <w:jc w:val="both"/>
        <w:rPr>
          <w:rFonts w:ascii="Arial" w:eastAsia="Times New Roman" w:hAnsi="Arial" w:cs="Arial"/>
          <w:sz w:val="24"/>
          <w:szCs w:val="24"/>
          <w:lang w:val="es-CO" w:eastAsia="es-ES"/>
        </w:rPr>
      </w:pPr>
      <w:r w:rsidRPr="00F514E8">
        <w:rPr>
          <w:rFonts w:ascii="Arial" w:eastAsia="Times New Roman" w:hAnsi="Arial" w:cs="Arial"/>
          <w:sz w:val="24"/>
          <w:szCs w:val="24"/>
          <w:lang w:val="es-CO" w:eastAsia="es-ES"/>
        </w:rPr>
        <w:t>La jurisdicción competente para conocer de las controversias referidas a los con</w:t>
      </w:r>
      <w:r w:rsidR="00F14C80" w:rsidRPr="00F514E8">
        <w:rPr>
          <w:rFonts w:ascii="Arial" w:eastAsia="Times New Roman" w:hAnsi="Arial" w:cs="Arial"/>
          <w:sz w:val="24"/>
          <w:szCs w:val="24"/>
          <w:lang w:val="es-CO" w:eastAsia="es-ES"/>
        </w:rPr>
        <w:t xml:space="preserve">tratos </w:t>
      </w:r>
      <w:r w:rsidRPr="00F514E8">
        <w:rPr>
          <w:rFonts w:ascii="Arial" w:eastAsia="Times New Roman" w:hAnsi="Arial" w:cs="Arial"/>
          <w:sz w:val="24"/>
          <w:szCs w:val="24"/>
          <w:lang w:val="es-CO" w:eastAsia="es-ES"/>
        </w:rPr>
        <w:t>interadministrativos que celebre FONADE es</w:t>
      </w:r>
      <w:r w:rsidR="00190430" w:rsidRPr="00F514E8">
        <w:rPr>
          <w:rFonts w:ascii="Arial" w:eastAsia="Times New Roman" w:hAnsi="Arial" w:cs="Arial"/>
          <w:sz w:val="24"/>
          <w:szCs w:val="24"/>
          <w:lang w:val="es-CO" w:eastAsia="es-ES"/>
        </w:rPr>
        <w:t xml:space="preserve"> </w:t>
      </w:r>
      <w:r w:rsidRPr="00F514E8">
        <w:rPr>
          <w:rFonts w:ascii="Arial" w:eastAsia="Times New Roman" w:hAnsi="Arial" w:cs="Arial"/>
          <w:sz w:val="24"/>
          <w:szCs w:val="24"/>
          <w:lang w:val="es-CO" w:eastAsia="es-ES"/>
        </w:rPr>
        <w:t xml:space="preserve">la Contencioso Administrativa. Sin embargo, si la otra entidad pública es también una institución financiera, </w:t>
      </w:r>
      <w:r w:rsidRPr="00F514E8">
        <w:rPr>
          <w:rFonts w:ascii="Arial" w:hAnsi="Arial" w:cs="Arial"/>
          <w:sz w:val="24"/>
          <w:szCs w:val="24"/>
          <w:lang w:val="es-ES_tradnl"/>
        </w:rPr>
        <w:t xml:space="preserve">aseguradora, intermediaria de seguros o intermediaria de valores vigilada por la Superintendencia Financiera, y el objeto del contrato forma parte del giro ordinario de los negocios de las dos entidades, la competencia corresponde a la Jurisdicción Ordinaria. </w:t>
      </w:r>
    </w:p>
    <w:p w14:paraId="5E7C3273" w14:textId="77777777" w:rsidR="00D04E7B" w:rsidRPr="00F514E8" w:rsidRDefault="008E22DE" w:rsidP="00725D19">
      <w:pPr>
        <w:spacing w:after="0" w:line="240" w:lineRule="auto"/>
        <w:ind w:right="-199"/>
        <w:jc w:val="both"/>
        <w:rPr>
          <w:rFonts w:ascii="Arial" w:hAnsi="Arial" w:cs="Arial"/>
          <w:sz w:val="24"/>
          <w:szCs w:val="24"/>
          <w:lang w:val="es-ES_tradnl"/>
        </w:rPr>
      </w:pPr>
      <w:r w:rsidRPr="00F514E8">
        <w:rPr>
          <w:rFonts w:ascii="Arial" w:eastAsia="Times New Roman" w:hAnsi="Arial" w:cs="Arial"/>
          <w:sz w:val="24"/>
          <w:szCs w:val="24"/>
          <w:lang w:val="es-CO" w:eastAsia="es-ES"/>
        </w:rPr>
        <w:t xml:space="preserve"> </w:t>
      </w:r>
      <w:r w:rsidR="006B100A" w:rsidRPr="00F514E8">
        <w:rPr>
          <w:rFonts w:ascii="Arial" w:eastAsia="Times New Roman" w:hAnsi="Arial" w:cs="Arial"/>
          <w:sz w:val="24"/>
          <w:szCs w:val="24"/>
          <w:lang w:val="es-CO" w:eastAsia="es-ES"/>
        </w:rPr>
        <w:t xml:space="preserve"> </w:t>
      </w:r>
    </w:p>
    <w:p w14:paraId="5DA85BCA" w14:textId="77777777" w:rsidR="00A57568" w:rsidRPr="00F514E8" w:rsidRDefault="00A57568" w:rsidP="00725D19">
      <w:pPr>
        <w:spacing w:after="0" w:line="240" w:lineRule="auto"/>
        <w:ind w:right="-199"/>
        <w:jc w:val="both"/>
        <w:rPr>
          <w:rFonts w:ascii="Arial" w:hAnsi="Arial" w:cs="Arial"/>
          <w:b/>
          <w:i/>
          <w:lang w:val="es-ES_tradnl"/>
        </w:rPr>
      </w:pPr>
      <w:r w:rsidRPr="00F514E8">
        <w:rPr>
          <w:rFonts w:ascii="Arial" w:hAnsi="Arial" w:cs="Arial"/>
          <w:b/>
          <w:sz w:val="24"/>
          <w:szCs w:val="24"/>
          <w:lang w:val="es-ES_tradnl"/>
        </w:rPr>
        <w:t xml:space="preserve">3) </w:t>
      </w:r>
      <w:r w:rsidRPr="00F514E8">
        <w:rPr>
          <w:rFonts w:ascii="Arial" w:hAnsi="Arial" w:cs="Arial"/>
          <w:b/>
          <w:i/>
          <w:lang w:val="es-ES_tradnl"/>
        </w:rPr>
        <w:t>¿Cuáles son los términos de caducidad o de prescripción de las acciones judiciales, para el caso de acudir a la Jurisdicción Ordinaria?</w:t>
      </w:r>
    </w:p>
    <w:p w14:paraId="1ED63172" w14:textId="77777777" w:rsidR="0040347A" w:rsidRPr="00F514E8" w:rsidRDefault="0040347A" w:rsidP="00725D19">
      <w:pPr>
        <w:spacing w:after="0" w:line="240" w:lineRule="auto"/>
        <w:ind w:right="-199"/>
        <w:jc w:val="both"/>
        <w:rPr>
          <w:rFonts w:ascii="Arial" w:hAnsi="Arial" w:cs="Arial"/>
          <w:b/>
          <w:i/>
          <w:lang w:val="es-ES_tradnl"/>
        </w:rPr>
      </w:pPr>
    </w:p>
    <w:p w14:paraId="1A33ACD2" w14:textId="77777777" w:rsidR="00604403" w:rsidRPr="00F514E8" w:rsidRDefault="008E22DE" w:rsidP="00725D19">
      <w:p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 xml:space="preserve">Los términos de prescripción o de caducidad de las acciones judiciales, en el </w:t>
      </w:r>
      <w:r w:rsidR="00803CCB" w:rsidRPr="00F514E8">
        <w:rPr>
          <w:rFonts w:ascii="Arial" w:hAnsi="Arial" w:cs="Arial"/>
          <w:sz w:val="24"/>
          <w:szCs w:val="24"/>
          <w:lang w:val="es-ES_tradnl"/>
        </w:rPr>
        <w:t xml:space="preserve">evento </w:t>
      </w:r>
      <w:r w:rsidRPr="00F514E8">
        <w:rPr>
          <w:rFonts w:ascii="Arial" w:hAnsi="Arial" w:cs="Arial"/>
          <w:sz w:val="24"/>
          <w:szCs w:val="24"/>
          <w:lang w:val="es-ES_tradnl"/>
        </w:rPr>
        <w:t xml:space="preserve">de acudir a la Jurisdicción Ordinaria, son los previstos en el Código Civil, en el Código de Comercio y en las </w:t>
      </w:r>
      <w:r w:rsidR="00803CCB" w:rsidRPr="00F514E8">
        <w:rPr>
          <w:rFonts w:ascii="Arial" w:hAnsi="Arial" w:cs="Arial"/>
          <w:sz w:val="24"/>
          <w:szCs w:val="24"/>
          <w:lang w:val="es-ES_tradnl"/>
        </w:rPr>
        <w:t xml:space="preserve">normas </w:t>
      </w:r>
      <w:r w:rsidR="00A10E5B" w:rsidRPr="00F514E8">
        <w:rPr>
          <w:rFonts w:ascii="Arial" w:hAnsi="Arial" w:cs="Arial"/>
          <w:sz w:val="24"/>
          <w:szCs w:val="24"/>
          <w:lang w:val="es-ES_tradnl"/>
        </w:rPr>
        <w:t>especiales que sean aplicables</w:t>
      </w:r>
      <w:r w:rsidR="00096499" w:rsidRPr="00F514E8">
        <w:rPr>
          <w:rFonts w:ascii="Arial" w:hAnsi="Arial" w:cs="Arial"/>
          <w:sz w:val="24"/>
          <w:szCs w:val="24"/>
          <w:lang w:val="es-ES_tradnl"/>
        </w:rPr>
        <w:t>, según lo explicado en este concepto</w:t>
      </w:r>
      <w:r w:rsidR="00A10E5B" w:rsidRPr="00F514E8">
        <w:rPr>
          <w:rFonts w:ascii="Arial" w:hAnsi="Arial" w:cs="Arial"/>
          <w:sz w:val="24"/>
          <w:szCs w:val="24"/>
          <w:lang w:val="es-ES_tradnl"/>
        </w:rPr>
        <w:t>.</w:t>
      </w:r>
    </w:p>
    <w:p w14:paraId="4B79B5ED" w14:textId="77777777" w:rsidR="008E22DE" w:rsidRPr="00F514E8" w:rsidRDefault="008E22DE" w:rsidP="00725D19">
      <w:pPr>
        <w:spacing w:after="0" w:line="240" w:lineRule="auto"/>
        <w:ind w:right="-199"/>
        <w:jc w:val="both"/>
        <w:rPr>
          <w:rFonts w:ascii="Arial" w:hAnsi="Arial" w:cs="Arial"/>
          <w:sz w:val="24"/>
          <w:szCs w:val="24"/>
          <w:lang w:val="es-ES_tradnl"/>
        </w:rPr>
      </w:pPr>
      <w:r w:rsidRPr="00F514E8">
        <w:rPr>
          <w:rFonts w:ascii="Arial" w:hAnsi="Arial" w:cs="Arial"/>
          <w:sz w:val="24"/>
          <w:szCs w:val="24"/>
          <w:lang w:val="es-ES_tradnl"/>
        </w:rPr>
        <w:t xml:space="preserve">   </w:t>
      </w:r>
    </w:p>
    <w:p w14:paraId="1745236F" w14:textId="77777777" w:rsidR="00604403" w:rsidRPr="00F514E8" w:rsidRDefault="0040347A" w:rsidP="00604403">
      <w:pPr>
        <w:spacing w:after="0" w:line="240" w:lineRule="auto"/>
        <w:ind w:right="-199"/>
        <w:jc w:val="both"/>
        <w:rPr>
          <w:rFonts w:ascii="Arial" w:hAnsi="Arial" w:cs="Arial"/>
          <w:b/>
          <w:i/>
          <w:lang w:val="es-ES_tradnl"/>
        </w:rPr>
      </w:pPr>
      <w:r w:rsidRPr="00F514E8">
        <w:rPr>
          <w:rFonts w:ascii="Arial" w:hAnsi="Arial" w:cs="Arial"/>
          <w:b/>
          <w:i/>
          <w:lang w:val="es-ES_tradnl"/>
        </w:rPr>
        <w:t>4</w:t>
      </w:r>
      <w:r w:rsidR="00604403" w:rsidRPr="00F514E8">
        <w:rPr>
          <w:rFonts w:ascii="Arial" w:hAnsi="Arial" w:cs="Arial"/>
          <w:b/>
          <w:i/>
          <w:lang w:val="es-ES_tradnl"/>
        </w:rPr>
        <w:t xml:space="preserve">) </w:t>
      </w:r>
      <w:r w:rsidR="00A57568" w:rsidRPr="00F514E8">
        <w:rPr>
          <w:rFonts w:ascii="Arial" w:hAnsi="Arial" w:cs="Arial"/>
          <w:b/>
          <w:i/>
          <w:lang w:val="es-ES_tradnl"/>
        </w:rPr>
        <w:t xml:space="preserve">¿FONADE puede pactar cláusulas excepcionales o exorbitantes en los contratos que celebre con particulares, sean en cumplimiento de actividades financieras o como agente en cualquiera de las etapas del ciclo de proyectos de desarrollo? </w:t>
      </w:r>
    </w:p>
    <w:p w14:paraId="526D2719" w14:textId="77777777" w:rsidR="00604403" w:rsidRPr="00F514E8" w:rsidRDefault="00604403" w:rsidP="00604403">
      <w:pPr>
        <w:spacing w:after="0" w:line="240" w:lineRule="auto"/>
        <w:ind w:left="360" w:right="-199"/>
        <w:jc w:val="both"/>
        <w:rPr>
          <w:rFonts w:ascii="Arial" w:hAnsi="Arial" w:cs="Arial"/>
          <w:b/>
          <w:i/>
          <w:lang w:val="es-ES_tradnl"/>
        </w:rPr>
      </w:pPr>
    </w:p>
    <w:p w14:paraId="4081D8C0" w14:textId="77777777" w:rsidR="005A0707" w:rsidRPr="00F514E8" w:rsidRDefault="008E22DE" w:rsidP="00725D19">
      <w:pPr>
        <w:spacing w:after="0" w:line="240" w:lineRule="auto"/>
        <w:ind w:right="-199"/>
        <w:jc w:val="both"/>
        <w:rPr>
          <w:rFonts w:ascii="Arial" w:hAnsi="Arial" w:cs="Arial"/>
          <w:kern w:val="36"/>
          <w:sz w:val="24"/>
          <w:szCs w:val="24"/>
          <w:lang w:val="es-ES_tradnl"/>
        </w:rPr>
      </w:pPr>
      <w:r w:rsidRPr="00F514E8">
        <w:rPr>
          <w:rFonts w:ascii="Arial" w:hAnsi="Arial" w:cs="Arial"/>
          <w:kern w:val="36"/>
          <w:sz w:val="24"/>
          <w:szCs w:val="24"/>
          <w:lang w:val="es-ES_tradnl"/>
        </w:rPr>
        <w:t>FONADE no puede pactar cláusulas exorbitantes o excepcionales en los contratos que celebre con particulares ni con otras entidades públicas</w:t>
      </w:r>
      <w:r w:rsidR="00803CCB" w:rsidRPr="00F514E8">
        <w:rPr>
          <w:rFonts w:ascii="Arial" w:hAnsi="Arial" w:cs="Arial"/>
          <w:kern w:val="36"/>
          <w:sz w:val="24"/>
          <w:szCs w:val="24"/>
          <w:lang w:val="es-ES_tradnl"/>
        </w:rPr>
        <w:t xml:space="preserve">. </w:t>
      </w:r>
    </w:p>
    <w:p w14:paraId="50652274" w14:textId="77777777" w:rsidR="00A10E5B" w:rsidRPr="00F514E8" w:rsidRDefault="00A10E5B" w:rsidP="00725D19">
      <w:pPr>
        <w:spacing w:after="0" w:line="240" w:lineRule="auto"/>
        <w:ind w:right="-199"/>
        <w:jc w:val="both"/>
        <w:rPr>
          <w:rFonts w:ascii="Arial" w:hAnsi="Arial" w:cs="Arial"/>
          <w:kern w:val="36"/>
          <w:sz w:val="24"/>
          <w:szCs w:val="24"/>
          <w:lang w:val="es-ES_tradnl"/>
        </w:rPr>
      </w:pPr>
    </w:p>
    <w:p w14:paraId="52E79AC6" w14:textId="77777777" w:rsidR="00190430" w:rsidRPr="00F514E8" w:rsidRDefault="00190430" w:rsidP="00725D19">
      <w:pPr>
        <w:spacing w:after="0" w:line="240" w:lineRule="auto"/>
        <w:ind w:right="-199"/>
        <w:jc w:val="both"/>
        <w:rPr>
          <w:rFonts w:ascii="Arial" w:hAnsi="Arial" w:cs="Arial"/>
          <w:kern w:val="36"/>
          <w:sz w:val="24"/>
          <w:szCs w:val="24"/>
          <w:lang w:val="es-ES_tradnl"/>
        </w:rPr>
      </w:pPr>
    </w:p>
    <w:p w14:paraId="1A298795" w14:textId="77777777" w:rsidR="00AE14E8" w:rsidRPr="00F514E8" w:rsidRDefault="00AE14E8" w:rsidP="00725D19">
      <w:pPr>
        <w:spacing w:after="0" w:line="240" w:lineRule="auto"/>
        <w:ind w:right="-199"/>
        <w:jc w:val="both"/>
        <w:rPr>
          <w:rFonts w:ascii="Arial" w:hAnsi="Arial" w:cs="Arial"/>
          <w:kern w:val="36"/>
          <w:sz w:val="24"/>
          <w:szCs w:val="24"/>
          <w:lang w:val="es-ES_tradnl"/>
        </w:rPr>
      </w:pPr>
      <w:r w:rsidRPr="00F514E8">
        <w:rPr>
          <w:rFonts w:ascii="Arial" w:hAnsi="Arial" w:cs="Arial"/>
          <w:kern w:val="36"/>
          <w:sz w:val="24"/>
          <w:szCs w:val="24"/>
          <w:lang w:val="es-ES_tradnl"/>
        </w:rPr>
        <w:t>Remítase a</w:t>
      </w:r>
      <w:r w:rsidR="00A57568" w:rsidRPr="00F514E8">
        <w:rPr>
          <w:rFonts w:ascii="Arial" w:hAnsi="Arial" w:cs="Arial"/>
          <w:kern w:val="36"/>
          <w:sz w:val="24"/>
          <w:szCs w:val="24"/>
          <w:lang w:val="es-ES_tradnl"/>
        </w:rPr>
        <w:t xml:space="preserve">l Director </w:t>
      </w:r>
      <w:r w:rsidR="00803CCB" w:rsidRPr="00F514E8">
        <w:rPr>
          <w:rFonts w:ascii="Arial" w:hAnsi="Arial" w:cs="Arial"/>
          <w:kern w:val="36"/>
          <w:sz w:val="24"/>
          <w:szCs w:val="24"/>
          <w:lang w:val="es-ES_tradnl"/>
        </w:rPr>
        <w:t xml:space="preserve">General </w:t>
      </w:r>
      <w:r w:rsidR="00A57568" w:rsidRPr="00F514E8">
        <w:rPr>
          <w:rFonts w:ascii="Arial" w:hAnsi="Arial" w:cs="Arial"/>
          <w:kern w:val="36"/>
          <w:sz w:val="24"/>
          <w:szCs w:val="24"/>
          <w:lang w:val="es-ES_tradnl"/>
        </w:rPr>
        <w:t xml:space="preserve">del Departamento Nacional de Planeación </w:t>
      </w:r>
      <w:r w:rsidRPr="00F514E8">
        <w:rPr>
          <w:rFonts w:ascii="Arial" w:hAnsi="Arial" w:cs="Arial"/>
          <w:kern w:val="36"/>
          <w:sz w:val="24"/>
          <w:szCs w:val="24"/>
          <w:lang w:val="es-ES_tradnl"/>
        </w:rPr>
        <w:t xml:space="preserve">y a </w:t>
      </w:r>
      <w:smartTag w:uri="urn:schemas-microsoft-com:office:smarttags" w:element="PersonName">
        <w:smartTagPr>
          <w:attr w:name="ProductID" w:val="la Secretar￭a Jur￭dica"/>
        </w:smartTagPr>
        <w:smartTag w:uri="urn:schemas-microsoft-com:office:smarttags" w:element="PersonName">
          <w:smartTagPr>
            <w:attr w:name="ProductID" w:val="la Secretar￭a"/>
          </w:smartTagPr>
          <w:r w:rsidRPr="00F514E8">
            <w:rPr>
              <w:rFonts w:ascii="Arial" w:hAnsi="Arial" w:cs="Arial"/>
              <w:kern w:val="36"/>
              <w:sz w:val="24"/>
              <w:szCs w:val="24"/>
              <w:lang w:val="es-ES_tradnl"/>
            </w:rPr>
            <w:t>la Secretaría</w:t>
          </w:r>
        </w:smartTag>
        <w:r w:rsidRPr="00F514E8">
          <w:rPr>
            <w:rFonts w:ascii="Arial" w:hAnsi="Arial" w:cs="Arial"/>
            <w:kern w:val="36"/>
            <w:sz w:val="24"/>
            <w:szCs w:val="24"/>
            <w:lang w:val="es-ES_tradnl"/>
          </w:rPr>
          <w:t xml:space="preserve"> Jurídica</w:t>
        </w:r>
      </w:smartTag>
      <w:r w:rsidRPr="00F514E8">
        <w:rPr>
          <w:rFonts w:ascii="Arial" w:hAnsi="Arial" w:cs="Arial"/>
          <w:kern w:val="36"/>
          <w:sz w:val="24"/>
          <w:szCs w:val="24"/>
          <w:lang w:val="es-ES_tradnl"/>
        </w:rPr>
        <w:t xml:space="preserve"> de </w:t>
      </w:r>
      <w:smartTag w:uri="urn:schemas-microsoft-com:office:smarttags" w:element="PersonName">
        <w:smartTagPr>
          <w:attr w:name="ProductID" w:val="la Presidencia"/>
        </w:smartTagPr>
        <w:r w:rsidRPr="00F514E8">
          <w:rPr>
            <w:rFonts w:ascii="Arial" w:hAnsi="Arial" w:cs="Arial"/>
            <w:kern w:val="36"/>
            <w:sz w:val="24"/>
            <w:szCs w:val="24"/>
            <w:lang w:val="es-ES_tradnl"/>
          </w:rPr>
          <w:t>la Presidencia</w:t>
        </w:r>
      </w:smartTag>
      <w:r w:rsidRPr="00F514E8">
        <w:rPr>
          <w:rFonts w:ascii="Arial" w:hAnsi="Arial" w:cs="Arial"/>
          <w:kern w:val="36"/>
          <w:sz w:val="24"/>
          <w:szCs w:val="24"/>
          <w:lang w:val="es-ES_tradnl"/>
        </w:rPr>
        <w:t xml:space="preserve"> de la Repúbl</w:t>
      </w:r>
      <w:r w:rsidR="00C33DD3" w:rsidRPr="00F514E8">
        <w:rPr>
          <w:rFonts w:ascii="Arial" w:hAnsi="Arial" w:cs="Arial"/>
          <w:kern w:val="36"/>
          <w:sz w:val="24"/>
          <w:szCs w:val="24"/>
          <w:lang w:val="es-ES_tradnl"/>
        </w:rPr>
        <w:t>i</w:t>
      </w:r>
      <w:r w:rsidRPr="00F514E8">
        <w:rPr>
          <w:rFonts w:ascii="Arial" w:hAnsi="Arial" w:cs="Arial"/>
          <w:kern w:val="36"/>
          <w:sz w:val="24"/>
          <w:szCs w:val="24"/>
          <w:lang w:val="es-ES_tradnl"/>
        </w:rPr>
        <w:t>ca</w:t>
      </w:r>
      <w:r w:rsidR="00A57568" w:rsidRPr="00F514E8">
        <w:rPr>
          <w:rFonts w:ascii="Arial" w:hAnsi="Arial" w:cs="Arial"/>
          <w:kern w:val="36"/>
          <w:sz w:val="24"/>
          <w:szCs w:val="24"/>
          <w:lang w:val="es-ES_tradnl"/>
        </w:rPr>
        <w:t>.</w:t>
      </w:r>
    </w:p>
    <w:p w14:paraId="464316F3" w14:textId="77777777" w:rsidR="00C33DD3" w:rsidRPr="00F514E8" w:rsidRDefault="00C33DD3" w:rsidP="00725D19">
      <w:pPr>
        <w:spacing w:after="0" w:line="240" w:lineRule="auto"/>
        <w:ind w:right="-199"/>
        <w:jc w:val="both"/>
        <w:rPr>
          <w:rFonts w:ascii="Arial" w:hAnsi="Arial" w:cs="Arial"/>
          <w:kern w:val="36"/>
          <w:sz w:val="24"/>
          <w:szCs w:val="24"/>
          <w:lang w:val="es-ES_tradnl"/>
        </w:rPr>
      </w:pPr>
    </w:p>
    <w:p w14:paraId="16D44E7B" w14:textId="77777777" w:rsidR="00C33DD3" w:rsidRPr="00F514E8" w:rsidRDefault="00C33DD3" w:rsidP="00725D19">
      <w:pPr>
        <w:spacing w:after="0" w:line="240" w:lineRule="auto"/>
        <w:ind w:right="-199"/>
        <w:jc w:val="both"/>
        <w:rPr>
          <w:rFonts w:ascii="Arial" w:hAnsi="Arial" w:cs="Arial"/>
          <w:kern w:val="36"/>
          <w:sz w:val="24"/>
          <w:szCs w:val="24"/>
          <w:lang w:val="es-ES_tradnl"/>
        </w:rPr>
      </w:pPr>
    </w:p>
    <w:p w14:paraId="69D3953B" w14:textId="77777777" w:rsidR="00604403" w:rsidRPr="00F514E8" w:rsidRDefault="00604403" w:rsidP="00725D19">
      <w:pPr>
        <w:spacing w:after="0" w:line="240" w:lineRule="auto"/>
        <w:ind w:right="-199"/>
        <w:jc w:val="both"/>
        <w:rPr>
          <w:rFonts w:ascii="Arial" w:hAnsi="Arial" w:cs="Arial"/>
          <w:kern w:val="36"/>
          <w:sz w:val="24"/>
          <w:szCs w:val="24"/>
          <w:lang w:val="es-ES_tradnl"/>
        </w:rPr>
      </w:pPr>
    </w:p>
    <w:p w14:paraId="7510DC63" w14:textId="77777777" w:rsidR="00081DA5" w:rsidRPr="00F514E8" w:rsidRDefault="00081DA5" w:rsidP="00725D19">
      <w:pPr>
        <w:tabs>
          <w:tab w:val="left" w:pos="8820"/>
        </w:tabs>
        <w:spacing w:after="0" w:line="240" w:lineRule="auto"/>
        <w:rPr>
          <w:rFonts w:ascii="Arial" w:hAnsi="Arial" w:cs="Arial"/>
          <w:sz w:val="24"/>
          <w:szCs w:val="24"/>
          <w:lang w:val="es-ES_tradnl"/>
        </w:rPr>
      </w:pPr>
    </w:p>
    <w:p w14:paraId="22E3A7A5" w14:textId="77777777" w:rsidR="00F018D4" w:rsidRPr="00F514E8" w:rsidRDefault="00F018D4" w:rsidP="00F018D4">
      <w:pPr>
        <w:spacing w:after="0" w:line="240" w:lineRule="auto"/>
        <w:jc w:val="center"/>
        <w:rPr>
          <w:rFonts w:ascii="Arial" w:hAnsi="Arial" w:cs="Arial"/>
        </w:rPr>
      </w:pPr>
      <w:r w:rsidRPr="00F514E8">
        <w:rPr>
          <w:rFonts w:ascii="Arial" w:hAnsi="Arial" w:cs="Arial"/>
        </w:rPr>
        <w:t>WILLIAM ZAMBRANO CETINA</w:t>
      </w:r>
    </w:p>
    <w:p w14:paraId="12A32B27" w14:textId="77777777" w:rsidR="00F018D4" w:rsidRPr="00F514E8" w:rsidRDefault="00F018D4" w:rsidP="00F018D4">
      <w:pPr>
        <w:spacing w:after="0" w:line="240" w:lineRule="auto"/>
        <w:jc w:val="center"/>
        <w:rPr>
          <w:rFonts w:ascii="Arial" w:hAnsi="Arial" w:cs="Arial"/>
        </w:rPr>
      </w:pPr>
      <w:r w:rsidRPr="00F514E8">
        <w:rPr>
          <w:rFonts w:ascii="Arial" w:hAnsi="Arial" w:cs="Arial"/>
        </w:rPr>
        <w:t xml:space="preserve">Presidente de </w:t>
      </w:r>
      <w:smartTag w:uri="urn:schemas-microsoft-com:office:smarttags" w:element="PersonName">
        <w:smartTagPr>
          <w:attr w:name="ProductID" w:val="la Sala"/>
        </w:smartTagPr>
        <w:r w:rsidRPr="00F514E8">
          <w:rPr>
            <w:rFonts w:ascii="Arial" w:hAnsi="Arial" w:cs="Arial"/>
          </w:rPr>
          <w:t>la Sala</w:t>
        </w:r>
      </w:smartTag>
    </w:p>
    <w:p w14:paraId="18BB3237" w14:textId="77777777" w:rsidR="00F018D4" w:rsidRPr="00F514E8" w:rsidRDefault="00F018D4" w:rsidP="00F018D4">
      <w:pPr>
        <w:spacing w:after="0" w:line="240" w:lineRule="auto"/>
        <w:jc w:val="both"/>
        <w:rPr>
          <w:rFonts w:ascii="Arial" w:hAnsi="Arial" w:cs="Arial"/>
        </w:rPr>
      </w:pPr>
    </w:p>
    <w:p w14:paraId="6082208D" w14:textId="77777777" w:rsidR="00F018D4" w:rsidRPr="00F514E8" w:rsidRDefault="00F018D4" w:rsidP="00F018D4">
      <w:pPr>
        <w:spacing w:after="0" w:line="240" w:lineRule="auto"/>
        <w:jc w:val="both"/>
        <w:rPr>
          <w:rFonts w:ascii="Arial" w:hAnsi="Arial" w:cs="Arial"/>
        </w:rPr>
      </w:pPr>
    </w:p>
    <w:p w14:paraId="7B27A061" w14:textId="77777777" w:rsidR="00F018D4" w:rsidRPr="00F514E8" w:rsidRDefault="00F018D4" w:rsidP="00F018D4">
      <w:pPr>
        <w:spacing w:after="0" w:line="240" w:lineRule="auto"/>
        <w:ind w:right="-159"/>
        <w:jc w:val="both"/>
        <w:rPr>
          <w:rFonts w:ascii="Arial" w:hAnsi="Arial" w:cs="Arial"/>
        </w:rPr>
      </w:pPr>
    </w:p>
    <w:p w14:paraId="3A409D4E" w14:textId="77777777" w:rsidR="00F018D4" w:rsidRDefault="00F018D4" w:rsidP="00F018D4">
      <w:pPr>
        <w:spacing w:after="0" w:line="240" w:lineRule="auto"/>
        <w:ind w:right="-159"/>
        <w:jc w:val="both"/>
        <w:rPr>
          <w:rFonts w:ascii="Arial" w:hAnsi="Arial" w:cs="Arial"/>
        </w:rPr>
      </w:pPr>
    </w:p>
    <w:p w14:paraId="5BDF7ABF" w14:textId="77777777" w:rsidR="00EF35F9" w:rsidRPr="00F514E8" w:rsidRDefault="00EF35F9" w:rsidP="00F018D4">
      <w:pPr>
        <w:spacing w:after="0" w:line="240" w:lineRule="auto"/>
        <w:ind w:right="-159"/>
        <w:jc w:val="both"/>
        <w:rPr>
          <w:rFonts w:ascii="Arial" w:hAnsi="Arial" w:cs="Arial"/>
        </w:rPr>
      </w:pPr>
    </w:p>
    <w:p w14:paraId="2774E12E" w14:textId="77777777" w:rsidR="00F018D4" w:rsidRPr="00F514E8" w:rsidRDefault="00F018D4" w:rsidP="00F018D4">
      <w:pPr>
        <w:spacing w:after="0" w:line="240" w:lineRule="auto"/>
        <w:ind w:right="-159"/>
        <w:jc w:val="both"/>
        <w:rPr>
          <w:rFonts w:ascii="Arial" w:hAnsi="Arial" w:cs="Arial"/>
        </w:rPr>
      </w:pPr>
    </w:p>
    <w:p w14:paraId="49EF7BD9" w14:textId="77777777" w:rsidR="00F018D4" w:rsidRPr="00F514E8" w:rsidRDefault="00F018D4" w:rsidP="00F018D4">
      <w:pPr>
        <w:spacing w:after="0" w:line="240" w:lineRule="auto"/>
        <w:ind w:right="-159"/>
        <w:jc w:val="both"/>
        <w:rPr>
          <w:rFonts w:ascii="Arial" w:hAnsi="Arial" w:cs="Arial"/>
        </w:rPr>
      </w:pPr>
      <w:r w:rsidRPr="00F514E8">
        <w:rPr>
          <w:rFonts w:ascii="Arial" w:hAnsi="Arial" w:cs="Arial"/>
        </w:rPr>
        <w:t>LUIS FERNANDO ÁLVAREZ JARAMILLO          AUGUSTO HERNÁNDEZ BECERRA</w:t>
      </w:r>
    </w:p>
    <w:p w14:paraId="036F2162" w14:textId="77777777" w:rsidR="00F018D4" w:rsidRPr="00F514E8" w:rsidRDefault="00F018D4" w:rsidP="00F018D4">
      <w:pPr>
        <w:spacing w:after="0" w:line="240" w:lineRule="auto"/>
        <w:ind w:right="-159"/>
        <w:jc w:val="both"/>
        <w:rPr>
          <w:rFonts w:ascii="Arial" w:hAnsi="Arial" w:cs="Arial"/>
        </w:rPr>
      </w:pPr>
      <w:r w:rsidRPr="00F514E8">
        <w:rPr>
          <w:rFonts w:ascii="Arial" w:hAnsi="Arial" w:cs="Arial"/>
        </w:rPr>
        <w:t xml:space="preserve">    </w:t>
      </w:r>
      <w:r w:rsidRPr="00F514E8">
        <w:rPr>
          <w:rFonts w:ascii="Arial" w:hAnsi="Arial" w:cs="Arial"/>
        </w:rPr>
        <w:tab/>
        <w:t xml:space="preserve">  Consejero de Estado</w:t>
      </w:r>
      <w:r w:rsidRPr="00F514E8">
        <w:rPr>
          <w:rFonts w:ascii="Arial" w:hAnsi="Arial" w:cs="Arial"/>
        </w:rPr>
        <w:tab/>
        <w:t xml:space="preserve">                                 Consejero de Estado</w:t>
      </w:r>
    </w:p>
    <w:p w14:paraId="59604F24" w14:textId="77777777" w:rsidR="00F018D4" w:rsidRPr="00F514E8" w:rsidRDefault="00F018D4" w:rsidP="00F018D4">
      <w:pPr>
        <w:spacing w:after="0" w:line="240" w:lineRule="auto"/>
        <w:ind w:right="-159"/>
        <w:jc w:val="both"/>
        <w:rPr>
          <w:rFonts w:ascii="Arial" w:hAnsi="Arial" w:cs="Arial"/>
        </w:rPr>
      </w:pPr>
    </w:p>
    <w:p w14:paraId="5EC90E2A" w14:textId="77777777" w:rsidR="00F018D4" w:rsidRPr="00F514E8" w:rsidRDefault="00F018D4" w:rsidP="00F018D4">
      <w:pPr>
        <w:spacing w:after="0" w:line="240" w:lineRule="auto"/>
        <w:ind w:right="-159"/>
        <w:jc w:val="both"/>
        <w:rPr>
          <w:rFonts w:ascii="Arial" w:hAnsi="Arial" w:cs="Arial"/>
        </w:rPr>
      </w:pPr>
    </w:p>
    <w:p w14:paraId="62314549" w14:textId="77777777" w:rsidR="00F018D4" w:rsidRPr="00F514E8" w:rsidRDefault="00F018D4" w:rsidP="00F018D4">
      <w:pPr>
        <w:spacing w:after="0" w:line="240" w:lineRule="auto"/>
        <w:ind w:right="-159"/>
        <w:jc w:val="both"/>
        <w:rPr>
          <w:rFonts w:ascii="Arial" w:hAnsi="Arial" w:cs="Arial"/>
        </w:rPr>
      </w:pPr>
    </w:p>
    <w:p w14:paraId="173BEE2B" w14:textId="77777777" w:rsidR="00F018D4" w:rsidRDefault="00F018D4" w:rsidP="00F018D4">
      <w:pPr>
        <w:spacing w:after="0" w:line="240" w:lineRule="auto"/>
        <w:ind w:right="-159"/>
        <w:rPr>
          <w:rFonts w:ascii="Arial" w:hAnsi="Arial" w:cs="Arial"/>
        </w:rPr>
      </w:pPr>
    </w:p>
    <w:p w14:paraId="712CA9A1" w14:textId="77777777" w:rsidR="00EF35F9" w:rsidRPr="00F514E8" w:rsidRDefault="00EF35F9" w:rsidP="00F018D4">
      <w:pPr>
        <w:spacing w:after="0" w:line="240" w:lineRule="auto"/>
        <w:ind w:right="-159"/>
        <w:rPr>
          <w:rFonts w:ascii="Arial" w:hAnsi="Arial" w:cs="Arial"/>
        </w:rPr>
      </w:pPr>
    </w:p>
    <w:p w14:paraId="597486AA" w14:textId="77777777" w:rsidR="00F018D4" w:rsidRPr="00F514E8" w:rsidRDefault="00F018D4" w:rsidP="00F018D4">
      <w:pPr>
        <w:spacing w:after="0" w:line="240" w:lineRule="auto"/>
        <w:ind w:right="-159"/>
        <w:jc w:val="center"/>
        <w:rPr>
          <w:rFonts w:ascii="Arial" w:hAnsi="Arial" w:cs="Arial"/>
        </w:rPr>
      </w:pPr>
    </w:p>
    <w:p w14:paraId="665F074A" w14:textId="77777777" w:rsidR="00F018D4" w:rsidRPr="00F514E8" w:rsidRDefault="00F018D4" w:rsidP="00F018D4">
      <w:pPr>
        <w:spacing w:after="0" w:line="240" w:lineRule="auto"/>
        <w:ind w:right="-159"/>
        <w:jc w:val="center"/>
        <w:rPr>
          <w:rFonts w:ascii="Arial" w:hAnsi="Arial" w:cs="Arial"/>
        </w:rPr>
      </w:pPr>
      <w:r w:rsidRPr="00F514E8">
        <w:rPr>
          <w:rFonts w:ascii="Arial" w:hAnsi="Arial" w:cs="Arial"/>
        </w:rPr>
        <w:t>OSCAR ALBERTO REYES REY</w:t>
      </w:r>
    </w:p>
    <w:p w14:paraId="66A7926C" w14:textId="77777777" w:rsidR="00F018D4" w:rsidRDefault="00F018D4" w:rsidP="00F018D4">
      <w:pPr>
        <w:spacing w:after="0" w:line="240" w:lineRule="auto"/>
        <w:ind w:right="-159"/>
        <w:jc w:val="center"/>
        <w:rPr>
          <w:rFonts w:ascii="Arial" w:hAnsi="Arial" w:cs="Arial"/>
          <w:b/>
        </w:rPr>
      </w:pPr>
      <w:r w:rsidRPr="00F514E8">
        <w:rPr>
          <w:rFonts w:ascii="Arial" w:hAnsi="Arial" w:cs="Arial"/>
        </w:rPr>
        <w:t xml:space="preserve">Secretario de </w:t>
      </w:r>
      <w:smartTag w:uri="urn:schemas-microsoft-com:office:smarttags" w:element="PersonName">
        <w:smartTagPr>
          <w:attr w:name="ProductID" w:val="la Sala"/>
        </w:smartTagPr>
        <w:r w:rsidRPr="00F514E8">
          <w:rPr>
            <w:rFonts w:ascii="Arial" w:hAnsi="Arial" w:cs="Arial"/>
          </w:rPr>
          <w:t>la Sala</w:t>
        </w:r>
      </w:smartTag>
    </w:p>
    <w:p w14:paraId="45A932B1" w14:textId="77777777" w:rsidR="001C3D0B" w:rsidRPr="00AE14E8" w:rsidRDefault="001C3D0B" w:rsidP="00F018D4">
      <w:pPr>
        <w:spacing w:after="0" w:line="240" w:lineRule="auto"/>
        <w:ind w:right="-199"/>
        <w:jc w:val="center"/>
        <w:rPr>
          <w:rFonts w:ascii="Arial" w:hAnsi="Arial" w:cs="Arial"/>
          <w:sz w:val="24"/>
          <w:szCs w:val="24"/>
          <w:lang w:val="es-CO"/>
        </w:rPr>
      </w:pPr>
    </w:p>
    <w:sectPr w:rsidR="001C3D0B" w:rsidRPr="00AE14E8" w:rsidSect="00653FD3">
      <w:headerReference w:type="even" r:id="rId11"/>
      <w:headerReference w:type="default" r:id="rId12"/>
      <w:footerReference w:type="default" r:id="rId13"/>
      <w:pgSz w:w="12242" w:h="18722" w:code="120"/>
      <w:pgMar w:top="1701" w:right="1701" w:bottom="170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C4C22D" w14:textId="77777777" w:rsidR="00B41A48" w:rsidRDefault="00B41A48" w:rsidP="00952A40">
      <w:pPr>
        <w:spacing w:after="0" w:line="240" w:lineRule="auto"/>
      </w:pPr>
      <w:r>
        <w:separator/>
      </w:r>
    </w:p>
  </w:endnote>
  <w:endnote w:type="continuationSeparator" w:id="0">
    <w:p w14:paraId="12B30F96" w14:textId="77777777" w:rsidR="00B41A48" w:rsidRDefault="00B41A48" w:rsidP="00952A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A527E" w14:textId="77777777" w:rsidR="00954B42" w:rsidRDefault="00954B42">
    <w:pPr>
      <w:pStyle w:val="Piedepgina"/>
      <w:jc w:val="right"/>
    </w:pPr>
    <w:r>
      <w:t>.</w:t>
    </w:r>
  </w:p>
  <w:p w14:paraId="323B6625" w14:textId="77777777" w:rsidR="00954B42" w:rsidRDefault="00954B4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ACA015" w14:textId="77777777" w:rsidR="00B41A48" w:rsidRDefault="00B41A48" w:rsidP="00952A40">
      <w:pPr>
        <w:spacing w:after="0" w:line="240" w:lineRule="auto"/>
      </w:pPr>
      <w:r>
        <w:separator/>
      </w:r>
    </w:p>
  </w:footnote>
  <w:footnote w:type="continuationSeparator" w:id="0">
    <w:p w14:paraId="687F3F1F" w14:textId="77777777" w:rsidR="00B41A48" w:rsidRDefault="00B41A48" w:rsidP="00952A40">
      <w:pPr>
        <w:spacing w:after="0" w:line="240" w:lineRule="auto"/>
      </w:pPr>
      <w:r>
        <w:continuationSeparator/>
      </w:r>
    </w:p>
  </w:footnote>
  <w:footnote w:id="1">
    <w:p w14:paraId="64ECEA81"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Aunque FONADE ya existía previamente, no era una entidad pública, sino una cuenta creada por el Departamento Nacional de Planeación, con base en la autorización otorgada por el </w:t>
      </w:r>
      <w:r>
        <w:rPr>
          <w:rFonts w:ascii="Arial" w:hAnsi="Arial" w:cs="Arial"/>
        </w:rPr>
        <w:t>d</w:t>
      </w:r>
      <w:r w:rsidRPr="00932210">
        <w:rPr>
          <w:rFonts w:ascii="Arial" w:hAnsi="Arial" w:cs="Arial"/>
        </w:rPr>
        <w:t xml:space="preserve">ecreto 2080 de 1967, como lo manifestó la Sala en el concepto Nº 1773 del 4 de octubre de 2006. </w:t>
      </w:r>
    </w:p>
  </w:footnote>
  <w:footnote w:id="2">
    <w:p w14:paraId="6FED37E5"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Artículo 1º del </w:t>
      </w:r>
      <w:r>
        <w:rPr>
          <w:rFonts w:ascii="Arial" w:hAnsi="Arial" w:cs="Arial"/>
        </w:rPr>
        <w:t>d</w:t>
      </w:r>
      <w:r w:rsidRPr="00932210">
        <w:rPr>
          <w:rFonts w:ascii="Arial" w:hAnsi="Arial" w:cs="Arial"/>
        </w:rPr>
        <w:t>ecreto 2168 de 1992.</w:t>
      </w:r>
    </w:p>
  </w:footnote>
  <w:footnote w:id="3">
    <w:p w14:paraId="7A862EA5"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w:t>
      </w:r>
      <w:r w:rsidRPr="00932210">
        <w:rPr>
          <w:rFonts w:ascii="Arial" w:hAnsi="Arial" w:cs="Arial"/>
          <w:i/>
        </w:rPr>
        <w:t>Entidades con regímenes especiales</w:t>
      </w:r>
      <w:r w:rsidRPr="00932210">
        <w:rPr>
          <w:rFonts w:ascii="Arial" w:hAnsi="Arial" w:cs="Arial"/>
        </w:rPr>
        <w:t>”.</w:t>
      </w:r>
    </w:p>
  </w:footnote>
  <w:footnote w:id="4">
    <w:p w14:paraId="08B863DC" w14:textId="77777777" w:rsidR="00954B42" w:rsidRPr="00932210" w:rsidRDefault="00954B42" w:rsidP="00932210">
      <w:pPr>
        <w:spacing w:after="0" w:line="240" w:lineRule="auto"/>
        <w:ind w:right="-198"/>
        <w:jc w:val="both"/>
        <w:rPr>
          <w:rFonts w:ascii="Arial" w:hAnsi="Arial" w:cs="Arial"/>
          <w:i/>
          <w:sz w:val="20"/>
          <w:szCs w:val="20"/>
          <w:lang w:val="es-ES_tradnl"/>
        </w:rPr>
      </w:pPr>
      <w:r w:rsidRPr="00932210">
        <w:rPr>
          <w:rStyle w:val="Refdenotaalpie"/>
          <w:rFonts w:ascii="Arial" w:hAnsi="Arial" w:cs="Arial"/>
          <w:sz w:val="20"/>
          <w:szCs w:val="20"/>
        </w:rPr>
        <w:footnoteRef/>
      </w:r>
      <w:r w:rsidRPr="00932210">
        <w:rPr>
          <w:rFonts w:ascii="Arial" w:hAnsi="Arial" w:cs="Arial"/>
          <w:sz w:val="20"/>
          <w:szCs w:val="20"/>
        </w:rPr>
        <w:t xml:space="preserve"> </w:t>
      </w:r>
      <w:r w:rsidRPr="00932210">
        <w:rPr>
          <w:rFonts w:ascii="Arial" w:hAnsi="Arial" w:cs="Arial"/>
          <w:sz w:val="20"/>
          <w:szCs w:val="20"/>
          <w:lang w:val="es-ES_tradnl"/>
        </w:rPr>
        <w:t xml:space="preserve">Con esta norma se amplió el objeto de FONADE, ya que el artículo 2º del </w:t>
      </w:r>
      <w:r>
        <w:rPr>
          <w:rFonts w:ascii="Arial" w:hAnsi="Arial" w:cs="Arial"/>
          <w:sz w:val="20"/>
          <w:szCs w:val="20"/>
          <w:lang w:val="es-ES_tradnl"/>
        </w:rPr>
        <w:t>d</w:t>
      </w:r>
      <w:r w:rsidRPr="00932210">
        <w:rPr>
          <w:rFonts w:ascii="Arial" w:hAnsi="Arial" w:cs="Arial"/>
          <w:sz w:val="20"/>
          <w:szCs w:val="20"/>
          <w:lang w:val="es-ES_tradnl"/>
        </w:rPr>
        <w:t>ecreto 2168 de 1992 solamente se refería a “</w:t>
      </w:r>
      <w:r w:rsidRPr="00932210">
        <w:rPr>
          <w:rFonts w:ascii="Arial" w:hAnsi="Arial" w:cs="Arial"/>
          <w:i/>
          <w:sz w:val="20"/>
          <w:szCs w:val="20"/>
          <w:lang w:val="es-ES_tradnl"/>
        </w:rPr>
        <w:t xml:space="preserve">la financiación y administración de estudios, y la coordinación de la fase de preparación de proyectos de desarrollo”. </w:t>
      </w:r>
    </w:p>
    <w:p w14:paraId="24DBA266" w14:textId="77777777" w:rsidR="00954B42" w:rsidRPr="00932210" w:rsidRDefault="00954B42" w:rsidP="00932210">
      <w:pPr>
        <w:pStyle w:val="Textonotapie"/>
        <w:jc w:val="both"/>
        <w:rPr>
          <w:rFonts w:ascii="Arial" w:hAnsi="Arial" w:cs="Arial"/>
        </w:rPr>
      </w:pPr>
    </w:p>
  </w:footnote>
  <w:footnote w:id="5">
    <w:p w14:paraId="18F1F4BB" w14:textId="77777777" w:rsidR="00954B42" w:rsidRPr="00932210" w:rsidRDefault="00954B42" w:rsidP="00932210">
      <w:pPr>
        <w:spacing w:after="0" w:line="240" w:lineRule="auto"/>
        <w:ind w:right="-198"/>
        <w:jc w:val="both"/>
        <w:rPr>
          <w:rFonts w:ascii="Arial" w:hAnsi="Arial" w:cs="Arial"/>
          <w:sz w:val="20"/>
          <w:szCs w:val="20"/>
        </w:rPr>
      </w:pPr>
      <w:r w:rsidRPr="00932210">
        <w:rPr>
          <w:rStyle w:val="Refdenotaalpie"/>
          <w:rFonts w:ascii="Arial" w:hAnsi="Arial" w:cs="Arial"/>
          <w:sz w:val="20"/>
          <w:szCs w:val="20"/>
        </w:rPr>
        <w:footnoteRef/>
      </w:r>
      <w:r w:rsidRPr="00932210">
        <w:rPr>
          <w:rFonts w:ascii="Arial" w:hAnsi="Arial" w:cs="Arial"/>
          <w:sz w:val="20"/>
          <w:szCs w:val="20"/>
        </w:rPr>
        <w:t xml:space="preserve"> Mediante </w:t>
      </w:r>
      <w:r w:rsidRPr="00932210">
        <w:rPr>
          <w:rFonts w:ascii="Arial" w:hAnsi="Arial" w:cs="Arial"/>
          <w:sz w:val="20"/>
          <w:szCs w:val="20"/>
          <w:lang w:val="es-ES_tradnl"/>
        </w:rPr>
        <w:t xml:space="preserve">el </w:t>
      </w:r>
      <w:r>
        <w:rPr>
          <w:rFonts w:ascii="Arial" w:hAnsi="Arial" w:cs="Arial"/>
          <w:sz w:val="20"/>
          <w:szCs w:val="20"/>
          <w:lang w:val="es-ES_tradnl"/>
        </w:rPr>
        <w:t>d</w:t>
      </w:r>
      <w:r w:rsidRPr="00932210">
        <w:rPr>
          <w:rFonts w:ascii="Arial" w:hAnsi="Arial" w:cs="Arial"/>
          <w:sz w:val="20"/>
          <w:szCs w:val="20"/>
          <w:lang w:val="es-ES_tradnl"/>
        </w:rPr>
        <w:t xml:space="preserve">ecreto 961 de 2005, el Gobierno Nacional añadió una nueva función a FONADE, consistente en asociarse con personas privadas, o constituir cualquier tipo societario, bajo las condiciones previstas en ese </w:t>
      </w:r>
      <w:r>
        <w:rPr>
          <w:rFonts w:ascii="Arial" w:hAnsi="Arial" w:cs="Arial"/>
          <w:sz w:val="20"/>
          <w:szCs w:val="20"/>
          <w:lang w:val="es-ES_tradnl"/>
        </w:rPr>
        <w:t>d</w:t>
      </w:r>
      <w:r w:rsidRPr="00932210">
        <w:rPr>
          <w:rFonts w:ascii="Arial" w:hAnsi="Arial" w:cs="Arial"/>
          <w:sz w:val="20"/>
          <w:szCs w:val="20"/>
          <w:lang w:val="es-ES_tradnl"/>
        </w:rPr>
        <w:t xml:space="preserve">ecreto, para promover, fomentar y ejecutar proyectos de desarrollo turístico con beneficios económicos y sociales. Aunque dicho </w:t>
      </w:r>
      <w:r>
        <w:rPr>
          <w:rFonts w:ascii="Arial" w:hAnsi="Arial" w:cs="Arial"/>
          <w:sz w:val="20"/>
          <w:szCs w:val="20"/>
          <w:lang w:val="es-ES_tradnl"/>
        </w:rPr>
        <w:t>d</w:t>
      </w:r>
      <w:r w:rsidRPr="00932210">
        <w:rPr>
          <w:rFonts w:ascii="Arial" w:hAnsi="Arial" w:cs="Arial"/>
          <w:sz w:val="20"/>
          <w:szCs w:val="20"/>
          <w:lang w:val="es-ES_tradnl"/>
        </w:rPr>
        <w:t xml:space="preserve">ecreto no se encuentra vigente, las normas </w:t>
      </w:r>
      <w:r w:rsidRPr="00932210">
        <w:rPr>
          <w:rFonts w:ascii="Arial" w:hAnsi="Arial" w:cs="Arial"/>
          <w:sz w:val="20"/>
          <w:szCs w:val="20"/>
          <w:lang w:val="es-ES_tradnl"/>
        </w:rPr>
        <w:t xml:space="preserve">del mismo fueron incorporadas en los artículos 10.6.1.1.1 a 10.6.1.1.8 del </w:t>
      </w:r>
      <w:r>
        <w:rPr>
          <w:rFonts w:ascii="Arial" w:hAnsi="Arial" w:cs="Arial"/>
          <w:sz w:val="20"/>
          <w:szCs w:val="20"/>
          <w:lang w:val="es-ES_tradnl"/>
        </w:rPr>
        <w:t>d</w:t>
      </w:r>
      <w:r w:rsidRPr="00932210">
        <w:rPr>
          <w:rFonts w:ascii="Arial" w:hAnsi="Arial" w:cs="Arial"/>
          <w:sz w:val="20"/>
          <w:szCs w:val="20"/>
          <w:lang w:val="es-ES_tradnl"/>
        </w:rPr>
        <w:t>ecreto 2555 de 2010, “</w:t>
      </w:r>
      <w:r w:rsidRPr="00932210">
        <w:rPr>
          <w:rFonts w:ascii="Arial" w:hAnsi="Arial" w:cs="Arial"/>
          <w:i/>
          <w:sz w:val="20"/>
          <w:szCs w:val="20"/>
          <w:lang w:val="es-ES_tradnl"/>
        </w:rPr>
        <w:t xml:space="preserve">por el cual se recogen y reexpiden las normas en materia del sector financiero, asegurador y del mercado de valores y se dictan otras disposiciones”. </w:t>
      </w:r>
    </w:p>
  </w:footnote>
  <w:footnote w:id="6">
    <w:p w14:paraId="15465CF6" w14:textId="77777777" w:rsidR="00954B42" w:rsidRPr="00950CD1" w:rsidRDefault="00954B42" w:rsidP="00950CD1">
      <w:pPr>
        <w:spacing w:after="0" w:line="240" w:lineRule="auto"/>
        <w:ind w:right="-198"/>
        <w:jc w:val="both"/>
        <w:rPr>
          <w:rFonts w:ascii="Arial" w:hAnsi="Arial" w:cs="Arial"/>
          <w:sz w:val="20"/>
          <w:szCs w:val="20"/>
          <w:lang w:val="es-ES_tradnl"/>
        </w:rPr>
      </w:pPr>
      <w:r>
        <w:rPr>
          <w:rStyle w:val="Refdenotaalpie"/>
        </w:rPr>
        <w:footnoteRef/>
      </w:r>
      <w:r>
        <w:t xml:space="preserve"> </w:t>
      </w:r>
      <w:r w:rsidRPr="00950CD1">
        <w:rPr>
          <w:rFonts w:ascii="Arial" w:hAnsi="Arial" w:cs="Arial"/>
          <w:sz w:val="20"/>
          <w:szCs w:val="20"/>
          <w:lang w:val="es-ES_tradnl"/>
        </w:rPr>
        <w:t>De acuerdo con el artículo 28 del Código Civil, “</w:t>
      </w:r>
      <w:r w:rsidRPr="00950CD1">
        <w:rPr>
          <w:rFonts w:ascii="Arial" w:hAnsi="Arial" w:cs="Arial"/>
          <w:i/>
          <w:sz w:val="20"/>
          <w:szCs w:val="20"/>
          <w:lang w:val="es-ES_tradnl"/>
        </w:rPr>
        <w:t xml:space="preserve">las palabras de la ley se entenderán en su sentido natural y obvio, según el uso general de las mismas… pero cuando el legislador las haya definido expresamente para ciertas materias, se les dará en estas su significado legal”. </w:t>
      </w:r>
      <w:r w:rsidRPr="00950CD1">
        <w:rPr>
          <w:rFonts w:ascii="Arial" w:hAnsi="Arial" w:cs="Arial"/>
          <w:sz w:val="20"/>
          <w:szCs w:val="20"/>
          <w:lang w:val="es-ES_tradnl"/>
        </w:rPr>
        <w:t xml:space="preserve">        </w:t>
      </w:r>
    </w:p>
  </w:footnote>
  <w:footnote w:id="7">
    <w:p w14:paraId="47691798" w14:textId="77777777" w:rsidR="00954B42" w:rsidRPr="00932210" w:rsidRDefault="00954B42" w:rsidP="00950CD1">
      <w:pPr>
        <w:pStyle w:val="Textonotapie"/>
        <w:ind w:right="-234"/>
        <w:jc w:val="both"/>
        <w:rPr>
          <w:rFonts w:ascii="Arial" w:hAnsi="Arial" w:cs="Arial"/>
        </w:rPr>
      </w:pPr>
      <w:r w:rsidRPr="00932210">
        <w:rPr>
          <w:rStyle w:val="Refdenotaalpie"/>
          <w:rFonts w:ascii="Arial" w:hAnsi="Arial" w:cs="Arial"/>
        </w:rPr>
        <w:footnoteRef/>
      </w:r>
      <w:r w:rsidRPr="00932210">
        <w:rPr>
          <w:rFonts w:ascii="Arial" w:hAnsi="Arial" w:cs="Arial"/>
        </w:rPr>
        <w:t xml:space="preserve"> L</w:t>
      </w:r>
      <w:r w:rsidRPr="00932210">
        <w:rPr>
          <w:rFonts w:ascii="Arial" w:hAnsi="Arial" w:cs="Arial"/>
          <w:lang w:val="es-ES_tradnl"/>
        </w:rPr>
        <w:t xml:space="preserve">a </w:t>
      </w:r>
      <w:r>
        <w:rPr>
          <w:rFonts w:ascii="Arial" w:hAnsi="Arial" w:cs="Arial"/>
          <w:lang w:val="es-ES_tradnl"/>
        </w:rPr>
        <w:t>l</w:t>
      </w:r>
      <w:r w:rsidRPr="00932210">
        <w:rPr>
          <w:rFonts w:ascii="Arial" w:hAnsi="Arial" w:cs="Arial"/>
          <w:lang w:val="es-ES_tradnl"/>
        </w:rPr>
        <w:t>ey 45 de 1990, “</w:t>
      </w:r>
      <w:r w:rsidRPr="00932210">
        <w:rPr>
          <w:rFonts w:ascii="Arial" w:hAnsi="Arial" w:cs="Arial"/>
          <w:i/>
          <w:lang w:val="es-ES_tradnl"/>
        </w:rPr>
        <w:t>por la cual se expiden normas en materia de intermediación financiera, se regula la actividad aseguradora, se conceden unas facultades y se dictan otras disposiciones”</w:t>
      </w:r>
      <w:r w:rsidRPr="00932210">
        <w:rPr>
          <w:rFonts w:ascii="Arial" w:hAnsi="Arial" w:cs="Arial"/>
          <w:lang w:val="es-ES_tradnl"/>
        </w:rPr>
        <w:t>, definió la estructura del sistema financiero y asegurador colombiano, que posteriormente fue plasmada en el Estatuto Orgánico del Sistema Financiero (E.O.S.F.) y que, en buena parte, se conserva hoy en día, a pesar de la tendencia creciente hacia el establecimiento de un esquema de banca múltiple o universal.</w:t>
      </w:r>
    </w:p>
  </w:footnote>
  <w:footnote w:id="8">
    <w:p w14:paraId="25BAEDF9"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En virtud de </w:t>
      </w:r>
      <w:r>
        <w:rPr>
          <w:rFonts w:ascii="Arial" w:hAnsi="Arial" w:cs="Arial"/>
        </w:rPr>
        <w:t xml:space="preserve">su </w:t>
      </w:r>
      <w:r w:rsidRPr="00932210">
        <w:rPr>
          <w:rFonts w:ascii="Arial" w:hAnsi="Arial" w:cs="Arial"/>
        </w:rPr>
        <w:t xml:space="preserve">absorción por parte de la Superintendencia de Valores y la </w:t>
      </w:r>
      <w:r w:rsidRPr="00932210">
        <w:rPr>
          <w:rFonts w:ascii="Arial" w:hAnsi="Arial" w:cs="Arial"/>
        </w:rPr>
        <w:t xml:space="preserve">re-denominación de esta última como Superintendencia Financiera </w:t>
      </w:r>
      <w:r w:rsidRPr="00E33414">
        <w:rPr>
          <w:rFonts w:ascii="Arial" w:hAnsi="Arial" w:cs="Arial"/>
        </w:rPr>
        <w:t>de Colombia,</w:t>
      </w:r>
      <w:r w:rsidRPr="00932210">
        <w:rPr>
          <w:rFonts w:ascii="Arial" w:hAnsi="Arial" w:cs="Arial"/>
        </w:rPr>
        <w:t xml:space="preserve"> conforme a lo ordenado en el Decreto 4327 de 2005. </w:t>
      </w:r>
    </w:p>
  </w:footnote>
  <w:footnote w:id="9">
    <w:p w14:paraId="0F483570"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En su mayoría, empresas industriales y comerciales del Estado y sociedades de economía mixta. </w:t>
      </w:r>
    </w:p>
  </w:footnote>
  <w:footnote w:id="10">
    <w:p w14:paraId="6036C434"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De fecha 4 de octubre de 2006. C.P: Enrique José Arboleda Perdomo. </w:t>
      </w:r>
    </w:p>
  </w:footnote>
  <w:footnote w:id="11">
    <w:p w14:paraId="3011F9C6"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Del 29 de mayo de 2003. Consejera Ponente: Susana Montes de Echeverri.</w:t>
      </w:r>
    </w:p>
  </w:footnote>
  <w:footnote w:id="12">
    <w:p w14:paraId="3CA7F693"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Es decir, los establecimientos de crédito, las sociedades de servicios financieros, las sociedades de capitalización, las entidades aseguradoras y los intermediarios de seguros y reaseguros. </w:t>
      </w:r>
    </w:p>
  </w:footnote>
  <w:footnote w:id="13">
    <w:p w14:paraId="12AB307C"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Concepto </w:t>
      </w:r>
      <w:r w:rsidRPr="00932210">
        <w:rPr>
          <w:rFonts w:ascii="Arial" w:hAnsi="Arial" w:cs="Arial"/>
        </w:rPr>
        <w:t xml:space="preserve">Nº 2002038624-1 del 17 de julio de 2002, emitido por la Superintendencia Bancaria. </w:t>
      </w:r>
    </w:p>
  </w:footnote>
  <w:footnote w:id="14">
    <w:p w14:paraId="4C6FB8AC"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La Sala considera que la expresión “objeto social” debe reservarse a las sociedades de economía mixta, a las sociedades entre entidades públicas y a las demás entidades estatales de carácter societario.</w:t>
      </w:r>
    </w:p>
  </w:footnote>
  <w:footnote w:id="15">
    <w:p w14:paraId="750C7E17"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16 de enero de 2008, con excepción de los artículos 6, 9 y 17.</w:t>
      </w:r>
    </w:p>
  </w:footnote>
  <w:footnote w:id="16">
    <w:p w14:paraId="7B4E2FDD" w14:textId="77777777" w:rsidR="00954B42" w:rsidRPr="00932210" w:rsidRDefault="00954B42" w:rsidP="00932210">
      <w:pPr>
        <w:pStyle w:val="Textonotapie"/>
        <w:jc w:val="both"/>
        <w:rPr>
          <w:rFonts w:ascii="Arial" w:hAnsi="Arial" w:cs="Arial"/>
          <w:i/>
        </w:rPr>
      </w:pPr>
      <w:r w:rsidRPr="00932210">
        <w:rPr>
          <w:rStyle w:val="Refdenotaalpie"/>
          <w:rFonts w:ascii="Arial" w:hAnsi="Arial" w:cs="Arial"/>
        </w:rPr>
        <w:footnoteRef/>
      </w:r>
      <w:r w:rsidRPr="00932210">
        <w:rPr>
          <w:rFonts w:ascii="Arial" w:hAnsi="Arial" w:cs="Arial"/>
        </w:rPr>
        <w:t xml:space="preserve"> “</w:t>
      </w:r>
      <w:r w:rsidRPr="00932210">
        <w:rPr>
          <w:rFonts w:ascii="Arial" w:hAnsi="Arial" w:cs="Arial"/>
          <w:b/>
          <w:i/>
        </w:rPr>
        <w:t xml:space="preserve">Artículo 158. </w:t>
      </w:r>
      <w:r w:rsidRPr="00932210">
        <w:rPr>
          <w:rFonts w:ascii="Arial" w:hAnsi="Arial" w:cs="Arial"/>
          <w:i/>
        </w:rPr>
        <w:t xml:space="preserve">Todo proyecto de ley debe referirse a una misma materia y serán inadmisibles las disposiciones o modificaciones que no se relacionen con ella. El </w:t>
      </w:r>
      <w:r w:rsidRPr="00932210">
        <w:rPr>
          <w:rFonts w:ascii="Arial" w:hAnsi="Arial" w:cs="Arial"/>
          <w:i/>
        </w:rPr>
        <w:t xml:space="preserve">Presidente de la respectiva comisión rechazará las iniciativas que no se avengan con este precepto, pero sus decisiones serán apelables ante la misma comisión. La ley que sea objeto de reforma parcial se publicará en un solo texto que incorpore las modificaciones aprobadas”. </w:t>
      </w:r>
    </w:p>
  </w:footnote>
  <w:footnote w:id="17">
    <w:p w14:paraId="018F26B4" w14:textId="77777777" w:rsidR="00954B42" w:rsidRPr="009870A8" w:rsidRDefault="00954B42" w:rsidP="00257AB6">
      <w:pPr>
        <w:pStyle w:val="Textonotapie"/>
        <w:jc w:val="both"/>
        <w:rPr>
          <w:lang w:val="es-CO"/>
        </w:rPr>
      </w:pPr>
      <w:r>
        <w:rPr>
          <w:rStyle w:val="Refdenotaalpie"/>
        </w:rPr>
        <w:footnoteRef/>
      </w:r>
      <w:r>
        <w:t xml:space="preserve"> “</w:t>
      </w:r>
      <w:r w:rsidRPr="009870A8">
        <w:rPr>
          <w:rFonts w:ascii="Arial" w:hAnsi="Arial" w:cs="Arial"/>
          <w:i/>
        </w:rPr>
        <w:t>Artículo 4º.</w:t>
      </w:r>
      <w:r w:rsidRPr="00932210">
        <w:rPr>
          <w:rFonts w:ascii="Arial" w:hAnsi="Arial" w:cs="Arial"/>
          <w:b/>
          <w:i/>
        </w:rPr>
        <w:t xml:space="preserve"> </w:t>
      </w:r>
      <w:r w:rsidRPr="00932210">
        <w:rPr>
          <w:rFonts w:ascii="Arial" w:hAnsi="Arial" w:cs="Arial"/>
          <w:i/>
        </w:rPr>
        <w:t>La Constitución es norma de normas. En todo caso de incompatibilidad entre la Constitución y la ley u otra norma jurídica, se aplicarán las disposiciones constitucionales…”</w:t>
      </w:r>
      <w:r>
        <w:rPr>
          <w:rFonts w:ascii="Arial" w:hAnsi="Arial" w:cs="Arial"/>
          <w:i/>
        </w:rPr>
        <w:t xml:space="preserve">. </w:t>
      </w:r>
      <w:r w:rsidRPr="00932210">
        <w:rPr>
          <w:rFonts w:ascii="Arial" w:hAnsi="Arial" w:cs="Arial"/>
          <w:b/>
          <w:i/>
        </w:rPr>
        <w:t xml:space="preserve"> </w:t>
      </w:r>
    </w:p>
  </w:footnote>
  <w:footnote w:id="18">
    <w:p w14:paraId="6BCC6CC7" w14:textId="77777777" w:rsidR="00954B42" w:rsidRPr="00932210" w:rsidRDefault="00954B42" w:rsidP="00346493">
      <w:pPr>
        <w:pStyle w:val="Textonotapie"/>
        <w:jc w:val="both"/>
        <w:rPr>
          <w:rFonts w:ascii="Arial" w:hAnsi="Arial" w:cs="Arial"/>
        </w:rPr>
      </w:pPr>
      <w:r w:rsidRPr="00932210">
        <w:rPr>
          <w:rStyle w:val="Refdenotaalpie"/>
          <w:rFonts w:ascii="Arial" w:hAnsi="Arial" w:cs="Arial"/>
        </w:rPr>
        <w:footnoteRef/>
      </w:r>
      <w:r>
        <w:rPr>
          <w:rFonts w:ascii="Arial" w:hAnsi="Arial" w:cs="Arial"/>
        </w:rPr>
        <w:t xml:space="preserve"> El artículo 276 de la l</w:t>
      </w:r>
      <w:r w:rsidRPr="00932210">
        <w:rPr>
          <w:rFonts w:ascii="Arial" w:hAnsi="Arial" w:cs="Arial"/>
        </w:rPr>
        <w:t>ey 1450 de 2011, parcialmente.</w:t>
      </w:r>
    </w:p>
  </w:footnote>
  <w:footnote w:id="19">
    <w:p w14:paraId="1C7600A3" w14:textId="77777777" w:rsidR="00954B42" w:rsidRPr="00932210" w:rsidRDefault="00954B42" w:rsidP="00257AB6">
      <w:pPr>
        <w:pStyle w:val="Textonotapie"/>
        <w:jc w:val="both"/>
        <w:rPr>
          <w:rFonts w:ascii="Arial" w:hAnsi="Arial" w:cs="Arial"/>
        </w:rPr>
      </w:pPr>
      <w:r w:rsidRPr="00932210">
        <w:rPr>
          <w:rStyle w:val="Refdenotaalpie"/>
          <w:rFonts w:ascii="Arial" w:hAnsi="Arial" w:cs="Arial"/>
        </w:rPr>
        <w:footnoteRef/>
      </w:r>
      <w:r>
        <w:rPr>
          <w:rFonts w:ascii="Arial" w:hAnsi="Arial" w:cs="Arial"/>
        </w:rPr>
        <w:t xml:space="preserve"> El artículo 26 de la l</w:t>
      </w:r>
      <w:r w:rsidRPr="00932210">
        <w:rPr>
          <w:rFonts w:ascii="Arial" w:hAnsi="Arial" w:cs="Arial"/>
        </w:rPr>
        <w:t>ey 1150 de 2007.</w:t>
      </w:r>
    </w:p>
  </w:footnote>
  <w:footnote w:id="20">
    <w:p w14:paraId="76033345"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De fecha 10 de septiembre de 2009. C.P: Luis Fernando Álvarez Jaramillo.</w:t>
      </w:r>
    </w:p>
  </w:footnote>
  <w:footnote w:id="21">
    <w:p w14:paraId="73D2D7E6" w14:textId="77777777" w:rsidR="00954B42" w:rsidRPr="00932210" w:rsidRDefault="00954B42" w:rsidP="00932210">
      <w:pPr>
        <w:pStyle w:val="Textonotapie"/>
        <w:jc w:val="both"/>
        <w:rPr>
          <w:rFonts w:ascii="Arial" w:hAnsi="Arial" w:cs="Arial"/>
          <w:i/>
        </w:rPr>
      </w:pPr>
      <w:r w:rsidRPr="00932210">
        <w:rPr>
          <w:rStyle w:val="Refdenotaalpie"/>
          <w:rFonts w:ascii="Arial" w:hAnsi="Arial" w:cs="Arial"/>
        </w:rPr>
        <w:footnoteRef/>
      </w:r>
      <w:r w:rsidRPr="00932210">
        <w:rPr>
          <w:rFonts w:ascii="Arial" w:hAnsi="Arial" w:cs="Arial"/>
        </w:rPr>
        <w:t xml:space="preserve"> </w:t>
      </w:r>
      <w:r w:rsidRPr="00932210">
        <w:rPr>
          <w:rFonts w:ascii="Arial" w:hAnsi="Arial" w:cs="Arial"/>
          <w:i/>
        </w:rPr>
        <w:t>Además de las sentencias T-556 y C-600 de 1998, pueden verse las sentencias de la Corte Constitucional, C-069 de 1995, SU 544 de 2001, T-201 y C803 de 2006 y la providencia A-105 de 2009”.</w:t>
      </w:r>
    </w:p>
  </w:footnote>
  <w:footnote w:id="22">
    <w:p w14:paraId="7AB179E1"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Ley 80 de 1993, con las adiciones y modificaciones incorporadas en esta materia por otras normas, como la </w:t>
      </w:r>
      <w:r>
        <w:rPr>
          <w:rFonts w:ascii="Arial" w:hAnsi="Arial" w:cs="Arial"/>
        </w:rPr>
        <w:t>l</w:t>
      </w:r>
      <w:r w:rsidRPr="00932210">
        <w:rPr>
          <w:rFonts w:ascii="Arial" w:hAnsi="Arial" w:cs="Arial"/>
        </w:rPr>
        <w:t xml:space="preserve">ey 1150 de 2007, la </w:t>
      </w:r>
      <w:r>
        <w:rPr>
          <w:rFonts w:ascii="Arial" w:hAnsi="Arial" w:cs="Arial"/>
        </w:rPr>
        <w:t>l</w:t>
      </w:r>
      <w:r w:rsidRPr="00932210">
        <w:rPr>
          <w:rFonts w:ascii="Arial" w:hAnsi="Arial" w:cs="Arial"/>
        </w:rPr>
        <w:t xml:space="preserve">ey 734 de 2002 y la </w:t>
      </w:r>
      <w:r>
        <w:rPr>
          <w:rFonts w:ascii="Arial" w:hAnsi="Arial" w:cs="Arial"/>
        </w:rPr>
        <w:t>l</w:t>
      </w:r>
      <w:r w:rsidRPr="00932210">
        <w:rPr>
          <w:rFonts w:ascii="Arial" w:hAnsi="Arial" w:cs="Arial"/>
        </w:rPr>
        <w:t xml:space="preserve">ey 1474 de 2011. </w:t>
      </w:r>
    </w:p>
  </w:footnote>
  <w:footnote w:id="23">
    <w:p w14:paraId="059D992A"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Artículo 14 de la </w:t>
      </w:r>
      <w:r>
        <w:rPr>
          <w:rFonts w:ascii="Arial" w:hAnsi="Arial" w:cs="Arial"/>
        </w:rPr>
        <w:t>l</w:t>
      </w:r>
      <w:r w:rsidRPr="00932210">
        <w:rPr>
          <w:rFonts w:ascii="Arial" w:hAnsi="Arial" w:cs="Arial"/>
        </w:rPr>
        <w:t xml:space="preserve">ey 1150 de 2007, modificado por el artículo 93 de la </w:t>
      </w:r>
      <w:r>
        <w:rPr>
          <w:rFonts w:ascii="Arial" w:hAnsi="Arial" w:cs="Arial"/>
        </w:rPr>
        <w:t>l</w:t>
      </w:r>
      <w:r w:rsidRPr="00932210">
        <w:rPr>
          <w:rFonts w:ascii="Arial" w:hAnsi="Arial" w:cs="Arial"/>
        </w:rPr>
        <w:t>ey 1474 de 2011.</w:t>
      </w:r>
    </w:p>
  </w:footnote>
  <w:footnote w:id="24">
    <w:p w14:paraId="0A098D71"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Artículo 2º, numeral 4º, literal c). Como se sabe, la contratación directa es </w:t>
      </w:r>
      <w:r w:rsidRPr="00932210">
        <w:rPr>
          <w:rFonts w:ascii="Arial" w:hAnsi="Arial" w:cs="Arial"/>
        </w:rPr>
        <w:t xml:space="preserve">una de los procedimientos permitidos por el Estatuto General de Contratación de la Administración Pública para celebrar contratos estatales. </w:t>
      </w:r>
    </w:p>
  </w:footnote>
  <w:footnote w:id="25">
    <w:p w14:paraId="2B83EFD5"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Algunas veces, las empresas industriales y comerciales del Estado y las sociedades de economía mixta compiten con el sector privado </w:t>
      </w:r>
      <w:r w:rsidRPr="00932210">
        <w:rPr>
          <w:rFonts w:ascii="Arial" w:hAnsi="Arial" w:cs="Arial"/>
          <w:b/>
        </w:rPr>
        <w:t>parcialmente</w:t>
      </w:r>
      <w:r w:rsidRPr="00932210">
        <w:rPr>
          <w:rFonts w:ascii="Arial" w:hAnsi="Arial" w:cs="Arial"/>
        </w:rPr>
        <w:t xml:space="preserve">, es decir, sólo en relación con algunas de sus actividades. Otras veces, dichas entidades públicas ofrecen bienes y servicios que, aun cuando no son idénticos a los que ofrece el sector privado, resultan sucedáneos o sustitutos de estos, razón por la cual, desde el punto de vista económico, se pueden considerar en competencia.     </w:t>
      </w:r>
    </w:p>
  </w:footnote>
  <w:footnote w:id="26">
    <w:p w14:paraId="7F9498AA"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La Sala observa que esta interpretación guarda armonía con lo dispuesto por el artículo 14 de la </w:t>
      </w:r>
      <w:r>
        <w:rPr>
          <w:rFonts w:ascii="Arial" w:hAnsi="Arial" w:cs="Arial"/>
        </w:rPr>
        <w:t>l</w:t>
      </w:r>
      <w:r w:rsidRPr="00932210">
        <w:rPr>
          <w:rFonts w:ascii="Arial" w:hAnsi="Arial" w:cs="Arial"/>
        </w:rPr>
        <w:t xml:space="preserve">ey 1150 de 2007, modificado por el 93 de la </w:t>
      </w:r>
      <w:r>
        <w:rPr>
          <w:rFonts w:ascii="Arial" w:hAnsi="Arial" w:cs="Arial"/>
        </w:rPr>
        <w:t>l</w:t>
      </w:r>
      <w:r w:rsidRPr="00932210">
        <w:rPr>
          <w:rFonts w:ascii="Arial" w:hAnsi="Arial" w:cs="Arial"/>
        </w:rPr>
        <w:t xml:space="preserve">ey 1474 de 2011, sobre el régimen contractual de las empresas industriales y comerciales del Estado, las sociedades de economía mixta y otras. </w:t>
      </w:r>
    </w:p>
  </w:footnote>
  <w:footnote w:id="27">
    <w:p w14:paraId="02B1AD3E" w14:textId="77777777" w:rsidR="00954B42" w:rsidRPr="00FF3D9E" w:rsidRDefault="00954B42" w:rsidP="00932210">
      <w:pPr>
        <w:spacing w:after="0" w:line="240" w:lineRule="auto"/>
        <w:jc w:val="both"/>
        <w:rPr>
          <w:rFonts w:ascii="Arial" w:eastAsia="Times New Roman" w:hAnsi="Arial" w:cs="Arial"/>
          <w:i/>
          <w:sz w:val="20"/>
          <w:szCs w:val="20"/>
          <w:lang w:eastAsia="es-ES"/>
        </w:rPr>
      </w:pPr>
      <w:r w:rsidRPr="00932210">
        <w:rPr>
          <w:rStyle w:val="Refdenotaalpie"/>
          <w:rFonts w:ascii="Arial" w:hAnsi="Arial" w:cs="Arial"/>
          <w:sz w:val="20"/>
          <w:szCs w:val="20"/>
        </w:rPr>
        <w:footnoteRef/>
      </w:r>
      <w:r w:rsidRPr="00932210">
        <w:rPr>
          <w:rFonts w:ascii="Arial" w:hAnsi="Arial" w:cs="Arial"/>
          <w:sz w:val="20"/>
          <w:szCs w:val="20"/>
        </w:rPr>
        <w:t xml:space="preserve"> </w:t>
      </w:r>
      <w:bookmarkStart w:id="0" w:name="14"/>
      <w:bookmarkEnd w:id="0"/>
      <w:r w:rsidRPr="00FF3D9E">
        <w:rPr>
          <w:rFonts w:ascii="Arial" w:hAnsi="Arial" w:cs="Arial"/>
          <w:sz w:val="20"/>
          <w:szCs w:val="20"/>
        </w:rPr>
        <w:t>“</w:t>
      </w:r>
      <w:r w:rsidRPr="00FF3D9E">
        <w:rPr>
          <w:rFonts w:ascii="Arial" w:hAnsi="Arial" w:cs="Arial"/>
          <w:i/>
          <w:sz w:val="20"/>
          <w:szCs w:val="20"/>
        </w:rPr>
        <w:t>A</w:t>
      </w:r>
      <w:r w:rsidRPr="00FF3D9E">
        <w:rPr>
          <w:rFonts w:ascii="Arial" w:eastAsia="Times New Roman" w:hAnsi="Arial" w:cs="Arial"/>
          <w:i/>
          <w:sz w:val="20"/>
          <w:szCs w:val="20"/>
          <w:lang w:eastAsia="es-ES"/>
        </w:rPr>
        <w:t xml:space="preserve">rtículo 14. De los medios que pueden utilizar las entidades estatales para el cumplimiento del objeto contractual. Para el cumplimiento de los fines de la contratación, las entidades estatales al celebrar un contrato: </w:t>
      </w:r>
    </w:p>
    <w:p w14:paraId="754FE42F" w14:textId="77777777" w:rsidR="00954B42" w:rsidRPr="00FF3D9E" w:rsidRDefault="00954B42" w:rsidP="00932210">
      <w:pPr>
        <w:spacing w:after="0" w:line="240" w:lineRule="auto"/>
        <w:jc w:val="both"/>
        <w:rPr>
          <w:rFonts w:ascii="Arial" w:eastAsia="Times New Roman" w:hAnsi="Arial" w:cs="Arial"/>
          <w:i/>
          <w:sz w:val="20"/>
          <w:szCs w:val="20"/>
          <w:lang w:eastAsia="es-ES"/>
        </w:rPr>
      </w:pPr>
      <w:r w:rsidRPr="00FF3D9E">
        <w:rPr>
          <w:rFonts w:ascii="Arial" w:eastAsia="Times New Roman" w:hAnsi="Arial" w:cs="Arial"/>
          <w:i/>
          <w:sz w:val="20"/>
          <w:szCs w:val="20"/>
          <w:lang w:eastAsia="es-ES"/>
        </w:rPr>
        <w:t xml:space="preserve">“(…) </w:t>
      </w:r>
    </w:p>
    <w:p w14:paraId="14F1D5EA" w14:textId="77777777" w:rsidR="00954B42" w:rsidRPr="00FF3D9E" w:rsidRDefault="00954B42" w:rsidP="00932210">
      <w:pPr>
        <w:spacing w:after="0" w:line="240" w:lineRule="auto"/>
        <w:jc w:val="both"/>
        <w:rPr>
          <w:rFonts w:ascii="Arial" w:eastAsia="Times New Roman" w:hAnsi="Arial" w:cs="Arial"/>
          <w:i/>
          <w:sz w:val="20"/>
          <w:szCs w:val="20"/>
          <w:lang w:eastAsia="es-ES"/>
        </w:rPr>
      </w:pPr>
      <w:r w:rsidRPr="00FF3D9E">
        <w:rPr>
          <w:rFonts w:ascii="Arial" w:eastAsia="Times New Roman" w:hAnsi="Arial" w:cs="Arial"/>
          <w:i/>
          <w:sz w:val="20"/>
          <w:szCs w:val="20"/>
          <w:lang w:eastAsia="es-ES"/>
        </w:rPr>
        <w:t xml:space="preserve">2o. Pactarán las cláusulas excepcionales al derecho común de terminación, interpretación y modificación unilaterales, de sometimiento a las leyes nacionales y de caducidad… </w:t>
      </w:r>
    </w:p>
    <w:p w14:paraId="1CA83FB6" w14:textId="77777777" w:rsidR="00954B42" w:rsidRPr="00FF3D9E" w:rsidRDefault="00954B42" w:rsidP="00932210">
      <w:pPr>
        <w:spacing w:after="0" w:line="240" w:lineRule="auto"/>
        <w:jc w:val="both"/>
        <w:rPr>
          <w:rFonts w:ascii="Arial" w:eastAsia="Times New Roman" w:hAnsi="Arial" w:cs="Arial"/>
          <w:sz w:val="20"/>
          <w:szCs w:val="20"/>
          <w:lang w:eastAsia="es-ES"/>
        </w:rPr>
      </w:pPr>
      <w:r w:rsidRPr="00FF3D9E">
        <w:rPr>
          <w:rFonts w:ascii="Arial" w:eastAsia="Times New Roman" w:hAnsi="Arial" w:cs="Arial"/>
          <w:i/>
          <w:sz w:val="20"/>
          <w:szCs w:val="20"/>
          <w:lang w:eastAsia="es-ES"/>
        </w:rPr>
        <w:t>“Parágrafo.</w:t>
      </w:r>
      <w:r w:rsidRPr="00FF3D9E">
        <w:rPr>
          <w:rFonts w:ascii="Arial" w:eastAsia="Times New Roman" w:hAnsi="Arial" w:cs="Arial"/>
          <w:i/>
          <w:color w:val="000080"/>
          <w:sz w:val="20"/>
          <w:szCs w:val="20"/>
          <w:lang w:eastAsia="es-ES"/>
        </w:rPr>
        <w:t xml:space="preserve"> </w:t>
      </w:r>
      <w:r w:rsidRPr="00FF3D9E">
        <w:rPr>
          <w:rFonts w:ascii="Arial" w:eastAsia="Times New Roman" w:hAnsi="Arial" w:cs="Arial"/>
          <w:i/>
          <w:sz w:val="20"/>
          <w:szCs w:val="20"/>
          <w:lang w:eastAsia="es-ES"/>
        </w:rPr>
        <w:t xml:space="preserve">En los contratos que se celebren con personas públicas internacionales…  </w:t>
      </w:r>
      <w:r w:rsidRPr="001C7742">
        <w:rPr>
          <w:rFonts w:ascii="Arial" w:eastAsia="Times New Roman" w:hAnsi="Arial" w:cs="Arial"/>
          <w:i/>
          <w:sz w:val="20"/>
          <w:szCs w:val="20"/>
          <w:u w:val="single"/>
          <w:lang w:eastAsia="es-ES"/>
        </w:rPr>
        <w:t>en los interadministrativos</w:t>
      </w:r>
      <w:r w:rsidRPr="00FF3D9E">
        <w:rPr>
          <w:rFonts w:ascii="Arial" w:eastAsia="Times New Roman" w:hAnsi="Arial" w:cs="Arial"/>
          <w:i/>
          <w:sz w:val="20"/>
          <w:szCs w:val="20"/>
          <w:lang w:eastAsia="es-ES"/>
        </w:rPr>
        <w:t>… se prescindirá de la utilización de las cláusulas o estipulaciones excepcionales”.</w:t>
      </w:r>
      <w:r w:rsidRPr="00FF3D9E">
        <w:rPr>
          <w:rFonts w:ascii="Arial" w:eastAsia="Times New Roman" w:hAnsi="Arial" w:cs="Arial"/>
          <w:sz w:val="20"/>
          <w:szCs w:val="20"/>
          <w:lang w:eastAsia="es-ES"/>
        </w:rPr>
        <w:t xml:space="preserve"> (Se subraya).</w:t>
      </w:r>
    </w:p>
    <w:p w14:paraId="7DA0EA74" w14:textId="77777777" w:rsidR="00954B42" w:rsidRPr="00932210" w:rsidRDefault="00954B42" w:rsidP="00932210">
      <w:pPr>
        <w:pStyle w:val="Textonotapie"/>
        <w:jc w:val="both"/>
        <w:rPr>
          <w:rFonts w:ascii="Arial" w:hAnsi="Arial" w:cs="Arial"/>
        </w:rPr>
      </w:pPr>
    </w:p>
  </w:footnote>
  <w:footnote w:id="28">
    <w:p w14:paraId="214F4CF8"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Contratos de mutuo dinerario, de crédito documentario, de descuento etc.</w:t>
      </w:r>
    </w:p>
  </w:footnote>
  <w:footnote w:id="29">
    <w:p w14:paraId="7A487E10" w14:textId="77777777" w:rsidR="00954B42" w:rsidRPr="00932210" w:rsidRDefault="00954B42" w:rsidP="00932210">
      <w:pPr>
        <w:pStyle w:val="Textonotapie"/>
        <w:jc w:val="both"/>
        <w:rPr>
          <w:rFonts w:ascii="Arial" w:hAnsi="Arial" w:cs="Arial"/>
        </w:rPr>
      </w:pPr>
      <w:r w:rsidRPr="00EF6D4D">
        <w:rPr>
          <w:rStyle w:val="Refdenotaalpie"/>
          <w:rFonts w:ascii="Arial" w:hAnsi="Arial" w:cs="Arial"/>
        </w:rPr>
        <w:footnoteRef/>
      </w:r>
      <w:r w:rsidRPr="00EF6D4D">
        <w:rPr>
          <w:rFonts w:ascii="Arial" w:hAnsi="Arial" w:cs="Arial"/>
        </w:rPr>
        <w:t xml:space="preserve"> Esta conclusión, en el caso de FONADE, resulta doblemente reforzada, en primer lugar, por tratarse de una </w:t>
      </w:r>
      <w:r w:rsidRPr="00EF6D4D">
        <w:rPr>
          <w:rFonts w:ascii="Arial" w:hAnsi="Arial" w:cs="Arial"/>
          <w:i/>
        </w:rPr>
        <w:t>entidad financiera</w:t>
      </w:r>
      <w:r w:rsidRPr="00EF6D4D">
        <w:rPr>
          <w:rFonts w:ascii="Arial" w:hAnsi="Arial" w:cs="Arial"/>
        </w:rPr>
        <w:t xml:space="preserve">, sujeta, por lo tanto, al principio de la especialidad o doctrina de los “estatutos especiales” que gobierna la actividad de las instituciones financieras, y en segundo lugar, por ser una </w:t>
      </w:r>
      <w:r w:rsidRPr="00EF6D4D">
        <w:rPr>
          <w:rFonts w:ascii="Arial" w:hAnsi="Arial" w:cs="Arial"/>
          <w:i/>
        </w:rPr>
        <w:t>entidad pública</w:t>
      </w:r>
      <w:r w:rsidRPr="00EF6D4D">
        <w:rPr>
          <w:rFonts w:ascii="Arial" w:hAnsi="Arial" w:cs="Arial"/>
        </w:rPr>
        <w:t>, sometida, en consecuencia, al principio de legalidad, establecido en los artículos 6º de la Constitución Política, 1, 5, 68, 69 y 85 de la ley 489 de 1998, entre otras disposiciones.</w:t>
      </w:r>
      <w:r w:rsidRPr="00932210">
        <w:rPr>
          <w:rFonts w:ascii="Arial" w:hAnsi="Arial" w:cs="Arial"/>
        </w:rPr>
        <w:t xml:space="preserve">   </w:t>
      </w:r>
    </w:p>
  </w:footnote>
  <w:footnote w:id="30">
    <w:p w14:paraId="4A191FF3" w14:textId="77777777" w:rsidR="00954B42" w:rsidRPr="00190430" w:rsidRDefault="00954B42" w:rsidP="00190430">
      <w:pPr>
        <w:pStyle w:val="Textonotapie"/>
        <w:jc w:val="both"/>
        <w:rPr>
          <w:rFonts w:ascii="Arial" w:hAnsi="Arial" w:cs="Arial"/>
          <w:i/>
          <w:sz w:val="22"/>
          <w:szCs w:val="22"/>
        </w:rPr>
      </w:pPr>
      <w:r w:rsidRPr="00190430">
        <w:rPr>
          <w:rStyle w:val="Refdenotaalpie"/>
          <w:rFonts w:ascii="Arial" w:hAnsi="Arial" w:cs="Arial"/>
          <w:sz w:val="22"/>
          <w:szCs w:val="22"/>
        </w:rPr>
        <w:footnoteRef/>
      </w:r>
      <w:r w:rsidRPr="00190430">
        <w:rPr>
          <w:rFonts w:ascii="Arial" w:hAnsi="Arial" w:cs="Arial"/>
          <w:sz w:val="22"/>
          <w:szCs w:val="22"/>
        </w:rPr>
        <w:t xml:space="preserve"> “</w:t>
      </w:r>
      <w:r w:rsidRPr="00190430">
        <w:rPr>
          <w:rFonts w:ascii="Arial" w:hAnsi="Arial" w:cs="Arial"/>
          <w:i/>
          <w:sz w:val="22"/>
          <w:szCs w:val="22"/>
        </w:rPr>
        <w:t xml:space="preserve">Artículo 238.- La jurisdicción de lo contencioso administrativo podrá suspender provisionalmente, por los motivos y con los requisitos que establezca la ley, los efectos de los actos administrativos que sean susceptibles de impugnación por vía judicial”.  </w:t>
      </w:r>
    </w:p>
  </w:footnote>
  <w:footnote w:id="31">
    <w:p w14:paraId="40EB9C19" w14:textId="77777777" w:rsidR="00954B42" w:rsidRPr="00234D6C" w:rsidRDefault="00954B42" w:rsidP="00932210">
      <w:pPr>
        <w:pStyle w:val="Textonotapie"/>
        <w:jc w:val="both"/>
        <w:rPr>
          <w:rFonts w:ascii="Arial" w:hAnsi="Arial" w:cs="Arial"/>
          <w:i/>
        </w:rPr>
      </w:pPr>
      <w:r w:rsidRPr="00932210">
        <w:rPr>
          <w:rStyle w:val="Refdenotaalpie"/>
          <w:rFonts w:ascii="Arial" w:hAnsi="Arial" w:cs="Arial"/>
        </w:rPr>
        <w:footnoteRef/>
      </w:r>
      <w:r w:rsidRPr="00932210">
        <w:rPr>
          <w:rFonts w:ascii="Arial" w:hAnsi="Arial" w:cs="Arial"/>
        </w:rPr>
        <w:t xml:space="preserve"> </w:t>
      </w:r>
      <w:r w:rsidRPr="00234D6C">
        <w:rPr>
          <w:rFonts w:ascii="Arial" w:hAnsi="Arial" w:cs="Arial"/>
        </w:rPr>
        <w:t>“</w:t>
      </w:r>
      <w:r w:rsidRPr="00234D6C">
        <w:rPr>
          <w:rFonts w:ascii="Arial" w:hAnsi="Arial" w:cs="Arial"/>
          <w:i/>
        </w:rPr>
        <w:t>Artículo 77.- De la normatividad aplicable en las actuaciones administrativas. …</w:t>
      </w:r>
    </w:p>
    <w:p w14:paraId="29D0375C" w14:textId="77777777" w:rsidR="00954B42" w:rsidRPr="00234D6C" w:rsidRDefault="00954B42" w:rsidP="00932210">
      <w:pPr>
        <w:pStyle w:val="Textonotapie"/>
        <w:jc w:val="both"/>
        <w:rPr>
          <w:rFonts w:ascii="Arial" w:hAnsi="Arial" w:cs="Arial"/>
          <w:i/>
        </w:rPr>
      </w:pPr>
      <w:r w:rsidRPr="00234D6C">
        <w:rPr>
          <w:rFonts w:ascii="Arial" w:hAnsi="Arial" w:cs="Arial"/>
          <w:i/>
        </w:rPr>
        <w:t xml:space="preserve">“Los actos administrativos que se produzcan con motivo u ocasión de la actividad contractual sólo serán susceptibles de recurso de reposición y del ejercicio de la acción contractual, de acuerdo con las reglas del Código Contencioso Administrativo. (…)” </w:t>
      </w:r>
    </w:p>
  </w:footnote>
  <w:footnote w:id="32">
    <w:p w14:paraId="33E89AD1" w14:textId="77777777" w:rsidR="00954B42" w:rsidRPr="00234D6C" w:rsidRDefault="00954B42" w:rsidP="00932210">
      <w:pPr>
        <w:pStyle w:val="Textonotapie"/>
        <w:jc w:val="both"/>
        <w:rPr>
          <w:rFonts w:ascii="Arial" w:hAnsi="Arial" w:cs="Arial"/>
          <w:i/>
        </w:rPr>
      </w:pPr>
      <w:r w:rsidRPr="00234D6C">
        <w:rPr>
          <w:rStyle w:val="Refdenotaalpie"/>
          <w:rFonts w:ascii="Arial" w:hAnsi="Arial" w:cs="Arial"/>
        </w:rPr>
        <w:footnoteRef/>
      </w:r>
      <w:r w:rsidRPr="00234D6C">
        <w:rPr>
          <w:rFonts w:ascii="Arial" w:hAnsi="Arial" w:cs="Arial"/>
        </w:rPr>
        <w:t xml:space="preserve"> “</w:t>
      </w:r>
      <w:r w:rsidRPr="00234D6C">
        <w:rPr>
          <w:rFonts w:ascii="Arial" w:hAnsi="Arial" w:cs="Arial"/>
          <w:i/>
        </w:rPr>
        <w:t xml:space="preserve">Artículo 141.- Controversias contractuales. Cualquiera de las partes de un contrato del Estado podrá pedir que se declare su existencia o su nulidad, que se ordene su revisión, que se declare su incumplimiento, </w:t>
      </w:r>
      <w:r w:rsidRPr="00C44AF4">
        <w:rPr>
          <w:rFonts w:ascii="Arial" w:hAnsi="Arial" w:cs="Arial"/>
          <w:i/>
        </w:rPr>
        <w:t>que se declare la nulidad de los actos administrativos contractuales,</w:t>
      </w:r>
      <w:r w:rsidRPr="00234D6C">
        <w:rPr>
          <w:rFonts w:ascii="Arial" w:hAnsi="Arial" w:cs="Arial"/>
          <w:i/>
        </w:rPr>
        <w:t xml:space="preserve"> que se condene al responsable…</w:t>
      </w:r>
      <w:r>
        <w:rPr>
          <w:rFonts w:ascii="Arial" w:hAnsi="Arial" w:cs="Arial"/>
          <w:i/>
        </w:rPr>
        <w:t>”</w:t>
      </w:r>
    </w:p>
    <w:p w14:paraId="7D8807F5" w14:textId="77777777" w:rsidR="00954B42" w:rsidRPr="00234D6C" w:rsidRDefault="00954B42" w:rsidP="00932210">
      <w:pPr>
        <w:pStyle w:val="Textonotapie"/>
        <w:jc w:val="both"/>
        <w:rPr>
          <w:rFonts w:ascii="Arial" w:hAnsi="Arial" w:cs="Arial"/>
        </w:rPr>
      </w:pPr>
      <w:r w:rsidRPr="00C44AF4">
        <w:rPr>
          <w:rFonts w:ascii="Arial" w:hAnsi="Arial" w:cs="Arial"/>
          <w:i/>
        </w:rPr>
        <w:t>“Los actos proferidos antes de la celebración del contrato, con ocasión de la actividad contractual, podrán demandarse en los términos de los artículos 137 y 138 de este Código, según el caso. (…)”</w:t>
      </w:r>
      <w:r w:rsidRPr="00234D6C">
        <w:rPr>
          <w:rFonts w:ascii="Arial" w:hAnsi="Arial" w:cs="Arial"/>
          <w:i/>
        </w:rPr>
        <w:t xml:space="preserve"> </w:t>
      </w:r>
    </w:p>
  </w:footnote>
  <w:footnote w:id="33">
    <w:p w14:paraId="66A63F82" w14:textId="77777777" w:rsidR="00954B42" w:rsidRPr="00234D6C" w:rsidRDefault="00954B42" w:rsidP="00932210">
      <w:pPr>
        <w:pStyle w:val="Textonotapie"/>
        <w:jc w:val="both"/>
        <w:rPr>
          <w:rFonts w:ascii="Arial" w:hAnsi="Arial" w:cs="Arial"/>
          <w:i/>
        </w:rPr>
      </w:pPr>
      <w:r w:rsidRPr="00234D6C">
        <w:rPr>
          <w:rStyle w:val="Refdenotaalpie"/>
          <w:rFonts w:ascii="Arial" w:hAnsi="Arial" w:cs="Arial"/>
        </w:rPr>
        <w:footnoteRef/>
      </w:r>
      <w:r w:rsidRPr="00234D6C">
        <w:rPr>
          <w:rFonts w:ascii="Arial" w:hAnsi="Arial" w:cs="Arial"/>
        </w:rPr>
        <w:t xml:space="preserve"> “</w:t>
      </w:r>
      <w:r w:rsidRPr="00234D6C">
        <w:rPr>
          <w:rFonts w:ascii="Arial" w:hAnsi="Arial" w:cs="Arial"/>
          <w:i/>
        </w:rPr>
        <w:t>Artículo 104. De la jurisdicción de lo Contencioso Administrativo …</w:t>
      </w:r>
    </w:p>
    <w:p w14:paraId="12DF41A9" w14:textId="77777777" w:rsidR="00954B42" w:rsidRPr="00234D6C" w:rsidRDefault="00954B42" w:rsidP="00932210">
      <w:pPr>
        <w:pStyle w:val="Textonotapie"/>
        <w:jc w:val="both"/>
        <w:rPr>
          <w:rFonts w:ascii="Arial" w:hAnsi="Arial" w:cs="Arial"/>
          <w:i/>
        </w:rPr>
      </w:pPr>
      <w:r w:rsidRPr="00234D6C">
        <w:rPr>
          <w:rFonts w:ascii="Arial" w:hAnsi="Arial" w:cs="Arial"/>
          <w:i/>
        </w:rPr>
        <w:t xml:space="preserve">“Igualmente conocerá de los siguientes procesos: </w:t>
      </w:r>
    </w:p>
    <w:p w14:paraId="19E6A54C" w14:textId="77777777" w:rsidR="00954B42" w:rsidRPr="00234D6C" w:rsidRDefault="00954B42" w:rsidP="00932210">
      <w:pPr>
        <w:pStyle w:val="Textonotapie"/>
        <w:jc w:val="both"/>
        <w:rPr>
          <w:rFonts w:ascii="Arial" w:hAnsi="Arial" w:cs="Arial"/>
          <w:i/>
        </w:rPr>
      </w:pPr>
      <w:r w:rsidRPr="00234D6C">
        <w:rPr>
          <w:rFonts w:ascii="Arial" w:hAnsi="Arial" w:cs="Arial"/>
          <w:i/>
        </w:rPr>
        <w:t>…</w:t>
      </w:r>
    </w:p>
    <w:p w14:paraId="4060113A" w14:textId="77777777" w:rsidR="00954B42" w:rsidRPr="00234D6C" w:rsidRDefault="00954B42" w:rsidP="00932210">
      <w:pPr>
        <w:pStyle w:val="Textonotapie"/>
        <w:jc w:val="both"/>
        <w:rPr>
          <w:rFonts w:ascii="Arial" w:hAnsi="Arial" w:cs="Arial"/>
          <w:i/>
        </w:rPr>
      </w:pPr>
      <w:r w:rsidRPr="00234D6C">
        <w:rPr>
          <w:rFonts w:ascii="Arial" w:hAnsi="Arial" w:cs="Arial"/>
          <w:i/>
        </w:rPr>
        <w:t xml:space="preserve">“7. Los recursos extraordinarios contra laudos arbitrales que definan conflictos relativos a contratos celebrados por entidades públicas o por particulares en ejercicio de funciones propias del Estado. (…)”. </w:t>
      </w:r>
    </w:p>
    <w:p w14:paraId="4081B5E3" w14:textId="77777777" w:rsidR="00954B42" w:rsidRPr="00234D6C" w:rsidRDefault="00954B42" w:rsidP="00932210">
      <w:pPr>
        <w:pStyle w:val="Textonotapie"/>
        <w:jc w:val="both"/>
        <w:rPr>
          <w:rFonts w:ascii="Arial" w:hAnsi="Arial" w:cs="Arial"/>
          <w:i/>
        </w:rPr>
      </w:pPr>
      <w:r w:rsidRPr="00234D6C">
        <w:rPr>
          <w:rFonts w:ascii="Arial" w:hAnsi="Arial" w:cs="Arial"/>
          <w:i/>
        </w:rPr>
        <w:t xml:space="preserve">“Artículo 149. Competencia del Consejo de Estado en única instancia. … </w:t>
      </w:r>
    </w:p>
    <w:p w14:paraId="4B2B9ACF" w14:textId="77777777" w:rsidR="00954B42" w:rsidRPr="00932210" w:rsidRDefault="00954B42" w:rsidP="00932210">
      <w:pPr>
        <w:pStyle w:val="Textonotapie"/>
        <w:jc w:val="both"/>
        <w:rPr>
          <w:rFonts w:ascii="Arial" w:hAnsi="Arial" w:cs="Arial"/>
          <w:i/>
        </w:rPr>
      </w:pPr>
      <w:r w:rsidRPr="00234D6C">
        <w:rPr>
          <w:rFonts w:ascii="Arial" w:hAnsi="Arial" w:cs="Arial"/>
          <w:i/>
        </w:rPr>
        <w:t>“7. Del recurso de anulación contra laudos arbitrales proferidos en conflictos originados en contratos celebrados por una entidad pública, por las causales y dentro del término</w:t>
      </w:r>
      <w:r w:rsidRPr="00932210">
        <w:rPr>
          <w:rFonts w:ascii="Arial" w:hAnsi="Arial" w:cs="Arial"/>
          <w:i/>
        </w:rPr>
        <w:t xml:space="preserve"> prescrito en las normas que rigen la materia…”</w:t>
      </w:r>
    </w:p>
  </w:footnote>
  <w:footnote w:id="34">
    <w:p w14:paraId="62DECCC4"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w:t>
      </w:r>
      <w:r w:rsidRPr="00932210">
        <w:rPr>
          <w:rFonts w:ascii="Arial" w:hAnsi="Arial" w:cs="Arial"/>
          <w:i/>
        </w:rPr>
        <w:t xml:space="preserve">Por medio de la cual se expide el Estatuto de Arbitraje Nacional e Internacional y se dictan otras disposiciones”. </w:t>
      </w:r>
      <w:r w:rsidRPr="00932210">
        <w:rPr>
          <w:rFonts w:ascii="Arial" w:hAnsi="Arial" w:cs="Arial"/>
        </w:rPr>
        <w:t>El inciso tercero del artículo 46 dispone: “</w:t>
      </w:r>
      <w:r w:rsidRPr="00932210">
        <w:rPr>
          <w:rFonts w:ascii="Arial" w:hAnsi="Arial" w:cs="Arial"/>
          <w:i/>
        </w:rPr>
        <w:t xml:space="preserve">(…) cuando se trate de recurso de anulación y revisión de laudos arbitrales en los que intervenga una entidad pública o quien desempeñe funciones administrativas, será competente la Sección Tercera de la Sala de lo Contencioso Administrativo del Consejo de Estado”. </w:t>
      </w:r>
      <w:r w:rsidRPr="00932210">
        <w:rPr>
          <w:rFonts w:ascii="Arial" w:hAnsi="Arial" w:cs="Arial"/>
        </w:rPr>
        <w:t xml:space="preserve"> </w:t>
      </w:r>
    </w:p>
  </w:footnote>
  <w:footnote w:id="35">
    <w:p w14:paraId="186265AE"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Demandado, llamado en garantía, denunciado</w:t>
      </w:r>
      <w:r>
        <w:rPr>
          <w:rFonts w:ascii="Arial" w:hAnsi="Arial" w:cs="Arial"/>
        </w:rPr>
        <w:t>,</w:t>
      </w:r>
      <w:r w:rsidRPr="00932210">
        <w:rPr>
          <w:rFonts w:ascii="Arial" w:hAnsi="Arial" w:cs="Arial"/>
        </w:rPr>
        <w:t xml:space="preserve"> etc. </w:t>
      </w:r>
    </w:p>
  </w:footnote>
  <w:footnote w:id="36">
    <w:p w14:paraId="11E37BF6" w14:textId="77777777" w:rsidR="00954B42" w:rsidRPr="00932210" w:rsidRDefault="00954B42" w:rsidP="00932210">
      <w:pPr>
        <w:pStyle w:val="Textonotapie"/>
        <w:jc w:val="both"/>
        <w:rPr>
          <w:rFonts w:ascii="Arial" w:hAnsi="Arial" w:cs="Arial"/>
        </w:rPr>
      </w:pPr>
      <w:r w:rsidRPr="00932210">
        <w:rPr>
          <w:rStyle w:val="Refdenotaalpie"/>
          <w:rFonts w:ascii="Arial" w:hAnsi="Arial" w:cs="Arial"/>
        </w:rPr>
        <w:footnoteRef/>
      </w:r>
      <w:r w:rsidRPr="00932210">
        <w:rPr>
          <w:rFonts w:ascii="Arial" w:hAnsi="Arial" w:cs="Arial"/>
        </w:rPr>
        <w:t xml:space="preserve"> Hay algunas excepciones, como la caducidad de la acción cambiaria, consagrada en los artículos 729 y 781 del Código de Comercio.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03DF38" w14:textId="77777777" w:rsidR="00954B42" w:rsidRDefault="00954B42" w:rsidP="00053682">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69759FB" w14:textId="77777777" w:rsidR="00954B42" w:rsidRDefault="00954B42" w:rsidP="005B2F5B">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D81767" w14:textId="77777777" w:rsidR="00954B42" w:rsidRDefault="00954B42" w:rsidP="00053682">
    <w:pPr>
      <w:pStyle w:val="Encabezado"/>
      <w:framePr w:wrap="around" w:vAnchor="text" w:hAnchor="margin" w:xAlign="right" w:y="1"/>
      <w:rPr>
        <w:rStyle w:val="Nmerodepgina"/>
      </w:rPr>
    </w:pPr>
  </w:p>
  <w:p w14:paraId="6006A049" w14:textId="77777777" w:rsidR="00954B42" w:rsidRPr="008B378A" w:rsidRDefault="00954B42" w:rsidP="008B378A">
    <w:pPr>
      <w:pStyle w:val="Encabezado"/>
      <w:spacing w:after="0" w:line="240" w:lineRule="auto"/>
      <w:rPr>
        <w:rFonts w:ascii="Arial" w:hAnsi="Arial" w:cs="Arial"/>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65CCB4F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8EAEC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E42DF0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2987A4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9A2D28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4DA775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544E74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B5665D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00CD3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7E378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236F50"/>
    <w:multiLevelType w:val="hybridMultilevel"/>
    <w:tmpl w:val="7760250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01BB158B"/>
    <w:multiLevelType w:val="hybridMultilevel"/>
    <w:tmpl w:val="38F0B33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2E251C7"/>
    <w:multiLevelType w:val="hybridMultilevel"/>
    <w:tmpl w:val="0D225132"/>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08DD4751"/>
    <w:multiLevelType w:val="hybridMultilevel"/>
    <w:tmpl w:val="CE149346"/>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0A562D1E"/>
    <w:multiLevelType w:val="hybridMultilevel"/>
    <w:tmpl w:val="32F670E6"/>
    <w:lvl w:ilvl="0" w:tplc="940E45F8">
      <w:start w:val="1"/>
      <w:numFmt w:val="decimal"/>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15:restartNumberingAfterBreak="0">
    <w:nsid w:val="10857659"/>
    <w:multiLevelType w:val="hybridMultilevel"/>
    <w:tmpl w:val="0B1ED9E4"/>
    <w:lvl w:ilvl="0" w:tplc="54FCA7BE">
      <w:start w:val="1"/>
      <w:numFmt w:val="upperRoman"/>
      <w:lvlText w:val="%1."/>
      <w:lvlJc w:val="left"/>
      <w:pPr>
        <w:ind w:left="1080" w:hanging="720"/>
      </w:pPr>
      <w:rPr>
        <w:rFonts w:hint="default"/>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111B6436"/>
    <w:multiLevelType w:val="hybridMultilevel"/>
    <w:tmpl w:val="7310D0F8"/>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14EF3884"/>
    <w:multiLevelType w:val="hybridMultilevel"/>
    <w:tmpl w:val="5C30159C"/>
    <w:lvl w:ilvl="0" w:tplc="A4C23EA4">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EF84497"/>
    <w:multiLevelType w:val="hybridMultilevel"/>
    <w:tmpl w:val="7C7C399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276931C5"/>
    <w:multiLevelType w:val="hybridMultilevel"/>
    <w:tmpl w:val="DF6CBC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280B76B3"/>
    <w:multiLevelType w:val="hybridMultilevel"/>
    <w:tmpl w:val="B90A22A2"/>
    <w:lvl w:ilvl="0" w:tplc="B322BB94">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29A261B8"/>
    <w:multiLevelType w:val="hybridMultilevel"/>
    <w:tmpl w:val="AEA0DA2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37D6D75"/>
    <w:multiLevelType w:val="hybridMultilevel"/>
    <w:tmpl w:val="AD7C1660"/>
    <w:lvl w:ilvl="0" w:tplc="0C0A000F">
      <w:start w:val="4"/>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35DD2384"/>
    <w:multiLevelType w:val="hybridMultilevel"/>
    <w:tmpl w:val="18921766"/>
    <w:lvl w:ilvl="0" w:tplc="0C0A0019">
      <w:start w:val="2"/>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362200C3"/>
    <w:multiLevelType w:val="hybridMultilevel"/>
    <w:tmpl w:val="568A414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7B7170F"/>
    <w:multiLevelType w:val="hybridMultilevel"/>
    <w:tmpl w:val="D7CC6018"/>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3C665D86"/>
    <w:multiLevelType w:val="hybridMultilevel"/>
    <w:tmpl w:val="9C3E73E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44D26EBF"/>
    <w:multiLevelType w:val="hybridMultilevel"/>
    <w:tmpl w:val="C4A0D97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227E51"/>
    <w:multiLevelType w:val="hybridMultilevel"/>
    <w:tmpl w:val="9CAE362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4BDE49DD"/>
    <w:multiLevelType w:val="hybridMultilevel"/>
    <w:tmpl w:val="C37285A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CA927E5"/>
    <w:multiLevelType w:val="hybridMultilevel"/>
    <w:tmpl w:val="5EFEA8E8"/>
    <w:lvl w:ilvl="0" w:tplc="0C0A0011">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4CBC021C"/>
    <w:multiLevelType w:val="hybridMultilevel"/>
    <w:tmpl w:val="DC8C6756"/>
    <w:lvl w:ilvl="0" w:tplc="C4267EBE">
      <w:start w:val="1"/>
      <w:numFmt w:val="decimal"/>
      <w:lvlText w:val="%1)"/>
      <w:lvlJc w:val="left"/>
      <w:pPr>
        <w:ind w:left="720" w:hanging="360"/>
      </w:pPr>
      <w:rPr>
        <w:rFonts w:hint="default"/>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CD67F45"/>
    <w:multiLevelType w:val="hybridMultilevel"/>
    <w:tmpl w:val="377C1614"/>
    <w:lvl w:ilvl="0" w:tplc="7A163322">
      <w:start w:val="3"/>
      <w:numFmt w:val="decimal"/>
      <w:lvlText w:val="%1)"/>
      <w:lvlJc w:val="left"/>
      <w:pPr>
        <w:ind w:left="720" w:hanging="360"/>
      </w:pPr>
      <w:rPr>
        <w:rFonts w:hint="default"/>
        <w:i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57203D83"/>
    <w:multiLevelType w:val="hybridMultilevel"/>
    <w:tmpl w:val="D2E06076"/>
    <w:lvl w:ilvl="0" w:tplc="BD68B8C4">
      <w:start w:val="1"/>
      <w:numFmt w:val="bullet"/>
      <w:lvlText w:val="-"/>
      <w:lvlJc w:val="left"/>
      <w:pPr>
        <w:ind w:left="1069" w:hanging="360"/>
      </w:pPr>
      <w:rPr>
        <w:rFonts w:ascii="Arial" w:eastAsia="Calibri" w:hAnsi="Arial" w:cs="Aria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34" w15:restartNumberingAfterBreak="0">
    <w:nsid w:val="5B0D5B86"/>
    <w:multiLevelType w:val="hybridMultilevel"/>
    <w:tmpl w:val="F1B2C71E"/>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5CFD2F83"/>
    <w:multiLevelType w:val="hybridMultilevel"/>
    <w:tmpl w:val="C02AB70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F6C0503"/>
    <w:multiLevelType w:val="multilevel"/>
    <w:tmpl w:val="ECFC1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0A279C2"/>
    <w:multiLevelType w:val="hybridMultilevel"/>
    <w:tmpl w:val="44E098B8"/>
    <w:lvl w:ilvl="0" w:tplc="0C0A000F">
      <w:start w:val="2"/>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64421337"/>
    <w:multiLevelType w:val="hybridMultilevel"/>
    <w:tmpl w:val="F2B226C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8CD3B3A"/>
    <w:multiLevelType w:val="hybridMultilevel"/>
    <w:tmpl w:val="4954A12C"/>
    <w:lvl w:ilvl="0" w:tplc="A9DAA9B2">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6BEE54CD"/>
    <w:multiLevelType w:val="hybridMultilevel"/>
    <w:tmpl w:val="FDE60B2A"/>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6D22112A"/>
    <w:multiLevelType w:val="hybridMultilevel"/>
    <w:tmpl w:val="4F30414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D2D2664"/>
    <w:multiLevelType w:val="hybridMultilevel"/>
    <w:tmpl w:val="906ACF80"/>
    <w:lvl w:ilvl="0" w:tplc="0792C76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E2F56BD"/>
    <w:multiLevelType w:val="hybridMultilevel"/>
    <w:tmpl w:val="CB168A1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731F4A21"/>
    <w:multiLevelType w:val="hybridMultilevel"/>
    <w:tmpl w:val="745A32F8"/>
    <w:lvl w:ilvl="0" w:tplc="0C0A000F">
      <w:start w:val="3"/>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736A6CB3"/>
    <w:multiLevelType w:val="hybridMultilevel"/>
    <w:tmpl w:val="0D24A2C6"/>
    <w:lvl w:ilvl="0" w:tplc="0C0A0011">
      <w:start w:val="1"/>
      <w:numFmt w:val="decimal"/>
      <w:lvlText w:val="%1)"/>
      <w:lvlJc w:val="left"/>
      <w:pPr>
        <w:ind w:left="720" w:hanging="360"/>
      </w:pPr>
      <w:rPr>
        <w:rFonts w:hint="default"/>
        <w:i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7D3C4915"/>
    <w:multiLevelType w:val="hybridMultilevel"/>
    <w:tmpl w:val="0EB8E8FC"/>
    <w:lvl w:ilvl="0" w:tplc="B838B8C0">
      <w:start w:val="1"/>
      <w:numFmt w:val="lowerLetter"/>
      <w:lvlText w:val="%1."/>
      <w:lvlJc w:val="left"/>
      <w:pPr>
        <w:ind w:left="360" w:hanging="360"/>
      </w:pPr>
      <w:rPr>
        <w:rFonts w:ascii="Arial" w:eastAsia="Calibri" w:hAnsi="Arial" w:cs="Arial"/>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abstractNumId w:val="14"/>
  </w:num>
  <w:num w:numId="2">
    <w:abstractNumId w:val="12"/>
  </w:num>
  <w:num w:numId="3">
    <w:abstractNumId w:val="15"/>
  </w:num>
  <w:num w:numId="4">
    <w:abstractNumId w:val="42"/>
  </w:num>
  <w:num w:numId="5">
    <w:abstractNumId w:val="28"/>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 w:numId="16">
    <w:abstractNumId w:val="11"/>
  </w:num>
  <w:num w:numId="17">
    <w:abstractNumId w:val="27"/>
  </w:num>
  <w:num w:numId="18">
    <w:abstractNumId w:val="41"/>
  </w:num>
  <w:num w:numId="19">
    <w:abstractNumId w:val="29"/>
  </w:num>
  <w:num w:numId="20">
    <w:abstractNumId w:val="17"/>
  </w:num>
  <w:num w:numId="21">
    <w:abstractNumId w:val="36"/>
  </w:num>
  <w:num w:numId="22">
    <w:abstractNumId w:val="46"/>
  </w:num>
  <w:num w:numId="23">
    <w:abstractNumId w:val="32"/>
  </w:num>
  <w:num w:numId="24">
    <w:abstractNumId w:val="33"/>
  </w:num>
  <w:num w:numId="25">
    <w:abstractNumId w:val="31"/>
  </w:num>
  <w:num w:numId="26">
    <w:abstractNumId w:val="40"/>
  </w:num>
  <w:num w:numId="27">
    <w:abstractNumId w:val="34"/>
  </w:num>
  <w:num w:numId="28">
    <w:abstractNumId w:val="25"/>
  </w:num>
  <w:num w:numId="29">
    <w:abstractNumId w:val="45"/>
  </w:num>
  <w:num w:numId="30">
    <w:abstractNumId w:val="16"/>
  </w:num>
  <w:num w:numId="31">
    <w:abstractNumId w:val="19"/>
  </w:num>
  <w:num w:numId="32">
    <w:abstractNumId w:val="35"/>
  </w:num>
  <w:num w:numId="33">
    <w:abstractNumId w:val="39"/>
  </w:num>
  <w:num w:numId="34">
    <w:abstractNumId w:val="13"/>
  </w:num>
  <w:num w:numId="35">
    <w:abstractNumId w:val="24"/>
  </w:num>
  <w:num w:numId="36">
    <w:abstractNumId w:val="26"/>
  </w:num>
  <w:num w:numId="37">
    <w:abstractNumId w:val="43"/>
  </w:num>
  <w:num w:numId="38">
    <w:abstractNumId w:val="20"/>
  </w:num>
  <w:num w:numId="39">
    <w:abstractNumId w:val="10"/>
  </w:num>
  <w:num w:numId="40">
    <w:abstractNumId w:val="18"/>
  </w:num>
  <w:num w:numId="41">
    <w:abstractNumId w:val="38"/>
  </w:num>
  <w:num w:numId="42">
    <w:abstractNumId w:val="44"/>
  </w:num>
  <w:num w:numId="43">
    <w:abstractNumId w:val="37"/>
  </w:num>
  <w:num w:numId="44">
    <w:abstractNumId w:val="22"/>
  </w:num>
  <w:num w:numId="45">
    <w:abstractNumId w:val="21"/>
  </w:num>
  <w:num w:numId="46">
    <w:abstractNumId w:val="30"/>
  </w:num>
  <w:num w:numId="4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44B0"/>
    <w:rsid w:val="000003C1"/>
    <w:rsid w:val="00000B99"/>
    <w:rsid w:val="00000D9E"/>
    <w:rsid w:val="000011F9"/>
    <w:rsid w:val="000016C3"/>
    <w:rsid w:val="00001BB8"/>
    <w:rsid w:val="00002433"/>
    <w:rsid w:val="000024B5"/>
    <w:rsid w:val="00002507"/>
    <w:rsid w:val="00003208"/>
    <w:rsid w:val="00003630"/>
    <w:rsid w:val="00003A97"/>
    <w:rsid w:val="00003BFF"/>
    <w:rsid w:val="000045E9"/>
    <w:rsid w:val="000049CA"/>
    <w:rsid w:val="000057E3"/>
    <w:rsid w:val="00005BE4"/>
    <w:rsid w:val="000062F9"/>
    <w:rsid w:val="000065B7"/>
    <w:rsid w:val="00007550"/>
    <w:rsid w:val="00007BD3"/>
    <w:rsid w:val="00010121"/>
    <w:rsid w:val="0001089F"/>
    <w:rsid w:val="00011180"/>
    <w:rsid w:val="000111B7"/>
    <w:rsid w:val="000121B5"/>
    <w:rsid w:val="000123B4"/>
    <w:rsid w:val="0001354A"/>
    <w:rsid w:val="00013746"/>
    <w:rsid w:val="000139CB"/>
    <w:rsid w:val="00013A60"/>
    <w:rsid w:val="00013B20"/>
    <w:rsid w:val="00013DE0"/>
    <w:rsid w:val="00014B2F"/>
    <w:rsid w:val="00015FD7"/>
    <w:rsid w:val="00016BE5"/>
    <w:rsid w:val="00016CF3"/>
    <w:rsid w:val="00016E0A"/>
    <w:rsid w:val="000171DC"/>
    <w:rsid w:val="0001747E"/>
    <w:rsid w:val="00020123"/>
    <w:rsid w:val="0002026E"/>
    <w:rsid w:val="000206C6"/>
    <w:rsid w:val="000206D6"/>
    <w:rsid w:val="0002097C"/>
    <w:rsid w:val="000209B9"/>
    <w:rsid w:val="00020BBC"/>
    <w:rsid w:val="0002135B"/>
    <w:rsid w:val="00021A42"/>
    <w:rsid w:val="00021B6B"/>
    <w:rsid w:val="00022DF1"/>
    <w:rsid w:val="000238FD"/>
    <w:rsid w:val="00023D59"/>
    <w:rsid w:val="00023D96"/>
    <w:rsid w:val="00024002"/>
    <w:rsid w:val="00024712"/>
    <w:rsid w:val="0002503E"/>
    <w:rsid w:val="000259C6"/>
    <w:rsid w:val="00025A03"/>
    <w:rsid w:val="00025E1F"/>
    <w:rsid w:val="00025FF3"/>
    <w:rsid w:val="0002624F"/>
    <w:rsid w:val="0002628A"/>
    <w:rsid w:val="00027394"/>
    <w:rsid w:val="00027634"/>
    <w:rsid w:val="00027A62"/>
    <w:rsid w:val="000305D7"/>
    <w:rsid w:val="00030660"/>
    <w:rsid w:val="000308F9"/>
    <w:rsid w:val="00031DD2"/>
    <w:rsid w:val="000321D5"/>
    <w:rsid w:val="00033785"/>
    <w:rsid w:val="000337A3"/>
    <w:rsid w:val="000339CC"/>
    <w:rsid w:val="00033C5A"/>
    <w:rsid w:val="00034084"/>
    <w:rsid w:val="00034208"/>
    <w:rsid w:val="00034323"/>
    <w:rsid w:val="000343C4"/>
    <w:rsid w:val="00034872"/>
    <w:rsid w:val="00034D87"/>
    <w:rsid w:val="000358E9"/>
    <w:rsid w:val="00036283"/>
    <w:rsid w:val="00036628"/>
    <w:rsid w:val="00036802"/>
    <w:rsid w:val="00036BE9"/>
    <w:rsid w:val="000374F1"/>
    <w:rsid w:val="00037A9D"/>
    <w:rsid w:val="00040294"/>
    <w:rsid w:val="00040554"/>
    <w:rsid w:val="000417CA"/>
    <w:rsid w:val="00041A3F"/>
    <w:rsid w:val="00041AD0"/>
    <w:rsid w:val="00042298"/>
    <w:rsid w:val="00042E63"/>
    <w:rsid w:val="00042E97"/>
    <w:rsid w:val="000433FE"/>
    <w:rsid w:val="00043766"/>
    <w:rsid w:val="00043BA1"/>
    <w:rsid w:val="00043D51"/>
    <w:rsid w:val="000441FA"/>
    <w:rsid w:val="00046208"/>
    <w:rsid w:val="00046453"/>
    <w:rsid w:val="0004655D"/>
    <w:rsid w:val="00046739"/>
    <w:rsid w:val="000467C7"/>
    <w:rsid w:val="00046C5E"/>
    <w:rsid w:val="00047077"/>
    <w:rsid w:val="00050235"/>
    <w:rsid w:val="00050D11"/>
    <w:rsid w:val="00051843"/>
    <w:rsid w:val="00051B0B"/>
    <w:rsid w:val="00051C04"/>
    <w:rsid w:val="00052658"/>
    <w:rsid w:val="00052CCA"/>
    <w:rsid w:val="00053682"/>
    <w:rsid w:val="00053EB7"/>
    <w:rsid w:val="0005411D"/>
    <w:rsid w:val="00054737"/>
    <w:rsid w:val="00055315"/>
    <w:rsid w:val="00055380"/>
    <w:rsid w:val="00055B10"/>
    <w:rsid w:val="00055BBA"/>
    <w:rsid w:val="0005635B"/>
    <w:rsid w:val="00056B5E"/>
    <w:rsid w:val="000574E6"/>
    <w:rsid w:val="0006012C"/>
    <w:rsid w:val="000605F0"/>
    <w:rsid w:val="00060916"/>
    <w:rsid w:val="00060B3A"/>
    <w:rsid w:val="000611D0"/>
    <w:rsid w:val="0006262D"/>
    <w:rsid w:val="00062955"/>
    <w:rsid w:val="00062D6F"/>
    <w:rsid w:val="00063977"/>
    <w:rsid w:val="00064133"/>
    <w:rsid w:val="0006498F"/>
    <w:rsid w:val="000652C9"/>
    <w:rsid w:val="00065678"/>
    <w:rsid w:val="00065B34"/>
    <w:rsid w:val="0006795D"/>
    <w:rsid w:val="00067FAA"/>
    <w:rsid w:val="00070298"/>
    <w:rsid w:val="000709B1"/>
    <w:rsid w:val="00070EC7"/>
    <w:rsid w:val="00070F07"/>
    <w:rsid w:val="00071047"/>
    <w:rsid w:val="00071140"/>
    <w:rsid w:val="000715AD"/>
    <w:rsid w:val="00071B25"/>
    <w:rsid w:val="00071C93"/>
    <w:rsid w:val="00071FC0"/>
    <w:rsid w:val="00073380"/>
    <w:rsid w:val="00073B24"/>
    <w:rsid w:val="00073C4E"/>
    <w:rsid w:val="00073C53"/>
    <w:rsid w:val="00073FED"/>
    <w:rsid w:val="00075165"/>
    <w:rsid w:val="00075455"/>
    <w:rsid w:val="0007610C"/>
    <w:rsid w:val="000764A3"/>
    <w:rsid w:val="000769E5"/>
    <w:rsid w:val="00076EC6"/>
    <w:rsid w:val="000776BE"/>
    <w:rsid w:val="000776D3"/>
    <w:rsid w:val="00077D82"/>
    <w:rsid w:val="00080297"/>
    <w:rsid w:val="00081049"/>
    <w:rsid w:val="0008153A"/>
    <w:rsid w:val="00081DA5"/>
    <w:rsid w:val="0008256C"/>
    <w:rsid w:val="00082B6C"/>
    <w:rsid w:val="00082CC9"/>
    <w:rsid w:val="0008358D"/>
    <w:rsid w:val="000837FC"/>
    <w:rsid w:val="00084445"/>
    <w:rsid w:val="00084544"/>
    <w:rsid w:val="00084690"/>
    <w:rsid w:val="00085119"/>
    <w:rsid w:val="00085322"/>
    <w:rsid w:val="00085A48"/>
    <w:rsid w:val="00086544"/>
    <w:rsid w:val="0008693C"/>
    <w:rsid w:val="0008792C"/>
    <w:rsid w:val="00087AB0"/>
    <w:rsid w:val="00091ADD"/>
    <w:rsid w:val="000923A5"/>
    <w:rsid w:val="000930BA"/>
    <w:rsid w:val="00093847"/>
    <w:rsid w:val="00094A22"/>
    <w:rsid w:val="0009511D"/>
    <w:rsid w:val="00096499"/>
    <w:rsid w:val="000967D3"/>
    <w:rsid w:val="00096B5A"/>
    <w:rsid w:val="0009756F"/>
    <w:rsid w:val="0009758A"/>
    <w:rsid w:val="00097625"/>
    <w:rsid w:val="00097934"/>
    <w:rsid w:val="00097B28"/>
    <w:rsid w:val="000A0084"/>
    <w:rsid w:val="000A06B7"/>
    <w:rsid w:val="000A073A"/>
    <w:rsid w:val="000A09D4"/>
    <w:rsid w:val="000A1068"/>
    <w:rsid w:val="000A11F4"/>
    <w:rsid w:val="000A2980"/>
    <w:rsid w:val="000A2CE7"/>
    <w:rsid w:val="000A3027"/>
    <w:rsid w:val="000A3214"/>
    <w:rsid w:val="000A36BC"/>
    <w:rsid w:val="000A3DBE"/>
    <w:rsid w:val="000A429F"/>
    <w:rsid w:val="000A43A4"/>
    <w:rsid w:val="000A4741"/>
    <w:rsid w:val="000A68BC"/>
    <w:rsid w:val="000A6ABD"/>
    <w:rsid w:val="000A6C53"/>
    <w:rsid w:val="000A7A80"/>
    <w:rsid w:val="000B0939"/>
    <w:rsid w:val="000B2862"/>
    <w:rsid w:val="000B2A61"/>
    <w:rsid w:val="000B2B21"/>
    <w:rsid w:val="000B3B7F"/>
    <w:rsid w:val="000B47C2"/>
    <w:rsid w:val="000B73D3"/>
    <w:rsid w:val="000B7BC0"/>
    <w:rsid w:val="000C01D6"/>
    <w:rsid w:val="000C0D0A"/>
    <w:rsid w:val="000C1369"/>
    <w:rsid w:val="000C14D0"/>
    <w:rsid w:val="000C1862"/>
    <w:rsid w:val="000C2575"/>
    <w:rsid w:val="000C2681"/>
    <w:rsid w:val="000C268D"/>
    <w:rsid w:val="000C3C12"/>
    <w:rsid w:val="000C436E"/>
    <w:rsid w:val="000C53D6"/>
    <w:rsid w:val="000C5915"/>
    <w:rsid w:val="000C683D"/>
    <w:rsid w:val="000C717F"/>
    <w:rsid w:val="000D1A84"/>
    <w:rsid w:val="000D22BE"/>
    <w:rsid w:val="000D29FD"/>
    <w:rsid w:val="000D2FA1"/>
    <w:rsid w:val="000D3DDE"/>
    <w:rsid w:val="000D4263"/>
    <w:rsid w:val="000D47E8"/>
    <w:rsid w:val="000D48AE"/>
    <w:rsid w:val="000D5DCE"/>
    <w:rsid w:val="000D6BCB"/>
    <w:rsid w:val="000D7229"/>
    <w:rsid w:val="000D774E"/>
    <w:rsid w:val="000D7F03"/>
    <w:rsid w:val="000E05E4"/>
    <w:rsid w:val="000E0B23"/>
    <w:rsid w:val="000E1DAD"/>
    <w:rsid w:val="000E1FA9"/>
    <w:rsid w:val="000E2796"/>
    <w:rsid w:val="000E3008"/>
    <w:rsid w:val="000E334A"/>
    <w:rsid w:val="000E4363"/>
    <w:rsid w:val="000E5B58"/>
    <w:rsid w:val="000E726C"/>
    <w:rsid w:val="000E7874"/>
    <w:rsid w:val="000E7D04"/>
    <w:rsid w:val="000F0073"/>
    <w:rsid w:val="000F02D0"/>
    <w:rsid w:val="000F0B70"/>
    <w:rsid w:val="000F14AA"/>
    <w:rsid w:val="000F2165"/>
    <w:rsid w:val="000F25EB"/>
    <w:rsid w:val="000F2DFA"/>
    <w:rsid w:val="000F3854"/>
    <w:rsid w:val="000F4402"/>
    <w:rsid w:val="000F4C9B"/>
    <w:rsid w:val="000F4D4E"/>
    <w:rsid w:val="000F4E07"/>
    <w:rsid w:val="000F5111"/>
    <w:rsid w:val="000F51FC"/>
    <w:rsid w:val="000F5CFE"/>
    <w:rsid w:val="000F621F"/>
    <w:rsid w:val="000F626D"/>
    <w:rsid w:val="000F63E3"/>
    <w:rsid w:val="000F6482"/>
    <w:rsid w:val="000F69C7"/>
    <w:rsid w:val="000F6EB1"/>
    <w:rsid w:val="000F7E88"/>
    <w:rsid w:val="00100A39"/>
    <w:rsid w:val="00100D41"/>
    <w:rsid w:val="00100DAF"/>
    <w:rsid w:val="0010114E"/>
    <w:rsid w:val="0010155B"/>
    <w:rsid w:val="00101648"/>
    <w:rsid w:val="0010214A"/>
    <w:rsid w:val="00102684"/>
    <w:rsid w:val="001031F4"/>
    <w:rsid w:val="001035B9"/>
    <w:rsid w:val="00105036"/>
    <w:rsid w:val="00105D20"/>
    <w:rsid w:val="0010654F"/>
    <w:rsid w:val="00106BAD"/>
    <w:rsid w:val="001078C3"/>
    <w:rsid w:val="00107DCC"/>
    <w:rsid w:val="0011058F"/>
    <w:rsid w:val="00110B19"/>
    <w:rsid w:val="00110C7A"/>
    <w:rsid w:val="001112DF"/>
    <w:rsid w:val="00111DED"/>
    <w:rsid w:val="00112919"/>
    <w:rsid w:val="00112A12"/>
    <w:rsid w:val="00112A1E"/>
    <w:rsid w:val="0011378B"/>
    <w:rsid w:val="00113B26"/>
    <w:rsid w:val="00114A60"/>
    <w:rsid w:val="00115002"/>
    <w:rsid w:val="001155E1"/>
    <w:rsid w:val="00115C68"/>
    <w:rsid w:val="00115C8D"/>
    <w:rsid w:val="001160E2"/>
    <w:rsid w:val="001161C4"/>
    <w:rsid w:val="0011631C"/>
    <w:rsid w:val="00116860"/>
    <w:rsid w:val="00116A97"/>
    <w:rsid w:val="00116C64"/>
    <w:rsid w:val="00116EC0"/>
    <w:rsid w:val="00116F4D"/>
    <w:rsid w:val="00117B04"/>
    <w:rsid w:val="00117E81"/>
    <w:rsid w:val="001204C4"/>
    <w:rsid w:val="00120682"/>
    <w:rsid w:val="00120783"/>
    <w:rsid w:val="00120A65"/>
    <w:rsid w:val="00121275"/>
    <w:rsid w:val="0012143F"/>
    <w:rsid w:val="00121557"/>
    <w:rsid w:val="001219C1"/>
    <w:rsid w:val="0012201D"/>
    <w:rsid w:val="001233F1"/>
    <w:rsid w:val="00123CEB"/>
    <w:rsid w:val="00124552"/>
    <w:rsid w:val="001246D3"/>
    <w:rsid w:val="001248F1"/>
    <w:rsid w:val="0012521F"/>
    <w:rsid w:val="0012538D"/>
    <w:rsid w:val="00125B1A"/>
    <w:rsid w:val="0012614E"/>
    <w:rsid w:val="001262A5"/>
    <w:rsid w:val="00126C94"/>
    <w:rsid w:val="00127271"/>
    <w:rsid w:val="00127741"/>
    <w:rsid w:val="00127BFF"/>
    <w:rsid w:val="001309C8"/>
    <w:rsid w:val="00130C22"/>
    <w:rsid w:val="0013131F"/>
    <w:rsid w:val="00131A1A"/>
    <w:rsid w:val="00131C62"/>
    <w:rsid w:val="00131EDE"/>
    <w:rsid w:val="001321DD"/>
    <w:rsid w:val="00132342"/>
    <w:rsid w:val="001326D5"/>
    <w:rsid w:val="00132A97"/>
    <w:rsid w:val="00132DA2"/>
    <w:rsid w:val="001333C1"/>
    <w:rsid w:val="001337CF"/>
    <w:rsid w:val="00133E55"/>
    <w:rsid w:val="00134139"/>
    <w:rsid w:val="00134718"/>
    <w:rsid w:val="001347CF"/>
    <w:rsid w:val="00134FCA"/>
    <w:rsid w:val="00135A6E"/>
    <w:rsid w:val="00135C1B"/>
    <w:rsid w:val="00135C33"/>
    <w:rsid w:val="0013621C"/>
    <w:rsid w:val="00136408"/>
    <w:rsid w:val="001365E8"/>
    <w:rsid w:val="00136628"/>
    <w:rsid w:val="001373F5"/>
    <w:rsid w:val="00137A18"/>
    <w:rsid w:val="00137D67"/>
    <w:rsid w:val="001401E1"/>
    <w:rsid w:val="00140615"/>
    <w:rsid w:val="00140712"/>
    <w:rsid w:val="00140CF1"/>
    <w:rsid w:val="00140E9F"/>
    <w:rsid w:val="0014135C"/>
    <w:rsid w:val="00142288"/>
    <w:rsid w:val="0014234C"/>
    <w:rsid w:val="0014294D"/>
    <w:rsid w:val="00143CD5"/>
    <w:rsid w:val="001447A9"/>
    <w:rsid w:val="00144E3D"/>
    <w:rsid w:val="0014510E"/>
    <w:rsid w:val="00145182"/>
    <w:rsid w:val="001459C5"/>
    <w:rsid w:val="00146A22"/>
    <w:rsid w:val="00146B3E"/>
    <w:rsid w:val="00147AFF"/>
    <w:rsid w:val="00147B77"/>
    <w:rsid w:val="00150186"/>
    <w:rsid w:val="00150513"/>
    <w:rsid w:val="00150675"/>
    <w:rsid w:val="0015137E"/>
    <w:rsid w:val="00151E8F"/>
    <w:rsid w:val="0015234D"/>
    <w:rsid w:val="001527A9"/>
    <w:rsid w:val="00152EDD"/>
    <w:rsid w:val="00153944"/>
    <w:rsid w:val="00153AE6"/>
    <w:rsid w:val="00153D63"/>
    <w:rsid w:val="001543FD"/>
    <w:rsid w:val="00154BF8"/>
    <w:rsid w:val="00155D93"/>
    <w:rsid w:val="0015605F"/>
    <w:rsid w:val="001560D9"/>
    <w:rsid w:val="00156D68"/>
    <w:rsid w:val="00157495"/>
    <w:rsid w:val="00157BCB"/>
    <w:rsid w:val="00157C2F"/>
    <w:rsid w:val="00157DCD"/>
    <w:rsid w:val="00160674"/>
    <w:rsid w:val="001609E3"/>
    <w:rsid w:val="00160BF3"/>
    <w:rsid w:val="00161A79"/>
    <w:rsid w:val="00161ABD"/>
    <w:rsid w:val="00161EEF"/>
    <w:rsid w:val="00163311"/>
    <w:rsid w:val="00164005"/>
    <w:rsid w:val="0016489C"/>
    <w:rsid w:val="00164B4F"/>
    <w:rsid w:val="00164C8B"/>
    <w:rsid w:val="001650C3"/>
    <w:rsid w:val="0016528F"/>
    <w:rsid w:val="001662D1"/>
    <w:rsid w:val="00166471"/>
    <w:rsid w:val="0016677C"/>
    <w:rsid w:val="00170A48"/>
    <w:rsid w:val="00170B41"/>
    <w:rsid w:val="00170B9B"/>
    <w:rsid w:val="00170FD7"/>
    <w:rsid w:val="00171356"/>
    <w:rsid w:val="00172170"/>
    <w:rsid w:val="00173169"/>
    <w:rsid w:val="0017372A"/>
    <w:rsid w:val="00173A6D"/>
    <w:rsid w:val="00173DC7"/>
    <w:rsid w:val="00174226"/>
    <w:rsid w:val="00174C22"/>
    <w:rsid w:val="00176139"/>
    <w:rsid w:val="00176289"/>
    <w:rsid w:val="001765B0"/>
    <w:rsid w:val="00176848"/>
    <w:rsid w:val="0017707B"/>
    <w:rsid w:val="00180068"/>
    <w:rsid w:val="0018017F"/>
    <w:rsid w:val="001804EB"/>
    <w:rsid w:val="001816D6"/>
    <w:rsid w:val="0018196B"/>
    <w:rsid w:val="001824AB"/>
    <w:rsid w:val="00182F03"/>
    <w:rsid w:val="00182F2C"/>
    <w:rsid w:val="001830BC"/>
    <w:rsid w:val="00183659"/>
    <w:rsid w:val="00183A01"/>
    <w:rsid w:val="00183A41"/>
    <w:rsid w:val="00184010"/>
    <w:rsid w:val="00184EEE"/>
    <w:rsid w:val="0018731F"/>
    <w:rsid w:val="001875CB"/>
    <w:rsid w:val="00187A1A"/>
    <w:rsid w:val="00187DB7"/>
    <w:rsid w:val="00187F06"/>
    <w:rsid w:val="00187FE5"/>
    <w:rsid w:val="00190430"/>
    <w:rsid w:val="00190809"/>
    <w:rsid w:val="0019082A"/>
    <w:rsid w:val="00190F73"/>
    <w:rsid w:val="00190F7C"/>
    <w:rsid w:val="00191487"/>
    <w:rsid w:val="001919F1"/>
    <w:rsid w:val="00192AEC"/>
    <w:rsid w:val="001930C1"/>
    <w:rsid w:val="00193B0D"/>
    <w:rsid w:val="001943DE"/>
    <w:rsid w:val="0019467E"/>
    <w:rsid w:val="001950E5"/>
    <w:rsid w:val="001952D2"/>
    <w:rsid w:val="0019533A"/>
    <w:rsid w:val="00196415"/>
    <w:rsid w:val="00196A4F"/>
    <w:rsid w:val="00196DA3"/>
    <w:rsid w:val="00196F66"/>
    <w:rsid w:val="0019727D"/>
    <w:rsid w:val="00197B7F"/>
    <w:rsid w:val="001A04E0"/>
    <w:rsid w:val="001A0C54"/>
    <w:rsid w:val="001A1AB4"/>
    <w:rsid w:val="001A1C46"/>
    <w:rsid w:val="001A1EE2"/>
    <w:rsid w:val="001A2305"/>
    <w:rsid w:val="001A340F"/>
    <w:rsid w:val="001A39A3"/>
    <w:rsid w:val="001A3BCF"/>
    <w:rsid w:val="001A3C4A"/>
    <w:rsid w:val="001A41AC"/>
    <w:rsid w:val="001A41D7"/>
    <w:rsid w:val="001A4AFD"/>
    <w:rsid w:val="001A4F7B"/>
    <w:rsid w:val="001A50CD"/>
    <w:rsid w:val="001A58F4"/>
    <w:rsid w:val="001A6755"/>
    <w:rsid w:val="001A6912"/>
    <w:rsid w:val="001A6C02"/>
    <w:rsid w:val="001A71F3"/>
    <w:rsid w:val="001A7DC7"/>
    <w:rsid w:val="001B04EC"/>
    <w:rsid w:val="001B108D"/>
    <w:rsid w:val="001B16E8"/>
    <w:rsid w:val="001B1A66"/>
    <w:rsid w:val="001B1AC5"/>
    <w:rsid w:val="001B1E60"/>
    <w:rsid w:val="001B2E48"/>
    <w:rsid w:val="001B3184"/>
    <w:rsid w:val="001B34F1"/>
    <w:rsid w:val="001B3789"/>
    <w:rsid w:val="001B3DC4"/>
    <w:rsid w:val="001B40A9"/>
    <w:rsid w:val="001B41FA"/>
    <w:rsid w:val="001B43C6"/>
    <w:rsid w:val="001B46F2"/>
    <w:rsid w:val="001B4788"/>
    <w:rsid w:val="001B4BB8"/>
    <w:rsid w:val="001B4C19"/>
    <w:rsid w:val="001B4E04"/>
    <w:rsid w:val="001B52BB"/>
    <w:rsid w:val="001B5F72"/>
    <w:rsid w:val="001B6386"/>
    <w:rsid w:val="001B655D"/>
    <w:rsid w:val="001B67DE"/>
    <w:rsid w:val="001B70F4"/>
    <w:rsid w:val="001B735B"/>
    <w:rsid w:val="001B78F9"/>
    <w:rsid w:val="001C00C6"/>
    <w:rsid w:val="001C0222"/>
    <w:rsid w:val="001C033D"/>
    <w:rsid w:val="001C0B1F"/>
    <w:rsid w:val="001C0DB9"/>
    <w:rsid w:val="001C1457"/>
    <w:rsid w:val="001C1971"/>
    <w:rsid w:val="001C20EB"/>
    <w:rsid w:val="001C2304"/>
    <w:rsid w:val="001C2771"/>
    <w:rsid w:val="001C2D37"/>
    <w:rsid w:val="001C2E34"/>
    <w:rsid w:val="001C3D0B"/>
    <w:rsid w:val="001C3E5B"/>
    <w:rsid w:val="001C4775"/>
    <w:rsid w:val="001C477E"/>
    <w:rsid w:val="001C4792"/>
    <w:rsid w:val="001C4C3A"/>
    <w:rsid w:val="001C54F8"/>
    <w:rsid w:val="001C5B0E"/>
    <w:rsid w:val="001C5F9E"/>
    <w:rsid w:val="001C6054"/>
    <w:rsid w:val="001C68C1"/>
    <w:rsid w:val="001C70FF"/>
    <w:rsid w:val="001C7742"/>
    <w:rsid w:val="001C775F"/>
    <w:rsid w:val="001C780D"/>
    <w:rsid w:val="001D044F"/>
    <w:rsid w:val="001D0550"/>
    <w:rsid w:val="001D0616"/>
    <w:rsid w:val="001D0B10"/>
    <w:rsid w:val="001D2270"/>
    <w:rsid w:val="001D2FB6"/>
    <w:rsid w:val="001D374E"/>
    <w:rsid w:val="001D4195"/>
    <w:rsid w:val="001D440C"/>
    <w:rsid w:val="001D4672"/>
    <w:rsid w:val="001D4FA4"/>
    <w:rsid w:val="001D5317"/>
    <w:rsid w:val="001D53BC"/>
    <w:rsid w:val="001D5BFD"/>
    <w:rsid w:val="001D62E8"/>
    <w:rsid w:val="001D68CB"/>
    <w:rsid w:val="001D6E3B"/>
    <w:rsid w:val="001E068B"/>
    <w:rsid w:val="001E0E4B"/>
    <w:rsid w:val="001E1A61"/>
    <w:rsid w:val="001E2930"/>
    <w:rsid w:val="001E3AA1"/>
    <w:rsid w:val="001E4351"/>
    <w:rsid w:val="001E4CA8"/>
    <w:rsid w:val="001E4EEE"/>
    <w:rsid w:val="001E6979"/>
    <w:rsid w:val="001E705E"/>
    <w:rsid w:val="001E746E"/>
    <w:rsid w:val="001F0742"/>
    <w:rsid w:val="001F07E5"/>
    <w:rsid w:val="001F094D"/>
    <w:rsid w:val="001F10DE"/>
    <w:rsid w:val="001F12E4"/>
    <w:rsid w:val="001F1886"/>
    <w:rsid w:val="001F1C5C"/>
    <w:rsid w:val="001F1C67"/>
    <w:rsid w:val="001F2086"/>
    <w:rsid w:val="001F21FC"/>
    <w:rsid w:val="001F236F"/>
    <w:rsid w:val="001F2652"/>
    <w:rsid w:val="001F2BAC"/>
    <w:rsid w:val="001F2D85"/>
    <w:rsid w:val="001F326F"/>
    <w:rsid w:val="001F367A"/>
    <w:rsid w:val="001F41F3"/>
    <w:rsid w:val="001F43D8"/>
    <w:rsid w:val="001F4714"/>
    <w:rsid w:val="001F4FC7"/>
    <w:rsid w:val="001F5350"/>
    <w:rsid w:val="001F595C"/>
    <w:rsid w:val="001F5E10"/>
    <w:rsid w:val="001F5ED2"/>
    <w:rsid w:val="001F6F66"/>
    <w:rsid w:val="001F729D"/>
    <w:rsid w:val="001F7398"/>
    <w:rsid w:val="001F77FB"/>
    <w:rsid w:val="001F7B8C"/>
    <w:rsid w:val="00200144"/>
    <w:rsid w:val="00200310"/>
    <w:rsid w:val="002007F8"/>
    <w:rsid w:val="0020088F"/>
    <w:rsid w:val="00200E58"/>
    <w:rsid w:val="00201F63"/>
    <w:rsid w:val="00203DC1"/>
    <w:rsid w:val="00204084"/>
    <w:rsid w:val="00204B64"/>
    <w:rsid w:val="00204D14"/>
    <w:rsid w:val="00205590"/>
    <w:rsid w:val="00205736"/>
    <w:rsid w:val="00206BE3"/>
    <w:rsid w:val="002072F4"/>
    <w:rsid w:val="00207739"/>
    <w:rsid w:val="002103C3"/>
    <w:rsid w:val="00210889"/>
    <w:rsid w:val="00211363"/>
    <w:rsid w:val="002114C0"/>
    <w:rsid w:val="00211D13"/>
    <w:rsid w:val="0021210B"/>
    <w:rsid w:val="00212189"/>
    <w:rsid w:val="00213B74"/>
    <w:rsid w:val="002149BC"/>
    <w:rsid w:val="002152F4"/>
    <w:rsid w:val="00215E5C"/>
    <w:rsid w:val="002161C4"/>
    <w:rsid w:val="002166D2"/>
    <w:rsid w:val="002202D1"/>
    <w:rsid w:val="0022030D"/>
    <w:rsid w:val="002203AC"/>
    <w:rsid w:val="00220565"/>
    <w:rsid w:val="00221133"/>
    <w:rsid w:val="00221542"/>
    <w:rsid w:val="002215C8"/>
    <w:rsid w:val="002218F0"/>
    <w:rsid w:val="00221FB8"/>
    <w:rsid w:val="002224F4"/>
    <w:rsid w:val="002227B7"/>
    <w:rsid w:val="002231E8"/>
    <w:rsid w:val="00223AD8"/>
    <w:rsid w:val="00223B2A"/>
    <w:rsid w:val="00223B4A"/>
    <w:rsid w:val="002241EA"/>
    <w:rsid w:val="00224399"/>
    <w:rsid w:val="0022473D"/>
    <w:rsid w:val="002248D5"/>
    <w:rsid w:val="00224CFD"/>
    <w:rsid w:val="002251DC"/>
    <w:rsid w:val="0022539B"/>
    <w:rsid w:val="00225856"/>
    <w:rsid w:val="002258BC"/>
    <w:rsid w:val="00225C9B"/>
    <w:rsid w:val="002265F2"/>
    <w:rsid w:val="00226795"/>
    <w:rsid w:val="002276BF"/>
    <w:rsid w:val="00227CE3"/>
    <w:rsid w:val="0023186B"/>
    <w:rsid w:val="002321CB"/>
    <w:rsid w:val="002326E1"/>
    <w:rsid w:val="002331F9"/>
    <w:rsid w:val="0023361F"/>
    <w:rsid w:val="00233A52"/>
    <w:rsid w:val="00233C33"/>
    <w:rsid w:val="00234BF4"/>
    <w:rsid w:val="00234D6C"/>
    <w:rsid w:val="002351D6"/>
    <w:rsid w:val="00235408"/>
    <w:rsid w:val="002357BC"/>
    <w:rsid w:val="0023634B"/>
    <w:rsid w:val="002367CE"/>
    <w:rsid w:val="00236B04"/>
    <w:rsid w:val="00236F61"/>
    <w:rsid w:val="00237191"/>
    <w:rsid w:val="0023741E"/>
    <w:rsid w:val="00237B10"/>
    <w:rsid w:val="0024041E"/>
    <w:rsid w:val="00240888"/>
    <w:rsid w:val="00240A88"/>
    <w:rsid w:val="00240F93"/>
    <w:rsid w:val="00241D40"/>
    <w:rsid w:val="0024245F"/>
    <w:rsid w:val="002430FD"/>
    <w:rsid w:val="002439BD"/>
    <w:rsid w:val="00243AC5"/>
    <w:rsid w:val="00244BCF"/>
    <w:rsid w:val="00244C24"/>
    <w:rsid w:val="00244EA0"/>
    <w:rsid w:val="00245EEB"/>
    <w:rsid w:val="00246E92"/>
    <w:rsid w:val="002478CF"/>
    <w:rsid w:val="00247A5C"/>
    <w:rsid w:val="00247B73"/>
    <w:rsid w:val="0025028F"/>
    <w:rsid w:val="002506A5"/>
    <w:rsid w:val="00251735"/>
    <w:rsid w:val="00251FB6"/>
    <w:rsid w:val="002522C5"/>
    <w:rsid w:val="002528D8"/>
    <w:rsid w:val="00252A5C"/>
    <w:rsid w:val="0025356C"/>
    <w:rsid w:val="00254271"/>
    <w:rsid w:val="00254557"/>
    <w:rsid w:val="00254A7E"/>
    <w:rsid w:val="00255227"/>
    <w:rsid w:val="002560DE"/>
    <w:rsid w:val="00256191"/>
    <w:rsid w:val="002566A2"/>
    <w:rsid w:val="002569E7"/>
    <w:rsid w:val="00257384"/>
    <w:rsid w:val="00257662"/>
    <w:rsid w:val="0025786F"/>
    <w:rsid w:val="00257AB6"/>
    <w:rsid w:val="00257B38"/>
    <w:rsid w:val="00257BB1"/>
    <w:rsid w:val="00257F2C"/>
    <w:rsid w:val="00257F43"/>
    <w:rsid w:val="0026014C"/>
    <w:rsid w:val="00260445"/>
    <w:rsid w:val="00260ECF"/>
    <w:rsid w:val="002614AF"/>
    <w:rsid w:val="00262085"/>
    <w:rsid w:val="00262317"/>
    <w:rsid w:val="002634CE"/>
    <w:rsid w:val="00263A4D"/>
    <w:rsid w:val="00263AE1"/>
    <w:rsid w:val="0026414E"/>
    <w:rsid w:val="00265911"/>
    <w:rsid w:val="0026591F"/>
    <w:rsid w:val="00266102"/>
    <w:rsid w:val="00266277"/>
    <w:rsid w:val="002665E1"/>
    <w:rsid w:val="00266624"/>
    <w:rsid w:val="00267191"/>
    <w:rsid w:val="002671D5"/>
    <w:rsid w:val="002704E6"/>
    <w:rsid w:val="0027090C"/>
    <w:rsid w:val="00270A96"/>
    <w:rsid w:val="00270F07"/>
    <w:rsid w:val="00271827"/>
    <w:rsid w:val="00271A54"/>
    <w:rsid w:val="0027274B"/>
    <w:rsid w:val="00272E25"/>
    <w:rsid w:val="002733AC"/>
    <w:rsid w:val="002733C1"/>
    <w:rsid w:val="002735AE"/>
    <w:rsid w:val="002736F0"/>
    <w:rsid w:val="00274101"/>
    <w:rsid w:val="002741CA"/>
    <w:rsid w:val="002747A0"/>
    <w:rsid w:val="00274A4A"/>
    <w:rsid w:val="00274BD6"/>
    <w:rsid w:val="0027526A"/>
    <w:rsid w:val="00275713"/>
    <w:rsid w:val="00275F72"/>
    <w:rsid w:val="00276252"/>
    <w:rsid w:val="00276B30"/>
    <w:rsid w:val="00277A7C"/>
    <w:rsid w:val="002802CC"/>
    <w:rsid w:val="002806D8"/>
    <w:rsid w:val="002807FC"/>
    <w:rsid w:val="0028148B"/>
    <w:rsid w:val="002816DD"/>
    <w:rsid w:val="0028230D"/>
    <w:rsid w:val="00282416"/>
    <w:rsid w:val="00282921"/>
    <w:rsid w:val="00282E65"/>
    <w:rsid w:val="00282F8C"/>
    <w:rsid w:val="002836B7"/>
    <w:rsid w:val="002836BE"/>
    <w:rsid w:val="002839A6"/>
    <w:rsid w:val="00283A65"/>
    <w:rsid w:val="00283B15"/>
    <w:rsid w:val="002841DE"/>
    <w:rsid w:val="002851A6"/>
    <w:rsid w:val="0028540E"/>
    <w:rsid w:val="00286E44"/>
    <w:rsid w:val="00287D32"/>
    <w:rsid w:val="00287EB6"/>
    <w:rsid w:val="0029144C"/>
    <w:rsid w:val="00291874"/>
    <w:rsid w:val="00293739"/>
    <w:rsid w:val="00293E88"/>
    <w:rsid w:val="00295657"/>
    <w:rsid w:val="00295874"/>
    <w:rsid w:val="00296009"/>
    <w:rsid w:val="00296293"/>
    <w:rsid w:val="00296515"/>
    <w:rsid w:val="002968AD"/>
    <w:rsid w:val="00296B1A"/>
    <w:rsid w:val="00296CF2"/>
    <w:rsid w:val="002970EA"/>
    <w:rsid w:val="0029741C"/>
    <w:rsid w:val="00297860"/>
    <w:rsid w:val="00297FA6"/>
    <w:rsid w:val="002A006B"/>
    <w:rsid w:val="002A0441"/>
    <w:rsid w:val="002A0679"/>
    <w:rsid w:val="002A06FC"/>
    <w:rsid w:val="002A0981"/>
    <w:rsid w:val="002A10DA"/>
    <w:rsid w:val="002A1107"/>
    <w:rsid w:val="002A167F"/>
    <w:rsid w:val="002A25B5"/>
    <w:rsid w:val="002A2E5F"/>
    <w:rsid w:val="002A35FD"/>
    <w:rsid w:val="002A460E"/>
    <w:rsid w:val="002A4891"/>
    <w:rsid w:val="002A513D"/>
    <w:rsid w:val="002A5142"/>
    <w:rsid w:val="002A5523"/>
    <w:rsid w:val="002A66D2"/>
    <w:rsid w:val="002A6927"/>
    <w:rsid w:val="002A6989"/>
    <w:rsid w:val="002A6E0B"/>
    <w:rsid w:val="002A79A2"/>
    <w:rsid w:val="002B056B"/>
    <w:rsid w:val="002B1FB3"/>
    <w:rsid w:val="002B2261"/>
    <w:rsid w:val="002B250C"/>
    <w:rsid w:val="002B2DC5"/>
    <w:rsid w:val="002B2EBB"/>
    <w:rsid w:val="002B45E2"/>
    <w:rsid w:val="002B4865"/>
    <w:rsid w:val="002B4956"/>
    <w:rsid w:val="002B4C34"/>
    <w:rsid w:val="002B5031"/>
    <w:rsid w:val="002B5490"/>
    <w:rsid w:val="002B6053"/>
    <w:rsid w:val="002B6444"/>
    <w:rsid w:val="002B72C9"/>
    <w:rsid w:val="002B74B4"/>
    <w:rsid w:val="002C0FEA"/>
    <w:rsid w:val="002C107A"/>
    <w:rsid w:val="002C178B"/>
    <w:rsid w:val="002C1879"/>
    <w:rsid w:val="002C2949"/>
    <w:rsid w:val="002C3373"/>
    <w:rsid w:val="002C3511"/>
    <w:rsid w:val="002C435C"/>
    <w:rsid w:val="002C4785"/>
    <w:rsid w:val="002C4874"/>
    <w:rsid w:val="002C4A05"/>
    <w:rsid w:val="002C4B5F"/>
    <w:rsid w:val="002C4EBC"/>
    <w:rsid w:val="002C520C"/>
    <w:rsid w:val="002C5727"/>
    <w:rsid w:val="002C658E"/>
    <w:rsid w:val="002C65F2"/>
    <w:rsid w:val="002C6AFA"/>
    <w:rsid w:val="002C7CE5"/>
    <w:rsid w:val="002C7E99"/>
    <w:rsid w:val="002D036D"/>
    <w:rsid w:val="002D03EA"/>
    <w:rsid w:val="002D0B07"/>
    <w:rsid w:val="002D0CB0"/>
    <w:rsid w:val="002D0F65"/>
    <w:rsid w:val="002D186A"/>
    <w:rsid w:val="002D23D9"/>
    <w:rsid w:val="002D2687"/>
    <w:rsid w:val="002D2BE8"/>
    <w:rsid w:val="002D2EBF"/>
    <w:rsid w:val="002D2F20"/>
    <w:rsid w:val="002D3130"/>
    <w:rsid w:val="002D41B3"/>
    <w:rsid w:val="002D4313"/>
    <w:rsid w:val="002D4347"/>
    <w:rsid w:val="002D43D7"/>
    <w:rsid w:val="002D4D88"/>
    <w:rsid w:val="002D4E8A"/>
    <w:rsid w:val="002D5389"/>
    <w:rsid w:val="002D58E2"/>
    <w:rsid w:val="002D5C25"/>
    <w:rsid w:val="002D5D5B"/>
    <w:rsid w:val="002D6011"/>
    <w:rsid w:val="002D60B4"/>
    <w:rsid w:val="002D6E4E"/>
    <w:rsid w:val="002D71CD"/>
    <w:rsid w:val="002D7926"/>
    <w:rsid w:val="002E02BF"/>
    <w:rsid w:val="002E02EC"/>
    <w:rsid w:val="002E0C3F"/>
    <w:rsid w:val="002E1C01"/>
    <w:rsid w:val="002E2039"/>
    <w:rsid w:val="002E2562"/>
    <w:rsid w:val="002E2A89"/>
    <w:rsid w:val="002E37A1"/>
    <w:rsid w:val="002E3D34"/>
    <w:rsid w:val="002E44B0"/>
    <w:rsid w:val="002E4790"/>
    <w:rsid w:val="002E491B"/>
    <w:rsid w:val="002E4F37"/>
    <w:rsid w:val="002E5294"/>
    <w:rsid w:val="002E5CB8"/>
    <w:rsid w:val="002F01D4"/>
    <w:rsid w:val="002F0437"/>
    <w:rsid w:val="002F064F"/>
    <w:rsid w:val="002F0B9B"/>
    <w:rsid w:val="002F230D"/>
    <w:rsid w:val="002F2CC2"/>
    <w:rsid w:val="002F327A"/>
    <w:rsid w:val="002F32A7"/>
    <w:rsid w:val="002F3951"/>
    <w:rsid w:val="002F3BF3"/>
    <w:rsid w:val="002F3E08"/>
    <w:rsid w:val="002F41F4"/>
    <w:rsid w:val="002F5243"/>
    <w:rsid w:val="002F589A"/>
    <w:rsid w:val="002F59FB"/>
    <w:rsid w:val="002F5C2E"/>
    <w:rsid w:val="002F5F52"/>
    <w:rsid w:val="002F65E0"/>
    <w:rsid w:val="002F663C"/>
    <w:rsid w:val="002F6995"/>
    <w:rsid w:val="002F6AD5"/>
    <w:rsid w:val="002F70B1"/>
    <w:rsid w:val="002F7D26"/>
    <w:rsid w:val="003000D6"/>
    <w:rsid w:val="003008F1"/>
    <w:rsid w:val="0030093F"/>
    <w:rsid w:val="00300AD1"/>
    <w:rsid w:val="00300D7B"/>
    <w:rsid w:val="00300F53"/>
    <w:rsid w:val="00301F1A"/>
    <w:rsid w:val="00301F2B"/>
    <w:rsid w:val="0030254B"/>
    <w:rsid w:val="00302C3F"/>
    <w:rsid w:val="00302DDA"/>
    <w:rsid w:val="003050AC"/>
    <w:rsid w:val="0030549D"/>
    <w:rsid w:val="003057BE"/>
    <w:rsid w:val="003062AD"/>
    <w:rsid w:val="0030680C"/>
    <w:rsid w:val="00306C2A"/>
    <w:rsid w:val="00307360"/>
    <w:rsid w:val="003074BA"/>
    <w:rsid w:val="003101C6"/>
    <w:rsid w:val="0031055C"/>
    <w:rsid w:val="00310C72"/>
    <w:rsid w:val="00310E83"/>
    <w:rsid w:val="00310FEA"/>
    <w:rsid w:val="00311803"/>
    <w:rsid w:val="003118FD"/>
    <w:rsid w:val="00311A6A"/>
    <w:rsid w:val="00311D66"/>
    <w:rsid w:val="00312CDF"/>
    <w:rsid w:val="00312E5C"/>
    <w:rsid w:val="00312EE5"/>
    <w:rsid w:val="003132EB"/>
    <w:rsid w:val="003133D7"/>
    <w:rsid w:val="003138BE"/>
    <w:rsid w:val="00313F41"/>
    <w:rsid w:val="00313FB2"/>
    <w:rsid w:val="0031492B"/>
    <w:rsid w:val="003149CD"/>
    <w:rsid w:val="003151BD"/>
    <w:rsid w:val="00315E1F"/>
    <w:rsid w:val="00315E50"/>
    <w:rsid w:val="00316010"/>
    <w:rsid w:val="00316665"/>
    <w:rsid w:val="00316DDA"/>
    <w:rsid w:val="003175B7"/>
    <w:rsid w:val="00317BBC"/>
    <w:rsid w:val="00317C6C"/>
    <w:rsid w:val="0032008C"/>
    <w:rsid w:val="00320838"/>
    <w:rsid w:val="00320957"/>
    <w:rsid w:val="00320C81"/>
    <w:rsid w:val="00320C8B"/>
    <w:rsid w:val="00321896"/>
    <w:rsid w:val="00321A18"/>
    <w:rsid w:val="00321CCD"/>
    <w:rsid w:val="00321DF7"/>
    <w:rsid w:val="00322CBC"/>
    <w:rsid w:val="003230A3"/>
    <w:rsid w:val="00323467"/>
    <w:rsid w:val="00323818"/>
    <w:rsid w:val="00323935"/>
    <w:rsid w:val="00324C4A"/>
    <w:rsid w:val="00324C5D"/>
    <w:rsid w:val="00324CD9"/>
    <w:rsid w:val="00325A08"/>
    <w:rsid w:val="00326820"/>
    <w:rsid w:val="00327013"/>
    <w:rsid w:val="00327863"/>
    <w:rsid w:val="00327A7C"/>
    <w:rsid w:val="003303B2"/>
    <w:rsid w:val="003308E8"/>
    <w:rsid w:val="00330F5D"/>
    <w:rsid w:val="00331832"/>
    <w:rsid w:val="003319E2"/>
    <w:rsid w:val="00332CC1"/>
    <w:rsid w:val="00332D71"/>
    <w:rsid w:val="003334AE"/>
    <w:rsid w:val="0033375B"/>
    <w:rsid w:val="003337CA"/>
    <w:rsid w:val="00333F6E"/>
    <w:rsid w:val="003347DC"/>
    <w:rsid w:val="003350B7"/>
    <w:rsid w:val="003358F9"/>
    <w:rsid w:val="00335C4C"/>
    <w:rsid w:val="00336151"/>
    <w:rsid w:val="0033664E"/>
    <w:rsid w:val="00336C54"/>
    <w:rsid w:val="00336DAE"/>
    <w:rsid w:val="00337298"/>
    <w:rsid w:val="003376B1"/>
    <w:rsid w:val="0034028D"/>
    <w:rsid w:val="00340624"/>
    <w:rsid w:val="00340764"/>
    <w:rsid w:val="00340812"/>
    <w:rsid w:val="00340E55"/>
    <w:rsid w:val="00341AF7"/>
    <w:rsid w:val="00342698"/>
    <w:rsid w:val="003439BC"/>
    <w:rsid w:val="00344141"/>
    <w:rsid w:val="00344246"/>
    <w:rsid w:val="00344509"/>
    <w:rsid w:val="00344AC1"/>
    <w:rsid w:val="00344FD9"/>
    <w:rsid w:val="00346420"/>
    <w:rsid w:val="00346493"/>
    <w:rsid w:val="00347106"/>
    <w:rsid w:val="003477C3"/>
    <w:rsid w:val="00347B96"/>
    <w:rsid w:val="00347E03"/>
    <w:rsid w:val="003500AA"/>
    <w:rsid w:val="0035030A"/>
    <w:rsid w:val="00350802"/>
    <w:rsid w:val="00350F64"/>
    <w:rsid w:val="0035148D"/>
    <w:rsid w:val="00351684"/>
    <w:rsid w:val="003517CB"/>
    <w:rsid w:val="0035203A"/>
    <w:rsid w:val="003527C2"/>
    <w:rsid w:val="00352823"/>
    <w:rsid w:val="00352A66"/>
    <w:rsid w:val="0035320E"/>
    <w:rsid w:val="0035339D"/>
    <w:rsid w:val="00353851"/>
    <w:rsid w:val="00354102"/>
    <w:rsid w:val="00354C49"/>
    <w:rsid w:val="003550AA"/>
    <w:rsid w:val="00355384"/>
    <w:rsid w:val="00355B1A"/>
    <w:rsid w:val="00356470"/>
    <w:rsid w:val="00356538"/>
    <w:rsid w:val="003565B1"/>
    <w:rsid w:val="00356899"/>
    <w:rsid w:val="00356D93"/>
    <w:rsid w:val="00357185"/>
    <w:rsid w:val="003579F3"/>
    <w:rsid w:val="00360F80"/>
    <w:rsid w:val="003613B1"/>
    <w:rsid w:val="00362557"/>
    <w:rsid w:val="003627D9"/>
    <w:rsid w:val="00362BC6"/>
    <w:rsid w:val="00362E51"/>
    <w:rsid w:val="003639A8"/>
    <w:rsid w:val="00363F11"/>
    <w:rsid w:val="00363FA4"/>
    <w:rsid w:val="00364641"/>
    <w:rsid w:val="003659D2"/>
    <w:rsid w:val="00365CC5"/>
    <w:rsid w:val="00365EAD"/>
    <w:rsid w:val="00366C55"/>
    <w:rsid w:val="00367A8D"/>
    <w:rsid w:val="00367ACD"/>
    <w:rsid w:val="00367E47"/>
    <w:rsid w:val="00370054"/>
    <w:rsid w:val="00370082"/>
    <w:rsid w:val="0037022B"/>
    <w:rsid w:val="00370B19"/>
    <w:rsid w:val="00370BFE"/>
    <w:rsid w:val="00371107"/>
    <w:rsid w:val="00372EFC"/>
    <w:rsid w:val="003733D7"/>
    <w:rsid w:val="00373ACC"/>
    <w:rsid w:val="00373D38"/>
    <w:rsid w:val="00374AA0"/>
    <w:rsid w:val="00375337"/>
    <w:rsid w:val="003753EF"/>
    <w:rsid w:val="003754D4"/>
    <w:rsid w:val="003759FA"/>
    <w:rsid w:val="00375BAB"/>
    <w:rsid w:val="00376C7C"/>
    <w:rsid w:val="00376E16"/>
    <w:rsid w:val="00377D9F"/>
    <w:rsid w:val="0038025A"/>
    <w:rsid w:val="003815EC"/>
    <w:rsid w:val="00382256"/>
    <w:rsid w:val="003840B3"/>
    <w:rsid w:val="0038456E"/>
    <w:rsid w:val="00384697"/>
    <w:rsid w:val="00384827"/>
    <w:rsid w:val="0038556F"/>
    <w:rsid w:val="00385CA3"/>
    <w:rsid w:val="00385F91"/>
    <w:rsid w:val="0038644B"/>
    <w:rsid w:val="003873AE"/>
    <w:rsid w:val="00387832"/>
    <w:rsid w:val="00387E70"/>
    <w:rsid w:val="003900B2"/>
    <w:rsid w:val="003906EE"/>
    <w:rsid w:val="00390CEC"/>
    <w:rsid w:val="0039138E"/>
    <w:rsid w:val="00392E23"/>
    <w:rsid w:val="003931EF"/>
    <w:rsid w:val="0039336F"/>
    <w:rsid w:val="00393584"/>
    <w:rsid w:val="00393C75"/>
    <w:rsid w:val="00394674"/>
    <w:rsid w:val="003953A8"/>
    <w:rsid w:val="00395908"/>
    <w:rsid w:val="003965E5"/>
    <w:rsid w:val="003967C1"/>
    <w:rsid w:val="00396ACC"/>
    <w:rsid w:val="00396BF7"/>
    <w:rsid w:val="00397495"/>
    <w:rsid w:val="003A08BE"/>
    <w:rsid w:val="003A0C01"/>
    <w:rsid w:val="003A0DDC"/>
    <w:rsid w:val="003A1F8B"/>
    <w:rsid w:val="003A2DFD"/>
    <w:rsid w:val="003A2EC4"/>
    <w:rsid w:val="003A312A"/>
    <w:rsid w:val="003A3686"/>
    <w:rsid w:val="003A3D64"/>
    <w:rsid w:val="003A3EDF"/>
    <w:rsid w:val="003A44D8"/>
    <w:rsid w:val="003A4593"/>
    <w:rsid w:val="003A4F09"/>
    <w:rsid w:val="003A5CBB"/>
    <w:rsid w:val="003A5D32"/>
    <w:rsid w:val="003A5DF3"/>
    <w:rsid w:val="003A6624"/>
    <w:rsid w:val="003A67A1"/>
    <w:rsid w:val="003A7171"/>
    <w:rsid w:val="003A743F"/>
    <w:rsid w:val="003A76EB"/>
    <w:rsid w:val="003A7C1B"/>
    <w:rsid w:val="003B021F"/>
    <w:rsid w:val="003B0AE3"/>
    <w:rsid w:val="003B0D28"/>
    <w:rsid w:val="003B0D29"/>
    <w:rsid w:val="003B1283"/>
    <w:rsid w:val="003B1544"/>
    <w:rsid w:val="003B178C"/>
    <w:rsid w:val="003B2ED2"/>
    <w:rsid w:val="003B360E"/>
    <w:rsid w:val="003B3D8E"/>
    <w:rsid w:val="003B3EDB"/>
    <w:rsid w:val="003B40EC"/>
    <w:rsid w:val="003B450C"/>
    <w:rsid w:val="003B4536"/>
    <w:rsid w:val="003B57CF"/>
    <w:rsid w:val="003B5B65"/>
    <w:rsid w:val="003B64FC"/>
    <w:rsid w:val="003B708E"/>
    <w:rsid w:val="003B70B9"/>
    <w:rsid w:val="003B7997"/>
    <w:rsid w:val="003B7BD6"/>
    <w:rsid w:val="003C108E"/>
    <w:rsid w:val="003C13BA"/>
    <w:rsid w:val="003C1756"/>
    <w:rsid w:val="003C1785"/>
    <w:rsid w:val="003C2352"/>
    <w:rsid w:val="003C2CDA"/>
    <w:rsid w:val="003C330D"/>
    <w:rsid w:val="003C335F"/>
    <w:rsid w:val="003C430B"/>
    <w:rsid w:val="003C4878"/>
    <w:rsid w:val="003C575E"/>
    <w:rsid w:val="003C6CA7"/>
    <w:rsid w:val="003C7503"/>
    <w:rsid w:val="003C787A"/>
    <w:rsid w:val="003C7F48"/>
    <w:rsid w:val="003D0436"/>
    <w:rsid w:val="003D04A1"/>
    <w:rsid w:val="003D04EF"/>
    <w:rsid w:val="003D0E10"/>
    <w:rsid w:val="003D0F3B"/>
    <w:rsid w:val="003D12F3"/>
    <w:rsid w:val="003D1D80"/>
    <w:rsid w:val="003D273A"/>
    <w:rsid w:val="003D2C17"/>
    <w:rsid w:val="003D3197"/>
    <w:rsid w:val="003D32A9"/>
    <w:rsid w:val="003D37B7"/>
    <w:rsid w:val="003D3F27"/>
    <w:rsid w:val="003D4779"/>
    <w:rsid w:val="003D536C"/>
    <w:rsid w:val="003D5DE6"/>
    <w:rsid w:val="003D6522"/>
    <w:rsid w:val="003D68E1"/>
    <w:rsid w:val="003D6B9A"/>
    <w:rsid w:val="003D6E80"/>
    <w:rsid w:val="003D7595"/>
    <w:rsid w:val="003E12D2"/>
    <w:rsid w:val="003E1D8B"/>
    <w:rsid w:val="003E248A"/>
    <w:rsid w:val="003E2819"/>
    <w:rsid w:val="003E29C5"/>
    <w:rsid w:val="003E3D39"/>
    <w:rsid w:val="003E4369"/>
    <w:rsid w:val="003E48A5"/>
    <w:rsid w:val="003E4CAB"/>
    <w:rsid w:val="003E5004"/>
    <w:rsid w:val="003E52E4"/>
    <w:rsid w:val="003E53CF"/>
    <w:rsid w:val="003E5E12"/>
    <w:rsid w:val="003E641D"/>
    <w:rsid w:val="003E67A7"/>
    <w:rsid w:val="003E68C4"/>
    <w:rsid w:val="003E6A79"/>
    <w:rsid w:val="003E6B39"/>
    <w:rsid w:val="003E6CDF"/>
    <w:rsid w:val="003E7733"/>
    <w:rsid w:val="003F01DC"/>
    <w:rsid w:val="003F0234"/>
    <w:rsid w:val="003F02EF"/>
    <w:rsid w:val="003F0747"/>
    <w:rsid w:val="003F0DBD"/>
    <w:rsid w:val="003F1579"/>
    <w:rsid w:val="003F19E4"/>
    <w:rsid w:val="003F20E5"/>
    <w:rsid w:val="003F22B2"/>
    <w:rsid w:val="003F3379"/>
    <w:rsid w:val="003F348E"/>
    <w:rsid w:val="003F36DA"/>
    <w:rsid w:val="003F479C"/>
    <w:rsid w:val="003F4D5A"/>
    <w:rsid w:val="003F4E0F"/>
    <w:rsid w:val="003F5F06"/>
    <w:rsid w:val="003F6270"/>
    <w:rsid w:val="003F6EDF"/>
    <w:rsid w:val="003F6FFC"/>
    <w:rsid w:val="003F77DD"/>
    <w:rsid w:val="003F7CA3"/>
    <w:rsid w:val="003F7F21"/>
    <w:rsid w:val="00400470"/>
    <w:rsid w:val="00400835"/>
    <w:rsid w:val="00401995"/>
    <w:rsid w:val="00402148"/>
    <w:rsid w:val="004022C0"/>
    <w:rsid w:val="004028AF"/>
    <w:rsid w:val="00402BCD"/>
    <w:rsid w:val="004030DF"/>
    <w:rsid w:val="0040347A"/>
    <w:rsid w:val="0040348B"/>
    <w:rsid w:val="0040498D"/>
    <w:rsid w:val="00404D2C"/>
    <w:rsid w:val="00405759"/>
    <w:rsid w:val="004058F6"/>
    <w:rsid w:val="00405F81"/>
    <w:rsid w:val="00406B1A"/>
    <w:rsid w:val="00407026"/>
    <w:rsid w:val="0041039C"/>
    <w:rsid w:val="00410CAE"/>
    <w:rsid w:val="00411E3B"/>
    <w:rsid w:val="00412395"/>
    <w:rsid w:val="004125E3"/>
    <w:rsid w:val="00414792"/>
    <w:rsid w:val="004151C5"/>
    <w:rsid w:val="00416366"/>
    <w:rsid w:val="00416698"/>
    <w:rsid w:val="00416EDF"/>
    <w:rsid w:val="0041723F"/>
    <w:rsid w:val="004172A2"/>
    <w:rsid w:val="00417387"/>
    <w:rsid w:val="004173B9"/>
    <w:rsid w:val="004173E3"/>
    <w:rsid w:val="00417490"/>
    <w:rsid w:val="00417CCC"/>
    <w:rsid w:val="00417D98"/>
    <w:rsid w:val="00420AD6"/>
    <w:rsid w:val="00420D0E"/>
    <w:rsid w:val="00422342"/>
    <w:rsid w:val="0042264F"/>
    <w:rsid w:val="00422B3A"/>
    <w:rsid w:val="0042372E"/>
    <w:rsid w:val="00423758"/>
    <w:rsid w:val="00423FF1"/>
    <w:rsid w:val="004240DA"/>
    <w:rsid w:val="004242F5"/>
    <w:rsid w:val="0042499C"/>
    <w:rsid w:val="004252DC"/>
    <w:rsid w:val="004256DE"/>
    <w:rsid w:val="0042578E"/>
    <w:rsid w:val="0042647E"/>
    <w:rsid w:val="00426E84"/>
    <w:rsid w:val="004275EF"/>
    <w:rsid w:val="00427F7F"/>
    <w:rsid w:val="00432213"/>
    <w:rsid w:val="004322A5"/>
    <w:rsid w:val="0043291F"/>
    <w:rsid w:val="00432B67"/>
    <w:rsid w:val="00432EF1"/>
    <w:rsid w:val="00432FB4"/>
    <w:rsid w:val="00433F57"/>
    <w:rsid w:val="004341CB"/>
    <w:rsid w:val="0043434E"/>
    <w:rsid w:val="00434D8A"/>
    <w:rsid w:val="0043504D"/>
    <w:rsid w:val="00435367"/>
    <w:rsid w:val="00435396"/>
    <w:rsid w:val="0043559A"/>
    <w:rsid w:val="004356AF"/>
    <w:rsid w:val="004358A0"/>
    <w:rsid w:val="00435CFB"/>
    <w:rsid w:val="004377FF"/>
    <w:rsid w:val="004378DA"/>
    <w:rsid w:val="00440181"/>
    <w:rsid w:val="00440344"/>
    <w:rsid w:val="00440654"/>
    <w:rsid w:val="00440D29"/>
    <w:rsid w:val="00441E98"/>
    <w:rsid w:val="0044276C"/>
    <w:rsid w:val="004440BC"/>
    <w:rsid w:val="004447C9"/>
    <w:rsid w:val="0044660B"/>
    <w:rsid w:val="00446D6D"/>
    <w:rsid w:val="00446EA6"/>
    <w:rsid w:val="00447F06"/>
    <w:rsid w:val="0045027F"/>
    <w:rsid w:val="00450286"/>
    <w:rsid w:val="00450A71"/>
    <w:rsid w:val="0045106B"/>
    <w:rsid w:val="004522F9"/>
    <w:rsid w:val="0045247E"/>
    <w:rsid w:val="00452A4B"/>
    <w:rsid w:val="00452F46"/>
    <w:rsid w:val="00453BB0"/>
    <w:rsid w:val="00453DFD"/>
    <w:rsid w:val="00454466"/>
    <w:rsid w:val="00454C72"/>
    <w:rsid w:val="00455831"/>
    <w:rsid w:val="00455F0D"/>
    <w:rsid w:val="00455FEA"/>
    <w:rsid w:val="004560DA"/>
    <w:rsid w:val="004566D4"/>
    <w:rsid w:val="00456C9D"/>
    <w:rsid w:val="00457E53"/>
    <w:rsid w:val="00457F74"/>
    <w:rsid w:val="004605CD"/>
    <w:rsid w:val="00460C98"/>
    <w:rsid w:val="00460FFE"/>
    <w:rsid w:val="00461E17"/>
    <w:rsid w:val="004624C9"/>
    <w:rsid w:val="00462C37"/>
    <w:rsid w:val="0046344A"/>
    <w:rsid w:val="00463537"/>
    <w:rsid w:val="00463987"/>
    <w:rsid w:val="00463A1F"/>
    <w:rsid w:val="004640BC"/>
    <w:rsid w:val="004641D8"/>
    <w:rsid w:val="0046457F"/>
    <w:rsid w:val="004645E4"/>
    <w:rsid w:val="004649F4"/>
    <w:rsid w:val="00464A17"/>
    <w:rsid w:val="004656A8"/>
    <w:rsid w:val="00465F77"/>
    <w:rsid w:val="0046669D"/>
    <w:rsid w:val="004667E7"/>
    <w:rsid w:val="00466B57"/>
    <w:rsid w:val="0046793C"/>
    <w:rsid w:val="00467DB8"/>
    <w:rsid w:val="00467EDD"/>
    <w:rsid w:val="00470AFE"/>
    <w:rsid w:val="00470EDA"/>
    <w:rsid w:val="00471878"/>
    <w:rsid w:val="00471C02"/>
    <w:rsid w:val="00471C2B"/>
    <w:rsid w:val="004723AE"/>
    <w:rsid w:val="00472A8B"/>
    <w:rsid w:val="004730BE"/>
    <w:rsid w:val="004733DB"/>
    <w:rsid w:val="0047361E"/>
    <w:rsid w:val="004738C4"/>
    <w:rsid w:val="00474377"/>
    <w:rsid w:val="004749EC"/>
    <w:rsid w:val="00476DE2"/>
    <w:rsid w:val="00476E43"/>
    <w:rsid w:val="0048072A"/>
    <w:rsid w:val="00481361"/>
    <w:rsid w:val="004835AF"/>
    <w:rsid w:val="00483F21"/>
    <w:rsid w:val="00483F42"/>
    <w:rsid w:val="00484185"/>
    <w:rsid w:val="0048440C"/>
    <w:rsid w:val="00484B76"/>
    <w:rsid w:val="00484B91"/>
    <w:rsid w:val="00485428"/>
    <w:rsid w:val="00485887"/>
    <w:rsid w:val="00485932"/>
    <w:rsid w:val="004862A9"/>
    <w:rsid w:val="004862E0"/>
    <w:rsid w:val="0048668A"/>
    <w:rsid w:val="00486736"/>
    <w:rsid w:val="00486C6A"/>
    <w:rsid w:val="0048742F"/>
    <w:rsid w:val="00490B9C"/>
    <w:rsid w:val="004912AA"/>
    <w:rsid w:val="00492D8D"/>
    <w:rsid w:val="00495700"/>
    <w:rsid w:val="004961E9"/>
    <w:rsid w:val="004968B5"/>
    <w:rsid w:val="00496F05"/>
    <w:rsid w:val="004A0463"/>
    <w:rsid w:val="004A2B56"/>
    <w:rsid w:val="004A2F8F"/>
    <w:rsid w:val="004A3018"/>
    <w:rsid w:val="004A3F42"/>
    <w:rsid w:val="004A4119"/>
    <w:rsid w:val="004A4A7B"/>
    <w:rsid w:val="004A4B1A"/>
    <w:rsid w:val="004A4DA2"/>
    <w:rsid w:val="004A5153"/>
    <w:rsid w:val="004A540E"/>
    <w:rsid w:val="004A5F45"/>
    <w:rsid w:val="004A6926"/>
    <w:rsid w:val="004A773E"/>
    <w:rsid w:val="004A786D"/>
    <w:rsid w:val="004A7D45"/>
    <w:rsid w:val="004B0ABB"/>
    <w:rsid w:val="004B0C5F"/>
    <w:rsid w:val="004B1125"/>
    <w:rsid w:val="004B1155"/>
    <w:rsid w:val="004B2329"/>
    <w:rsid w:val="004B2CB7"/>
    <w:rsid w:val="004B3191"/>
    <w:rsid w:val="004B328D"/>
    <w:rsid w:val="004B38E9"/>
    <w:rsid w:val="004B3A77"/>
    <w:rsid w:val="004B3C01"/>
    <w:rsid w:val="004B4A8D"/>
    <w:rsid w:val="004B4BBD"/>
    <w:rsid w:val="004B4E38"/>
    <w:rsid w:val="004B4F75"/>
    <w:rsid w:val="004B5803"/>
    <w:rsid w:val="004B5A1C"/>
    <w:rsid w:val="004B6969"/>
    <w:rsid w:val="004B6A13"/>
    <w:rsid w:val="004B6C2A"/>
    <w:rsid w:val="004B6EB0"/>
    <w:rsid w:val="004B7E0F"/>
    <w:rsid w:val="004C01C6"/>
    <w:rsid w:val="004C01DB"/>
    <w:rsid w:val="004C0397"/>
    <w:rsid w:val="004C10D9"/>
    <w:rsid w:val="004C1532"/>
    <w:rsid w:val="004C20D8"/>
    <w:rsid w:val="004C2B7D"/>
    <w:rsid w:val="004C37AF"/>
    <w:rsid w:val="004C3CD1"/>
    <w:rsid w:val="004C3F56"/>
    <w:rsid w:val="004C57CF"/>
    <w:rsid w:val="004C6021"/>
    <w:rsid w:val="004C61B4"/>
    <w:rsid w:val="004C62BF"/>
    <w:rsid w:val="004C67D9"/>
    <w:rsid w:val="004C7302"/>
    <w:rsid w:val="004C7358"/>
    <w:rsid w:val="004C7975"/>
    <w:rsid w:val="004C79CF"/>
    <w:rsid w:val="004C7C8C"/>
    <w:rsid w:val="004C7D24"/>
    <w:rsid w:val="004D00BF"/>
    <w:rsid w:val="004D0786"/>
    <w:rsid w:val="004D0867"/>
    <w:rsid w:val="004D16C6"/>
    <w:rsid w:val="004D1F98"/>
    <w:rsid w:val="004D23DD"/>
    <w:rsid w:val="004D2CF1"/>
    <w:rsid w:val="004D431D"/>
    <w:rsid w:val="004D4AD0"/>
    <w:rsid w:val="004D58B1"/>
    <w:rsid w:val="004D5A56"/>
    <w:rsid w:val="004D5EF6"/>
    <w:rsid w:val="004D60AE"/>
    <w:rsid w:val="004D6469"/>
    <w:rsid w:val="004D74E4"/>
    <w:rsid w:val="004D7BC6"/>
    <w:rsid w:val="004E0274"/>
    <w:rsid w:val="004E0821"/>
    <w:rsid w:val="004E0BF8"/>
    <w:rsid w:val="004E1028"/>
    <w:rsid w:val="004E1ED8"/>
    <w:rsid w:val="004E265A"/>
    <w:rsid w:val="004E28AF"/>
    <w:rsid w:val="004E4C30"/>
    <w:rsid w:val="004E53D6"/>
    <w:rsid w:val="004E5774"/>
    <w:rsid w:val="004E5780"/>
    <w:rsid w:val="004E5BAB"/>
    <w:rsid w:val="004E5D58"/>
    <w:rsid w:val="004E6282"/>
    <w:rsid w:val="004E6921"/>
    <w:rsid w:val="004E7322"/>
    <w:rsid w:val="004E7427"/>
    <w:rsid w:val="004F0F8B"/>
    <w:rsid w:val="004F1565"/>
    <w:rsid w:val="004F1923"/>
    <w:rsid w:val="004F2547"/>
    <w:rsid w:val="004F271B"/>
    <w:rsid w:val="004F2737"/>
    <w:rsid w:val="004F39AE"/>
    <w:rsid w:val="004F4606"/>
    <w:rsid w:val="004F47B5"/>
    <w:rsid w:val="004F5093"/>
    <w:rsid w:val="004F5ACE"/>
    <w:rsid w:val="004F5CA7"/>
    <w:rsid w:val="004F6046"/>
    <w:rsid w:val="004F6742"/>
    <w:rsid w:val="004F6B83"/>
    <w:rsid w:val="004F727D"/>
    <w:rsid w:val="00500374"/>
    <w:rsid w:val="005003C5"/>
    <w:rsid w:val="005008FE"/>
    <w:rsid w:val="00500B14"/>
    <w:rsid w:val="0050160A"/>
    <w:rsid w:val="00502856"/>
    <w:rsid w:val="00502F69"/>
    <w:rsid w:val="00503483"/>
    <w:rsid w:val="005036E6"/>
    <w:rsid w:val="00504723"/>
    <w:rsid w:val="005051BC"/>
    <w:rsid w:val="00505241"/>
    <w:rsid w:val="00505564"/>
    <w:rsid w:val="005056DA"/>
    <w:rsid w:val="00505884"/>
    <w:rsid w:val="00506362"/>
    <w:rsid w:val="00506800"/>
    <w:rsid w:val="00506981"/>
    <w:rsid w:val="005076E5"/>
    <w:rsid w:val="005077FA"/>
    <w:rsid w:val="005079D1"/>
    <w:rsid w:val="00507B93"/>
    <w:rsid w:val="00507BE9"/>
    <w:rsid w:val="005100B6"/>
    <w:rsid w:val="00510120"/>
    <w:rsid w:val="005107D5"/>
    <w:rsid w:val="005111FB"/>
    <w:rsid w:val="005133A4"/>
    <w:rsid w:val="00513480"/>
    <w:rsid w:val="005137AE"/>
    <w:rsid w:val="00513DAF"/>
    <w:rsid w:val="005147E8"/>
    <w:rsid w:val="005150FE"/>
    <w:rsid w:val="0051582B"/>
    <w:rsid w:val="0051613F"/>
    <w:rsid w:val="0051724C"/>
    <w:rsid w:val="00517874"/>
    <w:rsid w:val="00520275"/>
    <w:rsid w:val="00521076"/>
    <w:rsid w:val="00521321"/>
    <w:rsid w:val="00521C7E"/>
    <w:rsid w:val="00521EAF"/>
    <w:rsid w:val="00522937"/>
    <w:rsid w:val="00523245"/>
    <w:rsid w:val="005232C8"/>
    <w:rsid w:val="005232EC"/>
    <w:rsid w:val="0052347B"/>
    <w:rsid w:val="00523494"/>
    <w:rsid w:val="00523A96"/>
    <w:rsid w:val="00524111"/>
    <w:rsid w:val="0052450E"/>
    <w:rsid w:val="00524A4A"/>
    <w:rsid w:val="00525A2F"/>
    <w:rsid w:val="00526311"/>
    <w:rsid w:val="00526965"/>
    <w:rsid w:val="00526ABA"/>
    <w:rsid w:val="00526C01"/>
    <w:rsid w:val="00526E4D"/>
    <w:rsid w:val="005273B1"/>
    <w:rsid w:val="005279D0"/>
    <w:rsid w:val="00527A44"/>
    <w:rsid w:val="00530747"/>
    <w:rsid w:val="00531252"/>
    <w:rsid w:val="005316CA"/>
    <w:rsid w:val="00531F2E"/>
    <w:rsid w:val="005323B1"/>
    <w:rsid w:val="00532636"/>
    <w:rsid w:val="00533014"/>
    <w:rsid w:val="00533255"/>
    <w:rsid w:val="005332C1"/>
    <w:rsid w:val="0053377D"/>
    <w:rsid w:val="00533C3F"/>
    <w:rsid w:val="00533E99"/>
    <w:rsid w:val="00533F10"/>
    <w:rsid w:val="00534CC6"/>
    <w:rsid w:val="0053504C"/>
    <w:rsid w:val="0053552D"/>
    <w:rsid w:val="0053698A"/>
    <w:rsid w:val="00536A87"/>
    <w:rsid w:val="00536BE5"/>
    <w:rsid w:val="00537D63"/>
    <w:rsid w:val="00542C0E"/>
    <w:rsid w:val="00542D2F"/>
    <w:rsid w:val="00542F15"/>
    <w:rsid w:val="00543C3E"/>
    <w:rsid w:val="0054452F"/>
    <w:rsid w:val="0054457D"/>
    <w:rsid w:val="00545F64"/>
    <w:rsid w:val="0054612C"/>
    <w:rsid w:val="005463A0"/>
    <w:rsid w:val="00546D81"/>
    <w:rsid w:val="00546DFA"/>
    <w:rsid w:val="0054766D"/>
    <w:rsid w:val="005477B1"/>
    <w:rsid w:val="005504B9"/>
    <w:rsid w:val="00550C70"/>
    <w:rsid w:val="00551292"/>
    <w:rsid w:val="00551C76"/>
    <w:rsid w:val="0055246B"/>
    <w:rsid w:val="00553BC7"/>
    <w:rsid w:val="00553EC1"/>
    <w:rsid w:val="005544CE"/>
    <w:rsid w:val="00554AB3"/>
    <w:rsid w:val="00554D4B"/>
    <w:rsid w:val="00555D95"/>
    <w:rsid w:val="00556020"/>
    <w:rsid w:val="00557494"/>
    <w:rsid w:val="005577A0"/>
    <w:rsid w:val="00557DBA"/>
    <w:rsid w:val="00560087"/>
    <w:rsid w:val="005607C9"/>
    <w:rsid w:val="00560932"/>
    <w:rsid w:val="00560BD3"/>
    <w:rsid w:val="00560D0D"/>
    <w:rsid w:val="00561897"/>
    <w:rsid w:val="005623A7"/>
    <w:rsid w:val="00562901"/>
    <w:rsid w:val="00562AA1"/>
    <w:rsid w:val="005637DB"/>
    <w:rsid w:val="0056456A"/>
    <w:rsid w:val="00564C83"/>
    <w:rsid w:val="005655D6"/>
    <w:rsid w:val="00565B9A"/>
    <w:rsid w:val="00565C5A"/>
    <w:rsid w:val="00565DEB"/>
    <w:rsid w:val="00565E6C"/>
    <w:rsid w:val="00566A32"/>
    <w:rsid w:val="00566C1B"/>
    <w:rsid w:val="00567450"/>
    <w:rsid w:val="0057035B"/>
    <w:rsid w:val="00570537"/>
    <w:rsid w:val="00570EA0"/>
    <w:rsid w:val="00571201"/>
    <w:rsid w:val="00572141"/>
    <w:rsid w:val="00572C49"/>
    <w:rsid w:val="00572F0B"/>
    <w:rsid w:val="00573365"/>
    <w:rsid w:val="005740ED"/>
    <w:rsid w:val="00574205"/>
    <w:rsid w:val="00574A60"/>
    <w:rsid w:val="00574D76"/>
    <w:rsid w:val="00575DE9"/>
    <w:rsid w:val="00575F3D"/>
    <w:rsid w:val="005766EA"/>
    <w:rsid w:val="005766ED"/>
    <w:rsid w:val="005767AD"/>
    <w:rsid w:val="00576816"/>
    <w:rsid w:val="0057770F"/>
    <w:rsid w:val="00577B39"/>
    <w:rsid w:val="00577CB4"/>
    <w:rsid w:val="00580BB6"/>
    <w:rsid w:val="00580E02"/>
    <w:rsid w:val="00581181"/>
    <w:rsid w:val="0058129D"/>
    <w:rsid w:val="00581ACC"/>
    <w:rsid w:val="00581F7D"/>
    <w:rsid w:val="005827DC"/>
    <w:rsid w:val="00582FC5"/>
    <w:rsid w:val="005835DA"/>
    <w:rsid w:val="00583883"/>
    <w:rsid w:val="00583DBB"/>
    <w:rsid w:val="00583E5F"/>
    <w:rsid w:val="00583F18"/>
    <w:rsid w:val="00584227"/>
    <w:rsid w:val="00584968"/>
    <w:rsid w:val="005850A5"/>
    <w:rsid w:val="005850FF"/>
    <w:rsid w:val="005851F5"/>
    <w:rsid w:val="00585219"/>
    <w:rsid w:val="00585502"/>
    <w:rsid w:val="00585781"/>
    <w:rsid w:val="00586099"/>
    <w:rsid w:val="0058642D"/>
    <w:rsid w:val="00586594"/>
    <w:rsid w:val="00586A1F"/>
    <w:rsid w:val="00586C1E"/>
    <w:rsid w:val="005901C9"/>
    <w:rsid w:val="00590257"/>
    <w:rsid w:val="00590EFA"/>
    <w:rsid w:val="00591AEB"/>
    <w:rsid w:val="0059207D"/>
    <w:rsid w:val="00592B97"/>
    <w:rsid w:val="00592FB2"/>
    <w:rsid w:val="0059357A"/>
    <w:rsid w:val="0059368A"/>
    <w:rsid w:val="00593A59"/>
    <w:rsid w:val="00593BF9"/>
    <w:rsid w:val="0059426F"/>
    <w:rsid w:val="00594C0F"/>
    <w:rsid w:val="00594FF0"/>
    <w:rsid w:val="005952B9"/>
    <w:rsid w:val="00596725"/>
    <w:rsid w:val="0059697F"/>
    <w:rsid w:val="005978B5"/>
    <w:rsid w:val="005A00EC"/>
    <w:rsid w:val="005A0662"/>
    <w:rsid w:val="005A06E6"/>
    <w:rsid w:val="005A0707"/>
    <w:rsid w:val="005A0D33"/>
    <w:rsid w:val="005A0E29"/>
    <w:rsid w:val="005A3014"/>
    <w:rsid w:val="005A3B32"/>
    <w:rsid w:val="005A3BC6"/>
    <w:rsid w:val="005A455A"/>
    <w:rsid w:val="005A4578"/>
    <w:rsid w:val="005A4C57"/>
    <w:rsid w:val="005A5519"/>
    <w:rsid w:val="005A5718"/>
    <w:rsid w:val="005A5771"/>
    <w:rsid w:val="005A60CC"/>
    <w:rsid w:val="005A65C7"/>
    <w:rsid w:val="005A7698"/>
    <w:rsid w:val="005A7D58"/>
    <w:rsid w:val="005A7DD8"/>
    <w:rsid w:val="005B0516"/>
    <w:rsid w:val="005B2F5B"/>
    <w:rsid w:val="005B42D8"/>
    <w:rsid w:val="005B42FA"/>
    <w:rsid w:val="005B612B"/>
    <w:rsid w:val="005B641C"/>
    <w:rsid w:val="005B6D6D"/>
    <w:rsid w:val="005B72CB"/>
    <w:rsid w:val="005B745B"/>
    <w:rsid w:val="005B7D89"/>
    <w:rsid w:val="005B7F56"/>
    <w:rsid w:val="005C1C94"/>
    <w:rsid w:val="005C2F2F"/>
    <w:rsid w:val="005C31EF"/>
    <w:rsid w:val="005C4146"/>
    <w:rsid w:val="005C44E5"/>
    <w:rsid w:val="005C48D3"/>
    <w:rsid w:val="005C5866"/>
    <w:rsid w:val="005C661C"/>
    <w:rsid w:val="005C6755"/>
    <w:rsid w:val="005C6BD5"/>
    <w:rsid w:val="005C70D1"/>
    <w:rsid w:val="005C71B9"/>
    <w:rsid w:val="005C759E"/>
    <w:rsid w:val="005C7D00"/>
    <w:rsid w:val="005D0046"/>
    <w:rsid w:val="005D03DE"/>
    <w:rsid w:val="005D0950"/>
    <w:rsid w:val="005D0B2A"/>
    <w:rsid w:val="005D0ED4"/>
    <w:rsid w:val="005D1212"/>
    <w:rsid w:val="005D158E"/>
    <w:rsid w:val="005D18BF"/>
    <w:rsid w:val="005D1F00"/>
    <w:rsid w:val="005D28C1"/>
    <w:rsid w:val="005D48BF"/>
    <w:rsid w:val="005D576C"/>
    <w:rsid w:val="005D64A8"/>
    <w:rsid w:val="005D666D"/>
    <w:rsid w:val="005D6C1D"/>
    <w:rsid w:val="005D6E54"/>
    <w:rsid w:val="005D6F6A"/>
    <w:rsid w:val="005D73E6"/>
    <w:rsid w:val="005D774B"/>
    <w:rsid w:val="005D77F0"/>
    <w:rsid w:val="005D7BD5"/>
    <w:rsid w:val="005E0A52"/>
    <w:rsid w:val="005E0CE4"/>
    <w:rsid w:val="005E0E9A"/>
    <w:rsid w:val="005E1CB9"/>
    <w:rsid w:val="005E1D9D"/>
    <w:rsid w:val="005E233D"/>
    <w:rsid w:val="005E23BD"/>
    <w:rsid w:val="005E26FA"/>
    <w:rsid w:val="005E273D"/>
    <w:rsid w:val="005E2F01"/>
    <w:rsid w:val="005E2F1E"/>
    <w:rsid w:val="005E40CB"/>
    <w:rsid w:val="005E4352"/>
    <w:rsid w:val="005E4367"/>
    <w:rsid w:val="005E4834"/>
    <w:rsid w:val="005E48BA"/>
    <w:rsid w:val="005E4EEC"/>
    <w:rsid w:val="005E5401"/>
    <w:rsid w:val="005E5442"/>
    <w:rsid w:val="005E550D"/>
    <w:rsid w:val="005E5BE6"/>
    <w:rsid w:val="005E5D85"/>
    <w:rsid w:val="005E5EB5"/>
    <w:rsid w:val="005E6F88"/>
    <w:rsid w:val="005E7317"/>
    <w:rsid w:val="005E74D3"/>
    <w:rsid w:val="005E78DD"/>
    <w:rsid w:val="005F0627"/>
    <w:rsid w:val="005F080B"/>
    <w:rsid w:val="005F0EEA"/>
    <w:rsid w:val="005F129D"/>
    <w:rsid w:val="005F1CEE"/>
    <w:rsid w:val="005F2D4C"/>
    <w:rsid w:val="005F3319"/>
    <w:rsid w:val="005F347A"/>
    <w:rsid w:val="005F36EB"/>
    <w:rsid w:val="005F3D21"/>
    <w:rsid w:val="005F3E92"/>
    <w:rsid w:val="005F50B0"/>
    <w:rsid w:val="005F5554"/>
    <w:rsid w:val="005F57A3"/>
    <w:rsid w:val="005F593C"/>
    <w:rsid w:val="005F5AD5"/>
    <w:rsid w:val="005F636D"/>
    <w:rsid w:val="005F6424"/>
    <w:rsid w:val="005F67F9"/>
    <w:rsid w:val="005F6C3E"/>
    <w:rsid w:val="005F6DF3"/>
    <w:rsid w:val="005F7087"/>
    <w:rsid w:val="005F74A0"/>
    <w:rsid w:val="005F7B12"/>
    <w:rsid w:val="005F7B15"/>
    <w:rsid w:val="0060049E"/>
    <w:rsid w:val="00600765"/>
    <w:rsid w:val="006009CC"/>
    <w:rsid w:val="00601453"/>
    <w:rsid w:val="00601517"/>
    <w:rsid w:val="00601FFE"/>
    <w:rsid w:val="006023D2"/>
    <w:rsid w:val="006026E4"/>
    <w:rsid w:val="00602B90"/>
    <w:rsid w:val="00604403"/>
    <w:rsid w:val="006045AE"/>
    <w:rsid w:val="006051B5"/>
    <w:rsid w:val="0060542F"/>
    <w:rsid w:val="0060606E"/>
    <w:rsid w:val="006060DA"/>
    <w:rsid w:val="00606338"/>
    <w:rsid w:val="00606B7F"/>
    <w:rsid w:val="00607059"/>
    <w:rsid w:val="00610E19"/>
    <w:rsid w:val="0061118D"/>
    <w:rsid w:val="00611206"/>
    <w:rsid w:val="0061131B"/>
    <w:rsid w:val="0061133D"/>
    <w:rsid w:val="006113CB"/>
    <w:rsid w:val="00611556"/>
    <w:rsid w:val="0061164F"/>
    <w:rsid w:val="006134D1"/>
    <w:rsid w:val="0061399B"/>
    <w:rsid w:val="00613A4C"/>
    <w:rsid w:val="006145A7"/>
    <w:rsid w:val="00614DAC"/>
    <w:rsid w:val="00614E0A"/>
    <w:rsid w:val="00615BB9"/>
    <w:rsid w:val="00615C8A"/>
    <w:rsid w:val="00615FB9"/>
    <w:rsid w:val="00616C6F"/>
    <w:rsid w:val="00617161"/>
    <w:rsid w:val="00617EE8"/>
    <w:rsid w:val="00617F2D"/>
    <w:rsid w:val="00620686"/>
    <w:rsid w:val="00620A17"/>
    <w:rsid w:val="006212FE"/>
    <w:rsid w:val="0062165C"/>
    <w:rsid w:val="006216EB"/>
    <w:rsid w:val="00621DF4"/>
    <w:rsid w:val="00621F6C"/>
    <w:rsid w:val="00622AA1"/>
    <w:rsid w:val="00622F5E"/>
    <w:rsid w:val="0062330D"/>
    <w:rsid w:val="00623E73"/>
    <w:rsid w:val="0062447E"/>
    <w:rsid w:val="00624C7A"/>
    <w:rsid w:val="00625B6B"/>
    <w:rsid w:val="00626782"/>
    <w:rsid w:val="00626DF5"/>
    <w:rsid w:val="00626F74"/>
    <w:rsid w:val="00627DA4"/>
    <w:rsid w:val="00630935"/>
    <w:rsid w:val="00630C2D"/>
    <w:rsid w:val="00631354"/>
    <w:rsid w:val="00631FFF"/>
    <w:rsid w:val="0063282A"/>
    <w:rsid w:val="006335FF"/>
    <w:rsid w:val="00633F33"/>
    <w:rsid w:val="006352BD"/>
    <w:rsid w:val="006359F6"/>
    <w:rsid w:val="00635C9A"/>
    <w:rsid w:val="00635F11"/>
    <w:rsid w:val="006362E8"/>
    <w:rsid w:val="00636DD9"/>
    <w:rsid w:val="00636DDB"/>
    <w:rsid w:val="00636E8A"/>
    <w:rsid w:val="00637050"/>
    <w:rsid w:val="00637CD9"/>
    <w:rsid w:val="00637D09"/>
    <w:rsid w:val="00640110"/>
    <w:rsid w:val="00640237"/>
    <w:rsid w:val="00640278"/>
    <w:rsid w:val="006412CC"/>
    <w:rsid w:val="0064141A"/>
    <w:rsid w:val="00642510"/>
    <w:rsid w:val="00642567"/>
    <w:rsid w:val="006425E3"/>
    <w:rsid w:val="006425E9"/>
    <w:rsid w:val="00642E48"/>
    <w:rsid w:val="0064345B"/>
    <w:rsid w:val="0064361E"/>
    <w:rsid w:val="00643BA9"/>
    <w:rsid w:val="00643D90"/>
    <w:rsid w:val="00643EBF"/>
    <w:rsid w:val="00644101"/>
    <w:rsid w:val="0064492A"/>
    <w:rsid w:val="00644B39"/>
    <w:rsid w:val="00644D90"/>
    <w:rsid w:val="00644E50"/>
    <w:rsid w:val="00645106"/>
    <w:rsid w:val="0064541F"/>
    <w:rsid w:val="00645493"/>
    <w:rsid w:val="00645863"/>
    <w:rsid w:val="00645933"/>
    <w:rsid w:val="00645BC2"/>
    <w:rsid w:val="00646049"/>
    <w:rsid w:val="00646EFE"/>
    <w:rsid w:val="00647BE8"/>
    <w:rsid w:val="00647EFB"/>
    <w:rsid w:val="00651342"/>
    <w:rsid w:val="00651527"/>
    <w:rsid w:val="00651696"/>
    <w:rsid w:val="00653FD3"/>
    <w:rsid w:val="00654153"/>
    <w:rsid w:val="00654177"/>
    <w:rsid w:val="00654721"/>
    <w:rsid w:val="00655A47"/>
    <w:rsid w:val="00655DCA"/>
    <w:rsid w:val="00655E8F"/>
    <w:rsid w:val="00655FCD"/>
    <w:rsid w:val="00656155"/>
    <w:rsid w:val="0065640C"/>
    <w:rsid w:val="00656732"/>
    <w:rsid w:val="00656857"/>
    <w:rsid w:val="006579C8"/>
    <w:rsid w:val="00657D30"/>
    <w:rsid w:val="006604BC"/>
    <w:rsid w:val="006607FF"/>
    <w:rsid w:val="00660C98"/>
    <w:rsid w:val="00661531"/>
    <w:rsid w:val="00661587"/>
    <w:rsid w:val="006618CD"/>
    <w:rsid w:val="00662533"/>
    <w:rsid w:val="0066270E"/>
    <w:rsid w:val="00662C0D"/>
    <w:rsid w:val="00662C65"/>
    <w:rsid w:val="00663C3F"/>
    <w:rsid w:val="00664EFB"/>
    <w:rsid w:val="00664F91"/>
    <w:rsid w:val="006668DC"/>
    <w:rsid w:val="0066699F"/>
    <w:rsid w:val="00666C91"/>
    <w:rsid w:val="00667219"/>
    <w:rsid w:val="006674AF"/>
    <w:rsid w:val="00670351"/>
    <w:rsid w:val="006709C0"/>
    <w:rsid w:val="00670ADB"/>
    <w:rsid w:val="006717E4"/>
    <w:rsid w:val="00671D96"/>
    <w:rsid w:val="00672099"/>
    <w:rsid w:val="006729E5"/>
    <w:rsid w:val="00673EA8"/>
    <w:rsid w:val="00673F42"/>
    <w:rsid w:val="0067422A"/>
    <w:rsid w:val="00674238"/>
    <w:rsid w:val="00674CDE"/>
    <w:rsid w:val="00674F21"/>
    <w:rsid w:val="00675C56"/>
    <w:rsid w:val="00675EFD"/>
    <w:rsid w:val="0067704E"/>
    <w:rsid w:val="006773E6"/>
    <w:rsid w:val="00677C77"/>
    <w:rsid w:val="006804E3"/>
    <w:rsid w:val="006812B8"/>
    <w:rsid w:val="00681780"/>
    <w:rsid w:val="00682077"/>
    <w:rsid w:val="006822C8"/>
    <w:rsid w:val="00682CA4"/>
    <w:rsid w:val="00683342"/>
    <w:rsid w:val="00683512"/>
    <w:rsid w:val="0068420F"/>
    <w:rsid w:val="00685167"/>
    <w:rsid w:val="00685D57"/>
    <w:rsid w:val="0068619B"/>
    <w:rsid w:val="006863B0"/>
    <w:rsid w:val="00686A97"/>
    <w:rsid w:val="00687CD5"/>
    <w:rsid w:val="00690190"/>
    <w:rsid w:val="00690D5A"/>
    <w:rsid w:val="006913F1"/>
    <w:rsid w:val="00691BA1"/>
    <w:rsid w:val="0069269E"/>
    <w:rsid w:val="0069288A"/>
    <w:rsid w:val="006935B2"/>
    <w:rsid w:val="00693686"/>
    <w:rsid w:val="0069418D"/>
    <w:rsid w:val="0069541E"/>
    <w:rsid w:val="0069544A"/>
    <w:rsid w:val="006964B7"/>
    <w:rsid w:val="00696B53"/>
    <w:rsid w:val="006973DA"/>
    <w:rsid w:val="00697AEA"/>
    <w:rsid w:val="006A0286"/>
    <w:rsid w:val="006A13A1"/>
    <w:rsid w:val="006A1716"/>
    <w:rsid w:val="006A1BF0"/>
    <w:rsid w:val="006A1E0B"/>
    <w:rsid w:val="006A2474"/>
    <w:rsid w:val="006A24F1"/>
    <w:rsid w:val="006A29B4"/>
    <w:rsid w:val="006A2B47"/>
    <w:rsid w:val="006A3C54"/>
    <w:rsid w:val="006A4168"/>
    <w:rsid w:val="006A4A50"/>
    <w:rsid w:val="006A4EDD"/>
    <w:rsid w:val="006A583A"/>
    <w:rsid w:val="006A5D8F"/>
    <w:rsid w:val="006A6E6B"/>
    <w:rsid w:val="006A77B5"/>
    <w:rsid w:val="006B07EE"/>
    <w:rsid w:val="006B100A"/>
    <w:rsid w:val="006B1EC5"/>
    <w:rsid w:val="006B1F21"/>
    <w:rsid w:val="006B2406"/>
    <w:rsid w:val="006B2518"/>
    <w:rsid w:val="006B2C11"/>
    <w:rsid w:val="006B2EC3"/>
    <w:rsid w:val="006B33FF"/>
    <w:rsid w:val="006B398E"/>
    <w:rsid w:val="006B3F45"/>
    <w:rsid w:val="006B43AA"/>
    <w:rsid w:val="006B4715"/>
    <w:rsid w:val="006B5CBF"/>
    <w:rsid w:val="006B71AF"/>
    <w:rsid w:val="006B745F"/>
    <w:rsid w:val="006B764F"/>
    <w:rsid w:val="006B7EA2"/>
    <w:rsid w:val="006C0D55"/>
    <w:rsid w:val="006C1D71"/>
    <w:rsid w:val="006C1FCD"/>
    <w:rsid w:val="006C2320"/>
    <w:rsid w:val="006C2539"/>
    <w:rsid w:val="006C2866"/>
    <w:rsid w:val="006C375A"/>
    <w:rsid w:val="006C3ABC"/>
    <w:rsid w:val="006C3BD1"/>
    <w:rsid w:val="006C5430"/>
    <w:rsid w:val="006C5562"/>
    <w:rsid w:val="006C5762"/>
    <w:rsid w:val="006C5DF4"/>
    <w:rsid w:val="006C7D49"/>
    <w:rsid w:val="006C7FE0"/>
    <w:rsid w:val="006D087A"/>
    <w:rsid w:val="006D212D"/>
    <w:rsid w:val="006D22B5"/>
    <w:rsid w:val="006D2D0B"/>
    <w:rsid w:val="006D378A"/>
    <w:rsid w:val="006D3A16"/>
    <w:rsid w:val="006D43D5"/>
    <w:rsid w:val="006D4AE6"/>
    <w:rsid w:val="006D58C0"/>
    <w:rsid w:val="006D70AA"/>
    <w:rsid w:val="006D761D"/>
    <w:rsid w:val="006D79DC"/>
    <w:rsid w:val="006E0372"/>
    <w:rsid w:val="006E05DB"/>
    <w:rsid w:val="006E0774"/>
    <w:rsid w:val="006E22B8"/>
    <w:rsid w:val="006E3141"/>
    <w:rsid w:val="006E382A"/>
    <w:rsid w:val="006E3E83"/>
    <w:rsid w:val="006E3F5B"/>
    <w:rsid w:val="006E40EB"/>
    <w:rsid w:val="006E62CC"/>
    <w:rsid w:val="006E659F"/>
    <w:rsid w:val="006E685A"/>
    <w:rsid w:val="006E6DA6"/>
    <w:rsid w:val="006E7AAD"/>
    <w:rsid w:val="006E7E48"/>
    <w:rsid w:val="006E7FA3"/>
    <w:rsid w:val="006F01B4"/>
    <w:rsid w:val="006F1C16"/>
    <w:rsid w:val="006F22FB"/>
    <w:rsid w:val="006F2A04"/>
    <w:rsid w:val="006F2C3F"/>
    <w:rsid w:val="006F326A"/>
    <w:rsid w:val="006F3573"/>
    <w:rsid w:val="006F437C"/>
    <w:rsid w:val="006F4C5A"/>
    <w:rsid w:val="006F54B0"/>
    <w:rsid w:val="006F5875"/>
    <w:rsid w:val="006F5D67"/>
    <w:rsid w:val="006F63D2"/>
    <w:rsid w:val="006F661D"/>
    <w:rsid w:val="006F6723"/>
    <w:rsid w:val="006F685B"/>
    <w:rsid w:val="006F6D62"/>
    <w:rsid w:val="006F74B9"/>
    <w:rsid w:val="006F76FE"/>
    <w:rsid w:val="00700A6B"/>
    <w:rsid w:val="007013FE"/>
    <w:rsid w:val="00702742"/>
    <w:rsid w:val="00703152"/>
    <w:rsid w:val="00704863"/>
    <w:rsid w:val="00704C82"/>
    <w:rsid w:val="00704F99"/>
    <w:rsid w:val="00704FB7"/>
    <w:rsid w:val="0070574C"/>
    <w:rsid w:val="00706994"/>
    <w:rsid w:val="00707CBF"/>
    <w:rsid w:val="00707EA0"/>
    <w:rsid w:val="00710EC1"/>
    <w:rsid w:val="00711334"/>
    <w:rsid w:val="00711403"/>
    <w:rsid w:val="00711508"/>
    <w:rsid w:val="0071171A"/>
    <w:rsid w:val="0071175B"/>
    <w:rsid w:val="007118BD"/>
    <w:rsid w:val="00711E0F"/>
    <w:rsid w:val="007124B4"/>
    <w:rsid w:val="00712954"/>
    <w:rsid w:val="0071335C"/>
    <w:rsid w:val="0071341D"/>
    <w:rsid w:val="00713478"/>
    <w:rsid w:val="0071377A"/>
    <w:rsid w:val="00713871"/>
    <w:rsid w:val="00713940"/>
    <w:rsid w:val="00713CB0"/>
    <w:rsid w:val="007144CC"/>
    <w:rsid w:val="00714B69"/>
    <w:rsid w:val="0071575E"/>
    <w:rsid w:val="00716AE6"/>
    <w:rsid w:val="00717365"/>
    <w:rsid w:val="00717E78"/>
    <w:rsid w:val="00720376"/>
    <w:rsid w:val="00720D8D"/>
    <w:rsid w:val="0072114A"/>
    <w:rsid w:val="007218C8"/>
    <w:rsid w:val="00722179"/>
    <w:rsid w:val="00722974"/>
    <w:rsid w:val="00722F4E"/>
    <w:rsid w:val="007234B3"/>
    <w:rsid w:val="00723C01"/>
    <w:rsid w:val="00724213"/>
    <w:rsid w:val="007245B9"/>
    <w:rsid w:val="00724923"/>
    <w:rsid w:val="00725088"/>
    <w:rsid w:val="007255C2"/>
    <w:rsid w:val="007255F9"/>
    <w:rsid w:val="00725B0D"/>
    <w:rsid w:val="00725D17"/>
    <w:rsid w:val="00725D19"/>
    <w:rsid w:val="00725FA8"/>
    <w:rsid w:val="00726065"/>
    <w:rsid w:val="00727325"/>
    <w:rsid w:val="007275AC"/>
    <w:rsid w:val="00727F93"/>
    <w:rsid w:val="00727FF8"/>
    <w:rsid w:val="007302D1"/>
    <w:rsid w:val="00730C63"/>
    <w:rsid w:val="007315B9"/>
    <w:rsid w:val="0073161C"/>
    <w:rsid w:val="00731845"/>
    <w:rsid w:val="00731F02"/>
    <w:rsid w:val="0073356B"/>
    <w:rsid w:val="00733A74"/>
    <w:rsid w:val="00734416"/>
    <w:rsid w:val="007344CB"/>
    <w:rsid w:val="00734686"/>
    <w:rsid w:val="00734C5E"/>
    <w:rsid w:val="00734E44"/>
    <w:rsid w:val="00734E84"/>
    <w:rsid w:val="00734EF1"/>
    <w:rsid w:val="007365C7"/>
    <w:rsid w:val="0073750A"/>
    <w:rsid w:val="00737831"/>
    <w:rsid w:val="0073785A"/>
    <w:rsid w:val="00737DF7"/>
    <w:rsid w:val="00737FAB"/>
    <w:rsid w:val="0074072B"/>
    <w:rsid w:val="00741544"/>
    <w:rsid w:val="00742B4A"/>
    <w:rsid w:val="00742BDC"/>
    <w:rsid w:val="00742F0F"/>
    <w:rsid w:val="00742F94"/>
    <w:rsid w:val="00743001"/>
    <w:rsid w:val="00743745"/>
    <w:rsid w:val="00743CF4"/>
    <w:rsid w:val="00743E53"/>
    <w:rsid w:val="0074464C"/>
    <w:rsid w:val="007447E3"/>
    <w:rsid w:val="007448D7"/>
    <w:rsid w:val="007449AA"/>
    <w:rsid w:val="00744F96"/>
    <w:rsid w:val="00745D47"/>
    <w:rsid w:val="00745FBD"/>
    <w:rsid w:val="007463A9"/>
    <w:rsid w:val="00746A15"/>
    <w:rsid w:val="00746ECD"/>
    <w:rsid w:val="00747438"/>
    <w:rsid w:val="00747C7C"/>
    <w:rsid w:val="00747F4F"/>
    <w:rsid w:val="00750073"/>
    <w:rsid w:val="00750FE2"/>
    <w:rsid w:val="0075160E"/>
    <w:rsid w:val="00751670"/>
    <w:rsid w:val="00751DD4"/>
    <w:rsid w:val="00751EC6"/>
    <w:rsid w:val="00752BC7"/>
    <w:rsid w:val="00752EAD"/>
    <w:rsid w:val="00752FD4"/>
    <w:rsid w:val="0075354D"/>
    <w:rsid w:val="00753A00"/>
    <w:rsid w:val="007554F0"/>
    <w:rsid w:val="00755837"/>
    <w:rsid w:val="00755D48"/>
    <w:rsid w:val="007561F3"/>
    <w:rsid w:val="00756226"/>
    <w:rsid w:val="0075729E"/>
    <w:rsid w:val="0076040F"/>
    <w:rsid w:val="00760FE0"/>
    <w:rsid w:val="007610A5"/>
    <w:rsid w:val="00761D05"/>
    <w:rsid w:val="007621DB"/>
    <w:rsid w:val="0076269F"/>
    <w:rsid w:val="00762BD0"/>
    <w:rsid w:val="00762E22"/>
    <w:rsid w:val="00763707"/>
    <w:rsid w:val="00763778"/>
    <w:rsid w:val="00763A34"/>
    <w:rsid w:val="00763E7B"/>
    <w:rsid w:val="007647B5"/>
    <w:rsid w:val="00764EF5"/>
    <w:rsid w:val="00765152"/>
    <w:rsid w:val="007652D7"/>
    <w:rsid w:val="00765329"/>
    <w:rsid w:val="00765332"/>
    <w:rsid w:val="007656D5"/>
    <w:rsid w:val="00765CF4"/>
    <w:rsid w:val="007660C0"/>
    <w:rsid w:val="00766316"/>
    <w:rsid w:val="007666E1"/>
    <w:rsid w:val="007666EC"/>
    <w:rsid w:val="00767830"/>
    <w:rsid w:val="00767E51"/>
    <w:rsid w:val="00771E4E"/>
    <w:rsid w:val="00771EFB"/>
    <w:rsid w:val="00772518"/>
    <w:rsid w:val="00772C9C"/>
    <w:rsid w:val="00772F69"/>
    <w:rsid w:val="00773AB8"/>
    <w:rsid w:val="007752BB"/>
    <w:rsid w:val="007757D8"/>
    <w:rsid w:val="00776048"/>
    <w:rsid w:val="00776307"/>
    <w:rsid w:val="00776914"/>
    <w:rsid w:val="00776990"/>
    <w:rsid w:val="00777286"/>
    <w:rsid w:val="00777291"/>
    <w:rsid w:val="00777337"/>
    <w:rsid w:val="007773D5"/>
    <w:rsid w:val="00777CEF"/>
    <w:rsid w:val="00777FE2"/>
    <w:rsid w:val="00780769"/>
    <w:rsid w:val="00780A35"/>
    <w:rsid w:val="00780EB4"/>
    <w:rsid w:val="00781119"/>
    <w:rsid w:val="0078135A"/>
    <w:rsid w:val="0078162C"/>
    <w:rsid w:val="00781E24"/>
    <w:rsid w:val="00781F8F"/>
    <w:rsid w:val="00783296"/>
    <w:rsid w:val="00784021"/>
    <w:rsid w:val="00784236"/>
    <w:rsid w:val="0078475A"/>
    <w:rsid w:val="0078518B"/>
    <w:rsid w:val="00785FC3"/>
    <w:rsid w:val="007860D2"/>
    <w:rsid w:val="00787364"/>
    <w:rsid w:val="00787381"/>
    <w:rsid w:val="00787461"/>
    <w:rsid w:val="00787BB4"/>
    <w:rsid w:val="007909C6"/>
    <w:rsid w:val="00790E52"/>
    <w:rsid w:val="0079189A"/>
    <w:rsid w:val="00793136"/>
    <w:rsid w:val="007931F5"/>
    <w:rsid w:val="0079327C"/>
    <w:rsid w:val="0079353D"/>
    <w:rsid w:val="0079359C"/>
    <w:rsid w:val="007942E3"/>
    <w:rsid w:val="00794C3C"/>
    <w:rsid w:val="0079537B"/>
    <w:rsid w:val="0079547A"/>
    <w:rsid w:val="00795B55"/>
    <w:rsid w:val="00796E15"/>
    <w:rsid w:val="007A125A"/>
    <w:rsid w:val="007A126E"/>
    <w:rsid w:val="007A1298"/>
    <w:rsid w:val="007A17D6"/>
    <w:rsid w:val="007A2FC9"/>
    <w:rsid w:val="007A3153"/>
    <w:rsid w:val="007A3260"/>
    <w:rsid w:val="007A3CEE"/>
    <w:rsid w:val="007A3E04"/>
    <w:rsid w:val="007A4802"/>
    <w:rsid w:val="007A4F91"/>
    <w:rsid w:val="007A52DE"/>
    <w:rsid w:val="007A5807"/>
    <w:rsid w:val="007A60AB"/>
    <w:rsid w:val="007A610A"/>
    <w:rsid w:val="007A61B1"/>
    <w:rsid w:val="007B092B"/>
    <w:rsid w:val="007B11B3"/>
    <w:rsid w:val="007B12A6"/>
    <w:rsid w:val="007B170F"/>
    <w:rsid w:val="007B195B"/>
    <w:rsid w:val="007B1A1A"/>
    <w:rsid w:val="007B1D2A"/>
    <w:rsid w:val="007B1F18"/>
    <w:rsid w:val="007B20C1"/>
    <w:rsid w:val="007B2199"/>
    <w:rsid w:val="007B2573"/>
    <w:rsid w:val="007B25EB"/>
    <w:rsid w:val="007B2CF7"/>
    <w:rsid w:val="007B4751"/>
    <w:rsid w:val="007B4D28"/>
    <w:rsid w:val="007B4F26"/>
    <w:rsid w:val="007B5222"/>
    <w:rsid w:val="007B53A5"/>
    <w:rsid w:val="007B5586"/>
    <w:rsid w:val="007B5EBF"/>
    <w:rsid w:val="007B6254"/>
    <w:rsid w:val="007B650B"/>
    <w:rsid w:val="007B6776"/>
    <w:rsid w:val="007B78B3"/>
    <w:rsid w:val="007B7BB7"/>
    <w:rsid w:val="007C0166"/>
    <w:rsid w:val="007C0535"/>
    <w:rsid w:val="007C09BA"/>
    <w:rsid w:val="007C0ADF"/>
    <w:rsid w:val="007C1193"/>
    <w:rsid w:val="007C275C"/>
    <w:rsid w:val="007C2A07"/>
    <w:rsid w:val="007C2E11"/>
    <w:rsid w:val="007C36F9"/>
    <w:rsid w:val="007C41D9"/>
    <w:rsid w:val="007C46B9"/>
    <w:rsid w:val="007C494A"/>
    <w:rsid w:val="007C4F0B"/>
    <w:rsid w:val="007C4F70"/>
    <w:rsid w:val="007C5E1F"/>
    <w:rsid w:val="007C61FF"/>
    <w:rsid w:val="007C6E8B"/>
    <w:rsid w:val="007C7108"/>
    <w:rsid w:val="007C76C9"/>
    <w:rsid w:val="007C7B63"/>
    <w:rsid w:val="007C7E38"/>
    <w:rsid w:val="007C7F92"/>
    <w:rsid w:val="007D0678"/>
    <w:rsid w:val="007D06F9"/>
    <w:rsid w:val="007D2069"/>
    <w:rsid w:val="007D2AD5"/>
    <w:rsid w:val="007D2D6B"/>
    <w:rsid w:val="007D3019"/>
    <w:rsid w:val="007D45C3"/>
    <w:rsid w:val="007D495C"/>
    <w:rsid w:val="007D4ED2"/>
    <w:rsid w:val="007D5094"/>
    <w:rsid w:val="007D53A0"/>
    <w:rsid w:val="007D5E44"/>
    <w:rsid w:val="007D6080"/>
    <w:rsid w:val="007D649F"/>
    <w:rsid w:val="007D6BA4"/>
    <w:rsid w:val="007D7887"/>
    <w:rsid w:val="007D7AFB"/>
    <w:rsid w:val="007D7D76"/>
    <w:rsid w:val="007E0140"/>
    <w:rsid w:val="007E152F"/>
    <w:rsid w:val="007E1595"/>
    <w:rsid w:val="007E2069"/>
    <w:rsid w:val="007E2090"/>
    <w:rsid w:val="007E27F2"/>
    <w:rsid w:val="007E29E0"/>
    <w:rsid w:val="007E2BFC"/>
    <w:rsid w:val="007E30FA"/>
    <w:rsid w:val="007E384C"/>
    <w:rsid w:val="007E4079"/>
    <w:rsid w:val="007E42C6"/>
    <w:rsid w:val="007E4D65"/>
    <w:rsid w:val="007E52C0"/>
    <w:rsid w:val="007E52EA"/>
    <w:rsid w:val="007E59FA"/>
    <w:rsid w:val="007E5A3F"/>
    <w:rsid w:val="007E5EB0"/>
    <w:rsid w:val="007E64FE"/>
    <w:rsid w:val="007E6CA6"/>
    <w:rsid w:val="007E731A"/>
    <w:rsid w:val="007E7C18"/>
    <w:rsid w:val="007F0E83"/>
    <w:rsid w:val="007F0EDD"/>
    <w:rsid w:val="007F10A7"/>
    <w:rsid w:val="007F1BB7"/>
    <w:rsid w:val="007F24AD"/>
    <w:rsid w:val="007F2C24"/>
    <w:rsid w:val="007F2C62"/>
    <w:rsid w:val="007F311F"/>
    <w:rsid w:val="007F3170"/>
    <w:rsid w:val="007F33E4"/>
    <w:rsid w:val="007F350A"/>
    <w:rsid w:val="007F35EF"/>
    <w:rsid w:val="007F4672"/>
    <w:rsid w:val="007F501F"/>
    <w:rsid w:val="007F57E4"/>
    <w:rsid w:val="007F5C75"/>
    <w:rsid w:val="007F5E5E"/>
    <w:rsid w:val="007F601B"/>
    <w:rsid w:val="007F61D8"/>
    <w:rsid w:val="007F6891"/>
    <w:rsid w:val="007F7679"/>
    <w:rsid w:val="00800062"/>
    <w:rsid w:val="008003FE"/>
    <w:rsid w:val="00800BFE"/>
    <w:rsid w:val="00800F22"/>
    <w:rsid w:val="00801039"/>
    <w:rsid w:val="00801459"/>
    <w:rsid w:val="008015D6"/>
    <w:rsid w:val="008034CF"/>
    <w:rsid w:val="00803CCB"/>
    <w:rsid w:val="00803D4C"/>
    <w:rsid w:val="00803EC4"/>
    <w:rsid w:val="00804187"/>
    <w:rsid w:val="008045F2"/>
    <w:rsid w:val="008046E7"/>
    <w:rsid w:val="00804D2B"/>
    <w:rsid w:val="00805A8A"/>
    <w:rsid w:val="0080665B"/>
    <w:rsid w:val="0080667E"/>
    <w:rsid w:val="00806E33"/>
    <w:rsid w:val="00806F5F"/>
    <w:rsid w:val="00807A54"/>
    <w:rsid w:val="00807AC2"/>
    <w:rsid w:val="008102A4"/>
    <w:rsid w:val="00811254"/>
    <w:rsid w:val="00811985"/>
    <w:rsid w:val="0081272D"/>
    <w:rsid w:val="00812A79"/>
    <w:rsid w:val="00812A9A"/>
    <w:rsid w:val="00812E38"/>
    <w:rsid w:val="00813F1A"/>
    <w:rsid w:val="008141D4"/>
    <w:rsid w:val="00814746"/>
    <w:rsid w:val="00814E45"/>
    <w:rsid w:val="00815027"/>
    <w:rsid w:val="008155CA"/>
    <w:rsid w:val="0081595A"/>
    <w:rsid w:val="008161AD"/>
    <w:rsid w:val="00816818"/>
    <w:rsid w:val="00817BFA"/>
    <w:rsid w:val="00817D77"/>
    <w:rsid w:val="00820545"/>
    <w:rsid w:val="00820C2B"/>
    <w:rsid w:val="00820D5E"/>
    <w:rsid w:val="00821203"/>
    <w:rsid w:val="008212E0"/>
    <w:rsid w:val="00821834"/>
    <w:rsid w:val="00821844"/>
    <w:rsid w:val="00821B8B"/>
    <w:rsid w:val="00822513"/>
    <w:rsid w:val="00822A0A"/>
    <w:rsid w:val="00822A5A"/>
    <w:rsid w:val="00822AA7"/>
    <w:rsid w:val="00822BE5"/>
    <w:rsid w:val="00824243"/>
    <w:rsid w:val="008246AE"/>
    <w:rsid w:val="00825028"/>
    <w:rsid w:val="00825721"/>
    <w:rsid w:val="00825BB1"/>
    <w:rsid w:val="00826C8A"/>
    <w:rsid w:val="00826F94"/>
    <w:rsid w:val="008275DE"/>
    <w:rsid w:val="00827C24"/>
    <w:rsid w:val="00827C3B"/>
    <w:rsid w:val="0083044C"/>
    <w:rsid w:val="00831068"/>
    <w:rsid w:val="008310BD"/>
    <w:rsid w:val="008323F7"/>
    <w:rsid w:val="008325D3"/>
    <w:rsid w:val="00832CA5"/>
    <w:rsid w:val="0083332C"/>
    <w:rsid w:val="00833465"/>
    <w:rsid w:val="0083382E"/>
    <w:rsid w:val="00834695"/>
    <w:rsid w:val="00834870"/>
    <w:rsid w:val="00834ADD"/>
    <w:rsid w:val="00834D96"/>
    <w:rsid w:val="00835510"/>
    <w:rsid w:val="0083577C"/>
    <w:rsid w:val="00835C17"/>
    <w:rsid w:val="00835EC5"/>
    <w:rsid w:val="008362C9"/>
    <w:rsid w:val="00836EA5"/>
    <w:rsid w:val="008370BF"/>
    <w:rsid w:val="00837755"/>
    <w:rsid w:val="008379E5"/>
    <w:rsid w:val="00840451"/>
    <w:rsid w:val="00840668"/>
    <w:rsid w:val="00840690"/>
    <w:rsid w:val="00840873"/>
    <w:rsid w:val="008408C5"/>
    <w:rsid w:val="00840E96"/>
    <w:rsid w:val="00841318"/>
    <w:rsid w:val="00841359"/>
    <w:rsid w:val="00841DA6"/>
    <w:rsid w:val="00841DDB"/>
    <w:rsid w:val="00841EE8"/>
    <w:rsid w:val="00842CEE"/>
    <w:rsid w:val="0084333E"/>
    <w:rsid w:val="008433E9"/>
    <w:rsid w:val="00844AC9"/>
    <w:rsid w:val="00844AE3"/>
    <w:rsid w:val="00844FFC"/>
    <w:rsid w:val="008450DB"/>
    <w:rsid w:val="0084568F"/>
    <w:rsid w:val="00845AE5"/>
    <w:rsid w:val="00845AE8"/>
    <w:rsid w:val="00845F3D"/>
    <w:rsid w:val="008475F8"/>
    <w:rsid w:val="00847A26"/>
    <w:rsid w:val="00850C17"/>
    <w:rsid w:val="00850EF0"/>
    <w:rsid w:val="008510DD"/>
    <w:rsid w:val="00851586"/>
    <w:rsid w:val="00851CAA"/>
    <w:rsid w:val="008521F8"/>
    <w:rsid w:val="00852289"/>
    <w:rsid w:val="008524EB"/>
    <w:rsid w:val="0085321E"/>
    <w:rsid w:val="00853D2E"/>
    <w:rsid w:val="00853D90"/>
    <w:rsid w:val="0085456E"/>
    <w:rsid w:val="0085481D"/>
    <w:rsid w:val="00854FFA"/>
    <w:rsid w:val="00855387"/>
    <w:rsid w:val="008556C5"/>
    <w:rsid w:val="00855EB9"/>
    <w:rsid w:val="00855EF6"/>
    <w:rsid w:val="008563CD"/>
    <w:rsid w:val="008566FE"/>
    <w:rsid w:val="00860B6D"/>
    <w:rsid w:val="00860F14"/>
    <w:rsid w:val="00861C01"/>
    <w:rsid w:val="00862576"/>
    <w:rsid w:val="008636E7"/>
    <w:rsid w:val="008638F3"/>
    <w:rsid w:val="00863ADC"/>
    <w:rsid w:val="00866770"/>
    <w:rsid w:val="00866E6B"/>
    <w:rsid w:val="00867035"/>
    <w:rsid w:val="008674E1"/>
    <w:rsid w:val="00867583"/>
    <w:rsid w:val="00870354"/>
    <w:rsid w:val="00870A4B"/>
    <w:rsid w:val="00871209"/>
    <w:rsid w:val="00871428"/>
    <w:rsid w:val="00871595"/>
    <w:rsid w:val="008715D6"/>
    <w:rsid w:val="00871649"/>
    <w:rsid w:val="00871693"/>
    <w:rsid w:val="00871FAA"/>
    <w:rsid w:val="00872998"/>
    <w:rsid w:val="00872E49"/>
    <w:rsid w:val="0087307F"/>
    <w:rsid w:val="00873533"/>
    <w:rsid w:val="008735C6"/>
    <w:rsid w:val="00873A19"/>
    <w:rsid w:val="00873CEF"/>
    <w:rsid w:val="0087422C"/>
    <w:rsid w:val="00874AE7"/>
    <w:rsid w:val="00875701"/>
    <w:rsid w:val="00875D5C"/>
    <w:rsid w:val="00877014"/>
    <w:rsid w:val="0087715F"/>
    <w:rsid w:val="00877A04"/>
    <w:rsid w:val="00877D42"/>
    <w:rsid w:val="0088008E"/>
    <w:rsid w:val="00880350"/>
    <w:rsid w:val="0088150E"/>
    <w:rsid w:val="008816D6"/>
    <w:rsid w:val="0088181D"/>
    <w:rsid w:val="008819AF"/>
    <w:rsid w:val="00881C40"/>
    <w:rsid w:val="00881F60"/>
    <w:rsid w:val="0088252F"/>
    <w:rsid w:val="0088269E"/>
    <w:rsid w:val="008829AD"/>
    <w:rsid w:val="00882BCA"/>
    <w:rsid w:val="00883ABA"/>
    <w:rsid w:val="008840B1"/>
    <w:rsid w:val="00884949"/>
    <w:rsid w:val="008849FA"/>
    <w:rsid w:val="008850A5"/>
    <w:rsid w:val="008855AA"/>
    <w:rsid w:val="00885AE3"/>
    <w:rsid w:val="00885AF4"/>
    <w:rsid w:val="00885BB4"/>
    <w:rsid w:val="00886038"/>
    <w:rsid w:val="00886AA6"/>
    <w:rsid w:val="00886C19"/>
    <w:rsid w:val="008874E1"/>
    <w:rsid w:val="00887881"/>
    <w:rsid w:val="0088796D"/>
    <w:rsid w:val="008905ED"/>
    <w:rsid w:val="00890A99"/>
    <w:rsid w:val="00890DF3"/>
    <w:rsid w:val="00891752"/>
    <w:rsid w:val="00891B3D"/>
    <w:rsid w:val="00891C62"/>
    <w:rsid w:val="00891FB8"/>
    <w:rsid w:val="0089205C"/>
    <w:rsid w:val="008927B3"/>
    <w:rsid w:val="00893453"/>
    <w:rsid w:val="00893789"/>
    <w:rsid w:val="008939B0"/>
    <w:rsid w:val="00893A6B"/>
    <w:rsid w:val="008943C2"/>
    <w:rsid w:val="00894C1C"/>
    <w:rsid w:val="00895937"/>
    <w:rsid w:val="00895965"/>
    <w:rsid w:val="00896144"/>
    <w:rsid w:val="00896536"/>
    <w:rsid w:val="00896AC1"/>
    <w:rsid w:val="00896CBA"/>
    <w:rsid w:val="008975F3"/>
    <w:rsid w:val="00897BB0"/>
    <w:rsid w:val="008A04A4"/>
    <w:rsid w:val="008A06FB"/>
    <w:rsid w:val="008A0924"/>
    <w:rsid w:val="008A0ADB"/>
    <w:rsid w:val="008A0C09"/>
    <w:rsid w:val="008A0C40"/>
    <w:rsid w:val="008A0D33"/>
    <w:rsid w:val="008A1812"/>
    <w:rsid w:val="008A1898"/>
    <w:rsid w:val="008A224B"/>
    <w:rsid w:val="008A285F"/>
    <w:rsid w:val="008A383D"/>
    <w:rsid w:val="008A45D3"/>
    <w:rsid w:val="008A461F"/>
    <w:rsid w:val="008A48B9"/>
    <w:rsid w:val="008A4B4D"/>
    <w:rsid w:val="008A5898"/>
    <w:rsid w:val="008A5BCB"/>
    <w:rsid w:val="008A5E7C"/>
    <w:rsid w:val="008A63B6"/>
    <w:rsid w:val="008A63E5"/>
    <w:rsid w:val="008A6508"/>
    <w:rsid w:val="008A6919"/>
    <w:rsid w:val="008A7B72"/>
    <w:rsid w:val="008A7EDF"/>
    <w:rsid w:val="008A7F7D"/>
    <w:rsid w:val="008B0BAC"/>
    <w:rsid w:val="008B0F4A"/>
    <w:rsid w:val="008B1859"/>
    <w:rsid w:val="008B1AAB"/>
    <w:rsid w:val="008B1D16"/>
    <w:rsid w:val="008B1EB6"/>
    <w:rsid w:val="008B22D5"/>
    <w:rsid w:val="008B2F80"/>
    <w:rsid w:val="008B378A"/>
    <w:rsid w:val="008B3FAB"/>
    <w:rsid w:val="008B4198"/>
    <w:rsid w:val="008B535E"/>
    <w:rsid w:val="008B5A70"/>
    <w:rsid w:val="008B6692"/>
    <w:rsid w:val="008B6F5F"/>
    <w:rsid w:val="008B7014"/>
    <w:rsid w:val="008B7A2F"/>
    <w:rsid w:val="008B7C1F"/>
    <w:rsid w:val="008C090C"/>
    <w:rsid w:val="008C0BB8"/>
    <w:rsid w:val="008C1009"/>
    <w:rsid w:val="008C1204"/>
    <w:rsid w:val="008C1BA9"/>
    <w:rsid w:val="008C2927"/>
    <w:rsid w:val="008C2A57"/>
    <w:rsid w:val="008C3620"/>
    <w:rsid w:val="008C37AA"/>
    <w:rsid w:val="008C384C"/>
    <w:rsid w:val="008C3BBB"/>
    <w:rsid w:val="008C4BEA"/>
    <w:rsid w:val="008C4D22"/>
    <w:rsid w:val="008C50AD"/>
    <w:rsid w:val="008C580F"/>
    <w:rsid w:val="008C5E29"/>
    <w:rsid w:val="008C5FD6"/>
    <w:rsid w:val="008C60CE"/>
    <w:rsid w:val="008C6B46"/>
    <w:rsid w:val="008C6EE3"/>
    <w:rsid w:val="008C70F2"/>
    <w:rsid w:val="008C73CC"/>
    <w:rsid w:val="008C759E"/>
    <w:rsid w:val="008D08E6"/>
    <w:rsid w:val="008D0A9D"/>
    <w:rsid w:val="008D0DD0"/>
    <w:rsid w:val="008D1A8E"/>
    <w:rsid w:val="008D1CCD"/>
    <w:rsid w:val="008D2318"/>
    <w:rsid w:val="008D2A8E"/>
    <w:rsid w:val="008D2D93"/>
    <w:rsid w:val="008D2E6B"/>
    <w:rsid w:val="008D33C7"/>
    <w:rsid w:val="008D34A7"/>
    <w:rsid w:val="008D3995"/>
    <w:rsid w:val="008D3A01"/>
    <w:rsid w:val="008D3BD4"/>
    <w:rsid w:val="008D3F9E"/>
    <w:rsid w:val="008D4378"/>
    <w:rsid w:val="008D5837"/>
    <w:rsid w:val="008D585B"/>
    <w:rsid w:val="008D5BE3"/>
    <w:rsid w:val="008D5E7B"/>
    <w:rsid w:val="008D60D2"/>
    <w:rsid w:val="008D67C7"/>
    <w:rsid w:val="008D715F"/>
    <w:rsid w:val="008D720A"/>
    <w:rsid w:val="008D7532"/>
    <w:rsid w:val="008D7F6B"/>
    <w:rsid w:val="008E0915"/>
    <w:rsid w:val="008E0A70"/>
    <w:rsid w:val="008E0BA2"/>
    <w:rsid w:val="008E0E8B"/>
    <w:rsid w:val="008E107B"/>
    <w:rsid w:val="008E10CF"/>
    <w:rsid w:val="008E1CA9"/>
    <w:rsid w:val="008E22DE"/>
    <w:rsid w:val="008E2394"/>
    <w:rsid w:val="008E2F32"/>
    <w:rsid w:val="008E4CF1"/>
    <w:rsid w:val="008E4D98"/>
    <w:rsid w:val="008E54B7"/>
    <w:rsid w:val="008E5AC5"/>
    <w:rsid w:val="008E5B97"/>
    <w:rsid w:val="008E5E3D"/>
    <w:rsid w:val="008E641C"/>
    <w:rsid w:val="008E6741"/>
    <w:rsid w:val="008E69A2"/>
    <w:rsid w:val="008E6E63"/>
    <w:rsid w:val="008E7B40"/>
    <w:rsid w:val="008E7BD5"/>
    <w:rsid w:val="008F073A"/>
    <w:rsid w:val="008F0CCD"/>
    <w:rsid w:val="008F0FB0"/>
    <w:rsid w:val="008F117F"/>
    <w:rsid w:val="008F20A7"/>
    <w:rsid w:val="008F3346"/>
    <w:rsid w:val="008F34D9"/>
    <w:rsid w:val="008F3D19"/>
    <w:rsid w:val="008F441D"/>
    <w:rsid w:val="008F487B"/>
    <w:rsid w:val="008F4A9F"/>
    <w:rsid w:val="008F5614"/>
    <w:rsid w:val="008F56B8"/>
    <w:rsid w:val="008F60B6"/>
    <w:rsid w:val="008F6117"/>
    <w:rsid w:val="008F661A"/>
    <w:rsid w:val="008F6EC6"/>
    <w:rsid w:val="008F7C9F"/>
    <w:rsid w:val="008F7DA0"/>
    <w:rsid w:val="00900958"/>
    <w:rsid w:val="00901307"/>
    <w:rsid w:val="00901461"/>
    <w:rsid w:val="009019FF"/>
    <w:rsid w:val="0090234A"/>
    <w:rsid w:val="00902829"/>
    <w:rsid w:val="00902BAE"/>
    <w:rsid w:val="00902E31"/>
    <w:rsid w:val="00902EB1"/>
    <w:rsid w:val="00906386"/>
    <w:rsid w:val="00906559"/>
    <w:rsid w:val="00906F6B"/>
    <w:rsid w:val="0090755A"/>
    <w:rsid w:val="0090795E"/>
    <w:rsid w:val="0091021C"/>
    <w:rsid w:val="00910714"/>
    <w:rsid w:val="00910B98"/>
    <w:rsid w:val="00910EF7"/>
    <w:rsid w:val="009117E0"/>
    <w:rsid w:val="0091188E"/>
    <w:rsid w:val="00912048"/>
    <w:rsid w:val="00912487"/>
    <w:rsid w:val="009127C8"/>
    <w:rsid w:val="00912C39"/>
    <w:rsid w:val="00912E78"/>
    <w:rsid w:val="0091331F"/>
    <w:rsid w:val="00913978"/>
    <w:rsid w:val="009143E9"/>
    <w:rsid w:val="00914590"/>
    <w:rsid w:val="009146E1"/>
    <w:rsid w:val="009159CA"/>
    <w:rsid w:val="00915B43"/>
    <w:rsid w:val="00915C71"/>
    <w:rsid w:val="009161E2"/>
    <w:rsid w:val="00916587"/>
    <w:rsid w:val="0091684E"/>
    <w:rsid w:val="00916ED5"/>
    <w:rsid w:val="00920434"/>
    <w:rsid w:val="00920C76"/>
    <w:rsid w:val="00920FE7"/>
    <w:rsid w:val="00921252"/>
    <w:rsid w:val="009219FE"/>
    <w:rsid w:val="009222B5"/>
    <w:rsid w:val="00922910"/>
    <w:rsid w:val="00923413"/>
    <w:rsid w:val="00923E89"/>
    <w:rsid w:val="009248DA"/>
    <w:rsid w:val="009251A1"/>
    <w:rsid w:val="009253AC"/>
    <w:rsid w:val="0092552F"/>
    <w:rsid w:val="00925920"/>
    <w:rsid w:val="00925C49"/>
    <w:rsid w:val="00925CCA"/>
    <w:rsid w:val="0092679D"/>
    <w:rsid w:val="009268F7"/>
    <w:rsid w:val="00926CBC"/>
    <w:rsid w:val="00931E0C"/>
    <w:rsid w:val="00931FD9"/>
    <w:rsid w:val="009320EA"/>
    <w:rsid w:val="00932135"/>
    <w:rsid w:val="00932210"/>
    <w:rsid w:val="00932303"/>
    <w:rsid w:val="009328A6"/>
    <w:rsid w:val="00932D2B"/>
    <w:rsid w:val="00933CD0"/>
    <w:rsid w:val="00933F58"/>
    <w:rsid w:val="00933FFE"/>
    <w:rsid w:val="009350CD"/>
    <w:rsid w:val="00935270"/>
    <w:rsid w:val="009359E4"/>
    <w:rsid w:val="00935F32"/>
    <w:rsid w:val="009361E3"/>
    <w:rsid w:val="00937C76"/>
    <w:rsid w:val="00937C86"/>
    <w:rsid w:val="00940AEC"/>
    <w:rsid w:val="00941454"/>
    <w:rsid w:val="0094275C"/>
    <w:rsid w:val="009441FD"/>
    <w:rsid w:val="009442BB"/>
    <w:rsid w:val="00944F50"/>
    <w:rsid w:val="009450DE"/>
    <w:rsid w:val="009452A5"/>
    <w:rsid w:val="00947D5A"/>
    <w:rsid w:val="009508D4"/>
    <w:rsid w:val="00950B53"/>
    <w:rsid w:val="00950CD1"/>
    <w:rsid w:val="0095137A"/>
    <w:rsid w:val="0095156E"/>
    <w:rsid w:val="009522F7"/>
    <w:rsid w:val="00952A40"/>
    <w:rsid w:val="00952E94"/>
    <w:rsid w:val="009534A2"/>
    <w:rsid w:val="009535C5"/>
    <w:rsid w:val="00953670"/>
    <w:rsid w:val="00953E2C"/>
    <w:rsid w:val="0095481D"/>
    <w:rsid w:val="00954A53"/>
    <w:rsid w:val="00954B42"/>
    <w:rsid w:val="00954B49"/>
    <w:rsid w:val="00955CE8"/>
    <w:rsid w:val="00956387"/>
    <w:rsid w:val="00956518"/>
    <w:rsid w:val="00956724"/>
    <w:rsid w:val="00956A84"/>
    <w:rsid w:val="009574D5"/>
    <w:rsid w:val="00957B29"/>
    <w:rsid w:val="009602B3"/>
    <w:rsid w:val="0096199B"/>
    <w:rsid w:val="0096303B"/>
    <w:rsid w:val="00963221"/>
    <w:rsid w:val="009637CA"/>
    <w:rsid w:val="00963DF4"/>
    <w:rsid w:val="00963EFD"/>
    <w:rsid w:val="009640C9"/>
    <w:rsid w:val="00964108"/>
    <w:rsid w:val="009649D4"/>
    <w:rsid w:val="00965103"/>
    <w:rsid w:val="0096519A"/>
    <w:rsid w:val="009656A8"/>
    <w:rsid w:val="00965F13"/>
    <w:rsid w:val="009660C1"/>
    <w:rsid w:val="00966BE8"/>
    <w:rsid w:val="009674BF"/>
    <w:rsid w:val="0096772D"/>
    <w:rsid w:val="00967818"/>
    <w:rsid w:val="00970330"/>
    <w:rsid w:val="009705EA"/>
    <w:rsid w:val="009705FA"/>
    <w:rsid w:val="009706D6"/>
    <w:rsid w:val="00970C2A"/>
    <w:rsid w:val="00971088"/>
    <w:rsid w:val="0097122F"/>
    <w:rsid w:val="00971B0F"/>
    <w:rsid w:val="00971F91"/>
    <w:rsid w:val="00972ABE"/>
    <w:rsid w:val="00972B16"/>
    <w:rsid w:val="0097332B"/>
    <w:rsid w:val="00975601"/>
    <w:rsid w:val="00975791"/>
    <w:rsid w:val="00975851"/>
    <w:rsid w:val="009761C9"/>
    <w:rsid w:val="00976C16"/>
    <w:rsid w:val="00976C4C"/>
    <w:rsid w:val="00977E82"/>
    <w:rsid w:val="00980DA3"/>
    <w:rsid w:val="00980EC5"/>
    <w:rsid w:val="0098112F"/>
    <w:rsid w:val="00981278"/>
    <w:rsid w:val="009814F5"/>
    <w:rsid w:val="009818F7"/>
    <w:rsid w:val="00981ADB"/>
    <w:rsid w:val="009830E2"/>
    <w:rsid w:val="0098316C"/>
    <w:rsid w:val="009835C2"/>
    <w:rsid w:val="00983D78"/>
    <w:rsid w:val="009843B2"/>
    <w:rsid w:val="009843EE"/>
    <w:rsid w:val="009844E4"/>
    <w:rsid w:val="00985D87"/>
    <w:rsid w:val="00986B29"/>
    <w:rsid w:val="009870A8"/>
    <w:rsid w:val="009877F7"/>
    <w:rsid w:val="0099008F"/>
    <w:rsid w:val="00990544"/>
    <w:rsid w:val="00990D8A"/>
    <w:rsid w:val="009910AE"/>
    <w:rsid w:val="00991AE4"/>
    <w:rsid w:val="00992262"/>
    <w:rsid w:val="00992944"/>
    <w:rsid w:val="00993449"/>
    <w:rsid w:val="00993983"/>
    <w:rsid w:val="009943CA"/>
    <w:rsid w:val="00994B87"/>
    <w:rsid w:val="00995138"/>
    <w:rsid w:val="00995660"/>
    <w:rsid w:val="00995E7A"/>
    <w:rsid w:val="00995EA3"/>
    <w:rsid w:val="00996997"/>
    <w:rsid w:val="00996A63"/>
    <w:rsid w:val="0099707A"/>
    <w:rsid w:val="0099719C"/>
    <w:rsid w:val="00997417"/>
    <w:rsid w:val="00997991"/>
    <w:rsid w:val="00997D82"/>
    <w:rsid w:val="00997D90"/>
    <w:rsid w:val="00997E83"/>
    <w:rsid w:val="009A057F"/>
    <w:rsid w:val="009A07DA"/>
    <w:rsid w:val="009A0832"/>
    <w:rsid w:val="009A0B8C"/>
    <w:rsid w:val="009A25F8"/>
    <w:rsid w:val="009A31AF"/>
    <w:rsid w:val="009A3FF8"/>
    <w:rsid w:val="009A4CDC"/>
    <w:rsid w:val="009A5339"/>
    <w:rsid w:val="009A6ED5"/>
    <w:rsid w:val="009B05EC"/>
    <w:rsid w:val="009B0C3D"/>
    <w:rsid w:val="009B1BBD"/>
    <w:rsid w:val="009B1BF5"/>
    <w:rsid w:val="009B1DAA"/>
    <w:rsid w:val="009B1DC0"/>
    <w:rsid w:val="009B1E96"/>
    <w:rsid w:val="009B2090"/>
    <w:rsid w:val="009B20CE"/>
    <w:rsid w:val="009B2A26"/>
    <w:rsid w:val="009B2A3B"/>
    <w:rsid w:val="009B2BB8"/>
    <w:rsid w:val="009B3189"/>
    <w:rsid w:val="009B333C"/>
    <w:rsid w:val="009B35A4"/>
    <w:rsid w:val="009B44FE"/>
    <w:rsid w:val="009B4C80"/>
    <w:rsid w:val="009B5055"/>
    <w:rsid w:val="009B5161"/>
    <w:rsid w:val="009B52DF"/>
    <w:rsid w:val="009B5B9D"/>
    <w:rsid w:val="009B5CCE"/>
    <w:rsid w:val="009B5F68"/>
    <w:rsid w:val="009B6612"/>
    <w:rsid w:val="009B67E1"/>
    <w:rsid w:val="009B6DD9"/>
    <w:rsid w:val="009B7289"/>
    <w:rsid w:val="009B73EC"/>
    <w:rsid w:val="009C0175"/>
    <w:rsid w:val="009C03D6"/>
    <w:rsid w:val="009C08A8"/>
    <w:rsid w:val="009C08FE"/>
    <w:rsid w:val="009C09FE"/>
    <w:rsid w:val="009C1B4A"/>
    <w:rsid w:val="009C2553"/>
    <w:rsid w:val="009C25E9"/>
    <w:rsid w:val="009C2A8B"/>
    <w:rsid w:val="009C2BA2"/>
    <w:rsid w:val="009C32BC"/>
    <w:rsid w:val="009C3A19"/>
    <w:rsid w:val="009C3C0D"/>
    <w:rsid w:val="009C49B7"/>
    <w:rsid w:val="009C49E8"/>
    <w:rsid w:val="009C4A79"/>
    <w:rsid w:val="009C4D09"/>
    <w:rsid w:val="009C55E6"/>
    <w:rsid w:val="009C57C6"/>
    <w:rsid w:val="009C5896"/>
    <w:rsid w:val="009C5BF1"/>
    <w:rsid w:val="009C61E8"/>
    <w:rsid w:val="009C641D"/>
    <w:rsid w:val="009C6BBF"/>
    <w:rsid w:val="009C74CB"/>
    <w:rsid w:val="009C76B5"/>
    <w:rsid w:val="009C787C"/>
    <w:rsid w:val="009D08CA"/>
    <w:rsid w:val="009D10DD"/>
    <w:rsid w:val="009D1264"/>
    <w:rsid w:val="009D1B64"/>
    <w:rsid w:val="009D22B2"/>
    <w:rsid w:val="009D231E"/>
    <w:rsid w:val="009D2922"/>
    <w:rsid w:val="009D42CF"/>
    <w:rsid w:val="009D43DD"/>
    <w:rsid w:val="009D57A0"/>
    <w:rsid w:val="009D59D0"/>
    <w:rsid w:val="009D5AE0"/>
    <w:rsid w:val="009D6270"/>
    <w:rsid w:val="009D62D3"/>
    <w:rsid w:val="009D713A"/>
    <w:rsid w:val="009D7495"/>
    <w:rsid w:val="009D767B"/>
    <w:rsid w:val="009D7B5F"/>
    <w:rsid w:val="009E0893"/>
    <w:rsid w:val="009E221B"/>
    <w:rsid w:val="009E2744"/>
    <w:rsid w:val="009E2F70"/>
    <w:rsid w:val="009E2FE4"/>
    <w:rsid w:val="009E38C4"/>
    <w:rsid w:val="009E3EF8"/>
    <w:rsid w:val="009E5016"/>
    <w:rsid w:val="009E51A5"/>
    <w:rsid w:val="009E5431"/>
    <w:rsid w:val="009E6996"/>
    <w:rsid w:val="009E699A"/>
    <w:rsid w:val="009E6B62"/>
    <w:rsid w:val="009E6C68"/>
    <w:rsid w:val="009E6E41"/>
    <w:rsid w:val="009E7056"/>
    <w:rsid w:val="009E7451"/>
    <w:rsid w:val="009E76AE"/>
    <w:rsid w:val="009E795A"/>
    <w:rsid w:val="009F1230"/>
    <w:rsid w:val="009F177E"/>
    <w:rsid w:val="009F1799"/>
    <w:rsid w:val="009F18A1"/>
    <w:rsid w:val="009F2256"/>
    <w:rsid w:val="009F26EC"/>
    <w:rsid w:val="009F33F4"/>
    <w:rsid w:val="009F4AC3"/>
    <w:rsid w:val="009F4BBA"/>
    <w:rsid w:val="009F59E5"/>
    <w:rsid w:val="009F6DDC"/>
    <w:rsid w:val="009F7051"/>
    <w:rsid w:val="009F7288"/>
    <w:rsid w:val="00A00AC5"/>
    <w:rsid w:val="00A00C13"/>
    <w:rsid w:val="00A00F4D"/>
    <w:rsid w:val="00A0194B"/>
    <w:rsid w:val="00A026EC"/>
    <w:rsid w:val="00A02918"/>
    <w:rsid w:val="00A031B7"/>
    <w:rsid w:val="00A0334E"/>
    <w:rsid w:val="00A0342A"/>
    <w:rsid w:val="00A0396D"/>
    <w:rsid w:val="00A03BAB"/>
    <w:rsid w:val="00A045B4"/>
    <w:rsid w:val="00A047ED"/>
    <w:rsid w:val="00A04DFD"/>
    <w:rsid w:val="00A050B9"/>
    <w:rsid w:val="00A0560A"/>
    <w:rsid w:val="00A05AC3"/>
    <w:rsid w:val="00A06401"/>
    <w:rsid w:val="00A070E0"/>
    <w:rsid w:val="00A07B13"/>
    <w:rsid w:val="00A10C12"/>
    <w:rsid w:val="00A10E5B"/>
    <w:rsid w:val="00A1113C"/>
    <w:rsid w:val="00A11466"/>
    <w:rsid w:val="00A11E90"/>
    <w:rsid w:val="00A121B0"/>
    <w:rsid w:val="00A126C4"/>
    <w:rsid w:val="00A130FF"/>
    <w:rsid w:val="00A1326A"/>
    <w:rsid w:val="00A14483"/>
    <w:rsid w:val="00A14893"/>
    <w:rsid w:val="00A158D5"/>
    <w:rsid w:val="00A159B3"/>
    <w:rsid w:val="00A15B42"/>
    <w:rsid w:val="00A15E3E"/>
    <w:rsid w:val="00A160A5"/>
    <w:rsid w:val="00A160E6"/>
    <w:rsid w:val="00A163EE"/>
    <w:rsid w:val="00A16B2B"/>
    <w:rsid w:val="00A17055"/>
    <w:rsid w:val="00A170E5"/>
    <w:rsid w:val="00A1739A"/>
    <w:rsid w:val="00A17B70"/>
    <w:rsid w:val="00A20392"/>
    <w:rsid w:val="00A204D1"/>
    <w:rsid w:val="00A205E3"/>
    <w:rsid w:val="00A20981"/>
    <w:rsid w:val="00A20D5E"/>
    <w:rsid w:val="00A20D65"/>
    <w:rsid w:val="00A21428"/>
    <w:rsid w:val="00A222B6"/>
    <w:rsid w:val="00A22361"/>
    <w:rsid w:val="00A2255A"/>
    <w:rsid w:val="00A22D2A"/>
    <w:rsid w:val="00A22DE5"/>
    <w:rsid w:val="00A233C9"/>
    <w:rsid w:val="00A235F3"/>
    <w:rsid w:val="00A23805"/>
    <w:rsid w:val="00A23D08"/>
    <w:rsid w:val="00A24087"/>
    <w:rsid w:val="00A241F7"/>
    <w:rsid w:val="00A245FF"/>
    <w:rsid w:val="00A256BB"/>
    <w:rsid w:val="00A25E27"/>
    <w:rsid w:val="00A25F77"/>
    <w:rsid w:val="00A27119"/>
    <w:rsid w:val="00A27C17"/>
    <w:rsid w:val="00A30177"/>
    <w:rsid w:val="00A301C0"/>
    <w:rsid w:val="00A3073E"/>
    <w:rsid w:val="00A31306"/>
    <w:rsid w:val="00A3152C"/>
    <w:rsid w:val="00A316EB"/>
    <w:rsid w:val="00A32217"/>
    <w:rsid w:val="00A323EA"/>
    <w:rsid w:val="00A33107"/>
    <w:rsid w:val="00A33C2A"/>
    <w:rsid w:val="00A33C5F"/>
    <w:rsid w:val="00A3441F"/>
    <w:rsid w:val="00A344AC"/>
    <w:rsid w:val="00A3545C"/>
    <w:rsid w:val="00A3598F"/>
    <w:rsid w:val="00A364C9"/>
    <w:rsid w:val="00A36521"/>
    <w:rsid w:val="00A370FA"/>
    <w:rsid w:val="00A40A36"/>
    <w:rsid w:val="00A40A70"/>
    <w:rsid w:val="00A40EDE"/>
    <w:rsid w:val="00A4152D"/>
    <w:rsid w:val="00A41718"/>
    <w:rsid w:val="00A41DC2"/>
    <w:rsid w:val="00A42442"/>
    <w:rsid w:val="00A42712"/>
    <w:rsid w:val="00A433EF"/>
    <w:rsid w:val="00A44111"/>
    <w:rsid w:val="00A44157"/>
    <w:rsid w:val="00A445C2"/>
    <w:rsid w:val="00A44961"/>
    <w:rsid w:val="00A4576D"/>
    <w:rsid w:val="00A45799"/>
    <w:rsid w:val="00A4579D"/>
    <w:rsid w:val="00A457A1"/>
    <w:rsid w:val="00A459DE"/>
    <w:rsid w:val="00A46971"/>
    <w:rsid w:val="00A46B71"/>
    <w:rsid w:val="00A46D6D"/>
    <w:rsid w:val="00A47295"/>
    <w:rsid w:val="00A472B0"/>
    <w:rsid w:val="00A4750C"/>
    <w:rsid w:val="00A4790F"/>
    <w:rsid w:val="00A50820"/>
    <w:rsid w:val="00A50ECA"/>
    <w:rsid w:val="00A50F60"/>
    <w:rsid w:val="00A51980"/>
    <w:rsid w:val="00A51BA2"/>
    <w:rsid w:val="00A51C23"/>
    <w:rsid w:val="00A51E51"/>
    <w:rsid w:val="00A52E7B"/>
    <w:rsid w:val="00A53340"/>
    <w:rsid w:val="00A5376A"/>
    <w:rsid w:val="00A53E76"/>
    <w:rsid w:val="00A5410A"/>
    <w:rsid w:val="00A54649"/>
    <w:rsid w:val="00A54918"/>
    <w:rsid w:val="00A54E7B"/>
    <w:rsid w:val="00A551A7"/>
    <w:rsid w:val="00A55D93"/>
    <w:rsid w:val="00A55F10"/>
    <w:rsid w:val="00A55F3F"/>
    <w:rsid w:val="00A55F5F"/>
    <w:rsid w:val="00A57568"/>
    <w:rsid w:val="00A578EF"/>
    <w:rsid w:val="00A57F41"/>
    <w:rsid w:val="00A602D9"/>
    <w:rsid w:val="00A602FF"/>
    <w:rsid w:val="00A609B3"/>
    <w:rsid w:val="00A6116F"/>
    <w:rsid w:val="00A6127A"/>
    <w:rsid w:val="00A6153E"/>
    <w:rsid w:val="00A616CB"/>
    <w:rsid w:val="00A62386"/>
    <w:rsid w:val="00A63D5C"/>
    <w:rsid w:val="00A63EC0"/>
    <w:rsid w:val="00A63FBE"/>
    <w:rsid w:val="00A641C8"/>
    <w:rsid w:val="00A648F4"/>
    <w:rsid w:val="00A659BF"/>
    <w:rsid w:val="00A659FF"/>
    <w:rsid w:val="00A66918"/>
    <w:rsid w:val="00A6791C"/>
    <w:rsid w:val="00A67F92"/>
    <w:rsid w:val="00A71185"/>
    <w:rsid w:val="00A7144A"/>
    <w:rsid w:val="00A72931"/>
    <w:rsid w:val="00A72A0E"/>
    <w:rsid w:val="00A72E0E"/>
    <w:rsid w:val="00A72F71"/>
    <w:rsid w:val="00A7323F"/>
    <w:rsid w:val="00A73272"/>
    <w:rsid w:val="00A734CF"/>
    <w:rsid w:val="00A735A0"/>
    <w:rsid w:val="00A739FD"/>
    <w:rsid w:val="00A74274"/>
    <w:rsid w:val="00A7430E"/>
    <w:rsid w:val="00A74917"/>
    <w:rsid w:val="00A74CD1"/>
    <w:rsid w:val="00A75967"/>
    <w:rsid w:val="00A7633A"/>
    <w:rsid w:val="00A76565"/>
    <w:rsid w:val="00A777DD"/>
    <w:rsid w:val="00A77C95"/>
    <w:rsid w:val="00A77D0F"/>
    <w:rsid w:val="00A8027C"/>
    <w:rsid w:val="00A808CD"/>
    <w:rsid w:val="00A80AFC"/>
    <w:rsid w:val="00A81CD9"/>
    <w:rsid w:val="00A81D99"/>
    <w:rsid w:val="00A820C9"/>
    <w:rsid w:val="00A827AD"/>
    <w:rsid w:val="00A827FD"/>
    <w:rsid w:val="00A82A7D"/>
    <w:rsid w:val="00A82BA7"/>
    <w:rsid w:val="00A82DA6"/>
    <w:rsid w:val="00A82DC4"/>
    <w:rsid w:val="00A8317B"/>
    <w:rsid w:val="00A8383A"/>
    <w:rsid w:val="00A83CFD"/>
    <w:rsid w:val="00A83FE9"/>
    <w:rsid w:val="00A843FD"/>
    <w:rsid w:val="00A8479C"/>
    <w:rsid w:val="00A847EB"/>
    <w:rsid w:val="00A84AE1"/>
    <w:rsid w:val="00A84D61"/>
    <w:rsid w:val="00A84E79"/>
    <w:rsid w:val="00A8517F"/>
    <w:rsid w:val="00A858DA"/>
    <w:rsid w:val="00A8660C"/>
    <w:rsid w:val="00A86A9E"/>
    <w:rsid w:val="00A86B0E"/>
    <w:rsid w:val="00A86BE0"/>
    <w:rsid w:val="00A8714E"/>
    <w:rsid w:val="00A87673"/>
    <w:rsid w:val="00A87AAB"/>
    <w:rsid w:val="00A87EF9"/>
    <w:rsid w:val="00A87F4C"/>
    <w:rsid w:val="00A9038D"/>
    <w:rsid w:val="00A904C3"/>
    <w:rsid w:val="00A907DF"/>
    <w:rsid w:val="00A909EC"/>
    <w:rsid w:val="00A91519"/>
    <w:rsid w:val="00A917CF"/>
    <w:rsid w:val="00A92A49"/>
    <w:rsid w:val="00A92C84"/>
    <w:rsid w:val="00A92F8F"/>
    <w:rsid w:val="00A94461"/>
    <w:rsid w:val="00A9464F"/>
    <w:rsid w:val="00A949C5"/>
    <w:rsid w:val="00A953E4"/>
    <w:rsid w:val="00A95D32"/>
    <w:rsid w:val="00A95E0F"/>
    <w:rsid w:val="00A96C2D"/>
    <w:rsid w:val="00A96DA6"/>
    <w:rsid w:val="00A97F9C"/>
    <w:rsid w:val="00AA0099"/>
    <w:rsid w:val="00AA06D6"/>
    <w:rsid w:val="00AA17B5"/>
    <w:rsid w:val="00AA17ED"/>
    <w:rsid w:val="00AA1E6E"/>
    <w:rsid w:val="00AA1F3D"/>
    <w:rsid w:val="00AA2797"/>
    <w:rsid w:val="00AA28FC"/>
    <w:rsid w:val="00AA41EF"/>
    <w:rsid w:val="00AA4B2C"/>
    <w:rsid w:val="00AA52FD"/>
    <w:rsid w:val="00AA5591"/>
    <w:rsid w:val="00AA5DCD"/>
    <w:rsid w:val="00AA651E"/>
    <w:rsid w:val="00AA677A"/>
    <w:rsid w:val="00AA78B4"/>
    <w:rsid w:val="00AB087C"/>
    <w:rsid w:val="00AB0929"/>
    <w:rsid w:val="00AB0969"/>
    <w:rsid w:val="00AB0F70"/>
    <w:rsid w:val="00AB0F80"/>
    <w:rsid w:val="00AB12B2"/>
    <w:rsid w:val="00AB1D35"/>
    <w:rsid w:val="00AB20AB"/>
    <w:rsid w:val="00AB24E8"/>
    <w:rsid w:val="00AB2A39"/>
    <w:rsid w:val="00AB31ED"/>
    <w:rsid w:val="00AB3410"/>
    <w:rsid w:val="00AB39C0"/>
    <w:rsid w:val="00AB3A85"/>
    <w:rsid w:val="00AB3B0D"/>
    <w:rsid w:val="00AB3EE4"/>
    <w:rsid w:val="00AB4401"/>
    <w:rsid w:val="00AB4958"/>
    <w:rsid w:val="00AB5C77"/>
    <w:rsid w:val="00AB61EA"/>
    <w:rsid w:val="00AB7005"/>
    <w:rsid w:val="00AB7031"/>
    <w:rsid w:val="00AB71BF"/>
    <w:rsid w:val="00AB7584"/>
    <w:rsid w:val="00AB76B5"/>
    <w:rsid w:val="00AB7950"/>
    <w:rsid w:val="00AB7A13"/>
    <w:rsid w:val="00AC02E2"/>
    <w:rsid w:val="00AC054A"/>
    <w:rsid w:val="00AC150A"/>
    <w:rsid w:val="00AC175E"/>
    <w:rsid w:val="00AC1B7E"/>
    <w:rsid w:val="00AC1C13"/>
    <w:rsid w:val="00AC244B"/>
    <w:rsid w:val="00AC257A"/>
    <w:rsid w:val="00AC25DE"/>
    <w:rsid w:val="00AC26D1"/>
    <w:rsid w:val="00AC2D38"/>
    <w:rsid w:val="00AC2EA4"/>
    <w:rsid w:val="00AC356F"/>
    <w:rsid w:val="00AC362D"/>
    <w:rsid w:val="00AC3EC0"/>
    <w:rsid w:val="00AC44F7"/>
    <w:rsid w:val="00AC56DB"/>
    <w:rsid w:val="00AC60BD"/>
    <w:rsid w:val="00AC63A6"/>
    <w:rsid w:val="00AC693B"/>
    <w:rsid w:val="00AC7193"/>
    <w:rsid w:val="00AC7642"/>
    <w:rsid w:val="00AC7D77"/>
    <w:rsid w:val="00AC7F7E"/>
    <w:rsid w:val="00AD001B"/>
    <w:rsid w:val="00AD0B93"/>
    <w:rsid w:val="00AD0F8C"/>
    <w:rsid w:val="00AD111F"/>
    <w:rsid w:val="00AD1BC5"/>
    <w:rsid w:val="00AD1DC5"/>
    <w:rsid w:val="00AD248E"/>
    <w:rsid w:val="00AD24A7"/>
    <w:rsid w:val="00AD2637"/>
    <w:rsid w:val="00AD3227"/>
    <w:rsid w:val="00AD3816"/>
    <w:rsid w:val="00AD3DD0"/>
    <w:rsid w:val="00AD4051"/>
    <w:rsid w:val="00AD428D"/>
    <w:rsid w:val="00AD47D6"/>
    <w:rsid w:val="00AD480B"/>
    <w:rsid w:val="00AD4F0E"/>
    <w:rsid w:val="00AD5745"/>
    <w:rsid w:val="00AD57FE"/>
    <w:rsid w:val="00AD5CAB"/>
    <w:rsid w:val="00AD6452"/>
    <w:rsid w:val="00AD662F"/>
    <w:rsid w:val="00AD6819"/>
    <w:rsid w:val="00AD6BFA"/>
    <w:rsid w:val="00AD6F71"/>
    <w:rsid w:val="00AD74BA"/>
    <w:rsid w:val="00AD7ABD"/>
    <w:rsid w:val="00AE0167"/>
    <w:rsid w:val="00AE0FF2"/>
    <w:rsid w:val="00AE117A"/>
    <w:rsid w:val="00AE1197"/>
    <w:rsid w:val="00AE14E8"/>
    <w:rsid w:val="00AE1E08"/>
    <w:rsid w:val="00AE23FD"/>
    <w:rsid w:val="00AE24EF"/>
    <w:rsid w:val="00AE3CBD"/>
    <w:rsid w:val="00AE48FD"/>
    <w:rsid w:val="00AE569F"/>
    <w:rsid w:val="00AE59E7"/>
    <w:rsid w:val="00AE5D72"/>
    <w:rsid w:val="00AE665B"/>
    <w:rsid w:val="00AE6ABE"/>
    <w:rsid w:val="00AE7C4B"/>
    <w:rsid w:val="00AF085E"/>
    <w:rsid w:val="00AF0893"/>
    <w:rsid w:val="00AF0E8D"/>
    <w:rsid w:val="00AF0F2E"/>
    <w:rsid w:val="00AF10E7"/>
    <w:rsid w:val="00AF1DAD"/>
    <w:rsid w:val="00AF2423"/>
    <w:rsid w:val="00AF2585"/>
    <w:rsid w:val="00AF3415"/>
    <w:rsid w:val="00AF374B"/>
    <w:rsid w:val="00AF3A9C"/>
    <w:rsid w:val="00AF3ABD"/>
    <w:rsid w:val="00AF4A50"/>
    <w:rsid w:val="00AF4A7C"/>
    <w:rsid w:val="00AF4ADB"/>
    <w:rsid w:val="00AF4CD9"/>
    <w:rsid w:val="00AF556C"/>
    <w:rsid w:val="00AF58A5"/>
    <w:rsid w:val="00AF6499"/>
    <w:rsid w:val="00AF6FE2"/>
    <w:rsid w:val="00AF7059"/>
    <w:rsid w:val="00AF7506"/>
    <w:rsid w:val="00AF793A"/>
    <w:rsid w:val="00AF7D46"/>
    <w:rsid w:val="00AF7F0C"/>
    <w:rsid w:val="00B002F1"/>
    <w:rsid w:val="00B00F71"/>
    <w:rsid w:val="00B01478"/>
    <w:rsid w:val="00B0168E"/>
    <w:rsid w:val="00B01CC6"/>
    <w:rsid w:val="00B01D2F"/>
    <w:rsid w:val="00B01F62"/>
    <w:rsid w:val="00B02482"/>
    <w:rsid w:val="00B04BC4"/>
    <w:rsid w:val="00B0559A"/>
    <w:rsid w:val="00B0588D"/>
    <w:rsid w:val="00B05C9D"/>
    <w:rsid w:val="00B060EF"/>
    <w:rsid w:val="00B06C4B"/>
    <w:rsid w:val="00B06F76"/>
    <w:rsid w:val="00B07164"/>
    <w:rsid w:val="00B078E6"/>
    <w:rsid w:val="00B07A15"/>
    <w:rsid w:val="00B07C94"/>
    <w:rsid w:val="00B10657"/>
    <w:rsid w:val="00B10A33"/>
    <w:rsid w:val="00B10E25"/>
    <w:rsid w:val="00B113DB"/>
    <w:rsid w:val="00B11C8A"/>
    <w:rsid w:val="00B11ED0"/>
    <w:rsid w:val="00B123CB"/>
    <w:rsid w:val="00B12638"/>
    <w:rsid w:val="00B12BB2"/>
    <w:rsid w:val="00B139C4"/>
    <w:rsid w:val="00B13DAC"/>
    <w:rsid w:val="00B14658"/>
    <w:rsid w:val="00B1489C"/>
    <w:rsid w:val="00B14EAD"/>
    <w:rsid w:val="00B15779"/>
    <w:rsid w:val="00B15891"/>
    <w:rsid w:val="00B159B5"/>
    <w:rsid w:val="00B17988"/>
    <w:rsid w:val="00B20324"/>
    <w:rsid w:val="00B21623"/>
    <w:rsid w:val="00B21709"/>
    <w:rsid w:val="00B2270B"/>
    <w:rsid w:val="00B22F1E"/>
    <w:rsid w:val="00B22FE3"/>
    <w:rsid w:val="00B2339D"/>
    <w:rsid w:val="00B2520E"/>
    <w:rsid w:val="00B2521D"/>
    <w:rsid w:val="00B25632"/>
    <w:rsid w:val="00B26054"/>
    <w:rsid w:val="00B2622D"/>
    <w:rsid w:val="00B266D5"/>
    <w:rsid w:val="00B26776"/>
    <w:rsid w:val="00B26AD0"/>
    <w:rsid w:val="00B26CC0"/>
    <w:rsid w:val="00B26CDE"/>
    <w:rsid w:val="00B273C8"/>
    <w:rsid w:val="00B27DCC"/>
    <w:rsid w:val="00B27EAE"/>
    <w:rsid w:val="00B302FA"/>
    <w:rsid w:val="00B30363"/>
    <w:rsid w:val="00B30559"/>
    <w:rsid w:val="00B30A88"/>
    <w:rsid w:val="00B319D0"/>
    <w:rsid w:val="00B31A4F"/>
    <w:rsid w:val="00B32A47"/>
    <w:rsid w:val="00B32DE6"/>
    <w:rsid w:val="00B33512"/>
    <w:rsid w:val="00B3379E"/>
    <w:rsid w:val="00B344B2"/>
    <w:rsid w:val="00B34B0B"/>
    <w:rsid w:val="00B34B71"/>
    <w:rsid w:val="00B34F29"/>
    <w:rsid w:val="00B35C90"/>
    <w:rsid w:val="00B36407"/>
    <w:rsid w:val="00B364CB"/>
    <w:rsid w:val="00B36FDD"/>
    <w:rsid w:val="00B40D26"/>
    <w:rsid w:val="00B41595"/>
    <w:rsid w:val="00B417D9"/>
    <w:rsid w:val="00B41929"/>
    <w:rsid w:val="00B41A48"/>
    <w:rsid w:val="00B41D84"/>
    <w:rsid w:val="00B41F8D"/>
    <w:rsid w:val="00B42293"/>
    <w:rsid w:val="00B42501"/>
    <w:rsid w:val="00B4281C"/>
    <w:rsid w:val="00B429BB"/>
    <w:rsid w:val="00B42F89"/>
    <w:rsid w:val="00B43A3E"/>
    <w:rsid w:val="00B44612"/>
    <w:rsid w:val="00B45377"/>
    <w:rsid w:val="00B462BA"/>
    <w:rsid w:val="00B463FD"/>
    <w:rsid w:val="00B4670B"/>
    <w:rsid w:val="00B4692E"/>
    <w:rsid w:val="00B46E69"/>
    <w:rsid w:val="00B47006"/>
    <w:rsid w:val="00B470E3"/>
    <w:rsid w:val="00B50A0E"/>
    <w:rsid w:val="00B50B98"/>
    <w:rsid w:val="00B516A0"/>
    <w:rsid w:val="00B51D1B"/>
    <w:rsid w:val="00B52640"/>
    <w:rsid w:val="00B52994"/>
    <w:rsid w:val="00B54022"/>
    <w:rsid w:val="00B54148"/>
    <w:rsid w:val="00B544ED"/>
    <w:rsid w:val="00B54757"/>
    <w:rsid w:val="00B54FB4"/>
    <w:rsid w:val="00B54FD9"/>
    <w:rsid w:val="00B5531D"/>
    <w:rsid w:val="00B553D4"/>
    <w:rsid w:val="00B558CF"/>
    <w:rsid w:val="00B558E6"/>
    <w:rsid w:val="00B55B0C"/>
    <w:rsid w:val="00B55BF2"/>
    <w:rsid w:val="00B55F80"/>
    <w:rsid w:val="00B56152"/>
    <w:rsid w:val="00B56268"/>
    <w:rsid w:val="00B566BF"/>
    <w:rsid w:val="00B57576"/>
    <w:rsid w:val="00B57649"/>
    <w:rsid w:val="00B60B93"/>
    <w:rsid w:val="00B60F3F"/>
    <w:rsid w:val="00B6123D"/>
    <w:rsid w:val="00B621FA"/>
    <w:rsid w:val="00B626AF"/>
    <w:rsid w:val="00B62A54"/>
    <w:rsid w:val="00B62A95"/>
    <w:rsid w:val="00B63025"/>
    <w:rsid w:val="00B631E9"/>
    <w:rsid w:val="00B63318"/>
    <w:rsid w:val="00B63A20"/>
    <w:rsid w:val="00B6638A"/>
    <w:rsid w:val="00B66AD2"/>
    <w:rsid w:val="00B66BA5"/>
    <w:rsid w:val="00B67754"/>
    <w:rsid w:val="00B70833"/>
    <w:rsid w:val="00B71BF3"/>
    <w:rsid w:val="00B71F16"/>
    <w:rsid w:val="00B71F3B"/>
    <w:rsid w:val="00B72F82"/>
    <w:rsid w:val="00B73601"/>
    <w:rsid w:val="00B745BC"/>
    <w:rsid w:val="00B74655"/>
    <w:rsid w:val="00B74B89"/>
    <w:rsid w:val="00B74E90"/>
    <w:rsid w:val="00B7513B"/>
    <w:rsid w:val="00B7561E"/>
    <w:rsid w:val="00B75C7A"/>
    <w:rsid w:val="00B75E92"/>
    <w:rsid w:val="00B76E3B"/>
    <w:rsid w:val="00B76FE0"/>
    <w:rsid w:val="00B772F1"/>
    <w:rsid w:val="00B776A2"/>
    <w:rsid w:val="00B77D4A"/>
    <w:rsid w:val="00B801DE"/>
    <w:rsid w:val="00B808D9"/>
    <w:rsid w:val="00B809AD"/>
    <w:rsid w:val="00B80C90"/>
    <w:rsid w:val="00B80D63"/>
    <w:rsid w:val="00B8107D"/>
    <w:rsid w:val="00B82074"/>
    <w:rsid w:val="00B820CC"/>
    <w:rsid w:val="00B82677"/>
    <w:rsid w:val="00B827C2"/>
    <w:rsid w:val="00B83BD6"/>
    <w:rsid w:val="00B83F5E"/>
    <w:rsid w:val="00B84241"/>
    <w:rsid w:val="00B84F7B"/>
    <w:rsid w:val="00B8587E"/>
    <w:rsid w:val="00B861AD"/>
    <w:rsid w:val="00B863C1"/>
    <w:rsid w:val="00B86C0A"/>
    <w:rsid w:val="00B86F24"/>
    <w:rsid w:val="00B8713A"/>
    <w:rsid w:val="00B87245"/>
    <w:rsid w:val="00B874CF"/>
    <w:rsid w:val="00B90414"/>
    <w:rsid w:val="00B907E8"/>
    <w:rsid w:val="00B9094C"/>
    <w:rsid w:val="00B9138D"/>
    <w:rsid w:val="00B9174F"/>
    <w:rsid w:val="00B91E4B"/>
    <w:rsid w:val="00B9242E"/>
    <w:rsid w:val="00B92A3C"/>
    <w:rsid w:val="00B93A15"/>
    <w:rsid w:val="00B941E2"/>
    <w:rsid w:val="00B94C19"/>
    <w:rsid w:val="00B95332"/>
    <w:rsid w:val="00B95817"/>
    <w:rsid w:val="00B9599B"/>
    <w:rsid w:val="00B9664B"/>
    <w:rsid w:val="00B967F0"/>
    <w:rsid w:val="00B96D4C"/>
    <w:rsid w:val="00B96EDD"/>
    <w:rsid w:val="00B96EFB"/>
    <w:rsid w:val="00B97399"/>
    <w:rsid w:val="00B973DC"/>
    <w:rsid w:val="00B97FE7"/>
    <w:rsid w:val="00BA05AF"/>
    <w:rsid w:val="00BA097B"/>
    <w:rsid w:val="00BA14F1"/>
    <w:rsid w:val="00BA2E1A"/>
    <w:rsid w:val="00BA2EE2"/>
    <w:rsid w:val="00BA32CE"/>
    <w:rsid w:val="00BA4081"/>
    <w:rsid w:val="00BA4956"/>
    <w:rsid w:val="00BA51C1"/>
    <w:rsid w:val="00BA5409"/>
    <w:rsid w:val="00BA619F"/>
    <w:rsid w:val="00BA626F"/>
    <w:rsid w:val="00BA66C0"/>
    <w:rsid w:val="00BA6E6D"/>
    <w:rsid w:val="00BA6EE2"/>
    <w:rsid w:val="00BA76FB"/>
    <w:rsid w:val="00BB054B"/>
    <w:rsid w:val="00BB0A57"/>
    <w:rsid w:val="00BB0DEA"/>
    <w:rsid w:val="00BB1A18"/>
    <w:rsid w:val="00BB28B1"/>
    <w:rsid w:val="00BB2A5D"/>
    <w:rsid w:val="00BB2B38"/>
    <w:rsid w:val="00BB2C82"/>
    <w:rsid w:val="00BB2E01"/>
    <w:rsid w:val="00BB3804"/>
    <w:rsid w:val="00BB38BD"/>
    <w:rsid w:val="00BB42BC"/>
    <w:rsid w:val="00BB4316"/>
    <w:rsid w:val="00BB4AB3"/>
    <w:rsid w:val="00BB7044"/>
    <w:rsid w:val="00BC07EE"/>
    <w:rsid w:val="00BC0A0E"/>
    <w:rsid w:val="00BC11F7"/>
    <w:rsid w:val="00BC14F0"/>
    <w:rsid w:val="00BC17F1"/>
    <w:rsid w:val="00BC2730"/>
    <w:rsid w:val="00BC2B30"/>
    <w:rsid w:val="00BC34E2"/>
    <w:rsid w:val="00BC3C0F"/>
    <w:rsid w:val="00BC4415"/>
    <w:rsid w:val="00BC5103"/>
    <w:rsid w:val="00BC5B1B"/>
    <w:rsid w:val="00BC5E75"/>
    <w:rsid w:val="00BC5EE7"/>
    <w:rsid w:val="00BC60B5"/>
    <w:rsid w:val="00BC6223"/>
    <w:rsid w:val="00BC65B6"/>
    <w:rsid w:val="00BC6F20"/>
    <w:rsid w:val="00BC7765"/>
    <w:rsid w:val="00BD008B"/>
    <w:rsid w:val="00BD0682"/>
    <w:rsid w:val="00BD07CC"/>
    <w:rsid w:val="00BD0B53"/>
    <w:rsid w:val="00BD0CCF"/>
    <w:rsid w:val="00BD28C5"/>
    <w:rsid w:val="00BD2BF0"/>
    <w:rsid w:val="00BD4144"/>
    <w:rsid w:val="00BD453E"/>
    <w:rsid w:val="00BD4B7B"/>
    <w:rsid w:val="00BD55BA"/>
    <w:rsid w:val="00BD56AC"/>
    <w:rsid w:val="00BD59DD"/>
    <w:rsid w:val="00BD6A42"/>
    <w:rsid w:val="00BD7689"/>
    <w:rsid w:val="00BE0DB4"/>
    <w:rsid w:val="00BE0E21"/>
    <w:rsid w:val="00BE0FF6"/>
    <w:rsid w:val="00BE106B"/>
    <w:rsid w:val="00BE1B47"/>
    <w:rsid w:val="00BE1CE1"/>
    <w:rsid w:val="00BE2259"/>
    <w:rsid w:val="00BE2AD7"/>
    <w:rsid w:val="00BE2B70"/>
    <w:rsid w:val="00BE2D58"/>
    <w:rsid w:val="00BE353D"/>
    <w:rsid w:val="00BE3855"/>
    <w:rsid w:val="00BE38C6"/>
    <w:rsid w:val="00BE3F6F"/>
    <w:rsid w:val="00BE4E85"/>
    <w:rsid w:val="00BE5346"/>
    <w:rsid w:val="00BE56DA"/>
    <w:rsid w:val="00BE5C34"/>
    <w:rsid w:val="00BE6980"/>
    <w:rsid w:val="00BE6C65"/>
    <w:rsid w:val="00BE70E8"/>
    <w:rsid w:val="00BE715D"/>
    <w:rsid w:val="00BE7474"/>
    <w:rsid w:val="00BE77C7"/>
    <w:rsid w:val="00BE7A61"/>
    <w:rsid w:val="00BE7AFD"/>
    <w:rsid w:val="00BF0257"/>
    <w:rsid w:val="00BF094E"/>
    <w:rsid w:val="00BF0B93"/>
    <w:rsid w:val="00BF11CD"/>
    <w:rsid w:val="00BF1201"/>
    <w:rsid w:val="00BF1309"/>
    <w:rsid w:val="00BF1A43"/>
    <w:rsid w:val="00BF255D"/>
    <w:rsid w:val="00BF3028"/>
    <w:rsid w:val="00BF329D"/>
    <w:rsid w:val="00BF335D"/>
    <w:rsid w:val="00BF3A7B"/>
    <w:rsid w:val="00BF42F2"/>
    <w:rsid w:val="00BF5280"/>
    <w:rsid w:val="00BF614E"/>
    <w:rsid w:val="00BF6892"/>
    <w:rsid w:val="00BF689A"/>
    <w:rsid w:val="00BF790C"/>
    <w:rsid w:val="00C00C7C"/>
    <w:rsid w:val="00C00DFA"/>
    <w:rsid w:val="00C00E00"/>
    <w:rsid w:val="00C00EE3"/>
    <w:rsid w:val="00C016DC"/>
    <w:rsid w:val="00C01A4A"/>
    <w:rsid w:val="00C04DE1"/>
    <w:rsid w:val="00C04F37"/>
    <w:rsid w:val="00C05AF1"/>
    <w:rsid w:val="00C05F86"/>
    <w:rsid w:val="00C06371"/>
    <w:rsid w:val="00C0700F"/>
    <w:rsid w:val="00C07206"/>
    <w:rsid w:val="00C075C7"/>
    <w:rsid w:val="00C07810"/>
    <w:rsid w:val="00C07DC2"/>
    <w:rsid w:val="00C10629"/>
    <w:rsid w:val="00C10B49"/>
    <w:rsid w:val="00C1160E"/>
    <w:rsid w:val="00C11E6A"/>
    <w:rsid w:val="00C139F6"/>
    <w:rsid w:val="00C1433E"/>
    <w:rsid w:val="00C1449C"/>
    <w:rsid w:val="00C149A0"/>
    <w:rsid w:val="00C15013"/>
    <w:rsid w:val="00C15BB1"/>
    <w:rsid w:val="00C161B2"/>
    <w:rsid w:val="00C1698D"/>
    <w:rsid w:val="00C16B99"/>
    <w:rsid w:val="00C16CC2"/>
    <w:rsid w:val="00C16D69"/>
    <w:rsid w:val="00C1778D"/>
    <w:rsid w:val="00C177E6"/>
    <w:rsid w:val="00C20067"/>
    <w:rsid w:val="00C20894"/>
    <w:rsid w:val="00C20FDA"/>
    <w:rsid w:val="00C2115C"/>
    <w:rsid w:val="00C2122B"/>
    <w:rsid w:val="00C2173D"/>
    <w:rsid w:val="00C217E8"/>
    <w:rsid w:val="00C22793"/>
    <w:rsid w:val="00C22B39"/>
    <w:rsid w:val="00C23014"/>
    <w:rsid w:val="00C2307C"/>
    <w:rsid w:val="00C23189"/>
    <w:rsid w:val="00C231F3"/>
    <w:rsid w:val="00C2567C"/>
    <w:rsid w:val="00C2653B"/>
    <w:rsid w:val="00C269D9"/>
    <w:rsid w:val="00C270D1"/>
    <w:rsid w:val="00C27701"/>
    <w:rsid w:val="00C2775E"/>
    <w:rsid w:val="00C27C22"/>
    <w:rsid w:val="00C27EC2"/>
    <w:rsid w:val="00C3020C"/>
    <w:rsid w:val="00C30248"/>
    <w:rsid w:val="00C30819"/>
    <w:rsid w:val="00C308C8"/>
    <w:rsid w:val="00C31528"/>
    <w:rsid w:val="00C31AE7"/>
    <w:rsid w:val="00C31C2B"/>
    <w:rsid w:val="00C31DDA"/>
    <w:rsid w:val="00C32081"/>
    <w:rsid w:val="00C323A3"/>
    <w:rsid w:val="00C325B8"/>
    <w:rsid w:val="00C32ACA"/>
    <w:rsid w:val="00C32ACE"/>
    <w:rsid w:val="00C32D14"/>
    <w:rsid w:val="00C337EF"/>
    <w:rsid w:val="00C33A28"/>
    <w:rsid w:val="00C33DD3"/>
    <w:rsid w:val="00C3427A"/>
    <w:rsid w:val="00C345AA"/>
    <w:rsid w:val="00C347B0"/>
    <w:rsid w:val="00C34945"/>
    <w:rsid w:val="00C34BD8"/>
    <w:rsid w:val="00C35777"/>
    <w:rsid w:val="00C357E9"/>
    <w:rsid w:val="00C358FD"/>
    <w:rsid w:val="00C35C81"/>
    <w:rsid w:val="00C3644A"/>
    <w:rsid w:val="00C368FB"/>
    <w:rsid w:val="00C370F4"/>
    <w:rsid w:val="00C374A3"/>
    <w:rsid w:val="00C37BDC"/>
    <w:rsid w:val="00C37DC4"/>
    <w:rsid w:val="00C405F5"/>
    <w:rsid w:val="00C40B4E"/>
    <w:rsid w:val="00C41E43"/>
    <w:rsid w:val="00C42873"/>
    <w:rsid w:val="00C434AD"/>
    <w:rsid w:val="00C4366D"/>
    <w:rsid w:val="00C43D5C"/>
    <w:rsid w:val="00C43DE2"/>
    <w:rsid w:val="00C43E7E"/>
    <w:rsid w:val="00C44AF4"/>
    <w:rsid w:val="00C44EFC"/>
    <w:rsid w:val="00C450FB"/>
    <w:rsid w:val="00C45332"/>
    <w:rsid w:val="00C4649D"/>
    <w:rsid w:val="00C469A0"/>
    <w:rsid w:val="00C472DA"/>
    <w:rsid w:val="00C50CE8"/>
    <w:rsid w:val="00C50DF2"/>
    <w:rsid w:val="00C51A7C"/>
    <w:rsid w:val="00C51B0D"/>
    <w:rsid w:val="00C51D96"/>
    <w:rsid w:val="00C521D6"/>
    <w:rsid w:val="00C52421"/>
    <w:rsid w:val="00C5265F"/>
    <w:rsid w:val="00C52AA1"/>
    <w:rsid w:val="00C5318C"/>
    <w:rsid w:val="00C536AE"/>
    <w:rsid w:val="00C54189"/>
    <w:rsid w:val="00C542ED"/>
    <w:rsid w:val="00C54789"/>
    <w:rsid w:val="00C54AD8"/>
    <w:rsid w:val="00C56055"/>
    <w:rsid w:val="00C568D3"/>
    <w:rsid w:val="00C56EA8"/>
    <w:rsid w:val="00C56F70"/>
    <w:rsid w:val="00C57842"/>
    <w:rsid w:val="00C57F8B"/>
    <w:rsid w:val="00C57FA4"/>
    <w:rsid w:val="00C6084C"/>
    <w:rsid w:val="00C61850"/>
    <w:rsid w:val="00C61B30"/>
    <w:rsid w:val="00C61EF4"/>
    <w:rsid w:val="00C62195"/>
    <w:rsid w:val="00C62BA4"/>
    <w:rsid w:val="00C62D53"/>
    <w:rsid w:val="00C63E9D"/>
    <w:rsid w:val="00C64761"/>
    <w:rsid w:val="00C6510A"/>
    <w:rsid w:val="00C65F1C"/>
    <w:rsid w:val="00C664D3"/>
    <w:rsid w:val="00C66E5B"/>
    <w:rsid w:val="00C6727E"/>
    <w:rsid w:val="00C673FF"/>
    <w:rsid w:val="00C6747D"/>
    <w:rsid w:val="00C705DF"/>
    <w:rsid w:val="00C709DD"/>
    <w:rsid w:val="00C70A8E"/>
    <w:rsid w:val="00C70F88"/>
    <w:rsid w:val="00C72694"/>
    <w:rsid w:val="00C726C1"/>
    <w:rsid w:val="00C7340A"/>
    <w:rsid w:val="00C7354C"/>
    <w:rsid w:val="00C736E3"/>
    <w:rsid w:val="00C73C0B"/>
    <w:rsid w:val="00C73E5B"/>
    <w:rsid w:val="00C74790"/>
    <w:rsid w:val="00C75D2E"/>
    <w:rsid w:val="00C76223"/>
    <w:rsid w:val="00C76257"/>
    <w:rsid w:val="00C762BA"/>
    <w:rsid w:val="00C76426"/>
    <w:rsid w:val="00C768E9"/>
    <w:rsid w:val="00C76E8F"/>
    <w:rsid w:val="00C77D64"/>
    <w:rsid w:val="00C80240"/>
    <w:rsid w:val="00C80891"/>
    <w:rsid w:val="00C8090F"/>
    <w:rsid w:val="00C8101B"/>
    <w:rsid w:val="00C8132D"/>
    <w:rsid w:val="00C815D2"/>
    <w:rsid w:val="00C83786"/>
    <w:rsid w:val="00C837A6"/>
    <w:rsid w:val="00C849DB"/>
    <w:rsid w:val="00C84F54"/>
    <w:rsid w:val="00C86990"/>
    <w:rsid w:val="00C875D9"/>
    <w:rsid w:val="00C90A91"/>
    <w:rsid w:val="00C90C2B"/>
    <w:rsid w:val="00C9122B"/>
    <w:rsid w:val="00C91CCD"/>
    <w:rsid w:val="00C92312"/>
    <w:rsid w:val="00C925B5"/>
    <w:rsid w:val="00C92EE8"/>
    <w:rsid w:val="00C92EFD"/>
    <w:rsid w:val="00C951E0"/>
    <w:rsid w:val="00C95EA3"/>
    <w:rsid w:val="00C97274"/>
    <w:rsid w:val="00C979E5"/>
    <w:rsid w:val="00CA0929"/>
    <w:rsid w:val="00CA1D2F"/>
    <w:rsid w:val="00CA3019"/>
    <w:rsid w:val="00CA423C"/>
    <w:rsid w:val="00CA5261"/>
    <w:rsid w:val="00CA5548"/>
    <w:rsid w:val="00CA5DCD"/>
    <w:rsid w:val="00CA5FD9"/>
    <w:rsid w:val="00CA6BE4"/>
    <w:rsid w:val="00CA73BF"/>
    <w:rsid w:val="00CA7D38"/>
    <w:rsid w:val="00CB00B4"/>
    <w:rsid w:val="00CB1309"/>
    <w:rsid w:val="00CB1425"/>
    <w:rsid w:val="00CB1CB0"/>
    <w:rsid w:val="00CB1D09"/>
    <w:rsid w:val="00CB3997"/>
    <w:rsid w:val="00CB3CC6"/>
    <w:rsid w:val="00CB428B"/>
    <w:rsid w:val="00CB4557"/>
    <w:rsid w:val="00CB485C"/>
    <w:rsid w:val="00CB5AED"/>
    <w:rsid w:val="00CB5D4F"/>
    <w:rsid w:val="00CB6097"/>
    <w:rsid w:val="00CB6E11"/>
    <w:rsid w:val="00CB6F30"/>
    <w:rsid w:val="00CB7D39"/>
    <w:rsid w:val="00CC059C"/>
    <w:rsid w:val="00CC0D57"/>
    <w:rsid w:val="00CC118B"/>
    <w:rsid w:val="00CC196D"/>
    <w:rsid w:val="00CC244F"/>
    <w:rsid w:val="00CC27DA"/>
    <w:rsid w:val="00CC2F33"/>
    <w:rsid w:val="00CC3AD1"/>
    <w:rsid w:val="00CC416B"/>
    <w:rsid w:val="00CC4649"/>
    <w:rsid w:val="00CC48E7"/>
    <w:rsid w:val="00CC4C0A"/>
    <w:rsid w:val="00CC4CFB"/>
    <w:rsid w:val="00CC533E"/>
    <w:rsid w:val="00CC5B77"/>
    <w:rsid w:val="00CC67C0"/>
    <w:rsid w:val="00CC687B"/>
    <w:rsid w:val="00CC7057"/>
    <w:rsid w:val="00CC7D18"/>
    <w:rsid w:val="00CC7EDB"/>
    <w:rsid w:val="00CD1609"/>
    <w:rsid w:val="00CD2131"/>
    <w:rsid w:val="00CD2779"/>
    <w:rsid w:val="00CD2B50"/>
    <w:rsid w:val="00CD2C78"/>
    <w:rsid w:val="00CD370B"/>
    <w:rsid w:val="00CD3F86"/>
    <w:rsid w:val="00CD61D0"/>
    <w:rsid w:val="00CD6627"/>
    <w:rsid w:val="00CD6760"/>
    <w:rsid w:val="00CD6F84"/>
    <w:rsid w:val="00CD722E"/>
    <w:rsid w:val="00CD74B4"/>
    <w:rsid w:val="00CD7543"/>
    <w:rsid w:val="00CD7818"/>
    <w:rsid w:val="00CD7A8B"/>
    <w:rsid w:val="00CD7AF0"/>
    <w:rsid w:val="00CE09AA"/>
    <w:rsid w:val="00CE0F84"/>
    <w:rsid w:val="00CE1017"/>
    <w:rsid w:val="00CE1199"/>
    <w:rsid w:val="00CE1DAF"/>
    <w:rsid w:val="00CE2461"/>
    <w:rsid w:val="00CE2520"/>
    <w:rsid w:val="00CE3A5B"/>
    <w:rsid w:val="00CE46CD"/>
    <w:rsid w:val="00CE559F"/>
    <w:rsid w:val="00CE689C"/>
    <w:rsid w:val="00CE7BBA"/>
    <w:rsid w:val="00CE7C50"/>
    <w:rsid w:val="00CF0608"/>
    <w:rsid w:val="00CF0700"/>
    <w:rsid w:val="00CF0F26"/>
    <w:rsid w:val="00CF21F1"/>
    <w:rsid w:val="00CF2CF4"/>
    <w:rsid w:val="00CF3004"/>
    <w:rsid w:val="00CF36D6"/>
    <w:rsid w:val="00CF3FC6"/>
    <w:rsid w:val="00CF4136"/>
    <w:rsid w:val="00CF439B"/>
    <w:rsid w:val="00CF48CC"/>
    <w:rsid w:val="00CF4A29"/>
    <w:rsid w:val="00CF50B0"/>
    <w:rsid w:val="00CF53E9"/>
    <w:rsid w:val="00CF5700"/>
    <w:rsid w:val="00CF5C6E"/>
    <w:rsid w:val="00CF60D8"/>
    <w:rsid w:val="00CF618C"/>
    <w:rsid w:val="00CF636A"/>
    <w:rsid w:val="00CF69F5"/>
    <w:rsid w:val="00CF6FF5"/>
    <w:rsid w:val="00CF745B"/>
    <w:rsid w:val="00CF756F"/>
    <w:rsid w:val="00CF75E4"/>
    <w:rsid w:val="00CF7955"/>
    <w:rsid w:val="00D0056E"/>
    <w:rsid w:val="00D01161"/>
    <w:rsid w:val="00D0170D"/>
    <w:rsid w:val="00D01BBA"/>
    <w:rsid w:val="00D01F1A"/>
    <w:rsid w:val="00D021B4"/>
    <w:rsid w:val="00D02833"/>
    <w:rsid w:val="00D028EA"/>
    <w:rsid w:val="00D0307F"/>
    <w:rsid w:val="00D03B66"/>
    <w:rsid w:val="00D03F59"/>
    <w:rsid w:val="00D043F7"/>
    <w:rsid w:val="00D044CB"/>
    <w:rsid w:val="00D04E7B"/>
    <w:rsid w:val="00D04F17"/>
    <w:rsid w:val="00D051C8"/>
    <w:rsid w:val="00D053C1"/>
    <w:rsid w:val="00D05AC6"/>
    <w:rsid w:val="00D06631"/>
    <w:rsid w:val="00D067B0"/>
    <w:rsid w:val="00D06A62"/>
    <w:rsid w:val="00D06E52"/>
    <w:rsid w:val="00D10007"/>
    <w:rsid w:val="00D10194"/>
    <w:rsid w:val="00D10446"/>
    <w:rsid w:val="00D1106F"/>
    <w:rsid w:val="00D1140D"/>
    <w:rsid w:val="00D118B0"/>
    <w:rsid w:val="00D11BD2"/>
    <w:rsid w:val="00D1212D"/>
    <w:rsid w:val="00D12654"/>
    <w:rsid w:val="00D126F3"/>
    <w:rsid w:val="00D12C9F"/>
    <w:rsid w:val="00D12F33"/>
    <w:rsid w:val="00D1317C"/>
    <w:rsid w:val="00D14A18"/>
    <w:rsid w:val="00D14BF8"/>
    <w:rsid w:val="00D16393"/>
    <w:rsid w:val="00D16D8C"/>
    <w:rsid w:val="00D170F1"/>
    <w:rsid w:val="00D17CDF"/>
    <w:rsid w:val="00D17F10"/>
    <w:rsid w:val="00D20C24"/>
    <w:rsid w:val="00D20D27"/>
    <w:rsid w:val="00D21E0F"/>
    <w:rsid w:val="00D22032"/>
    <w:rsid w:val="00D2209D"/>
    <w:rsid w:val="00D220A1"/>
    <w:rsid w:val="00D22104"/>
    <w:rsid w:val="00D2224F"/>
    <w:rsid w:val="00D22D3A"/>
    <w:rsid w:val="00D23F8F"/>
    <w:rsid w:val="00D244A9"/>
    <w:rsid w:val="00D244E4"/>
    <w:rsid w:val="00D24E7F"/>
    <w:rsid w:val="00D257BA"/>
    <w:rsid w:val="00D25F16"/>
    <w:rsid w:val="00D2720B"/>
    <w:rsid w:val="00D27350"/>
    <w:rsid w:val="00D2749A"/>
    <w:rsid w:val="00D279F7"/>
    <w:rsid w:val="00D27B82"/>
    <w:rsid w:val="00D31587"/>
    <w:rsid w:val="00D321C7"/>
    <w:rsid w:val="00D32444"/>
    <w:rsid w:val="00D32AB8"/>
    <w:rsid w:val="00D32F0E"/>
    <w:rsid w:val="00D3322B"/>
    <w:rsid w:val="00D334A2"/>
    <w:rsid w:val="00D334C4"/>
    <w:rsid w:val="00D334E3"/>
    <w:rsid w:val="00D3362D"/>
    <w:rsid w:val="00D339EA"/>
    <w:rsid w:val="00D33EBC"/>
    <w:rsid w:val="00D33F9A"/>
    <w:rsid w:val="00D3413D"/>
    <w:rsid w:val="00D34304"/>
    <w:rsid w:val="00D3496A"/>
    <w:rsid w:val="00D34CA3"/>
    <w:rsid w:val="00D352E3"/>
    <w:rsid w:val="00D35460"/>
    <w:rsid w:val="00D35B60"/>
    <w:rsid w:val="00D35CAF"/>
    <w:rsid w:val="00D3632C"/>
    <w:rsid w:val="00D36797"/>
    <w:rsid w:val="00D36ACE"/>
    <w:rsid w:val="00D36FF3"/>
    <w:rsid w:val="00D370F4"/>
    <w:rsid w:val="00D37984"/>
    <w:rsid w:val="00D37D2F"/>
    <w:rsid w:val="00D40522"/>
    <w:rsid w:val="00D40BC5"/>
    <w:rsid w:val="00D412F8"/>
    <w:rsid w:val="00D4168C"/>
    <w:rsid w:val="00D41AF7"/>
    <w:rsid w:val="00D41D0A"/>
    <w:rsid w:val="00D42C3F"/>
    <w:rsid w:val="00D42F70"/>
    <w:rsid w:val="00D43707"/>
    <w:rsid w:val="00D43B06"/>
    <w:rsid w:val="00D449F2"/>
    <w:rsid w:val="00D44BCE"/>
    <w:rsid w:val="00D44E76"/>
    <w:rsid w:val="00D46593"/>
    <w:rsid w:val="00D473F7"/>
    <w:rsid w:val="00D4790A"/>
    <w:rsid w:val="00D50DBE"/>
    <w:rsid w:val="00D51BFE"/>
    <w:rsid w:val="00D51F1F"/>
    <w:rsid w:val="00D525E4"/>
    <w:rsid w:val="00D527BD"/>
    <w:rsid w:val="00D53012"/>
    <w:rsid w:val="00D5365C"/>
    <w:rsid w:val="00D53878"/>
    <w:rsid w:val="00D54279"/>
    <w:rsid w:val="00D544F8"/>
    <w:rsid w:val="00D558E9"/>
    <w:rsid w:val="00D55B15"/>
    <w:rsid w:val="00D55D4A"/>
    <w:rsid w:val="00D56070"/>
    <w:rsid w:val="00D56E4F"/>
    <w:rsid w:val="00D56F43"/>
    <w:rsid w:val="00D571F2"/>
    <w:rsid w:val="00D57616"/>
    <w:rsid w:val="00D579D2"/>
    <w:rsid w:val="00D60727"/>
    <w:rsid w:val="00D6096F"/>
    <w:rsid w:val="00D60C56"/>
    <w:rsid w:val="00D60F91"/>
    <w:rsid w:val="00D61999"/>
    <w:rsid w:val="00D621E1"/>
    <w:rsid w:val="00D6283F"/>
    <w:rsid w:val="00D62977"/>
    <w:rsid w:val="00D62B52"/>
    <w:rsid w:val="00D62C20"/>
    <w:rsid w:val="00D63AB1"/>
    <w:rsid w:val="00D63D5D"/>
    <w:rsid w:val="00D64B2C"/>
    <w:rsid w:val="00D655B6"/>
    <w:rsid w:val="00D657F3"/>
    <w:rsid w:val="00D65BB8"/>
    <w:rsid w:val="00D65C21"/>
    <w:rsid w:val="00D65FA5"/>
    <w:rsid w:val="00D6623C"/>
    <w:rsid w:val="00D66E43"/>
    <w:rsid w:val="00D678DF"/>
    <w:rsid w:val="00D67FE8"/>
    <w:rsid w:val="00D71E38"/>
    <w:rsid w:val="00D71EAA"/>
    <w:rsid w:val="00D72065"/>
    <w:rsid w:val="00D72910"/>
    <w:rsid w:val="00D72A18"/>
    <w:rsid w:val="00D73543"/>
    <w:rsid w:val="00D7369D"/>
    <w:rsid w:val="00D738DE"/>
    <w:rsid w:val="00D73929"/>
    <w:rsid w:val="00D73F6B"/>
    <w:rsid w:val="00D742E8"/>
    <w:rsid w:val="00D74DC8"/>
    <w:rsid w:val="00D74F32"/>
    <w:rsid w:val="00D75014"/>
    <w:rsid w:val="00D75308"/>
    <w:rsid w:val="00D75CE5"/>
    <w:rsid w:val="00D76892"/>
    <w:rsid w:val="00D768F1"/>
    <w:rsid w:val="00D76A17"/>
    <w:rsid w:val="00D76B30"/>
    <w:rsid w:val="00D771C0"/>
    <w:rsid w:val="00D77B67"/>
    <w:rsid w:val="00D80C67"/>
    <w:rsid w:val="00D8148A"/>
    <w:rsid w:val="00D821E3"/>
    <w:rsid w:val="00D83FD0"/>
    <w:rsid w:val="00D84718"/>
    <w:rsid w:val="00D84761"/>
    <w:rsid w:val="00D84A11"/>
    <w:rsid w:val="00D8556A"/>
    <w:rsid w:val="00D8586B"/>
    <w:rsid w:val="00D85A56"/>
    <w:rsid w:val="00D85A6A"/>
    <w:rsid w:val="00D866F5"/>
    <w:rsid w:val="00D867D1"/>
    <w:rsid w:val="00D86DF9"/>
    <w:rsid w:val="00D872A8"/>
    <w:rsid w:val="00D87BAE"/>
    <w:rsid w:val="00D90C87"/>
    <w:rsid w:val="00D9135C"/>
    <w:rsid w:val="00D9187A"/>
    <w:rsid w:val="00D91EEB"/>
    <w:rsid w:val="00D91F70"/>
    <w:rsid w:val="00D929DA"/>
    <w:rsid w:val="00D93C76"/>
    <w:rsid w:val="00D9411C"/>
    <w:rsid w:val="00D9479C"/>
    <w:rsid w:val="00D94BD4"/>
    <w:rsid w:val="00D955AB"/>
    <w:rsid w:val="00D96320"/>
    <w:rsid w:val="00D96397"/>
    <w:rsid w:val="00D97CED"/>
    <w:rsid w:val="00D97E3C"/>
    <w:rsid w:val="00D97E63"/>
    <w:rsid w:val="00DA0100"/>
    <w:rsid w:val="00DA154C"/>
    <w:rsid w:val="00DA1886"/>
    <w:rsid w:val="00DA189F"/>
    <w:rsid w:val="00DA1F80"/>
    <w:rsid w:val="00DA20AB"/>
    <w:rsid w:val="00DA2195"/>
    <w:rsid w:val="00DA22CF"/>
    <w:rsid w:val="00DA24CE"/>
    <w:rsid w:val="00DA2919"/>
    <w:rsid w:val="00DA2C49"/>
    <w:rsid w:val="00DA355B"/>
    <w:rsid w:val="00DA3598"/>
    <w:rsid w:val="00DA3CFD"/>
    <w:rsid w:val="00DA3E53"/>
    <w:rsid w:val="00DA4C5E"/>
    <w:rsid w:val="00DA4DB3"/>
    <w:rsid w:val="00DA555A"/>
    <w:rsid w:val="00DA5906"/>
    <w:rsid w:val="00DA7DCC"/>
    <w:rsid w:val="00DB0C11"/>
    <w:rsid w:val="00DB15F8"/>
    <w:rsid w:val="00DB25EB"/>
    <w:rsid w:val="00DB289A"/>
    <w:rsid w:val="00DB374D"/>
    <w:rsid w:val="00DB508B"/>
    <w:rsid w:val="00DB5250"/>
    <w:rsid w:val="00DB5982"/>
    <w:rsid w:val="00DB5AE9"/>
    <w:rsid w:val="00DB641F"/>
    <w:rsid w:val="00DB645D"/>
    <w:rsid w:val="00DB6527"/>
    <w:rsid w:val="00DB7DA2"/>
    <w:rsid w:val="00DB7FBC"/>
    <w:rsid w:val="00DC04D6"/>
    <w:rsid w:val="00DC0DE4"/>
    <w:rsid w:val="00DC13EC"/>
    <w:rsid w:val="00DC1E3D"/>
    <w:rsid w:val="00DC24AA"/>
    <w:rsid w:val="00DC2D7D"/>
    <w:rsid w:val="00DC42CF"/>
    <w:rsid w:val="00DC438B"/>
    <w:rsid w:val="00DC491A"/>
    <w:rsid w:val="00DC5737"/>
    <w:rsid w:val="00DC5881"/>
    <w:rsid w:val="00DC5E4A"/>
    <w:rsid w:val="00DC63C1"/>
    <w:rsid w:val="00DC64A6"/>
    <w:rsid w:val="00DC6FBA"/>
    <w:rsid w:val="00DC75FC"/>
    <w:rsid w:val="00DD01A7"/>
    <w:rsid w:val="00DD1E9E"/>
    <w:rsid w:val="00DD2523"/>
    <w:rsid w:val="00DD31CE"/>
    <w:rsid w:val="00DD331B"/>
    <w:rsid w:val="00DD3749"/>
    <w:rsid w:val="00DD3D00"/>
    <w:rsid w:val="00DD3D8C"/>
    <w:rsid w:val="00DD4138"/>
    <w:rsid w:val="00DD43D9"/>
    <w:rsid w:val="00DD52C5"/>
    <w:rsid w:val="00DD59DA"/>
    <w:rsid w:val="00DD59DF"/>
    <w:rsid w:val="00DD5EBA"/>
    <w:rsid w:val="00DD66AA"/>
    <w:rsid w:val="00DD686C"/>
    <w:rsid w:val="00DD6970"/>
    <w:rsid w:val="00DD6E9E"/>
    <w:rsid w:val="00DD70E5"/>
    <w:rsid w:val="00DD7C5B"/>
    <w:rsid w:val="00DE01CE"/>
    <w:rsid w:val="00DE01F8"/>
    <w:rsid w:val="00DE028E"/>
    <w:rsid w:val="00DE04CD"/>
    <w:rsid w:val="00DE11FE"/>
    <w:rsid w:val="00DE1255"/>
    <w:rsid w:val="00DE2A29"/>
    <w:rsid w:val="00DE30D4"/>
    <w:rsid w:val="00DE37D3"/>
    <w:rsid w:val="00DE4090"/>
    <w:rsid w:val="00DE543A"/>
    <w:rsid w:val="00DE5553"/>
    <w:rsid w:val="00DE5B20"/>
    <w:rsid w:val="00DE639C"/>
    <w:rsid w:val="00DE65FE"/>
    <w:rsid w:val="00DE6764"/>
    <w:rsid w:val="00DE72C0"/>
    <w:rsid w:val="00DE7BF5"/>
    <w:rsid w:val="00DE7F03"/>
    <w:rsid w:val="00DF3A53"/>
    <w:rsid w:val="00DF3BD6"/>
    <w:rsid w:val="00DF4AD4"/>
    <w:rsid w:val="00DF58C7"/>
    <w:rsid w:val="00DF5FDD"/>
    <w:rsid w:val="00DF6960"/>
    <w:rsid w:val="00DF6EB5"/>
    <w:rsid w:val="00DF73D6"/>
    <w:rsid w:val="00E00105"/>
    <w:rsid w:val="00E00B63"/>
    <w:rsid w:val="00E01452"/>
    <w:rsid w:val="00E0275F"/>
    <w:rsid w:val="00E02935"/>
    <w:rsid w:val="00E02FE9"/>
    <w:rsid w:val="00E032E2"/>
    <w:rsid w:val="00E03582"/>
    <w:rsid w:val="00E03EC6"/>
    <w:rsid w:val="00E03FA5"/>
    <w:rsid w:val="00E0419F"/>
    <w:rsid w:val="00E0434B"/>
    <w:rsid w:val="00E0457C"/>
    <w:rsid w:val="00E04B0F"/>
    <w:rsid w:val="00E04C21"/>
    <w:rsid w:val="00E05C17"/>
    <w:rsid w:val="00E060E9"/>
    <w:rsid w:val="00E06511"/>
    <w:rsid w:val="00E067FD"/>
    <w:rsid w:val="00E0684C"/>
    <w:rsid w:val="00E06F6B"/>
    <w:rsid w:val="00E1029E"/>
    <w:rsid w:val="00E10CE0"/>
    <w:rsid w:val="00E113E1"/>
    <w:rsid w:val="00E12210"/>
    <w:rsid w:val="00E12F51"/>
    <w:rsid w:val="00E133C0"/>
    <w:rsid w:val="00E13F7B"/>
    <w:rsid w:val="00E14A2B"/>
    <w:rsid w:val="00E1509C"/>
    <w:rsid w:val="00E150D0"/>
    <w:rsid w:val="00E154BC"/>
    <w:rsid w:val="00E15BD2"/>
    <w:rsid w:val="00E16B0A"/>
    <w:rsid w:val="00E16DFC"/>
    <w:rsid w:val="00E17316"/>
    <w:rsid w:val="00E2012F"/>
    <w:rsid w:val="00E209DB"/>
    <w:rsid w:val="00E20DEC"/>
    <w:rsid w:val="00E210B5"/>
    <w:rsid w:val="00E21506"/>
    <w:rsid w:val="00E218C8"/>
    <w:rsid w:val="00E21942"/>
    <w:rsid w:val="00E222F7"/>
    <w:rsid w:val="00E22DCF"/>
    <w:rsid w:val="00E230B4"/>
    <w:rsid w:val="00E233F9"/>
    <w:rsid w:val="00E239B4"/>
    <w:rsid w:val="00E248BA"/>
    <w:rsid w:val="00E24E78"/>
    <w:rsid w:val="00E25463"/>
    <w:rsid w:val="00E2571F"/>
    <w:rsid w:val="00E25877"/>
    <w:rsid w:val="00E25B45"/>
    <w:rsid w:val="00E260A3"/>
    <w:rsid w:val="00E26125"/>
    <w:rsid w:val="00E26F96"/>
    <w:rsid w:val="00E277E4"/>
    <w:rsid w:val="00E27C11"/>
    <w:rsid w:val="00E27D1B"/>
    <w:rsid w:val="00E30ABC"/>
    <w:rsid w:val="00E315BD"/>
    <w:rsid w:val="00E32373"/>
    <w:rsid w:val="00E32E80"/>
    <w:rsid w:val="00E33414"/>
    <w:rsid w:val="00E335F0"/>
    <w:rsid w:val="00E33D58"/>
    <w:rsid w:val="00E33D71"/>
    <w:rsid w:val="00E33E2C"/>
    <w:rsid w:val="00E34173"/>
    <w:rsid w:val="00E345BB"/>
    <w:rsid w:val="00E357AF"/>
    <w:rsid w:val="00E35931"/>
    <w:rsid w:val="00E35E26"/>
    <w:rsid w:val="00E361E8"/>
    <w:rsid w:val="00E36323"/>
    <w:rsid w:val="00E36497"/>
    <w:rsid w:val="00E365BE"/>
    <w:rsid w:val="00E37115"/>
    <w:rsid w:val="00E37427"/>
    <w:rsid w:val="00E37F31"/>
    <w:rsid w:val="00E4012F"/>
    <w:rsid w:val="00E40200"/>
    <w:rsid w:val="00E4067A"/>
    <w:rsid w:val="00E406A5"/>
    <w:rsid w:val="00E40A5E"/>
    <w:rsid w:val="00E40AA5"/>
    <w:rsid w:val="00E40AAD"/>
    <w:rsid w:val="00E417CC"/>
    <w:rsid w:val="00E41929"/>
    <w:rsid w:val="00E4226C"/>
    <w:rsid w:val="00E42355"/>
    <w:rsid w:val="00E42678"/>
    <w:rsid w:val="00E427B4"/>
    <w:rsid w:val="00E42864"/>
    <w:rsid w:val="00E42B1A"/>
    <w:rsid w:val="00E4351C"/>
    <w:rsid w:val="00E43BFE"/>
    <w:rsid w:val="00E43CD1"/>
    <w:rsid w:val="00E445D1"/>
    <w:rsid w:val="00E4615B"/>
    <w:rsid w:val="00E46218"/>
    <w:rsid w:val="00E46339"/>
    <w:rsid w:val="00E46646"/>
    <w:rsid w:val="00E47532"/>
    <w:rsid w:val="00E47EC6"/>
    <w:rsid w:val="00E50A94"/>
    <w:rsid w:val="00E50F3A"/>
    <w:rsid w:val="00E51731"/>
    <w:rsid w:val="00E525D1"/>
    <w:rsid w:val="00E52D15"/>
    <w:rsid w:val="00E53F8A"/>
    <w:rsid w:val="00E5414C"/>
    <w:rsid w:val="00E56D82"/>
    <w:rsid w:val="00E571C9"/>
    <w:rsid w:val="00E57C59"/>
    <w:rsid w:val="00E60082"/>
    <w:rsid w:val="00E60261"/>
    <w:rsid w:val="00E6056E"/>
    <w:rsid w:val="00E60637"/>
    <w:rsid w:val="00E60E8E"/>
    <w:rsid w:val="00E619FA"/>
    <w:rsid w:val="00E61B0D"/>
    <w:rsid w:val="00E61BB1"/>
    <w:rsid w:val="00E628AC"/>
    <w:rsid w:val="00E62A34"/>
    <w:rsid w:val="00E62D8F"/>
    <w:rsid w:val="00E62FD7"/>
    <w:rsid w:val="00E633AC"/>
    <w:rsid w:val="00E63783"/>
    <w:rsid w:val="00E6426B"/>
    <w:rsid w:val="00E643F0"/>
    <w:rsid w:val="00E65B28"/>
    <w:rsid w:val="00E66EBA"/>
    <w:rsid w:val="00E704CC"/>
    <w:rsid w:val="00E71624"/>
    <w:rsid w:val="00E71C28"/>
    <w:rsid w:val="00E722AE"/>
    <w:rsid w:val="00E728BB"/>
    <w:rsid w:val="00E7348C"/>
    <w:rsid w:val="00E74746"/>
    <w:rsid w:val="00E74A65"/>
    <w:rsid w:val="00E75EC4"/>
    <w:rsid w:val="00E769DB"/>
    <w:rsid w:val="00E76FAD"/>
    <w:rsid w:val="00E773EF"/>
    <w:rsid w:val="00E80B5C"/>
    <w:rsid w:val="00E8107F"/>
    <w:rsid w:val="00E81888"/>
    <w:rsid w:val="00E81A4A"/>
    <w:rsid w:val="00E8264B"/>
    <w:rsid w:val="00E826AE"/>
    <w:rsid w:val="00E82813"/>
    <w:rsid w:val="00E82BF9"/>
    <w:rsid w:val="00E831DE"/>
    <w:rsid w:val="00E8387B"/>
    <w:rsid w:val="00E83B71"/>
    <w:rsid w:val="00E83C25"/>
    <w:rsid w:val="00E84091"/>
    <w:rsid w:val="00E8452E"/>
    <w:rsid w:val="00E84CD3"/>
    <w:rsid w:val="00E85C3B"/>
    <w:rsid w:val="00E85EF2"/>
    <w:rsid w:val="00E8673B"/>
    <w:rsid w:val="00E86870"/>
    <w:rsid w:val="00E86FAE"/>
    <w:rsid w:val="00E8730F"/>
    <w:rsid w:val="00E8797A"/>
    <w:rsid w:val="00E90017"/>
    <w:rsid w:val="00E9056C"/>
    <w:rsid w:val="00E908AD"/>
    <w:rsid w:val="00E90B81"/>
    <w:rsid w:val="00E90E29"/>
    <w:rsid w:val="00E914EE"/>
    <w:rsid w:val="00E923C0"/>
    <w:rsid w:val="00E92E58"/>
    <w:rsid w:val="00E9305F"/>
    <w:rsid w:val="00E9323E"/>
    <w:rsid w:val="00E93315"/>
    <w:rsid w:val="00E9344F"/>
    <w:rsid w:val="00E93501"/>
    <w:rsid w:val="00E9355E"/>
    <w:rsid w:val="00E939D5"/>
    <w:rsid w:val="00E939DF"/>
    <w:rsid w:val="00E93AB6"/>
    <w:rsid w:val="00E93ACF"/>
    <w:rsid w:val="00E940CD"/>
    <w:rsid w:val="00E942D6"/>
    <w:rsid w:val="00E94348"/>
    <w:rsid w:val="00E9457E"/>
    <w:rsid w:val="00E9508F"/>
    <w:rsid w:val="00E9533C"/>
    <w:rsid w:val="00E955C0"/>
    <w:rsid w:val="00E95681"/>
    <w:rsid w:val="00E956E9"/>
    <w:rsid w:val="00E95722"/>
    <w:rsid w:val="00E959E9"/>
    <w:rsid w:val="00E95FF8"/>
    <w:rsid w:val="00E96B7D"/>
    <w:rsid w:val="00E96F04"/>
    <w:rsid w:val="00E97E66"/>
    <w:rsid w:val="00E97EB5"/>
    <w:rsid w:val="00EA01F4"/>
    <w:rsid w:val="00EA1710"/>
    <w:rsid w:val="00EA1A8A"/>
    <w:rsid w:val="00EA2039"/>
    <w:rsid w:val="00EA22C3"/>
    <w:rsid w:val="00EA2C2A"/>
    <w:rsid w:val="00EA34BD"/>
    <w:rsid w:val="00EA3781"/>
    <w:rsid w:val="00EA3BB9"/>
    <w:rsid w:val="00EA4CC5"/>
    <w:rsid w:val="00EA4E55"/>
    <w:rsid w:val="00EA4F2E"/>
    <w:rsid w:val="00EA6AC9"/>
    <w:rsid w:val="00EA6C05"/>
    <w:rsid w:val="00EA7AB7"/>
    <w:rsid w:val="00EB024B"/>
    <w:rsid w:val="00EB06E9"/>
    <w:rsid w:val="00EB0CE1"/>
    <w:rsid w:val="00EB1660"/>
    <w:rsid w:val="00EB23B1"/>
    <w:rsid w:val="00EB2A63"/>
    <w:rsid w:val="00EB2B0F"/>
    <w:rsid w:val="00EB39FE"/>
    <w:rsid w:val="00EB3A68"/>
    <w:rsid w:val="00EB48AC"/>
    <w:rsid w:val="00EB4939"/>
    <w:rsid w:val="00EB4B6C"/>
    <w:rsid w:val="00EB5706"/>
    <w:rsid w:val="00EB6516"/>
    <w:rsid w:val="00EB6895"/>
    <w:rsid w:val="00EB6C2C"/>
    <w:rsid w:val="00EB706B"/>
    <w:rsid w:val="00EB70ED"/>
    <w:rsid w:val="00EB7CA3"/>
    <w:rsid w:val="00EC0254"/>
    <w:rsid w:val="00EC02E0"/>
    <w:rsid w:val="00EC0668"/>
    <w:rsid w:val="00EC0874"/>
    <w:rsid w:val="00EC0C32"/>
    <w:rsid w:val="00EC1772"/>
    <w:rsid w:val="00EC1B29"/>
    <w:rsid w:val="00EC25A0"/>
    <w:rsid w:val="00EC3840"/>
    <w:rsid w:val="00EC3A0B"/>
    <w:rsid w:val="00EC3C42"/>
    <w:rsid w:val="00EC45A2"/>
    <w:rsid w:val="00EC4969"/>
    <w:rsid w:val="00EC4F22"/>
    <w:rsid w:val="00EC56E3"/>
    <w:rsid w:val="00EC684F"/>
    <w:rsid w:val="00EC7019"/>
    <w:rsid w:val="00EC7C2F"/>
    <w:rsid w:val="00ED01B2"/>
    <w:rsid w:val="00ED0284"/>
    <w:rsid w:val="00ED0533"/>
    <w:rsid w:val="00ED09FC"/>
    <w:rsid w:val="00ED0B4A"/>
    <w:rsid w:val="00ED0D87"/>
    <w:rsid w:val="00ED0E03"/>
    <w:rsid w:val="00ED130A"/>
    <w:rsid w:val="00ED1BC9"/>
    <w:rsid w:val="00ED1E8F"/>
    <w:rsid w:val="00ED2186"/>
    <w:rsid w:val="00ED2819"/>
    <w:rsid w:val="00ED2A3A"/>
    <w:rsid w:val="00ED2B9E"/>
    <w:rsid w:val="00ED34E8"/>
    <w:rsid w:val="00ED3F2D"/>
    <w:rsid w:val="00ED3FF5"/>
    <w:rsid w:val="00ED46BC"/>
    <w:rsid w:val="00ED4F55"/>
    <w:rsid w:val="00ED5363"/>
    <w:rsid w:val="00ED5863"/>
    <w:rsid w:val="00ED5A7A"/>
    <w:rsid w:val="00ED5EF2"/>
    <w:rsid w:val="00ED62F4"/>
    <w:rsid w:val="00ED658F"/>
    <w:rsid w:val="00ED71FF"/>
    <w:rsid w:val="00ED78F4"/>
    <w:rsid w:val="00ED794B"/>
    <w:rsid w:val="00EE11FD"/>
    <w:rsid w:val="00EE1A7F"/>
    <w:rsid w:val="00EE211C"/>
    <w:rsid w:val="00EE22B3"/>
    <w:rsid w:val="00EE371F"/>
    <w:rsid w:val="00EE4076"/>
    <w:rsid w:val="00EE4FEF"/>
    <w:rsid w:val="00EE514F"/>
    <w:rsid w:val="00EE5311"/>
    <w:rsid w:val="00EE54AD"/>
    <w:rsid w:val="00EE6404"/>
    <w:rsid w:val="00EE6D15"/>
    <w:rsid w:val="00EE7C3F"/>
    <w:rsid w:val="00EF03F1"/>
    <w:rsid w:val="00EF0493"/>
    <w:rsid w:val="00EF198A"/>
    <w:rsid w:val="00EF1A35"/>
    <w:rsid w:val="00EF1CCA"/>
    <w:rsid w:val="00EF30CA"/>
    <w:rsid w:val="00EF35F9"/>
    <w:rsid w:val="00EF3C9C"/>
    <w:rsid w:val="00EF3F22"/>
    <w:rsid w:val="00EF4242"/>
    <w:rsid w:val="00EF43B9"/>
    <w:rsid w:val="00EF46B5"/>
    <w:rsid w:val="00EF48B4"/>
    <w:rsid w:val="00EF4AE6"/>
    <w:rsid w:val="00EF4C17"/>
    <w:rsid w:val="00EF4F2D"/>
    <w:rsid w:val="00EF548E"/>
    <w:rsid w:val="00EF5E43"/>
    <w:rsid w:val="00EF660E"/>
    <w:rsid w:val="00EF6828"/>
    <w:rsid w:val="00EF6D4D"/>
    <w:rsid w:val="00EF708C"/>
    <w:rsid w:val="00EF7B94"/>
    <w:rsid w:val="00EF7D78"/>
    <w:rsid w:val="00F00B04"/>
    <w:rsid w:val="00F00E73"/>
    <w:rsid w:val="00F00EEC"/>
    <w:rsid w:val="00F0135B"/>
    <w:rsid w:val="00F018D4"/>
    <w:rsid w:val="00F027E0"/>
    <w:rsid w:val="00F02D1A"/>
    <w:rsid w:val="00F02D22"/>
    <w:rsid w:val="00F033A4"/>
    <w:rsid w:val="00F03D6C"/>
    <w:rsid w:val="00F03FDB"/>
    <w:rsid w:val="00F041DA"/>
    <w:rsid w:val="00F052F2"/>
    <w:rsid w:val="00F059A3"/>
    <w:rsid w:val="00F05E4D"/>
    <w:rsid w:val="00F06024"/>
    <w:rsid w:val="00F06442"/>
    <w:rsid w:val="00F068E7"/>
    <w:rsid w:val="00F06DE7"/>
    <w:rsid w:val="00F06E37"/>
    <w:rsid w:val="00F103A9"/>
    <w:rsid w:val="00F1054F"/>
    <w:rsid w:val="00F10C15"/>
    <w:rsid w:val="00F10F00"/>
    <w:rsid w:val="00F1209C"/>
    <w:rsid w:val="00F12A02"/>
    <w:rsid w:val="00F12F21"/>
    <w:rsid w:val="00F130EB"/>
    <w:rsid w:val="00F132E6"/>
    <w:rsid w:val="00F13DC5"/>
    <w:rsid w:val="00F14C80"/>
    <w:rsid w:val="00F154F0"/>
    <w:rsid w:val="00F156EC"/>
    <w:rsid w:val="00F15F18"/>
    <w:rsid w:val="00F1676D"/>
    <w:rsid w:val="00F169EF"/>
    <w:rsid w:val="00F16BEB"/>
    <w:rsid w:val="00F17D1B"/>
    <w:rsid w:val="00F2118E"/>
    <w:rsid w:val="00F2139A"/>
    <w:rsid w:val="00F2373D"/>
    <w:rsid w:val="00F23AAC"/>
    <w:rsid w:val="00F23F64"/>
    <w:rsid w:val="00F25F88"/>
    <w:rsid w:val="00F26F15"/>
    <w:rsid w:val="00F26F65"/>
    <w:rsid w:val="00F2702E"/>
    <w:rsid w:val="00F2713B"/>
    <w:rsid w:val="00F276D9"/>
    <w:rsid w:val="00F27745"/>
    <w:rsid w:val="00F27941"/>
    <w:rsid w:val="00F27FD5"/>
    <w:rsid w:val="00F306D3"/>
    <w:rsid w:val="00F31272"/>
    <w:rsid w:val="00F31E6E"/>
    <w:rsid w:val="00F32990"/>
    <w:rsid w:val="00F32BB0"/>
    <w:rsid w:val="00F33CE7"/>
    <w:rsid w:val="00F342BB"/>
    <w:rsid w:val="00F3433B"/>
    <w:rsid w:val="00F34876"/>
    <w:rsid w:val="00F34929"/>
    <w:rsid w:val="00F34986"/>
    <w:rsid w:val="00F3535D"/>
    <w:rsid w:val="00F35DAC"/>
    <w:rsid w:val="00F35E5A"/>
    <w:rsid w:val="00F36F47"/>
    <w:rsid w:val="00F40211"/>
    <w:rsid w:val="00F40287"/>
    <w:rsid w:val="00F411AA"/>
    <w:rsid w:val="00F41577"/>
    <w:rsid w:val="00F41626"/>
    <w:rsid w:val="00F418DE"/>
    <w:rsid w:val="00F41BFE"/>
    <w:rsid w:val="00F41EC2"/>
    <w:rsid w:val="00F421F3"/>
    <w:rsid w:val="00F42F6A"/>
    <w:rsid w:val="00F4312C"/>
    <w:rsid w:val="00F4341F"/>
    <w:rsid w:val="00F43966"/>
    <w:rsid w:val="00F4437E"/>
    <w:rsid w:val="00F444CE"/>
    <w:rsid w:val="00F45006"/>
    <w:rsid w:val="00F4562D"/>
    <w:rsid w:val="00F4578C"/>
    <w:rsid w:val="00F45F7F"/>
    <w:rsid w:val="00F462F8"/>
    <w:rsid w:val="00F46A3D"/>
    <w:rsid w:val="00F46B5D"/>
    <w:rsid w:val="00F47053"/>
    <w:rsid w:val="00F47AB8"/>
    <w:rsid w:val="00F47B44"/>
    <w:rsid w:val="00F47C04"/>
    <w:rsid w:val="00F47FBC"/>
    <w:rsid w:val="00F501CE"/>
    <w:rsid w:val="00F509A6"/>
    <w:rsid w:val="00F50CEC"/>
    <w:rsid w:val="00F50E69"/>
    <w:rsid w:val="00F51085"/>
    <w:rsid w:val="00F514E8"/>
    <w:rsid w:val="00F51A9D"/>
    <w:rsid w:val="00F52B3F"/>
    <w:rsid w:val="00F53568"/>
    <w:rsid w:val="00F53A39"/>
    <w:rsid w:val="00F53E1B"/>
    <w:rsid w:val="00F53F04"/>
    <w:rsid w:val="00F53FC9"/>
    <w:rsid w:val="00F546B3"/>
    <w:rsid w:val="00F54E1A"/>
    <w:rsid w:val="00F55414"/>
    <w:rsid w:val="00F55BDF"/>
    <w:rsid w:val="00F55EC7"/>
    <w:rsid w:val="00F566A5"/>
    <w:rsid w:val="00F56949"/>
    <w:rsid w:val="00F60771"/>
    <w:rsid w:val="00F62046"/>
    <w:rsid w:val="00F621CE"/>
    <w:rsid w:val="00F62C2A"/>
    <w:rsid w:val="00F639E7"/>
    <w:rsid w:val="00F64461"/>
    <w:rsid w:val="00F647BC"/>
    <w:rsid w:val="00F64D6A"/>
    <w:rsid w:val="00F65326"/>
    <w:rsid w:val="00F65357"/>
    <w:rsid w:val="00F653C3"/>
    <w:rsid w:val="00F65617"/>
    <w:rsid w:val="00F6584F"/>
    <w:rsid w:val="00F661E3"/>
    <w:rsid w:val="00F6755F"/>
    <w:rsid w:val="00F679C6"/>
    <w:rsid w:val="00F7098D"/>
    <w:rsid w:val="00F716EE"/>
    <w:rsid w:val="00F722FA"/>
    <w:rsid w:val="00F7236C"/>
    <w:rsid w:val="00F728B2"/>
    <w:rsid w:val="00F728CA"/>
    <w:rsid w:val="00F72B22"/>
    <w:rsid w:val="00F72CC8"/>
    <w:rsid w:val="00F7340B"/>
    <w:rsid w:val="00F73DEC"/>
    <w:rsid w:val="00F74252"/>
    <w:rsid w:val="00F745C7"/>
    <w:rsid w:val="00F74969"/>
    <w:rsid w:val="00F74F97"/>
    <w:rsid w:val="00F750D2"/>
    <w:rsid w:val="00F75A08"/>
    <w:rsid w:val="00F75D38"/>
    <w:rsid w:val="00F7617D"/>
    <w:rsid w:val="00F76B61"/>
    <w:rsid w:val="00F76CA4"/>
    <w:rsid w:val="00F76E60"/>
    <w:rsid w:val="00F770B1"/>
    <w:rsid w:val="00F776C8"/>
    <w:rsid w:val="00F77D30"/>
    <w:rsid w:val="00F77EE1"/>
    <w:rsid w:val="00F80415"/>
    <w:rsid w:val="00F805F3"/>
    <w:rsid w:val="00F80D86"/>
    <w:rsid w:val="00F82584"/>
    <w:rsid w:val="00F82974"/>
    <w:rsid w:val="00F832A7"/>
    <w:rsid w:val="00F83BAF"/>
    <w:rsid w:val="00F83E33"/>
    <w:rsid w:val="00F846F2"/>
    <w:rsid w:val="00F84A81"/>
    <w:rsid w:val="00F84C02"/>
    <w:rsid w:val="00F84EB6"/>
    <w:rsid w:val="00F84F7C"/>
    <w:rsid w:val="00F851EF"/>
    <w:rsid w:val="00F85785"/>
    <w:rsid w:val="00F85E83"/>
    <w:rsid w:val="00F862BA"/>
    <w:rsid w:val="00F863F3"/>
    <w:rsid w:val="00F8690E"/>
    <w:rsid w:val="00F900B7"/>
    <w:rsid w:val="00F901D1"/>
    <w:rsid w:val="00F908A1"/>
    <w:rsid w:val="00F90EE2"/>
    <w:rsid w:val="00F91070"/>
    <w:rsid w:val="00F910A2"/>
    <w:rsid w:val="00F91651"/>
    <w:rsid w:val="00F91E1D"/>
    <w:rsid w:val="00F91E20"/>
    <w:rsid w:val="00F9215D"/>
    <w:rsid w:val="00F922AC"/>
    <w:rsid w:val="00F925F5"/>
    <w:rsid w:val="00F92E5C"/>
    <w:rsid w:val="00F92FE3"/>
    <w:rsid w:val="00F932FD"/>
    <w:rsid w:val="00F93AB5"/>
    <w:rsid w:val="00F93CD4"/>
    <w:rsid w:val="00F93F18"/>
    <w:rsid w:val="00F96309"/>
    <w:rsid w:val="00F96E5B"/>
    <w:rsid w:val="00F96E86"/>
    <w:rsid w:val="00F97647"/>
    <w:rsid w:val="00F97E40"/>
    <w:rsid w:val="00F97FDD"/>
    <w:rsid w:val="00FA08A9"/>
    <w:rsid w:val="00FA23B7"/>
    <w:rsid w:val="00FA2B57"/>
    <w:rsid w:val="00FA3192"/>
    <w:rsid w:val="00FA3578"/>
    <w:rsid w:val="00FA36CB"/>
    <w:rsid w:val="00FA38DF"/>
    <w:rsid w:val="00FA3F3A"/>
    <w:rsid w:val="00FA405C"/>
    <w:rsid w:val="00FA4B05"/>
    <w:rsid w:val="00FA4B94"/>
    <w:rsid w:val="00FA4C2B"/>
    <w:rsid w:val="00FA4EFB"/>
    <w:rsid w:val="00FA4FC9"/>
    <w:rsid w:val="00FA5730"/>
    <w:rsid w:val="00FA58A8"/>
    <w:rsid w:val="00FA62B5"/>
    <w:rsid w:val="00FA6DF8"/>
    <w:rsid w:val="00FA7257"/>
    <w:rsid w:val="00FA7B5F"/>
    <w:rsid w:val="00FA7E33"/>
    <w:rsid w:val="00FB1EEF"/>
    <w:rsid w:val="00FB2211"/>
    <w:rsid w:val="00FB254F"/>
    <w:rsid w:val="00FB25AD"/>
    <w:rsid w:val="00FB26CA"/>
    <w:rsid w:val="00FB2B5A"/>
    <w:rsid w:val="00FB2CB2"/>
    <w:rsid w:val="00FB2E97"/>
    <w:rsid w:val="00FB35B0"/>
    <w:rsid w:val="00FB44B7"/>
    <w:rsid w:val="00FB4B94"/>
    <w:rsid w:val="00FB4EC1"/>
    <w:rsid w:val="00FB5D8C"/>
    <w:rsid w:val="00FB7C5B"/>
    <w:rsid w:val="00FC13D3"/>
    <w:rsid w:val="00FC17A1"/>
    <w:rsid w:val="00FC23CD"/>
    <w:rsid w:val="00FC2959"/>
    <w:rsid w:val="00FC2DFC"/>
    <w:rsid w:val="00FC34AF"/>
    <w:rsid w:val="00FC3616"/>
    <w:rsid w:val="00FC37B2"/>
    <w:rsid w:val="00FC3A70"/>
    <w:rsid w:val="00FC3AE4"/>
    <w:rsid w:val="00FC3C44"/>
    <w:rsid w:val="00FC4796"/>
    <w:rsid w:val="00FC4BA4"/>
    <w:rsid w:val="00FC5F37"/>
    <w:rsid w:val="00FC625B"/>
    <w:rsid w:val="00FC65F0"/>
    <w:rsid w:val="00FD13D1"/>
    <w:rsid w:val="00FD1741"/>
    <w:rsid w:val="00FD1B9B"/>
    <w:rsid w:val="00FD2AA7"/>
    <w:rsid w:val="00FD2B89"/>
    <w:rsid w:val="00FD31F5"/>
    <w:rsid w:val="00FD3451"/>
    <w:rsid w:val="00FD3B5B"/>
    <w:rsid w:val="00FD3E79"/>
    <w:rsid w:val="00FD40F9"/>
    <w:rsid w:val="00FD419F"/>
    <w:rsid w:val="00FD4512"/>
    <w:rsid w:val="00FD5007"/>
    <w:rsid w:val="00FD5648"/>
    <w:rsid w:val="00FD58A4"/>
    <w:rsid w:val="00FD6058"/>
    <w:rsid w:val="00FD6BC8"/>
    <w:rsid w:val="00FD6D3B"/>
    <w:rsid w:val="00FD7321"/>
    <w:rsid w:val="00FD7A3B"/>
    <w:rsid w:val="00FD7B7F"/>
    <w:rsid w:val="00FE014E"/>
    <w:rsid w:val="00FE112F"/>
    <w:rsid w:val="00FE12A5"/>
    <w:rsid w:val="00FE1CA1"/>
    <w:rsid w:val="00FE1F3C"/>
    <w:rsid w:val="00FE2598"/>
    <w:rsid w:val="00FE2A80"/>
    <w:rsid w:val="00FE2A9F"/>
    <w:rsid w:val="00FE33A1"/>
    <w:rsid w:val="00FE36C9"/>
    <w:rsid w:val="00FE393D"/>
    <w:rsid w:val="00FE3EF4"/>
    <w:rsid w:val="00FE4A60"/>
    <w:rsid w:val="00FE55DC"/>
    <w:rsid w:val="00FE5DDA"/>
    <w:rsid w:val="00FE6100"/>
    <w:rsid w:val="00FE64DE"/>
    <w:rsid w:val="00FE660A"/>
    <w:rsid w:val="00FE68C5"/>
    <w:rsid w:val="00FE69EC"/>
    <w:rsid w:val="00FE734E"/>
    <w:rsid w:val="00FE7954"/>
    <w:rsid w:val="00FF01DC"/>
    <w:rsid w:val="00FF03D0"/>
    <w:rsid w:val="00FF0FC6"/>
    <w:rsid w:val="00FF1A15"/>
    <w:rsid w:val="00FF1A59"/>
    <w:rsid w:val="00FF3299"/>
    <w:rsid w:val="00FF3A5E"/>
    <w:rsid w:val="00FF3A85"/>
    <w:rsid w:val="00FF3D9E"/>
    <w:rsid w:val="00FF409D"/>
    <w:rsid w:val="00FF4569"/>
    <w:rsid w:val="00FF5564"/>
    <w:rsid w:val="00FF5F42"/>
    <w:rsid w:val="00FF6724"/>
    <w:rsid w:val="00FF6E45"/>
    <w:rsid w:val="00FF71A4"/>
    <w:rsid w:val="00FF7D88"/>
    <w:rsid w:val="00FF7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072DED99"/>
  <w15:docId w15:val="{8752521F-7B45-4A89-B17D-C26ED7196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20F"/>
    <w:pPr>
      <w:spacing w:after="200" w:line="276" w:lineRule="auto"/>
    </w:pPr>
    <w:rPr>
      <w:sz w:val="22"/>
      <w:szCs w:val="22"/>
      <w:lang w:val="es-ES"/>
    </w:rPr>
  </w:style>
  <w:style w:type="paragraph" w:styleId="Ttulo1">
    <w:name w:val="heading 1"/>
    <w:basedOn w:val="Normal"/>
    <w:next w:val="Normal"/>
    <w:link w:val="Ttulo1Car"/>
    <w:qFormat/>
    <w:rsid w:val="007447E3"/>
    <w:pPr>
      <w:keepNext/>
      <w:spacing w:after="0" w:line="240" w:lineRule="auto"/>
      <w:jc w:val="center"/>
      <w:outlineLvl w:val="0"/>
    </w:pPr>
    <w:rPr>
      <w:rFonts w:ascii="Times New Roman" w:eastAsia="Times New Roman" w:hAnsi="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E44B0"/>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2E44B0"/>
    <w:rPr>
      <w:rFonts w:ascii="Tahoma" w:hAnsi="Tahoma" w:cs="Tahoma"/>
      <w:sz w:val="16"/>
      <w:szCs w:val="16"/>
    </w:rPr>
  </w:style>
  <w:style w:type="paragraph" w:styleId="Textonotapie">
    <w:name w:val="footnote text"/>
    <w:aliases w:val="Footnote Text Char Char Char Char Char,Footnote Text Char Char Char Char,Footnote reference,FA Fu,texto de nota al pie,Texto nota pie Car,Footnote Text Char Char Char,Footnote Text Char Char Char Car,Footnote Text Char,Footnote Text Cha,f"/>
    <w:basedOn w:val="Normal"/>
    <w:link w:val="TextonotapieCar1"/>
    <w:semiHidden/>
    <w:rsid w:val="00952A40"/>
    <w:pPr>
      <w:spacing w:after="0" w:line="240" w:lineRule="auto"/>
    </w:pPr>
    <w:rPr>
      <w:rFonts w:ascii="Times New Roman" w:eastAsia="Times New Roman" w:hAnsi="Times New Roman"/>
      <w:sz w:val="20"/>
      <w:szCs w:val="20"/>
      <w:lang w:eastAsia="es-ES"/>
    </w:rPr>
  </w:style>
  <w:style w:type="character" w:customStyle="1" w:styleId="TextonotapieCar1">
    <w:name w:val="Texto nota pie Car1"/>
    <w:aliases w:val="Footnote Text Char Char Char Char Char Car,Footnote Text Char Char Char Char Car,Footnote reference Car,FA Fu Car,texto de nota al pie Car,Texto nota pie Car Car,Footnote Text Char Char Char Car1,Footnote Text Char Char Char Car Car"/>
    <w:link w:val="Textonotapie"/>
    <w:semiHidden/>
    <w:rsid w:val="00952A40"/>
    <w:rPr>
      <w:rFonts w:ascii="Times New Roman" w:eastAsia="Times New Roman" w:hAnsi="Times New Roman" w:cs="Times New Roman"/>
      <w:sz w:val="20"/>
      <w:szCs w:val="20"/>
      <w:lang w:eastAsia="es-ES"/>
    </w:rPr>
  </w:style>
  <w:style w:type="character" w:styleId="Refdenotaalpie">
    <w:name w:val="footnote reference"/>
    <w:semiHidden/>
    <w:rsid w:val="00952A40"/>
    <w:rPr>
      <w:vertAlign w:val="superscript"/>
    </w:rPr>
  </w:style>
  <w:style w:type="paragraph" w:styleId="Prrafodelista">
    <w:name w:val="List Paragraph"/>
    <w:basedOn w:val="Normal"/>
    <w:uiPriority w:val="34"/>
    <w:qFormat/>
    <w:rsid w:val="00742B4A"/>
    <w:pPr>
      <w:ind w:left="720"/>
      <w:contextualSpacing/>
    </w:pPr>
  </w:style>
  <w:style w:type="paragraph" w:styleId="Encabezado">
    <w:name w:val="header"/>
    <w:basedOn w:val="Normal"/>
    <w:link w:val="EncabezadoCar"/>
    <w:uiPriority w:val="99"/>
    <w:unhideWhenUsed/>
    <w:rsid w:val="0027526A"/>
    <w:pPr>
      <w:tabs>
        <w:tab w:val="center" w:pos="4252"/>
        <w:tab w:val="right" w:pos="8504"/>
      </w:tabs>
    </w:pPr>
  </w:style>
  <w:style w:type="character" w:customStyle="1" w:styleId="EncabezadoCar">
    <w:name w:val="Encabezado Car"/>
    <w:link w:val="Encabezado"/>
    <w:uiPriority w:val="99"/>
    <w:rsid w:val="0027526A"/>
    <w:rPr>
      <w:sz w:val="22"/>
      <w:szCs w:val="22"/>
      <w:lang w:eastAsia="en-US"/>
    </w:rPr>
  </w:style>
  <w:style w:type="paragraph" w:styleId="Piedepgina">
    <w:name w:val="footer"/>
    <w:basedOn w:val="Normal"/>
    <w:link w:val="PiedepginaCar"/>
    <w:uiPriority w:val="99"/>
    <w:unhideWhenUsed/>
    <w:rsid w:val="0027526A"/>
    <w:pPr>
      <w:tabs>
        <w:tab w:val="center" w:pos="4252"/>
        <w:tab w:val="right" w:pos="8504"/>
      </w:tabs>
    </w:pPr>
  </w:style>
  <w:style w:type="character" w:customStyle="1" w:styleId="PiedepginaCar">
    <w:name w:val="Pie de página Car"/>
    <w:link w:val="Piedepgina"/>
    <w:uiPriority w:val="99"/>
    <w:rsid w:val="0027526A"/>
    <w:rPr>
      <w:sz w:val="22"/>
      <w:szCs w:val="22"/>
      <w:lang w:eastAsia="en-US"/>
    </w:rPr>
  </w:style>
  <w:style w:type="character" w:customStyle="1" w:styleId="Ttulo1Car">
    <w:name w:val="Título 1 Car"/>
    <w:link w:val="Ttulo1"/>
    <w:rsid w:val="007447E3"/>
    <w:rPr>
      <w:rFonts w:ascii="Times New Roman" w:eastAsia="Times New Roman" w:hAnsi="Times New Roman"/>
      <w:b/>
      <w:bCs/>
      <w:sz w:val="24"/>
      <w:szCs w:val="24"/>
    </w:rPr>
  </w:style>
  <w:style w:type="paragraph" w:styleId="Descripcin">
    <w:name w:val="caption"/>
    <w:basedOn w:val="Normal"/>
    <w:next w:val="Normal"/>
    <w:qFormat/>
    <w:rsid w:val="007447E3"/>
    <w:pPr>
      <w:overflowPunct w:val="0"/>
      <w:autoSpaceDE w:val="0"/>
      <w:autoSpaceDN w:val="0"/>
      <w:adjustRightInd w:val="0"/>
      <w:spacing w:after="0" w:line="240" w:lineRule="auto"/>
      <w:jc w:val="right"/>
      <w:textAlignment w:val="baseline"/>
    </w:pPr>
    <w:rPr>
      <w:rFonts w:ascii="Verdana" w:eastAsia="Times New Roman" w:hAnsi="Verdana"/>
      <w:b/>
      <w:sz w:val="28"/>
      <w:szCs w:val="20"/>
      <w:lang w:val="es-ES_tradnl" w:eastAsia="es-ES"/>
    </w:rPr>
  </w:style>
  <w:style w:type="paragraph" w:customStyle="1" w:styleId="Textoindependiente21">
    <w:name w:val="Texto independiente 21"/>
    <w:basedOn w:val="Normal"/>
    <w:rsid w:val="007447E3"/>
    <w:pPr>
      <w:overflowPunct w:val="0"/>
      <w:autoSpaceDE w:val="0"/>
      <w:autoSpaceDN w:val="0"/>
      <w:adjustRightInd w:val="0"/>
      <w:spacing w:after="0" w:line="240" w:lineRule="auto"/>
      <w:jc w:val="both"/>
      <w:textAlignment w:val="baseline"/>
    </w:pPr>
    <w:rPr>
      <w:rFonts w:ascii="Arial" w:eastAsia="Times New Roman" w:hAnsi="Arial"/>
      <w:b/>
      <w:sz w:val="24"/>
      <w:szCs w:val="20"/>
      <w:lang w:val="es-ES_tradnl" w:eastAsia="es-ES"/>
    </w:rPr>
  </w:style>
  <w:style w:type="character" w:styleId="Hipervnculo">
    <w:name w:val="Hyperlink"/>
    <w:uiPriority w:val="99"/>
    <w:rsid w:val="001B3DC4"/>
    <w:rPr>
      <w:color w:val="0000FF"/>
      <w:u w:val="single"/>
    </w:rPr>
  </w:style>
  <w:style w:type="character" w:customStyle="1" w:styleId="textonavy1">
    <w:name w:val="texto_navy1"/>
    <w:rsid w:val="001B3DC4"/>
    <w:rPr>
      <w:color w:val="000080"/>
    </w:rPr>
  </w:style>
  <w:style w:type="paragraph" w:styleId="Textoindependiente">
    <w:name w:val="Body Text"/>
    <w:basedOn w:val="Normal"/>
    <w:rsid w:val="004605CD"/>
    <w:pPr>
      <w:overflowPunct w:val="0"/>
      <w:autoSpaceDE w:val="0"/>
      <w:autoSpaceDN w:val="0"/>
      <w:adjustRightInd w:val="0"/>
      <w:spacing w:after="0" w:line="360" w:lineRule="auto"/>
      <w:jc w:val="both"/>
      <w:textAlignment w:val="baseline"/>
    </w:pPr>
    <w:rPr>
      <w:rFonts w:ascii="Arial" w:eastAsia="Times New Roman" w:hAnsi="Arial" w:cs="Arial"/>
      <w:sz w:val="24"/>
      <w:szCs w:val="24"/>
    </w:rPr>
  </w:style>
  <w:style w:type="paragraph" w:styleId="HTMLconformatoprevio">
    <w:name w:val="HTML Preformatted"/>
    <w:basedOn w:val="Normal"/>
    <w:rsid w:val="00B71F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autoSpaceDE w:val="0"/>
      <w:autoSpaceDN w:val="0"/>
      <w:adjustRightInd w:val="0"/>
      <w:spacing w:after="0" w:line="240" w:lineRule="auto"/>
    </w:pPr>
    <w:rPr>
      <w:rFonts w:ascii="Courier New" w:eastAsia="Times New Roman" w:hAnsi="Courier New" w:cs="Courier New"/>
      <w:sz w:val="20"/>
      <w:szCs w:val="20"/>
      <w:lang w:eastAsia="es-ES"/>
    </w:rPr>
  </w:style>
  <w:style w:type="character" w:styleId="Nmerodepgina">
    <w:name w:val="page number"/>
    <w:basedOn w:val="Fuentedeprrafopredeter"/>
    <w:rsid w:val="005B2F5B"/>
  </w:style>
  <w:style w:type="paragraph" w:customStyle="1" w:styleId="textocaja">
    <w:name w:val="textocaja"/>
    <w:basedOn w:val="Normal"/>
    <w:rsid w:val="00B66AD2"/>
    <w:pPr>
      <w:spacing w:before="100" w:beforeAutospacing="1" w:after="100" w:afterAutospacing="1" w:line="240" w:lineRule="auto"/>
      <w:jc w:val="both"/>
    </w:pPr>
    <w:rPr>
      <w:rFonts w:ascii="Georgia" w:eastAsia="Times New Roman" w:hAnsi="Georgia"/>
      <w:lang w:eastAsia="es-ES"/>
    </w:rPr>
  </w:style>
  <w:style w:type="paragraph" w:customStyle="1" w:styleId="ParrafoCdeE">
    <w:name w:val="Parrafo C de E"/>
    <w:basedOn w:val="Normal"/>
    <w:rsid w:val="002671D5"/>
    <w:pPr>
      <w:tabs>
        <w:tab w:val="left" w:pos="2127"/>
      </w:tabs>
      <w:overflowPunct w:val="0"/>
      <w:autoSpaceDE w:val="0"/>
      <w:autoSpaceDN w:val="0"/>
      <w:adjustRightInd w:val="0"/>
      <w:spacing w:after="0" w:line="360" w:lineRule="auto"/>
      <w:ind w:firstLine="1418"/>
      <w:jc w:val="both"/>
      <w:textAlignment w:val="baseline"/>
    </w:pPr>
    <w:rPr>
      <w:rFonts w:ascii="Arial" w:eastAsia="Times New Roman" w:hAnsi="Arial"/>
      <w:sz w:val="24"/>
      <w:szCs w:val="20"/>
      <w:lang w:val="es-ES_tradnl" w:eastAsia="es-ES"/>
    </w:rPr>
  </w:style>
  <w:style w:type="paragraph" w:styleId="NormalWeb">
    <w:name w:val="Normal (Web)"/>
    <w:basedOn w:val="Normal"/>
    <w:uiPriority w:val="99"/>
    <w:rsid w:val="00EB024B"/>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Style47">
    <w:name w:val="Style47"/>
    <w:basedOn w:val="Normal"/>
    <w:rsid w:val="00752BC7"/>
    <w:pPr>
      <w:widowControl w:val="0"/>
      <w:autoSpaceDE w:val="0"/>
      <w:autoSpaceDN w:val="0"/>
      <w:adjustRightInd w:val="0"/>
      <w:spacing w:after="0" w:line="235" w:lineRule="exact"/>
    </w:pPr>
    <w:rPr>
      <w:rFonts w:ascii="Trebuchet MS" w:eastAsia="Times New Roman" w:hAnsi="Trebuchet MS"/>
      <w:sz w:val="24"/>
      <w:szCs w:val="24"/>
      <w:lang w:eastAsia="es-ES"/>
    </w:rPr>
  </w:style>
  <w:style w:type="character" w:customStyle="1" w:styleId="FontStyle144">
    <w:name w:val="Font Style144"/>
    <w:rsid w:val="00752BC7"/>
    <w:rPr>
      <w:rFonts w:ascii="Times New Roman" w:hAnsi="Times New Roman" w:cs="Times New Roman"/>
      <w:i/>
      <w:iCs/>
      <w:sz w:val="20"/>
      <w:szCs w:val="20"/>
    </w:rPr>
  </w:style>
  <w:style w:type="paragraph" w:customStyle="1" w:styleId="Textoindependiente22">
    <w:name w:val="Texto independiente 22"/>
    <w:basedOn w:val="Normal"/>
    <w:rsid w:val="004B38E9"/>
    <w:pPr>
      <w:spacing w:before="240" w:after="0" w:line="240" w:lineRule="auto"/>
      <w:jc w:val="both"/>
    </w:pPr>
    <w:rPr>
      <w:rFonts w:ascii="Arial" w:eastAsia="Times New Roman" w:hAnsi="Arial"/>
      <w:sz w:val="28"/>
      <w:szCs w:val="20"/>
      <w:lang w:eastAsia="es-ES"/>
    </w:rPr>
  </w:style>
  <w:style w:type="paragraph" w:customStyle="1" w:styleId="Default">
    <w:name w:val="Default"/>
    <w:rsid w:val="008C1BA9"/>
    <w:pPr>
      <w:autoSpaceDE w:val="0"/>
      <w:autoSpaceDN w:val="0"/>
      <w:adjustRightInd w:val="0"/>
    </w:pPr>
    <w:rPr>
      <w:rFonts w:ascii="Arial" w:eastAsia="Times New Roman" w:hAnsi="Arial" w:cs="Arial"/>
      <w:color w:val="000000"/>
      <w:sz w:val="24"/>
      <w:szCs w:val="24"/>
      <w:lang w:val="es-ES" w:eastAsia="es-ES"/>
    </w:rPr>
  </w:style>
  <w:style w:type="paragraph" w:styleId="Textoindependiente2">
    <w:name w:val="Body Text 2"/>
    <w:basedOn w:val="Normal"/>
    <w:rsid w:val="00ED1BC9"/>
    <w:pPr>
      <w:spacing w:after="120" w:line="480" w:lineRule="auto"/>
    </w:pPr>
  </w:style>
  <w:style w:type="paragraph" w:customStyle="1" w:styleId="BodyText21">
    <w:name w:val="Body Text 21"/>
    <w:basedOn w:val="Normal"/>
    <w:rsid w:val="00ED1BC9"/>
    <w:pPr>
      <w:overflowPunct w:val="0"/>
      <w:autoSpaceDE w:val="0"/>
      <w:autoSpaceDN w:val="0"/>
      <w:adjustRightInd w:val="0"/>
      <w:spacing w:after="0" w:line="480" w:lineRule="auto"/>
      <w:jc w:val="both"/>
      <w:textAlignment w:val="baseline"/>
    </w:pPr>
    <w:rPr>
      <w:rFonts w:ascii="Arial" w:eastAsia="Times New Roman" w:hAnsi="Arial"/>
      <w:sz w:val="24"/>
      <w:szCs w:val="20"/>
      <w:lang w:val="es-ES_tradnl" w:eastAsia="es-ES"/>
    </w:rPr>
  </w:style>
  <w:style w:type="paragraph" w:customStyle="1" w:styleId="BodyText23">
    <w:name w:val="Body Text 23"/>
    <w:basedOn w:val="Normal"/>
    <w:rsid w:val="00ED1BC9"/>
    <w:pPr>
      <w:autoSpaceDE w:val="0"/>
      <w:autoSpaceDN w:val="0"/>
      <w:spacing w:after="0" w:line="240" w:lineRule="auto"/>
      <w:ind w:right="51"/>
      <w:jc w:val="both"/>
    </w:pPr>
    <w:rPr>
      <w:rFonts w:ascii="Times New Roman" w:eastAsia="Times New Roman" w:hAnsi="Times New Roman"/>
      <w:sz w:val="28"/>
      <w:szCs w:val="28"/>
      <w:lang w:eastAsia="es-ES"/>
    </w:rPr>
  </w:style>
  <w:style w:type="paragraph" w:customStyle="1" w:styleId="Textodebloque1">
    <w:name w:val="Texto de bloque1"/>
    <w:basedOn w:val="Normal"/>
    <w:rsid w:val="00452F46"/>
    <w:pPr>
      <w:overflowPunct w:val="0"/>
      <w:autoSpaceDE w:val="0"/>
      <w:autoSpaceDN w:val="0"/>
      <w:adjustRightInd w:val="0"/>
      <w:spacing w:after="0" w:line="360" w:lineRule="auto"/>
      <w:ind w:left="540" w:right="404"/>
      <w:jc w:val="both"/>
      <w:textAlignment w:val="baseline"/>
    </w:pPr>
    <w:rPr>
      <w:rFonts w:ascii="Times New Roman" w:eastAsia="Times New Roman" w:hAnsi="Times New Roman"/>
      <w:sz w:val="28"/>
      <w:szCs w:val="20"/>
      <w:lang w:eastAsia="es-ES"/>
    </w:rPr>
  </w:style>
  <w:style w:type="character" w:customStyle="1" w:styleId="TextonotapieCarCarCar">
    <w:name w:val="Texto nota pie Car Car Car"/>
    <w:semiHidden/>
    <w:rsid w:val="005F0627"/>
    <w:rPr>
      <w:lang w:val="es-CO" w:eastAsia="es-ES" w:bidi="ar-SA"/>
    </w:rPr>
  </w:style>
  <w:style w:type="character" w:customStyle="1" w:styleId="textored1">
    <w:name w:val="texto_red1"/>
    <w:rsid w:val="008A383D"/>
    <w:rPr>
      <w:color w:val="FF0000"/>
    </w:rPr>
  </w:style>
  <w:style w:type="character" w:customStyle="1" w:styleId="FootnoteTextCharCharCharCharCharCar1">
    <w:name w:val="Footnote Text Char Char Char Char Char Car1"/>
    <w:aliases w:val="Footnote Text Char Char Char Char Car1,Ref. de nota al pie1 Car1,FA Fu Car1,texto de nota al pie Car1,referencia nota al pie Car,Texto de nota al pie Car,Footnotes refss Car,BVI fnr Car"/>
    <w:locked/>
    <w:rsid w:val="002357BC"/>
    <w:rPr>
      <w:rFonts w:cs="Times New Roman"/>
      <w:sz w:val="20"/>
      <w:szCs w:val="20"/>
    </w:rPr>
  </w:style>
  <w:style w:type="paragraph" w:customStyle="1" w:styleId="NormalJustificado">
    <w:name w:val="Normal + Justificado"/>
    <w:basedOn w:val="Normal"/>
    <w:rsid w:val="00F46A3D"/>
    <w:pPr>
      <w:overflowPunct w:val="0"/>
      <w:autoSpaceDE w:val="0"/>
      <w:autoSpaceDN w:val="0"/>
      <w:adjustRightInd w:val="0"/>
      <w:spacing w:after="0" w:line="240" w:lineRule="auto"/>
      <w:jc w:val="both"/>
      <w:textAlignment w:val="baseline"/>
    </w:pPr>
    <w:rPr>
      <w:rFonts w:ascii="Times New Roman" w:eastAsia="Times New Roman" w:hAnsi="Times New Roman"/>
      <w:sz w:val="28"/>
      <w:szCs w:val="28"/>
      <w:u w:val="single"/>
      <w:lang w:eastAsia="es-ES"/>
    </w:rPr>
  </w:style>
  <w:style w:type="paragraph" w:customStyle="1" w:styleId="msonorma">
    <w:name w:val="msonorma"/>
    <w:basedOn w:val="Normal"/>
    <w:rsid w:val="00A050B9"/>
    <w:pPr>
      <w:spacing w:before="100" w:beforeAutospacing="1" w:after="100" w:afterAutospacing="1" w:line="240" w:lineRule="auto"/>
    </w:pPr>
    <w:rPr>
      <w:rFonts w:ascii="Times New Roman" w:eastAsia="Times New Roman" w:hAnsi="Times New Roman"/>
      <w:sz w:val="24"/>
      <w:szCs w:val="24"/>
      <w:lang w:eastAsia="es-ES"/>
    </w:rPr>
  </w:style>
  <w:style w:type="paragraph" w:customStyle="1" w:styleId="Normal1">
    <w:name w:val="Normal1"/>
    <w:rsid w:val="00D334A2"/>
    <w:pPr>
      <w:spacing w:line="276" w:lineRule="auto"/>
    </w:pPr>
    <w:rPr>
      <w:rFonts w:ascii="Arial" w:eastAsia="Arial" w:hAnsi="Arial" w:cs="Arial"/>
      <w:color w:val="000000"/>
      <w:sz w:val="22"/>
      <w:szCs w:val="22"/>
      <w:lang w:val="es-ES" w:eastAsia="es-ES"/>
    </w:rPr>
  </w:style>
  <w:style w:type="paragraph" w:styleId="Revisin">
    <w:name w:val="Revision"/>
    <w:hidden/>
    <w:uiPriority w:val="99"/>
    <w:semiHidden/>
    <w:rsid w:val="002A06FC"/>
    <w:rPr>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989814">
      <w:bodyDiv w:val="1"/>
      <w:marLeft w:val="178"/>
      <w:marRight w:val="178"/>
      <w:marTop w:val="178"/>
      <w:marBottom w:val="178"/>
      <w:divBdr>
        <w:top w:val="none" w:sz="0" w:space="0" w:color="auto"/>
        <w:left w:val="none" w:sz="0" w:space="0" w:color="auto"/>
        <w:bottom w:val="none" w:sz="0" w:space="0" w:color="auto"/>
        <w:right w:val="none" w:sz="0" w:space="0" w:color="auto"/>
      </w:divBdr>
      <w:divsChild>
        <w:div w:id="697051518">
          <w:marLeft w:val="0"/>
          <w:marRight w:val="0"/>
          <w:marTop w:val="0"/>
          <w:marBottom w:val="0"/>
          <w:divBdr>
            <w:top w:val="none" w:sz="0" w:space="0" w:color="auto"/>
            <w:left w:val="none" w:sz="0" w:space="0" w:color="auto"/>
            <w:bottom w:val="none" w:sz="0" w:space="0" w:color="auto"/>
            <w:right w:val="none" w:sz="0" w:space="0" w:color="auto"/>
          </w:divBdr>
        </w:div>
        <w:div w:id="1337924177">
          <w:marLeft w:val="0"/>
          <w:marRight w:val="0"/>
          <w:marTop w:val="0"/>
          <w:marBottom w:val="0"/>
          <w:divBdr>
            <w:top w:val="none" w:sz="0" w:space="0" w:color="auto"/>
            <w:left w:val="none" w:sz="0" w:space="0" w:color="auto"/>
            <w:bottom w:val="none" w:sz="0" w:space="0" w:color="auto"/>
            <w:right w:val="none" w:sz="0" w:space="0" w:color="auto"/>
          </w:divBdr>
        </w:div>
        <w:div w:id="1839229716">
          <w:marLeft w:val="0"/>
          <w:marRight w:val="0"/>
          <w:marTop w:val="0"/>
          <w:marBottom w:val="0"/>
          <w:divBdr>
            <w:top w:val="none" w:sz="0" w:space="0" w:color="auto"/>
            <w:left w:val="none" w:sz="0" w:space="0" w:color="auto"/>
            <w:bottom w:val="none" w:sz="0" w:space="0" w:color="auto"/>
            <w:right w:val="none" w:sz="0" w:space="0" w:color="auto"/>
          </w:divBdr>
        </w:div>
      </w:divsChild>
    </w:div>
    <w:div w:id="92821670">
      <w:bodyDiv w:val="1"/>
      <w:marLeft w:val="150"/>
      <w:marRight w:val="150"/>
      <w:marTop w:val="150"/>
      <w:marBottom w:val="150"/>
      <w:divBdr>
        <w:top w:val="none" w:sz="0" w:space="0" w:color="auto"/>
        <w:left w:val="none" w:sz="0" w:space="0" w:color="auto"/>
        <w:bottom w:val="none" w:sz="0" w:space="0" w:color="auto"/>
        <w:right w:val="none" w:sz="0" w:space="0" w:color="auto"/>
      </w:divBdr>
      <w:divsChild>
        <w:div w:id="367226027">
          <w:marLeft w:val="0"/>
          <w:marRight w:val="0"/>
          <w:marTop w:val="0"/>
          <w:marBottom w:val="0"/>
          <w:divBdr>
            <w:top w:val="none" w:sz="0" w:space="0" w:color="auto"/>
            <w:left w:val="none" w:sz="0" w:space="0" w:color="auto"/>
            <w:bottom w:val="none" w:sz="0" w:space="0" w:color="auto"/>
            <w:right w:val="none" w:sz="0" w:space="0" w:color="auto"/>
          </w:divBdr>
        </w:div>
      </w:divsChild>
    </w:div>
    <w:div w:id="94525812">
      <w:bodyDiv w:val="1"/>
      <w:marLeft w:val="178"/>
      <w:marRight w:val="178"/>
      <w:marTop w:val="178"/>
      <w:marBottom w:val="178"/>
      <w:divBdr>
        <w:top w:val="none" w:sz="0" w:space="0" w:color="auto"/>
        <w:left w:val="none" w:sz="0" w:space="0" w:color="auto"/>
        <w:bottom w:val="none" w:sz="0" w:space="0" w:color="auto"/>
        <w:right w:val="none" w:sz="0" w:space="0" w:color="auto"/>
      </w:divBdr>
      <w:divsChild>
        <w:div w:id="310645252">
          <w:marLeft w:val="0"/>
          <w:marRight w:val="0"/>
          <w:marTop w:val="0"/>
          <w:marBottom w:val="0"/>
          <w:divBdr>
            <w:top w:val="none" w:sz="0" w:space="0" w:color="auto"/>
            <w:left w:val="none" w:sz="0" w:space="0" w:color="auto"/>
            <w:bottom w:val="none" w:sz="0" w:space="0" w:color="auto"/>
            <w:right w:val="none" w:sz="0" w:space="0" w:color="auto"/>
          </w:divBdr>
        </w:div>
        <w:div w:id="1005742017">
          <w:marLeft w:val="0"/>
          <w:marRight w:val="0"/>
          <w:marTop w:val="0"/>
          <w:marBottom w:val="0"/>
          <w:divBdr>
            <w:top w:val="none" w:sz="0" w:space="0" w:color="auto"/>
            <w:left w:val="none" w:sz="0" w:space="0" w:color="auto"/>
            <w:bottom w:val="none" w:sz="0" w:space="0" w:color="auto"/>
            <w:right w:val="none" w:sz="0" w:space="0" w:color="auto"/>
          </w:divBdr>
        </w:div>
        <w:div w:id="2143422798">
          <w:marLeft w:val="0"/>
          <w:marRight w:val="0"/>
          <w:marTop w:val="0"/>
          <w:marBottom w:val="0"/>
          <w:divBdr>
            <w:top w:val="none" w:sz="0" w:space="0" w:color="auto"/>
            <w:left w:val="none" w:sz="0" w:space="0" w:color="auto"/>
            <w:bottom w:val="none" w:sz="0" w:space="0" w:color="auto"/>
            <w:right w:val="none" w:sz="0" w:space="0" w:color="auto"/>
          </w:divBdr>
        </w:div>
      </w:divsChild>
    </w:div>
    <w:div w:id="9786862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548037">
          <w:marLeft w:val="0"/>
          <w:marRight w:val="0"/>
          <w:marTop w:val="0"/>
          <w:marBottom w:val="0"/>
          <w:divBdr>
            <w:top w:val="none" w:sz="0" w:space="0" w:color="auto"/>
            <w:left w:val="none" w:sz="0" w:space="0" w:color="auto"/>
            <w:bottom w:val="none" w:sz="0" w:space="0" w:color="auto"/>
            <w:right w:val="none" w:sz="0" w:space="0" w:color="auto"/>
          </w:divBdr>
        </w:div>
        <w:div w:id="34621646">
          <w:marLeft w:val="0"/>
          <w:marRight w:val="0"/>
          <w:marTop w:val="0"/>
          <w:marBottom w:val="0"/>
          <w:divBdr>
            <w:top w:val="none" w:sz="0" w:space="0" w:color="auto"/>
            <w:left w:val="none" w:sz="0" w:space="0" w:color="auto"/>
            <w:bottom w:val="none" w:sz="0" w:space="0" w:color="auto"/>
            <w:right w:val="none" w:sz="0" w:space="0" w:color="auto"/>
          </w:divBdr>
        </w:div>
        <w:div w:id="59207625">
          <w:marLeft w:val="0"/>
          <w:marRight w:val="0"/>
          <w:marTop w:val="0"/>
          <w:marBottom w:val="0"/>
          <w:divBdr>
            <w:top w:val="none" w:sz="0" w:space="0" w:color="auto"/>
            <w:left w:val="none" w:sz="0" w:space="0" w:color="auto"/>
            <w:bottom w:val="none" w:sz="0" w:space="0" w:color="auto"/>
            <w:right w:val="none" w:sz="0" w:space="0" w:color="auto"/>
          </w:divBdr>
        </w:div>
        <w:div w:id="74672289">
          <w:marLeft w:val="0"/>
          <w:marRight w:val="0"/>
          <w:marTop w:val="0"/>
          <w:marBottom w:val="0"/>
          <w:divBdr>
            <w:top w:val="none" w:sz="0" w:space="0" w:color="auto"/>
            <w:left w:val="none" w:sz="0" w:space="0" w:color="auto"/>
            <w:bottom w:val="none" w:sz="0" w:space="0" w:color="auto"/>
            <w:right w:val="none" w:sz="0" w:space="0" w:color="auto"/>
          </w:divBdr>
        </w:div>
        <w:div w:id="122697802">
          <w:marLeft w:val="0"/>
          <w:marRight w:val="0"/>
          <w:marTop w:val="0"/>
          <w:marBottom w:val="0"/>
          <w:divBdr>
            <w:top w:val="none" w:sz="0" w:space="0" w:color="auto"/>
            <w:left w:val="none" w:sz="0" w:space="0" w:color="auto"/>
            <w:bottom w:val="none" w:sz="0" w:space="0" w:color="auto"/>
            <w:right w:val="none" w:sz="0" w:space="0" w:color="auto"/>
          </w:divBdr>
        </w:div>
        <w:div w:id="137695937">
          <w:marLeft w:val="0"/>
          <w:marRight w:val="0"/>
          <w:marTop w:val="0"/>
          <w:marBottom w:val="0"/>
          <w:divBdr>
            <w:top w:val="none" w:sz="0" w:space="0" w:color="auto"/>
            <w:left w:val="none" w:sz="0" w:space="0" w:color="auto"/>
            <w:bottom w:val="none" w:sz="0" w:space="0" w:color="auto"/>
            <w:right w:val="none" w:sz="0" w:space="0" w:color="auto"/>
          </w:divBdr>
        </w:div>
        <w:div w:id="159467538">
          <w:marLeft w:val="0"/>
          <w:marRight w:val="0"/>
          <w:marTop w:val="0"/>
          <w:marBottom w:val="0"/>
          <w:divBdr>
            <w:top w:val="none" w:sz="0" w:space="0" w:color="auto"/>
            <w:left w:val="none" w:sz="0" w:space="0" w:color="auto"/>
            <w:bottom w:val="none" w:sz="0" w:space="0" w:color="auto"/>
            <w:right w:val="none" w:sz="0" w:space="0" w:color="auto"/>
          </w:divBdr>
        </w:div>
        <w:div w:id="196428114">
          <w:marLeft w:val="0"/>
          <w:marRight w:val="0"/>
          <w:marTop w:val="0"/>
          <w:marBottom w:val="0"/>
          <w:divBdr>
            <w:top w:val="none" w:sz="0" w:space="0" w:color="auto"/>
            <w:left w:val="none" w:sz="0" w:space="0" w:color="auto"/>
            <w:bottom w:val="none" w:sz="0" w:space="0" w:color="auto"/>
            <w:right w:val="none" w:sz="0" w:space="0" w:color="auto"/>
          </w:divBdr>
        </w:div>
        <w:div w:id="224075648">
          <w:marLeft w:val="0"/>
          <w:marRight w:val="0"/>
          <w:marTop w:val="0"/>
          <w:marBottom w:val="0"/>
          <w:divBdr>
            <w:top w:val="none" w:sz="0" w:space="0" w:color="auto"/>
            <w:left w:val="none" w:sz="0" w:space="0" w:color="auto"/>
            <w:bottom w:val="none" w:sz="0" w:space="0" w:color="auto"/>
            <w:right w:val="none" w:sz="0" w:space="0" w:color="auto"/>
          </w:divBdr>
        </w:div>
        <w:div w:id="239489784">
          <w:marLeft w:val="0"/>
          <w:marRight w:val="0"/>
          <w:marTop w:val="0"/>
          <w:marBottom w:val="0"/>
          <w:divBdr>
            <w:top w:val="none" w:sz="0" w:space="0" w:color="auto"/>
            <w:left w:val="none" w:sz="0" w:space="0" w:color="auto"/>
            <w:bottom w:val="none" w:sz="0" w:space="0" w:color="auto"/>
            <w:right w:val="none" w:sz="0" w:space="0" w:color="auto"/>
          </w:divBdr>
        </w:div>
        <w:div w:id="265890842">
          <w:marLeft w:val="0"/>
          <w:marRight w:val="0"/>
          <w:marTop w:val="0"/>
          <w:marBottom w:val="0"/>
          <w:divBdr>
            <w:top w:val="none" w:sz="0" w:space="0" w:color="auto"/>
            <w:left w:val="none" w:sz="0" w:space="0" w:color="auto"/>
            <w:bottom w:val="none" w:sz="0" w:space="0" w:color="auto"/>
            <w:right w:val="none" w:sz="0" w:space="0" w:color="auto"/>
          </w:divBdr>
        </w:div>
        <w:div w:id="267812734">
          <w:marLeft w:val="0"/>
          <w:marRight w:val="0"/>
          <w:marTop w:val="0"/>
          <w:marBottom w:val="0"/>
          <w:divBdr>
            <w:top w:val="none" w:sz="0" w:space="0" w:color="auto"/>
            <w:left w:val="none" w:sz="0" w:space="0" w:color="auto"/>
            <w:bottom w:val="none" w:sz="0" w:space="0" w:color="auto"/>
            <w:right w:val="none" w:sz="0" w:space="0" w:color="auto"/>
          </w:divBdr>
        </w:div>
        <w:div w:id="316812204">
          <w:marLeft w:val="0"/>
          <w:marRight w:val="0"/>
          <w:marTop w:val="0"/>
          <w:marBottom w:val="0"/>
          <w:divBdr>
            <w:top w:val="none" w:sz="0" w:space="0" w:color="auto"/>
            <w:left w:val="none" w:sz="0" w:space="0" w:color="auto"/>
            <w:bottom w:val="none" w:sz="0" w:space="0" w:color="auto"/>
            <w:right w:val="none" w:sz="0" w:space="0" w:color="auto"/>
          </w:divBdr>
        </w:div>
        <w:div w:id="380985840">
          <w:marLeft w:val="0"/>
          <w:marRight w:val="0"/>
          <w:marTop w:val="0"/>
          <w:marBottom w:val="0"/>
          <w:divBdr>
            <w:top w:val="none" w:sz="0" w:space="0" w:color="auto"/>
            <w:left w:val="none" w:sz="0" w:space="0" w:color="auto"/>
            <w:bottom w:val="none" w:sz="0" w:space="0" w:color="auto"/>
            <w:right w:val="none" w:sz="0" w:space="0" w:color="auto"/>
          </w:divBdr>
        </w:div>
        <w:div w:id="395013606">
          <w:marLeft w:val="0"/>
          <w:marRight w:val="0"/>
          <w:marTop w:val="0"/>
          <w:marBottom w:val="0"/>
          <w:divBdr>
            <w:top w:val="none" w:sz="0" w:space="0" w:color="auto"/>
            <w:left w:val="none" w:sz="0" w:space="0" w:color="auto"/>
            <w:bottom w:val="none" w:sz="0" w:space="0" w:color="auto"/>
            <w:right w:val="none" w:sz="0" w:space="0" w:color="auto"/>
          </w:divBdr>
        </w:div>
        <w:div w:id="572928381">
          <w:marLeft w:val="0"/>
          <w:marRight w:val="0"/>
          <w:marTop w:val="0"/>
          <w:marBottom w:val="0"/>
          <w:divBdr>
            <w:top w:val="none" w:sz="0" w:space="0" w:color="auto"/>
            <w:left w:val="none" w:sz="0" w:space="0" w:color="auto"/>
            <w:bottom w:val="none" w:sz="0" w:space="0" w:color="auto"/>
            <w:right w:val="none" w:sz="0" w:space="0" w:color="auto"/>
          </w:divBdr>
        </w:div>
        <w:div w:id="585190538">
          <w:marLeft w:val="0"/>
          <w:marRight w:val="0"/>
          <w:marTop w:val="0"/>
          <w:marBottom w:val="0"/>
          <w:divBdr>
            <w:top w:val="none" w:sz="0" w:space="0" w:color="auto"/>
            <w:left w:val="none" w:sz="0" w:space="0" w:color="auto"/>
            <w:bottom w:val="none" w:sz="0" w:space="0" w:color="auto"/>
            <w:right w:val="none" w:sz="0" w:space="0" w:color="auto"/>
          </w:divBdr>
        </w:div>
        <w:div w:id="625694556">
          <w:marLeft w:val="0"/>
          <w:marRight w:val="0"/>
          <w:marTop w:val="0"/>
          <w:marBottom w:val="0"/>
          <w:divBdr>
            <w:top w:val="none" w:sz="0" w:space="0" w:color="auto"/>
            <w:left w:val="none" w:sz="0" w:space="0" w:color="auto"/>
            <w:bottom w:val="none" w:sz="0" w:space="0" w:color="auto"/>
            <w:right w:val="none" w:sz="0" w:space="0" w:color="auto"/>
          </w:divBdr>
        </w:div>
        <w:div w:id="625890217">
          <w:marLeft w:val="0"/>
          <w:marRight w:val="0"/>
          <w:marTop w:val="0"/>
          <w:marBottom w:val="0"/>
          <w:divBdr>
            <w:top w:val="none" w:sz="0" w:space="0" w:color="auto"/>
            <w:left w:val="none" w:sz="0" w:space="0" w:color="auto"/>
            <w:bottom w:val="none" w:sz="0" w:space="0" w:color="auto"/>
            <w:right w:val="none" w:sz="0" w:space="0" w:color="auto"/>
          </w:divBdr>
        </w:div>
        <w:div w:id="628901394">
          <w:marLeft w:val="0"/>
          <w:marRight w:val="0"/>
          <w:marTop w:val="0"/>
          <w:marBottom w:val="0"/>
          <w:divBdr>
            <w:top w:val="none" w:sz="0" w:space="0" w:color="auto"/>
            <w:left w:val="none" w:sz="0" w:space="0" w:color="auto"/>
            <w:bottom w:val="none" w:sz="0" w:space="0" w:color="auto"/>
            <w:right w:val="none" w:sz="0" w:space="0" w:color="auto"/>
          </w:divBdr>
        </w:div>
        <w:div w:id="643198177">
          <w:marLeft w:val="0"/>
          <w:marRight w:val="0"/>
          <w:marTop w:val="0"/>
          <w:marBottom w:val="0"/>
          <w:divBdr>
            <w:top w:val="none" w:sz="0" w:space="0" w:color="auto"/>
            <w:left w:val="none" w:sz="0" w:space="0" w:color="auto"/>
            <w:bottom w:val="none" w:sz="0" w:space="0" w:color="auto"/>
            <w:right w:val="none" w:sz="0" w:space="0" w:color="auto"/>
          </w:divBdr>
        </w:div>
        <w:div w:id="646671853">
          <w:marLeft w:val="0"/>
          <w:marRight w:val="0"/>
          <w:marTop w:val="0"/>
          <w:marBottom w:val="0"/>
          <w:divBdr>
            <w:top w:val="none" w:sz="0" w:space="0" w:color="auto"/>
            <w:left w:val="none" w:sz="0" w:space="0" w:color="auto"/>
            <w:bottom w:val="none" w:sz="0" w:space="0" w:color="auto"/>
            <w:right w:val="none" w:sz="0" w:space="0" w:color="auto"/>
          </w:divBdr>
        </w:div>
        <w:div w:id="668680061">
          <w:marLeft w:val="0"/>
          <w:marRight w:val="0"/>
          <w:marTop w:val="0"/>
          <w:marBottom w:val="0"/>
          <w:divBdr>
            <w:top w:val="none" w:sz="0" w:space="0" w:color="auto"/>
            <w:left w:val="none" w:sz="0" w:space="0" w:color="auto"/>
            <w:bottom w:val="none" w:sz="0" w:space="0" w:color="auto"/>
            <w:right w:val="none" w:sz="0" w:space="0" w:color="auto"/>
          </w:divBdr>
        </w:div>
        <w:div w:id="683435705">
          <w:marLeft w:val="0"/>
          <w:marRight w:val="0"/>
          <w:marTop w:val="0"/>
          <w:marBottom w:val="0"/>
          <w:divBdr>
            <w:top w:val="none" w:sz="0" w:space="0" w:color="auto"/>
            <w:left w:val="none" w:sz="0" w:space="0" w:color="auto"/>
            <w:bottom w:val="none" w:sz="0" w:space="0" w:color="auto"/>
            <w:right w:val="none" w:sz="0" w:space="0" w:color="auto"/>
          </w:divBdr>
        </w:div>
        <w:div w:id="690911395">
          <w:marLeft w:val="0"/>
          <w:marRight w:val="0"/>
          <w:marTop w:val="0"/>
          <w:marBottom w:val="0"/>
          <w:divBdr>
            <w:top w:val="none" w:sz="0" w:space="0" w:color="auto"/>
            <w:left w:val="none" w:sz="0" w:space="0" w:color="auto"/>
            <w:bottom w:val="none" w:sz="0" w:space="0" w:color="auto"/>
            <w:right w:val="none" w:sz="0" w:space="0" w:color="auto"/>
          </w:divBdr>
        </w:div>
        <w:div w:id="700209720">
          <w:marLeft w:val="0"/>
          <w:marRight w:val="0"/>
          <w:marTop w:val="0"/>
          <w:marBottom w:val="0"/>
          <w:divBdr>
            <w:top w:val="none" w:sz="0" w:space="0" w:color="auto"/>
            <w:left w:val="none" w:sz="0" w:space="0" w:color="auto"/>
            <w:bottom w:val="none" w:sz="0" w:space="0" w:color="auto"/>
            <w:right w:val="none" w:sz="0" w:space="0" w:color="auto"/>
          </w:divBdr>
        </w:div>
        <w:div w:id="703871323">
          <w:marLeft w:val="0"/>
          <w:marRight w:val="0"/>
          <w:marTop w:val="0"/>
          <w:marBottom w:val="0"/>
          <w:divBdr>
            <w:top w:val="none" w:sz="0" w:space="0" w:color="auto"/>
            <w:left w:val="none" w:sz="0" w:space="0" w:color="auto"/>
            <w:bottom w:val="none" w:sz="0" w:space="0" w:color="auto"/>
            <w:right w:val="none" w:sz="0" w:space="0" w:color="auto"/>
          </w:divBdr>
        </w:div>
        <w:div w:id="707338827">
          <w:marLeft w:val="0"/>
          <w:marRight w:val="0"/>
          <w:marTop w:val="0"/>
          <w:marBottom w:val="0"/>
          <w:divBdr>
            <w:top w:val="none" w:sz="0" w:space="0" w:color="auto"/>
            <w:left w:val="none" w:sz="0" w:space="0" w:color="auto"/>
            <w:bottom w:val="none" w:sz="0" w:space="0" w:color="auto"/>
            <w:right w:val="none" w:sz="0" w:space="0" w:color="auto"/>
          </w:divBdr>
        </w:div>
        <w:div w:id="746459552">
          <w:marLeft w:val="0"/>
          <w:marRight w:val="0"/>
          <w:marTop w:val="0"/>
          <w:marBottom w:val="0"/>
          <w:divBdr>
            <w:top w:val="none" w:sz="0" w:space="0" w:color="auto"/>
            <w:left w:val="none" w:sz="0" w:space="0" w:color="auto"/>
            <w:bottom w:val="none" w:sz="0" w:space="0" w:color="auto"/>
            <w:right w:val="none" w:sz="0" w:space="0" w:color="auto"/>
          </w:divBdr>
        </w:div>
        <w:div w:id="765417817">
          <w:marLeft w:val="0"/>
          <w:marRight w:val="0"/>
          <w:marTop w:val="0"/>
          <w:marBottom w:val="0"/>
          <w:divBdr>
            <w:top w:val="none" w:sz="0" w:space="0" w:color="auto"/>
            <w:left w:val="none" w:sz="0" w:space="0" w:color="auto"/>
            <w:bottom w:val="none" w:sz="0" w:space="0" w:color="auto"/>
            <w:right w:val="none" w:sz="0" w:space="0" w:color="auto"/>
          </w:divBdr>
        </w:div>
        <w:div w:id="785391317">
          <w:marLeft w:val="0"/>
          <w:marRight w:val="0"/>
          <w:marTop w:val="0"/>
          <w:marBottom w:val="0"/>
          <w:divBdr>
            <w:top w:val="none" w:sz="0" w:space="0" w:color="auto"/>
            <w:left w:val="none" w:sz="0" w:space="0" w:color="auto"/>
            <w:bottom w:val="none" w:sz="0" w:space="0" w:color="auto"/>
            <w:right w:val="none" w:sz="0" w:space="0" w:color="auto"/>
          </w:divBdr>
        </w:div>
        <w:div w:id="786585409">
          <w:marLeft w:val="0"/>
          <w:marRight w:val="0"/>
          <w:marTop w:val="0"/>
          <w:marBottom w:val="0"/>
          <w:divBdr>
            <w:top w:val="none" w:sz="0" w:space="0" w:color="auto"/>
            <w:left w:val="none" w:sz="0" w:space="0" w:color="auto"/>
            <w:bottom w:val="none" w:sz="0" w:space="0" w:color="auto"/>
            <w:right w:val="none" w:sz="0" w:space="0" w:color="auto"/>
          </w:divBdr>
        </w:div>
        <w:div w:id="794371019">
          <w:marLeft w:val="0"/>
          <w:marRight w:val="0"/>
          <w:marTop w:val="0"/>
          <w:marBottom w:val="0"/>
          <w:divBdr>
            <w:top w:val="none" w:sz="0" w:space="0" w:color="auto"/>
            <w:left w:val="none" w:sz="0" w:space="0" w:color="auto"/>
            <w:bottom w:val="none" w:sz="0" w:space="0" w:color="auto"/>
            <w:right w:val="none" w:sz="0" w:space="0" w:color="auto"/>
          </w:divBdr>
        </w:div>
        <w:div w:id="818304071">
          <w:marLeft w:val="0"/>
          <w:marRight w:val="0"/>
          <w:marTop w:val="0"/>
          <w:marBottom w:val="0"/>
          <w:divBdr>
            <w:top w:val="none" w:sz="0" w:space="0" w:color="auto"/>
            <w:left w:val="none" w:sz="0" w:space="0" w:color="auto"/>
            <w:bottom w:val="none" w:sz="0" w:space="0" w:color="auto"/>
            <w:right w:val="none" w:sz="0" w:space="0" w:color="auto"/>
          </w:divBdr>
        </w:div>
        <w:div w:id="837967213">
          <w:marLeft w:val="0"/>
          <w:marRight w:val="0"/>
          <w:marTop w:val="0"/>
          <w:marBottom w:val="0"/>
          <w:divBdr>
            <w:top w:val="none" w:sz="0" w:space="0" w:color="auto"/>
            <w:left w:val="none" w:sz="0" w:space="0" w:color="auto"/>
            <w:bottom w:val="none" w:sz="0" w:space="0" w:color="auto"/>
            <w:right w:val="none" w:sz="0" w:space="0" w:color="auto"/>
          </w:divBdr>
        </w:div>
        <w:div w:id="840975306">
          <w:marLeft w:val="0"/>
          <w:marRight w:val="0"/>
          <w:marTop w:val="0"/>
          <w:marBottom w:val="0"/>
          <w:divBdr>
            <w:top w:val="none" w:sz="0" w:space="0" w:color="auto"/>
            <w:left w:val="none" w:sz="0" w:space="0" w:color="auto"/>
            <w:bottom w:val="none" w:sz="0" w:space="0" w:color="auto"/>
            <w:right w:val="none" w:sz="0" w:space="0" w:color="auto"/>
          </w:divBdr>
        </w:div>
        <w:div w:id="866404773">
          <w:marLeft w:val="0"/>
          <w:marRight w:val="0"/>
          <w:marTop w:val="0"/>
          <w:marBottom w:val="0"/>
          <w:divBdr>
            <w:top w:val="none" w:sz="0" w:space="0" w:color="auto"/>
            <w:left w:val="none" w:sz="0" w:space="0" w:color="auto"/>
            <w:bottom w:val="none" w:sz="0" w:space="0" w:color="auto"/>
            <w:right w:val="none" w:sz="0" w:space="0" w:color="auto"/>
          </w:divBdr>
        </w:div>
        <w:div w:id="872350896">
          <w:marLeft w:val="0"/>
          <w:marRight w:val="0"/>
          <w:marTop w:val="0"/>
          <w:marBottom w:val="0"/>
          <w:divBdr>
            <w:top w:val="none" w:sz="0" w:space="0" w:color="auto"/>
            <w:left w:val="none" w:sz="0" w:space="0" w:color="auto"/>
            <w:bottom w:val="none" w:sz="0" w:space="0" w:color="auto"/>
            <w:right w:val="none" w:sz="0" w:space="0" w:color="auto"/>
          </w:divBdr>
        </w:div>
        <w:div w:id="873005380">
          <w:marLeft w:val="0"/>
          <w:marRight w:val="0"/>
          <w:marTop w:val="0"/>
          <w:marBottom w:val="0"/>
          <w:divBdr>
            <w:top w:val="none" w:sz="0" w:space="0" w:color="auto"/>
            <w:left w:val="none" w:sz="0" w:space="0" w:color="auto"/>
            <w:bottom w:val="none" w:sz="0" w:space="0" w:color="auto"/>
            <w:right w:val="none" w:sz="0" w:space="0" w:color="auto"/>
          </w:divBdr>
        </w:div>
        <w:div w:id="885725584">
          <w:marLeft w:val="0"/>
          <w:marRight w:val="0"/>
          <w:marTop w:val="0"/>
          <w:marBottom w:val="0"/>
          <w:divBdr>
            <w:top w:val="none" w:sz="0" w:space="0" w:color="auto"/>
            <w:left w:val="none" w:sz="0" w:space="0" w:color="auto"/>
            <w:bottom w:val="none" w:sz="0" w:space="0" w:color="auto"/>
            <w:right w:val="none" w:sz="0" w:space="0" w:color="auto"/>
          </w:divBdr>
        </w:div>
        <w:div w:id="924533180">
          <w:marLeft w:val="0"/>
          <w:marRight w:val="0"/>
          <w:marTop w:val="0"/>
          <w:marBottom w:val="0"/>
          <w:divBdr>
            <w:top w:val="none" w:sz="0" w:space="0" w:color="auto"/>
            <w:left w:val="none" w:sz="0" w:space="0" w:color="auto"/>
            <w:bottom w:val="none" w:sz="0" w:space="0" w:color="auto"/>
            <w:right w:val="none" w:sz="0" w:space="0" w:color="auto"/>
          </w:divBdr>
        </w:div>
        <w:div w:id="935594747">
          <w:marLeft w:val="0"/>
          <w:marRight w:val="0"/>
          <w:marTop w:val="0"/>
          <w:marBottom w:val="0"/>
          <w:divBdr>
            <w:top w:val="none" w:sz="0" w:space="0" w:color="auto"/>
            <w:left w:val="none" w:sz="0" w:space="0" w:color="auto"/>
            <w:bottom w:val="none" w:sz="0" w:space="0" w:color="auto"/>
            <w:right w:val="none" w:sz="0" w:space="0" w:color="auto"/>
          </w:divBdr>
        </w:div>
        <w:div w:id="947663666">
          <w:marLeft w:val="0"/>
          <w:marRight w:val="0"/>
          <w:marTop w:val="0"/>
          <w:marBottom w:val="0"/>
          <w:divBdr>
            <w:top w:val="none" w:sz="0" w:space="0" w:color="auto"/>
            <w:left w:val="none" w:sz="0" w:space="0" w:color="auto"/>
            <w:bottom w:val="none" w:sz="0" w:space="0" w:color="auto"/>
            <w:right w:val="none" w:sz="0" w:space="0" w:color="auto"/>
          </w:divBdr>
        </w:div>
        <w:div w:id="987440235">
          <w:marLeft w:val="0"/>
          <w:marRight w:val="0"/>
          <w:marTop w:val="0"/>
          <w:marBottom w:val="0"/>
          <w:divBdr>
            <w:top w:val="none" w:sz="0" w:space="0" w:color="auto"/>
            <w:left w:val="none" w:sz="0" w:space="0" w:color="auto"/>
            <w:bottom w:val="none" w:sz="0" w:space="0" w:color="auto"/>
            <w:right w:val="none" w:sz="0" w:space="0" w:color="auto"/>
          </w:divBdr>
        </w:div>
        <w:div w:id="993728692">
          <w:marLeft w:val="0"/>
          <w:marRight w:val="0"/>
          <w:marTop w:val="0"/>
          <w:marBottom w:val="0"/>
          <w:divBdr>
            <w:top w:val="none" w:sz="0" w:space="0" w:color="auto"/>
            <w:left w:val="none" w:sz="0" w:space="0" w:color="auto"/>
            <w:bottom w:val="none" w:sz="0" w:space="0" w:color="auto"/>
            <w:right w:val="none" w:sz="0" w:space="0" w:color="auto"/>
          </w:divBdr>
        </w:div>
        <w:div w:id="994064150">
          <w:marLeft w:val="0"/>
          <w:marRight w:val="0"/>
          <w:marTop w:val="0"/>
          <w:marBottom w:val="0"/>
          <w:divBdr>
            <w:top w:val="none" w:sz="0" w:space="0" w:color="auto"/>
            <w:left w:val="none" w:sz="0" w:space="0" w:color="auto"/>
            <w:bottom w:val="none" w:sz="0" w:space="0" w:color="auto"/>
            <w:right w:val="none" w:sz="0" w:space="0" w:color="auto"/>
          </w:divBdr>
        </w:div>
        <w:div w:id="1041637656">
          <w:marLeft w:val="0"/>
          <w:marRight w:val="0"/>
          <w:marTop w:val="0"/>
          <w:marBottom w:val="0"/>
          <w:divBdr>
            <w:top w:val="none" w:sz="0" w:space="0" w:color="auto"/>
            <w:left w:val="none" w:sz="0" w:space="0" w:color="auto"/>
            <w:bottom w:val="none" w:sz="0" w:space="0" w:color="auto"/>
            <w:right w:val="none" w:sz="0" w:space="0" w:color="auto"/>
          </w:divBdr>
        </w:div>
        <w:div w:id="1047409611">
          <w:marLeft w:val="0"/>
          <w:marRight w:val="0"/>
          <w:marTop w:val="0"/>
          <w:marBottom w:val="0"/>
          <w:divBdr>
            <w:top w:val="none" w:sz="0" w:space="0" w:color="auto"/>
            <w:left w:val="none" w:sz="0" w:space="0" w:color="auto"/>
            <w:bottom w:val="none" w:sz="0" w:space="0" w:color="auto"/>
            <w:right w:val="none" w:sz="0" w:space="0" w:color="auto"/>
          </w:divBdr>
        </w:div>
        <w:div w:id="1099522634">
          <w:marLeft w:val="0"/>
          <w:marRight w:val="0"/>
          <w:marTop w:val="0"/>
          <w:marBottom w:val="0"/>
          <w:divBdr>
            <w:top w:val="none" w:sz="0" w:space="0" w:color="auto"/>
            <w:left w:val="none" w:sz="0" w:space="0" w:color="auto"/>
            <w:bottom w:val="none" w:sz="0" w:space="0" w:color="auto"/>
            <w:right w:val="none" w:sz="0" w:space="0" w:color="auto"/>
          </w:divBdr>
        </w:div>
        <w:div w:id="1106190286">
          <w:marLeft w:val="0"/>
          <w:marRight w:val="0"/>
          <w:marTop w:val="0"/>
          <w:marBottom w:val="0"/>
          <w:divBdr>
            <w:top w:val="none" w:sz="0" w:space="0" w:color="auto"/>
            <w:left w:val="none" w:sz="0" w:space="0" w:color="auto"/>
            <w:bottom w:val="none" w:sz="0" w:space="0" w:color="auto"/>
            <w:right w:val="none" w:sz="0" w:space="0" w:color="auto"/>
          </w:divBdr>
        </w:div>
        <w:div w:id="1108626869">
          <w:marLeft w:val="0"/>
          <w:marRight w:val="0"/>
          <w:marTop w:val="0"/>
          <w:marBottom w:val="0"/>
          <w:divBdr>
            <w:top w:val="none" w:sz="0" w:space="0" w:color="auto"/>
            <w:left w:val="none" w:sz="0" w:space="0" w:color="auto"/>
            <w:bottom w:val="none" w:sz="0" w:space="0" w:color="auto"/>
            <w:right w:val="none" w:sz="0" w:space="0" w:color="auto"/>
          </w:divBdr>
        </w:div>
        <w:div w:id="1125612232">
          <w:marLeft w:val="0"/>
          <w:marRight w:val="0"/>
          <w:marTop w:val="0"/>
          <w:marBottom w:val="0"/>
          <w:divBdr>
            <w:top w:val="none" w:sz="0" w:space="0" w:color="auto"/>
            <w:left w:val="none" w:sz="0" w:space="0" w:color="auto"/>
            <w:bottom w:val="none" w:sz="0" w:space="0" w:color="auto"/>
            <w:right w:val="none" w:sz="0" w:space="0" w:color="auto"/>
          </w:divBdr>
        </w:div>
        <w:div w:id="1148322627">
          <w:marLeft w:val="0"/>
          <w:marRight w:val="0"/>
          <w:marTop w:val="0"/>
          <w:marBottom w:val="0"/>
          <w:divBdr>
            <w:top w:val="none" w:sz="0" w:space="0" w:color="auto"/>
            <w:left w:val="none" w:sz="0" w:space="0" w:color="auto"/>
            <w:bottom w:val="none" w:sz="0" w:space="0" w:color="auto"/>
            <w:right w:val="none" w:sz="0" w:space="0" w:color="auto"/>
          </w:divBdr>
        </w:div>
        <w:div w:id="1156799826">
          <w:marLeft w:val="0"/>
          <w:marRight w:val="0"/>
          <w:marTop w:val="0"/>
          <w:marBottom w:val="0"/>
          <w:divBdr>
            <w:top w:val="none" w:sz="0" w:space="0" w:color="auto"/>
            <w:left w:val="none" w:sz="0" w:space="0" w:color="auto"/>
            <w:bottom w:val="none" w:sz="0" w:space="0" w:color="auto"/>
            <w:right w:val="none" w:sz="0" w:space="0" w:color="auto"/>
          </w:divBdr>
        </w:div>
        <w:div w:id="1176698933">
          <w:marLeft w:val="0"/>
          <w:marRight w:val="0"/>
          <w:marTop w:val="0"/>
          <w:marBottom w:val="0"/>
          <w:divBdr>
            <w:top w:val="none" w:sz="0" w:space="0" w:color="auto"/>
            <w:left w:val="none" w:sz="0" w:space="0" w:color="auto"/>
            <w:bottom w:val="none" w:sz="0" w:space="0" w:color="auto"/>
            <w:right w:val="none" w:sz="0" w:space="0" w:color="auto"/>
          </w:divBdr>
        </w:div>
        <w:div w:id="1194028348">
          <w:marLeft w:val="0"/>
          <w:marRight w:val="0"/>
          <w:marTop w:val="0"/>
          <w:marBottom w:val="0"/>
          <w:divBdr>
            <w:top w:val="none" w:sz="0" w:space="0" w:color="auto"/>
            <w:left w:val="none" w:sz="0" w:space="0" w:color="auto"/>
            <w:bottom w:val="none" w:sz="0" w:space="0" w:color="auto"/>
            <w:right w:val="none" w:sz="0" w:space="0" w:color="auto"/>
          </w:divBdr>
        </w:div>
        <w:div w:id="1276987492">
          <w:marLeft w:val="0"/>
          <w:marRight w:val="0"/>
          <w:marTop w:val="0"/>
          <w:marBottom w:val="0"/>
          <w:divBdr>
            <w:top w:val="none" w:sz="0" w:space="0" w:color="auto"/>
            <w:left w:val="none" w:sz="0" w:space="0" w:color="auto"/>
            <w:bottom w:val="none" w:sz="0" w:space="0" w:color="auto"/>
            <w:right w:val="none" w:sz="0" w:space="0" w:color="auto"/>
          </w:divBdr>
        </w:div>
        <w:div w:id="1323003145">
          <w:marLeft w:val="0"/>
          <w:marRight w:val="0"/>
          <w:marTop w:val="0"/>
          <w:marBottom w:val="0"/>
          <w:divBdr>
            <w:top w:val="none" w:sz="0" w:space="0" w:color="auto"/>
            <w:left w:val="none" w:sz="0" w:space="0" w:color="auto"/>
            <w:bottom w:val="none" w:sz="0" w:space="0" w:color="auto"/>
            <w:right w:val="none" w:sz="0" w:space="0" w:color="auto"/>
          </w:divBdr>
        </w:div>
        <w:div w:id="1326932563">
          <w:marLeft w:val="0"/>
          <w:marRight w:val="0"/>
          <w:marTop w:val="0"/>
          <w:marBottom w:val="0"/>
          <w:divBdr>
            <w:top w:val="none" w:sz="0" w:space="0" w:color="auto"/>
            <w:left w:val="none" w:sz="0" w:space="0" w:color="auto"/>
            <w:bottom w:val="none" w:sz="0" w:space="0" w:color="auto"/>
            <w:right w:val="none" w:sz="0" w:space="0" w:color="auto"/>
          </w:divBdr>
        </w:div>
        <w:div w:id="1352563545">
          <w:marLeft w:val="0"/>
          <w:marRight w:val="0"/>
          <w:marTop w:val="0"/>
          <w:marBottom w:val="0"/>
          <w:divBdr>
            <w:top w:val="none" w:sz="0" w:space="0" w:color="auto"/>
            <w:left w:val="none" w:sz="0" w:space="0" w:color="auto"/>
            <w:bottom w:val="none" w:sz="0" w:space="0" w:color="auto"/>
            <w:right w:val="none" w:sz="0" w:space="0" w:color="auto"/>
          </w:divBdr>
        </w:div>
        <w:div w:id="1377244029">
          <w:marLeft w:val="0"/>
          <w:marRight w:val="0"/>
          <w:marTop w:val="0"/>
          <w:marBottom w:val="0"/>
          <w:divBdr>
            <w:top w:val="none" w:sz="0" w:space="0" w:color="auto"/>
            <w:left w:val="none" w:sz="0" w:space="0" w:color="auto"/>
            <w:bottom w:val="none" w:sz="0" w:space="0" w:color="auto"/>
            <w:right w:val="none" w:sz="0" w:space="0" w:color="auto"/>
          </w:divBdr>
        </w:div>
        <w:div w:id="1385638145">
          <w:marLeft w:val="0"/>
          <w:marRight w:val="0"/>
          <w:marTop w:val="0"/>
          <w:marBottom w:val="0"/>
          <w:divBdr>
            <w:top w:val="none" w:sz="0" w:space="0" w:color="auto"/>
            <w:left w:val="none" w:sz="0" w:space="0" w:color="auto"/>
            <w:bottom w:val="none" w:sz="0" w:space="0" w:color="auto"/>
            <w:right w:val="none" w:sz="0" w:space="0" w:color="auto"/>
          </w:divBdr>
        </w:div>
        <w:div w:id="1386219819">
          <w:marLeft w:val="0"/>
          <w:marRight w:val="0"/>
          <w:marTop w:val="0"/>
          <w:marBottom w:val="0"/>
          <w:divBdr>
            <w:top w:val="none" w:sz="0" w:space="0" w:color="auto"/>
            <w:left w:val="none" w:sz="0" w:space="0" w:color="auto"/>
            <w:bottom w:val="none" w:sz="0" w:space="0" w:color="auto"/>
            <w:right w:val="none" w:sz="0" w:space="0" w:color="auto"/>
          </w:divBdr>
        </w:div>
        <w:div w:id="1415396021">
          <w:marLeft w:val="0"/>
          <w:marRight w:val="0"/>
          <w:marTop w:val="0"/>
          <w:marBottom w:val="0"/>
          <w:divBdr>
            <w:top w:val="none" w:sz="0" w:space="0" w:color="auto"/>
            <w:left w:val="none" w:sz="0" w:space="0" w:color="auto"/>
            <w:bottom w:val="none" w:sz="0" w:space="0" w:color="auto"/>
            <w:right w:val="none" w:sz="0" w:space="0" w:color="auto"/>
          </w:divBdr>
        </w:div>
        <w:div w:id="1430856747">
          <w:marLeft w:val="0"/>
          <w:marRight w:val="0"/>
          <w:marTop w:val="0"/>
          <w:marBottom w:val="0"/>
          <w:divBdr>
            <w:top w:val="none" w:sz="0" w:space="0" w:color="auto"/>
            <w:left w:val="none" w:sz="0" w:space="0" w:color="auto"/>
            <w:bottom w:val="none" w:sz="0" w:space="0" w:color="auto"/>
            <w:right w:val="none" w:sz="0" w:space="0" w:color="auto"/>
          </w:divBdr>
        </w:div>
        <w:div w:id="1433013371">
          <w:marLeft w:val="0"/>
          <w:marRight w:val="0"/>
          <w:marTop w:val="0"/>
          <w:marBottom w:val="0"/>
          <w:divBdr>
            <w:top w:val="none" w:sz="0" w:space="0" w:color="auto"/>
            <w:left w:val="none" w:sz="0" w:space="0" w:color="auto"/>
            <w:bottom w:val="none" w:sz="0" w:space="0" w:color="auto"/>
            <w:right w:val="none" w:sz="0" w:space="0" w:color="auto"/>
          </w:divBdr>
        </w:div>
        <w:div w:id="1496842526">
          <w:marLeft w:val="0"/>
          <w:marRight w:val="0"/>
          <w:marTop w:val="0"/>
          <w:marBottom w:val="0"/>
          <w:divBdr>
            <w:top w:val="none" w:sz="0" w:space="0" w:color="auto"/>
            <w:left w:val="none" w:sz="0" w:space="0" w:color="auto"/>
            <w:bottom w:val="none" w:sz="0" w:space="0" w:color="auto"/>
            <w:right w:val="none" w:sz="0" w:space="0" w:color="auto"/>
          </w:divBdr>
        </w:div>
        <w:div w:id="1544633162">
          <w:marLeft w:val="0"/>
          <w:marRight w:val="0"/>
          <w:marTop w:val="0"/>
          <w:marBottom w:val="0"/>
          <w:divBdr>
            <w:top w:val="none" w:sz="0" w:space="0" w:color="auto"/>
            <w:left w:val="none" w:sz="0" w:space="0" w:color="auto"/>
            <w:bottom w:val="none" w:sz="0" w:space="0" w:color="auto"/>
            <w:right w:val="none" w:sz="0" w:space="0" w:color="auto"/>
          </w:divBdr>
        </w:div>
        <w:div w:id="1595672693">
          <w:marLeft w:val="0"/>
          <w:marRight w:val="0"/>
          <w:marTop w:val="0"/>
          <w:marBottom w:val="0"/>
          <w:divBdr>
            <w:top w:val="none" w:sz="0" w:space="0" w:color="auto"/>
            <w:left w:val="none" w:sz="0" w:space="0" w:color="auto"/>
            <w:bottom w:val="none" w:sz="0" w:space="0" w:color="auto"/>
            <w:right w:val="none" w:sz="0" w:space="0" w:color="auto"/>
          </w:divBdr>
        </w:div>
        <w:div w:id="1608351347">
          <w:marLeft w:val="0"/>
          <w:marRight w:val="0"/>
          <w:marTop w:val="0"/>
          <w:marBottom w:val="0"/>
          <w:divBdr>
            <w:top w:val="none" w:sz="0" w:space="0" w:color="auto"/>
            <w:left w:val="none" w:sz="0" w:space="0" w:color="auto"/>
            <w:bottom w:val="none" w:sz="0" w:space="0" w:color="auto"/>
            <w:right w:val="none" w:sz="0" w:space="0" w:color="auto"/>
          </w:divBdr>
        </w:div>
        <w:div w:id="1612516129">
          <w:marLeft w:val="0"/>
          <w:marRight w:val="0"/>
          <w:marTop w:val="0"/>
          <w:marBottom w:val="0"/>
          <w:divBdr>
            <w:top w:val="none" w:sz="0" w:space="0" w:color="auto"/>
            <w:left w:val="none" w:sz="0" w:space="0" w:color="auto"/>
            <w:bottom w:val="none" w:sz="0" w:space="0" w:color="auto"/>
            <w:right w:val="none" w:sz="0" w:space="0" w:color="auto"/>
          </w:divBdr>
        </w:div>
        <w:div w:id="1679119512">
          <w:marLeft w:val="0"/>
          <w:marRight w:val="0"/>
          <w:marTop w:val="0"/>
          <w:marBottom w:val="0"/>
          <w:divBdr>
            <w:top w:val="none" w:sz="0" w:space="0" w:color="auto"/>
            <w:left w:val="none" w:sz="0" w:space="0" w:color="auto"/>
            <w:bottom w:val="none" w:sz="0" w:space="0" w:color="auto"/>
            <w:right w:val="none" w:sz="0" w:space="0" w:color="auto"/>
          </w:divBdr>
        </w:div>
        <w:div w:id="1742867316">
          <w:marLeft w:val="0"/>
          <w:marRight w:val="0"/>
          <w:marTop w:val="0"/>
          <w:marBottom w:val="0"/>
          <w:divBdr>
            <w:top w:val="none" w:sz="0" w:space="0" w:color="auto"/>
            <w:left w:val="none" w:sz="0" w:space="0" w:color="auto"/>
            <w:bottom w:val="none" w:sz="0" w:space="0" w:color="auto"/>
            <w:right w:val="none" w:sz="0" w:space="0" w:color="auto"/>
          </w:divBdr>
        </w:div>
        <w:div w:id="1750613091">
          <w:marLeft w:val="0"/>
          <w:marRight w:val="0"/>
          <w:marTop w:val="0"/>
          <w:marBottom w:val="0"/>
          <w:divBdr>
            <w:top w:val="none" w:sz="0" w:space="0" w:color="auto"/>
            <w:left w:val="none" w:sz="0" w:space="0" w:color="auto"/>
            <w:bottom w:val="none" w:sz="0" w:space="0" w:color="auto"/>
            <w:right w:val="none" w:sz="0" w:space="0" w:color="auto"/>
          </w:divBdr>
        </w:div>
        <w:div w:id="1756168271">
          <w:marLeft w:val="0"/>
          <w:marRight w:val="0"/>
          <w:marTop w:val="0"/>
          <w:marBottom w:val="0"/>
          <w:divBdr>
            <w:top w:val="none" w:sz="0" w:space="0" w:color="auto"/>
            <w:left w:val="none" w:sz="0" w:space="0" w:color="auto"/>
            <w:bottom w:val="none" w:sz="0" w:space="0" w:color="auto"/>
            <w:right w:val="none" w:sz="0" w:space="0" w:color="auto"/>
          </w:divBdr>
        </w:div>
        <w:div w:id="1761756992">
          <w:marLeft w:val="0"/>
          <w:marRight w:val="0"/>
          <w:marTop w:val="0"/>
          <w:marBottom w:val="0"/>
          <w:divBdr>
            <w:top w:val="none" w:sz="0" w:space="0" w:color="auto"/>
            <w:left w:val="none" w:sz="0" w:space="0" w:color="auto"/>
            <w:bottom w:val="none" w:sz="0" w:space="0" w:color="auto"/>
            <w:right w:val="none" w:sz="0" w:space="0" w:color="auto"/>
          </w:divBdr>
        </w:div>
        <w:div w:id="1786926048">
          <w:marLeft w:val="0"/>
          <w:marRight w:val="0"/>
          <w:marTop w:val="0"/>
          <w:marBottom w:val="0"/>
          <w:divBdr>
            <w:top w:val="none" w:sz="0" w:space="0" w:color="auto"/>
            <w:left w:val="none" w:sz="0" w:space="0" w:color="auto"/>
            <w:bottom w:val="none" w:sz="0" w:space="0" w:color="auto"/>
            <w:right w:val="none" w:sz="0" w:space="0" w:color="auto"/>
          </w:divBdr>
        </w:div>
        <w:div w:id="1797291151">
          <w:marLeft w:val="0"/>
          <w:marRight w:val="0"/>
          <w:marTop w:val="0"/>
          <w:marBottom w:val="0"/>
          <w:divBdr>
            <w:top w:val="none" w:sz="0" w:space="0" w:color="auto"/>
            <w:left w:val="none" w:sz="0" w:space="0" w:color="auto"/>
            <w:bottom w:val="none" w:sz="0" w:space="0" w:color="auto"/>
            <w:right w:val="none" w:sz="0" w:space="0" w:color="auto"/>
          </w:divBdr>
        </w:div>
        <w:div w:id="1797749091">
          <w:marLeft w:val="0"/>
          <w:marRight w:val="0"/>
          <w:marTop w:val="0"/>
          <w:marBottom w:val="0"/>
          <w:divBdr>
            <w:top w:val="none" w:sz="0" w:space="0" w:color="auto"/>
            <w:left w:val="none" w:sz="0" w:space="0" w:color="auto"/>
            <w:bottom w:val="none" w:sz="0" w:space="0" w:color="auto"/>
            <w:right w:val="none" w:sz="0" w:space="0" w:color="auto"/>
          </w:divBdr>
        </w:div>
        <w:div w:id="1830100101">
          <w:marLeft w:val="0"/>
          <w:marRight w:val="0"/>
          <w:marTop w:val="0"/>
          <w:marBottom w:val="0"/>
          <w:divBdr>
            <w:top w:val="none" w:sz="0" w:space="0" w:color="auto"/>
            <w:left w:val="none" w:sz="0" w:space="0" w:color="auto"/>
            <w:bottom w:val="none" w:sz="0" w:space="0" w:color="auto"/>
            <w:right w:val="none" w:sz="0" w:space="0" w:color="auto"/>
          </w:divBdr>
        </w:div>
        <w:div w:id="1838302123">
          <w:marLeft w:val="0"/>
          <w:marRight w:val="0"/>
          <w:marTop w:val="0"/>
          <w:marBottom w:val="0"/>
          <w:divBdr>
            <w:top w:val="none" w:sz="0" w:space="0" w:color="auto"/>
            <w:left w:val="none" w:sz="0" w:space="0" w:color="auto"/>
            <w:bottom w:val="none" w:sz="0" w:space="0" w:color="auto"/>
            <w:right w:val="none" w:sz="0" w:space="0" w:color="auto"/>
          </w:divBdr>
        </w:div>
        <w:div w:id="1859151476">
          <w:marLeft w:val="0"/>
          <w:marRight w:val="0"/>
          <w:marTop w:val="0"/>
          <w:marBottom w:val="0"/>
          <w:divBdr>
            <w:top w:val="none" w:sz="0" w:space="0" w:color="auto"/>
            <w:left w:val="none" w:sz="0" w:space="0" w:color="auto"/>
            <w:bottom w:val="none" w:sz="0" w:space="0" w:color="auto"/>
            <w:right w:val="none" w:sz="0" w:space="0" w:color="auto"/>
          </w:divBdr>
        </w:div>
        <w:div w:id="1885022192">
          <w:marLeft w:val="0"/>
          <w:marRight w:val="0"/>
          <w:marTop w:val="0"/>
          <w:marBottom w:val="0"/>
          <w:divBdr>
            <w:top w:val="none" w:sz="0" w:space="0" w:color="auto"/>
            <w:left w:val="none" w:sz="0" w:space="0" w:color="auto"/>
            <w:bottom w:val="none" w:sz="0" w:space="0" w:color="auto"/>
            <w:right w:val="none" w:sz="0" w:space="0" w:color="auto"/>
          </w:divBdr>
        </w:div>
        <w:div w:id="1888369719">
          <w:marLeft w:val="0"/>
          <w:marRight w:val="0"/>
          <w:marTop w:val="0"/>
          <w:marBottom w:val="0"/>
          <w:divBdr>
            <w:top w:val="none" w:sz="0" w:space="0" w:color="auto"/>
            <w:left w:val="none" w:sz="0" w:space="0" w:color="auto"/>
            <w:bottom w:val="none" w:sz="0" w:space="0" w:color="auto"/>
            <w:right w:val="none" w:sz="0" w:space="0" w:color="auto"/>
          </w:divBdr>
        </w:div>
        <w:div w:id="1890146529">
          <w:marLeft w:val="0"/>
          <w:marRight w:val="0"/>
          <w:marTop w:val="0"/>
          <w:marBottom w:val="0"/>
          <w:divBdr>
            <w:top w:val="none" w:sz="0" w:space="0" w:color="auto"/>
            <w:left w:val="none" w:sz="0" w:space="0" w:color="auto"/>
            <w:bottom w:val="none" w:sz="0" w:space="0" w:color="auto"/>
            <w:right w:val="none" w:sz="0" w:space="0" w:color="auto"/>
          </w:divBdr>
        </w:div>
        <w:div w:id="1917472063">
          <w:marLeft w:val="0"/>
          <w:marRight w:val="0"/>
          <w:marTop w:val="0"/>
          <w:marBottom w:val="0"/>
          <w:divBdr>
            <w:top w:val="none" w:sz="0" w:space="0" w:color="auto"/>
            <w:left w:val="none" w:sz="0" w:space="0" w:color="auto"/>
            <w:bottom w:val="none" w:sz="0" w:space="0" w:color="auto"/>
            <w:right w:val="none" w:sz="0" w:space="0" w:color="auto"/>
          </w:divBdr>
        </w:div>
        <w:div w:id="1922911366">
          <w:marLeft w:val="0"/>
          <w:marRight w:val="0"/>
          <w:marTop w:val="0"/>
          <w:marBottom w:val="0"/>
          <w:divBdr>
            <w:top w:val="none" w:sz="0" w:space="0" w:color="auto"/>
            <w:left w:val="none" w:sz="0" w:space="0" w:color="auto"/>
            <w:bottom w:val="none" w:sz="0" w:space="0" w:color="auto"/>
            <w:right w:val="none" w:sz="0" w:space="0" w:color="auto"/>
          </w:divBdr>
        </w:div>
        <w:div w:id="1942761898">
          <w:marLeft w:val="0"/>
          <w:marRight w:val="0"/>
          <w:marTop w:val="0"/>
          <w:marBottom w:val="0"/>
          <w:divBdr>
            <w:top w:val="none" w:sz="0" w:space="0" w:color="auto"/>
            <w:left w:val="none" w:sz="0" w:space="0" w:color="auto"/>
            <w:bottom w:val="none" w:sz="0" w:space="0" w:color="auto"/>
            <w:right w:val="none" w:sz="0" w:space="0" w:color="auto"/>
          </w:divBdr>
        </w:div>
        <w:div w:id="1952857098">
          <w:marLeft w:val="0"/>
          <w:marRight w:val="0"/>
          <w:marTop w:val="0"/>
          <w:marBottom w:val="0"/>
          <w:divBdr>
            <w:top w:val="none" w:sz="0" w:space="0" w:color="auto"/>
            <w:left w:val="none" w:sz="0" w:space="0" w:color="auto"/>
            <w:bottom w:val="none" w:sz="0" w:space="0" w:color="auto"/>
            <w:right w:val="none" w:sz="0" w:space="0" w:color="auto"/>
          </w:divBdr>
        </w:div>
        <w:div w:id="1986624140">
          <w:marLeft w:val="0"/>
          <w:marRight w:val="0"/>
          <w:marTop w:val="0"/>
          <w:marBottom w:val="0"/>
          <w:divBdr>
            <w:top w:val="none" w:sz="0" w:space="0" w:color="auto"/>
            <w:left w:val="none" w:sz="0" w:space="0" w:color="auto"/>
            <w:bottom w:val="none" w:sz="0" w:space="0" w:color="auto"/>
            <w:right w:val="none" w:sz="0" w:space="0" w:color="auto"/>
          </w:divBdr>
        </w:div>
        <w:div w:id="2032612042">
          <w:marLeft w:val="0"/>
          <w:marRight w:val="0"/>
          <w:marTop w:val="0"/>
          <w:marBottom w:val="0"/>
          <w:divBdr>
            <w:top w:val="none" w:sz="0" w:space="0" w:color="auto"/>
            <w:left w:val="none" w:sz="0" w:space="0" w:color="auto"/>
            <w:bottom w:val="none" w:sz="0" w:space="0" w:color="auto"/>
            <w:right w:val="none" w:sz="0" w:space="0" w:color="auto"/>
          </w:divBdr>
        </w:div>
        <w:div w:id="2048676405">
          <w:marLeft w:val="0"/>
          <w:marRight w:val="0"/>
          <w:marTop w:val="0"/>
          <w:marBottom w:val="0"/>
          <w:divBdr>
            <w:top w:val="none" w:sz="0" w:space="0" w:color="auto"/>
            <w:left w:val="none" w:sz="0" w:space="0" w:color="auto"/>
            <w:bottom w:val="none" w:sz="0" w:space="0" w:color="auto"/>
            <w:right w:val="none" w:sz="0" w:space="0" w:color="auto"/>
          </w:divBdr>
        </w:div>
        <w:div w:id="2066223062">
          <w:marLeft w:val="0"/>
          <w:marRight w:val="0"/>
          <w:marTop w:val="0"/>
          <w:marBottom w:val="0"/>
          <w:divBdr>
            <w:top w:val="none" w:sz="0" w:space="0" w:color="auto"/>
            <w:left w:val="none" w:sz="0" w:space="0" w:color="auto"/>
            <w:bottom w:val="none" w:sz="0" w:space="0" w:color="auto"/>
            <w:right w:val="none" w:sz="0" w:space="0" w:color="auto"/>
          </w:divBdr>
        </w:div>
        <w:div w:id="2084135020">
          <w:marLeft w:val="0"/>
          <w:marRight w:val="0"/>
          <w:marTop w:val="0"/>
          <w:marBottom w:val="0"/>
          <w:divBdr>
            <w:top w:val="none" w:sz="0" w:space="0" w:color="auto"/>
            <w:left w:val="none" w:sz="0" w:space="0" w:color="auto"/>
            <w:bottom w:val="none" w:sz="0" w:space="0" w:color="auto"/>
            <w:right w:val="none" w:sz="0" w:space="0" w:color="auto"/>
          </w:divBdr>
        </w:div>
        <w:div w:id="2102408177">
          <w:marLeft w:val="0"/>
          <w:marRight w:val="0"/>
          <w:marTop w:val="0"/>
          <w:marBottom w:val="0"/>
          <w:divBdr>
            <w:top w:val="none" w:sz="0" w:space="0" w:color="auto"/>
            <w:left w:val="none" w:sz="0" w:space="0" w:color="auto"/>
            <w:bottom w:val="none" w:sz="0" w:space="0" w:color="auto"/>
            <w:right w:val="none" w:sz="0" w:space="0" w:color="auto"/>
          </w:divBdr>
        </w:div>
        <w:div w:id="2133935977">
          <w:marLeft w:val="0"/>
          <w:marRight w:val="0"/>
          <w:marTop w:val="0"/>
          <w:marBottom w:val="0"/>
          <w:divBdr>
            <w:top w:val="none" w:sz="0" w:space="0" w:color="auto"/>
            <w:left w:val="none" w:sz="0" w:space="0" w:color="auto"/>
            <w:bottom w:val="none" w:sz="0" w:space="0" w:color="auto"/>
            <w:right w:val="none" w:sz="0" w:space="0" w:color="auto"/>
          </w:divBdr>
        </w:div>
      </w:divsChild>
    </w:div>
    <w:div w:id="109520231">
      <w:bodyDiv w:val="1"/>
      <w:marLeft w:val="178"/>
      <w:marRight w:val="178"/>
      <w:marTop w:val="178"/>
      <w:marBottom w:val="178"/>
      <w:divBdr>
        <w:top w:val="none" w:sz="0" w:space="0" w:color="auto"/>
        <w:left w:val="none" w:sz="0" w:space="0" w:color="auto"/>
        <w:bottom w:val="none" w:sz="0" w:space="0" w:color="auto"/>
        <w:right w:val="none" w:sz="0" w:space="0" w:color="auto"/>
      </w:divBdr>
      <w:divsChild>
        <w:div w:id="81146447">
          <w:marLeft w:val="0"/>
          <w:marRight w:val="0"/>
          <w:marTop w:val="0"/>
          <w:marBottom w:val="0"/>
          <w:divBdr>
            <w:top w:val="none" w:sz="0" w:space="0" w:color="auto"/>
            <w:left w:val="none" w:sz="0" w:space="0" w:color="auto"/>
            <w:bottom w:val="none" w:sz="0" w:space="0" w:color="auto"/>
            <w:right w:val="none" w:sz="0" w:space="0" w:color="auto"/>
          </w:divBdr>
        </w:div>
        <w:div w:id="229461912">
          <w:marLeft w:val="0"/>
          <w:marRight w:val="0"/>
          <w:marTop w:val="0"/>
          <w:marBottom w:val="0"/>
          <w:divBdr>
            <w:top w:val="none" w:sz="0" w:space="0" w:color="auto"/>
            <w:left w:val="none" w:sz="0" w:space="0" w:color="auto"/>
            <w:bottom w:val="none" w:sz="0" w:space="0" w:color="auto"/>
            <w:right w:val="none" w:sz="0" w:space="0" w:color="auto"/>
          </w:divBdr>
        </w:div>
        <w:div w:id="252477130">
          <w:marLeft w:val="0"/>
          <w:marRight w:val="0"/>
          <w:marTop w:val="0"/>
          <w:marBottom w:val="0"/>
          <w:divBdr>
            <w:top w:val="none" w:sz="0" w:space="0" w:color="auto"/>
            <w:left w:val="none" w:sz="0" w:space="0" w:color="auto"/>
            <w:bottom w:val="none" w:sz="0" w:space="0" w:color="auto"/>
            <w:right w:val="none" w:sz="0" w:space="0" w:color="auto"/>
          </w:divBdr>
        </w:div>
        <w:div w:id="877546972">
          <w:marLeft w:val="0"/>
          <w:marRight w:val="0"/>
          <w:marTop w:val="0"/>
          <w:marBottom w:val="0"/>
          <w:divBdr>
            <w:top w:val="none" w:sz="0" w:space="0" w:color="auto"/>
            <w:left w:val="none" w:sz="0" w:space="0" w:color="auto"/>
            <w:bottom w:val="none" w:sz="0" w:space="0" w:color="auto"/>
            <w:right w:val="none" w:sz="0" w:space="0" w:color="auto"/>
          </w:divBdr>
        </w:div>
        <w:div w:id="1342901462">
          <w:marLeft w:val="0"/>
          <w:marRight w:val="0"/>
          <w:marTop w:val="0"/>
          <w:marBottom w:val="0"/>
          <w:divBdr>
            <w:top w:val="none" w:sz="0" w:space="0" w:color="auto"/>
            <w:left w:val="none" w:sz="0" w:space="0" w:color="auto"/>
            <w:bottom w:val="none" w:sz="0" w:space="0" w:color="auto"/>
            <w:right w:val="none" w:sz="0" w:space="0" w:color="auto"/>
          </w:divBdr>
        </w:div>
      </w:divsChild>
    </w:div>
    <w:div w:id="124740982">
      <w:bodyDiv w:val="1"/>
      <w:marLeft w:val="0"/>
      <w:marRight w:val="0"/>
      <w:marTop w:val="0"/>
      <w:marBottom w:val="0"/>
      <w:divBdr>
        <w:top w:val="none" w:sz="0" w:space="0" w:color="auto"/>
        <w:left w:val="none" w:sz="0" w:space="0" w:color="auto"/>
        <w:bottom w:val="none" w:sz="0" w:space="0" w:color="auto"/>
        <w:right w:val="none" w:sz="0" w:space="0" w:color="auto"/>
      </w:divBdr>
      <w:divsChild>
        <w:div w:id="530804644">
          <w:marLeft w:val="0"/>
          <w:marRight w:val="0"/>
          <w:marTop w:val="0"/>
          <w:marBottom w:val="0"/>
          <w:divBdr>
            <w:top w:val="none" w:sz="0" w:space="0" w:color="auto"/>
            <w:left w:val="none" w:sz="0" w:space="0" w:color="auto"/>
            <w:bottom w:val="none" w:sz="0" w:space="0" w:color="auto"/>
            <w:right w:val="none" w:sz="0" w:space="0" w:color="auto"/>
          </w:divBdr>
        </w:div>
      </w:divsChild>
    </w:div>
    <w:div w:id="149098705">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204366993">
          <w:marLeft w:val="0"/>
          <w:marRight w:val="0"/>
          <w:marTop w:val="0"/>
          <w:marBottom w:val="0"/>
          <w:divBdr>
            <w:top w:val="none" w:sz="0" w:space="0" w:color="auto"/>
            <w:left w:val="none" w:sz="0" w:space="0" w:color="auto"/>
            <w:bottom w:val="none" w:sz="0" w:space="0" w:color="auto"/>
            <w:right w:val="none" w:sz="0" w:space="0" w:color="auto"/>
          </w:divBdr>
          <w:divsChild>
            <w:div w:id="1408073125">
              <w:marLeft w:val="0"/>
              <w:marRight w:val="0"/>
              <w:marTop w:val="0"/>
              <w:marBottom w:val="0"/>
              <w:divBdr>
                <w:top w:val="none" w:sz="0" w:space="0" w:color="auto"/>
                <w:left w:val="none" w:sz="0" w:space="0" w:color="auto"/>
                <w:bottom w:val="none" w:sz="0" w:space="0" w:color="auto"/>
                <w:right w:val="none" w:sz="0" w:space="0" w:color="auto"/>
              </w:divBdr>
              <w:divsChild>
                <w:div w:id="1882395785">
                  <w:marLeft w:val="0"/>
                  <w:marRight w:val="0"/>
                  <w:marTop w:val="0"/>
                  <w:marBottom w:val="0"/>
                  <w:divBdr>
                    <w:top w:val="none" w:sz="0" w:space="0" w:color="auto"/>
                    <w:left w:val="none" w:sz="0" w:space="0" w:color="auto"/>
                    <w:bottom w:val="none" w:sz="0" w:space="0" w:color="auto"/>
                    <w:right w:val="none" w:sz="0" w:space="0" w:color="auto"/>
                  </w:divBdr>
                  <w:divsChild>
                    <w:div w:id="1692535541">
                      <w:marLeft w:val="0"/>
                      <w:marRight w:val="0"/>
                      <w:marTop w:val="0"/>
                      <w:marBottom w:val="0"/>
                      <w:divBdr>
                        <w:top w:val="none" w:sz="0" w:space="0" w:color="auto"/>
                        <w:left w:val="none" w:sz="0" w:space="0" w:color="auto"/>
                        <w:bottom w:val="none" w:sz="0" w:space="0" w:color="auto"/>
                        <w:right w:val="none" w:sz="0" w:space="0" w:color="auto"/>
                      </w:divBdr>
                      <w:divsChild>
                        <w:div w:id="1148132343">
                          <w:marLeft w:val="0"/>
                          <w:marRight w:val="0"/>
                          <w:marTop w:val="0"/>
                          <w:marBottom w:val="0"/>
                          <w:divBdr>
                            <w:top w:val="none" w:sz="0" w:space="0" w:color="auto"/>
                            <w:left w:val="none" w:sz="0" w:space="0" w:color="auto"/>
                            <w:bottom w:val="none" w:sz="0" w:space="0" w:color="auto"/>
                            <w:right w:val="none" w:sz="0" w:space="0" w:color="auto"/>
                          </w:divBdr>
                          <w:divsChild>
                            <w:div w:id="2010718849">
                              <w:marLeft w:val="0"/>
                              <w:marRight w:val="0"/>
                              <w:marTop w:val="0"/>
                              <w:marBottom w:val="0"/>
                              <w:divBdr>
                                <w:top w:val="none" w:sz="0" w:space="0" w:color="auto"/>
                                <w:left w:val="none" w:sz="0" w:space="0" w:color="auto"/>
                                <w:bottom w:val="none" w:sz="0" w:space="0" w:color="auto"/>
                                <w:right w:val="none" w:sz="0" w:space="0" w:color="auto"/>
                              </w:divBdr>
                              <w:divsChild>
                                <w:div w:id="1256597179">
                                  <w:marLeft w:val="0"/>
                                  <w:marRight w:val="0"/>
                                  <w:marTop w:val="0"/>
                                  <w:marBottom w:val="0"/>
                                  <w:divBdr>
                                    <w:top w:val="none" w:sz="0" w:space="0" w:color="auto"/>
                                    <w:left w:val="none" w:sz="0" w:space="0" w:color="auto"/>
                                    <w:bottom w:val="none" w:sz="0" w:space="0" w:color="auto"/>
                                    <w:right w:val="none" w:sz="0" w:space="0" w:color="auto"/>
                                  </w:divBdr>
                                  <w:divsChild>
                                    <w:div w:id="108221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95093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209415918">
          <w:marLeft w:val="0"/>
          <w:marRight w:val="0"/>
          <w:marTop w:val="0"/>
          <w:marBottom w:val="0"/>
          <w:divBdr>
            <w:top w:val="none" w:sz="0" w:space="0" w:color="auto"/>
            <w:left w:val="none" w:sz="0" w:space="0" w:color="auto"/>
            <w:bottom w:val="none" w:sz="0" w:space="0" w:color="auto"/>
            <w:right w:val="none" w:sz="0" w:space="0" w:color="auto"/>
          </w:divBdr>
        </w:div>
      </w:divsChild>
    </w:div>
    <w:div w:id="185139921">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40912235">
          <w:marLeft w:val="0"/>
          <w:marRight w:val="0"/>
          <w:marTop w:val="0"/>
          <w:marBottom w:val="0"/>
          <w:divBdr>
            <w:top w:val="none" w:sz="0" w:space="0" w:color="auto"/>
            <w:left w:val="none" w:sz="0" w:space="0" w:color="auto"/>
            <w:bottom w:val="none" w:sz="0" w:space="0" w:color="auto"/>
            <w:right w:val="none" w:sz="0" w:space="0" w:color="auto"/>
          </w:divBdr>
        </w:div>
      </w:divsChild>
    </w:div>
    <w:div w:id="239291817">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033770443">
          <w:marLeft w:val="0"/>
          <w:marRight w:val="0"/>
          <w:marTop w:val="0"/>
          <w:marBottom w:val="0"/>
          <w:divBdr>
            <w:top w:val="none" w:sz="0" w:space="0" w:color="auto"/>
            <w:left w:val="none" w:sz="0" w:space="0" w:color="auto"/>
            <w:bottom w:val="none" w:sz="0" w:space="0" w:color="auto"/>
            <w:right w:val="none" w:sz="0" w:space="0" w:color="auto"/>
          </w:divBdr>
        </w:div>
        <w:div w:id="1445078420">
          <w:marLeft w:val="0"/>
          <w:marRight w:val="0"/>
          <w:marTop w:val="0"/>
          <w:marBottom w:val="0"/>
          <w:divBdr>
            <w:top w:val="none" w:sz="0" w:space="0" w:color="auto"/>
            <w:left w:val="none" w:sz="0" w:space="0" w:color="auto"/>
            <w:bottom w:val="none" w:sz="0" w:space="0" w:color="auto"/>
            <w:right w:val="none" w:sz="0" w:space="0" w:color="auto"/>
          </w:divBdr>
        </w:div>
      </w:divsChild>
    </w:div>
    <w:div w:id="260258236">
      <w:bodyDiv w:val="1"/>
      <w:marLeft w:val="150"/>
      <w:marRight w:val="150"/>
      <w:marTop w:val="150"/>
      <w:marBottom w:val="150"/>
      <w:divBdr>
        <w:top w:val="none" w:sz="0" w:space="0" w:color="auto"/>
        <w:left w:val="none" w:sz="0" w:space="0" w:color="auto"/>
        <w:bottom w:val="none" w:sz="0" w:space="0" w:color="auto"/>
        <w:right w:val="none" w:sz="0" w:space="0" w:color="auto"/>
      </w:divBdr>
      <w:divsChild>
        <w:div w:id="780491994">
          <w:marLeft w:val="0"/>
          <w:marRight w:val="0"/>
          <w:marTop w:val="0"/>
          <w:marBottom w:val="0"/>
          <w:divBdr>
            <w:top w:val="none" w:sz="0" w:space="0" w:color="auto"/>
            <w:left w:val="none" w:sz="0" w:space="0" w:color="auto"/>
            <w:bottom w:val="none" w:sz="0" w:space="0" w:color="auto"/>
            <w:right w:val="none" w:sz="0" w:space="0" w:color="auto"/>
          </w:divBdr>
        </w:div>
        <w:div w:id="1086029480">
          <w:marLeft w:val="0"/>
          <w:marRight w:val="0"/>
          <w:marTop w:val="0"/>
          <w:marBottom w:val="0"/>
          <w:divBdr>
            <w:top w:val="none" w:sz="0" w:space="0" w:color="auto"/>
            <w:left w:val="none" w:sz="0" w:space="0" w:color="auto"/>
            <w:bottom w:val="none" w:sz="0" w:space="0" w:color="auto"/>
            <w:right w:val="none" w:sz="0" w:space="0" w:color="auto"/>
          </w:divBdr>
        </w:div>
        <w:div w:id="1328747314">
          <w:marLeft w:val="0"/>
          <w:marRight w:val="0"/>
          <w:marTop w:val="0"/>
          <w:marBottom w:val="0"/>
          <w:divBdr>
            <w:top w:val="none" w:sz="0" w:space="0" w:color="auto"/>
            <w:left w:val="none" w:sz="0" w:space="0" w:color="auto"/>
            <w:bottom w:val="none" w:sz="0" w:space="0" w:color="auto"/>
            <w:right w:val="none" w:sz="0" w:space="0" w:color="auto"/>
          </w:divBdr>
        </w:div>
        <w:div w:id="2050565544">
          <w:marLeft w:val="0"/>
          <w:marRight w:val="0"/>
          <w:marTop w:val="0"/>
          <w:marBottom w:val="0"/>
          <w:divBdr>
            <w:top w:val="none" w:sz="0" w:space="0" w:color="auto"/>
            <w:left w:val="none" w:sz="0" w:space="0" w:color="auto"/>
            <w:bottom w:val="none" w:sz="0" w:space="0" w:color="auto"/>
            <w:right w:val="none" w:sz="0" w:space="0" w:color="auto"/>
          </w:divBdr>
        </w:div>
      </w:divsChild>
    </w:div>
    <w:div w:id="262105495">
      <w:bodyDiv w:val="1"/>
      <w:marLeft w:val="0"/>
      <w:marRight w:val="0"/>
      <w:marTop w:val="0"/>
      <w:marBottom w:val="0"/>
      <w:divBdr>
        <w:top w:val="none" w:sz="0" w:space="0" w:color="auto"/>
        <w:left w:val="none" w:sz="0" w:space="0" w:color="auto"/>
        <w:bottom w:val="none" w:sz="0" w:space="0" w:color="auto"/>
        <w:right w:val="none" w:sz="0" w:space="0" w:color="auto"/>
      </w:divBdr>
      <w:divsChild>
        <w:div w:id="1236936957">
          <w:marLeft w:val="0"/>
          <w:marRight w:val="0"/>
          <w:marTop w:val="0"/>
          <w:marBottom w:val="0"/>
          <w:divBdr>
            <w:top w:val="none" w:sz="0" w:space="0" w:color="auto"/>
            <w:left w:val="none" w:sz="0" w:space="0" w:color="auto"/>
            <w:bottom w:val="none" w:sz="0" w:space="0" w:color="auto"/>
            <w:right w:val="none" w:sz="0" w:space="0" w:color="auto"/>
          </w:divBdr>
          <w:divsChild>
            <w:div w:id="1285843951">
              <w:marLeft w:val="0"/>
              <w:marRight w:val="0"/>
              <w:marTop w:val="0"/>
              <w:marBottom w:val="0"/>
              <w:divBdr>
                <w:top w:val="none" w:sz="0" w:space="0" w:color="auto"/>
                <w:left w:val="none" w:sz="0" w:space="0" w:color="auto"/>
                <w:bottom w:val="none" w:sz="0" w:space="0" w:color="auto"/>
                <w:right w:val="none" w:sz="0" w:space="0" w:color="auto"/>
              </w:divBdr>
              <w:divsChild>
                <w:div w:id="1276134724">
                  <w:marLeft w:val="0"/>
                  <w:marRight w:val="0"/>
                  <w:marTop w:val="0"/>
                  <w:marBottom w:val="0"/>
                  <w:divBdr>
                    <w:top w:val="none" w:sz="0" w:space="0" w:color="auto"/>
                    <w:left w:val="none" w:sz="0" w:space="0" w:color="auto"/>
                    <w:bottom w:val="none" w:sz="0" w:space="0" w:color="auto"/>
                    <w:right w:val="none" w:sz="0" w:space="0" w:color="auto"/>
                  </w:divBdr>
                  <w:divsChild>
                    <w:div w:id="650407846">
                      <w:marLeft w:val="0"/>
                      <w:marRight w:val="0"/>
                      <w:marTop w:val="0"/>
                      <w:marBottom w:val="0"/>
                      <w:divBdr>
                        <w:top w:val="none" w:sz="0" w:space="0" w:color="auto"/>
                        <w:left w:val="none" w:sz="0" w:space="0" w:color="auto"/>
                        <w:bottom w:val="none" w:sz="0" w:space="0" w:color="auto"/>
                        <w:right w:val="none" w:sz="0" w:space="0" w:color="auto"/>
                      </w:divBdr>
                      <w:divsChild>
                        <w:div w:id="1211726617">
                          <w:marLeft w:val="0"/>
                          <w:marRight w:val="0"/>
                          <w:marTop w:val="0"/>
                          <w:marBottom w:val="0"/>
                          <w:divBdr>
                            <w:top w:val="none" w:sz="0" w:space="0" w:color="auto"/>
                            <w:left w:val="none" w:sz="0" w:space="0" w:color="auto"/>
                            <w:bottom w:val="none" w:sz="0" w:space="0" w:color="auto"/>
                            <w:right w:val="none" w:sz="0" w:space="0" w:color="auto"/>
                          </w:divBdr>
                          <w:divsChild>
                            <w:div w:id="1108087134">
                              <w:marLeft w:val="0"/>
                              <w:marRight w:val="0"/>
                              <w:marTop w:val="0"/>
                              <w:marBottom w:val="0"/>
                              <w:divBdr>
                                <w:top w:val="none" w:sz="0" w:space="0" w:color="auto"/>
                                <w:left w:val="none" w:sz="0" w:space="0" w:color="auto"/>
                                <w:bottom w:val="none" w:sz="0" w:space="0" w:color="auto"/>
                                <w:right w:val="none" w:sz="0" w:space="0" w:color="auto"/>
                              </w:divBdr>
                              <w:divsChild>
                                <w:div w:id="2064408868">
                                  <w:marLeft w:val="0"/>
                                  <w:marRight w:val="0"/>
                                  <w:marTop w:val="0"/>
                                  <w:marBottom w:val="0"/>
                                  <w:divBdr>
                                    <w:top w:val="none" w:sz="0" w:space="0" w:color="auto"/>
                                    <w:left w:val="none" w:sz="0" w:space="0" w:color="auto"/>
                                    <w:bottom w:val="none" w:sz="0" w:space="0" w:color="auto"/>
                                    <w:right w:val="none" w:sz="0" w:space="0" w:color="auto"/>
                                  </w:divBdr>
                                  <w:divsChild>
                                    <w:div w:id="372777649">
                                      <w:marLeft w:val="0"/>
                                      <w:marRight w:val="0"/>
                                      <w:marTop w:val="0"/>
                                      <w:marBottom w:val="0"/>
                                      <w:divBdr>
                                        <w:top w:val="none" w:sz="0" w:space="0" w:color="auto"/>
                                        <w:left w:val="none" w:sz="0" w:space="0" w:color="auto"/>
                                        <w:bottom w:val="none" w:sz="0" w:space="0" w:color="auto"/>
                                        <w:right w:val="none" w:sz="0" w:space="0" w:color="auto"/>
                                      </w:divBdr>
                                      <w:divsChild>
                                        <w:div w:id="1688945743">
                                          <w:marLeft w:val="0"/>
                                          <w:marRight w:val="0"/>
                                          <w:marTop w:val="0"/>
                                          <w:marBottom w:val="0"/>
                                          <w:divBdr>
                                            <w:top w:val="none" w:sz="0" w:space="0" w:color="auto"/>
                                            <w:left w:val="none" w:sz="0" w:space="0" w:color="auto"/>
                                            <w:bottom w:val="none" w:sz="0" w:space="0" w:color="auto"/>
                                            <w:right w:val="none" w:sz="0" w:space="0" w:color="auto"/>
                                          </w:divBdr>
                                          <w:divsChild>
                                            <w:div w:id="700397451">
                                              <w:marLeft w:val="0"/>
                                              <w:marRight w:val="0"/>
                                              <w:marTop w:val="0"/>
                                              <w:marBottom w:val="0"/>
                                              <w:divBdr>
                                                <w:top w:val="none" w:sz="0" w:space="0" w:color="auto"/>
                                                <w:left w:val="none" w:sz="0" w:space="0" w:color="auto"/>
                                                <w:bottom w:val="none" w:sz="0" w:space="0" w:color="auto"/>
                                                <w:right w:val="none" w:sz="0" w:space="0" w:color="auto"/>
                                              </w:divBdr>
                                              <w:divsChild>
                                                <w:div w:id="1457990810">
                                                  <w:marLeft w:val="0"/>
                                                  <w:marRight w:val="0"/>
                                                  <w:marTop w:val="0"/>
                                                  <w:marBottom w:val="0"/>
                                                  <w:divBdr>
                                                    <w:top w:val="none" w:sz="0" w:space="0" w:color="auto"/>
                                                    <w:left w:val="none" w:sz="0" w:space="0" w:color="auto"/>
                                                    <w:bottom w:val="none" w:sz="0" w:space="0" w:color="auto"/>
                                                    <w:right w:val="none" w:sz="0" w:space="0" w:color="auto"/>
                                                  </w:divBdr>
                                                  <w:divsChild>
                                                    <w:div w:id="666442659">
                                                      <w:marLeft w:val="0"/>
                                                      <w:marRight w:val="300"/>
                                                      <w:marTop w:val="0"/>
                                                      <w:marBottom w:val="0"/>
                                                      <w:divBdr>
                                                        <w:top w:val="none" w:sz="0" w:space="0" w:color="auto"/>
                                                        <w:left w:val="none" w:sz="0" w:space="0" w:color="auto"/>
                                                        <w:bottom w:val="none" w:sz="0" w:space="0" w:color="auto"/>
                                                        <w:right w:val="none" w:sz="0" w:space="0" w:color="auto"/>
                                                      </w:divBdr>
                                                      <w:divsChild>
                                                        <w:div w:id="1882395243">
                                                          <w:marLeft w:val="0"/>
                                                          <w:marRight w:val="0"/>
                                                          <w:marTop w:val="0"/>
                                                          <w:marBottom w:val="0"/>
                                                          <w:divBdr>
                                                            <w:top w:val="none" w:sz="0" w:space="0" w:color="auto"/>
                                                            <w:left w:val="none" w:sz="0" w:space="0" w:color="auto"/>
                                                            <w:bottom w:val="none" w:sz="0" w:space="0" w:color="auto"/>
                                                            <w:right w:val="none" w:sz="0" w:space="0" w:color="auto"/>
                                                          </w:divBdr>
                                                          <w:divsChild>
                                                            <w:div w:id="445008477">
                                                              <w:marLeft w:val="0"/>
                                                              <w:marRight w:val="0"/>
                                                              <w:marTop w:val="0"/>
                                                              <w:marBottom w:val="0"/>
                                                              <w:divBdr>
                                                                <w:top w:val="none" w:sz="0" w:space="0" w:color="auto"/>
                                                                <w:left w:val="none" w:sz="0" w:space="0" w:color="auto"/>
                                                                <w:bottom w:val="none" w:sz="0" w:space="0" w:color="auto"/>
                                                                <w:right w:val="none" w:sz="0" w:space="0" w:color="auto"/>
                                                              </w:divBdr>
                                                              <w:divsChild>
                                                                <w:div w:id="1032003166">
                                                                  <w:marLeft w:val="0"/>
                                                                  <w:marRight w:val="0"/>
                                                                  <w:marTop w:val="0"/>
                                                                  <w:marBottom w:val="0"/>
                                                                  <w:divBdr>
                                                                    <w:top w:val="none" w:sz="0" w:space="0" w:color="auto"/>
                                                                    <w:left w:val="none" w:sz="0" w:space="0" w:color="auto"/>
                                                                    <w:bottom w:val="none" w:sz="0" w:space="0" w:color="auto"/>
                                                                    <w:right w:val="none" w:sz="0" w:space="0" w:color="auto"/>
                                                                  </w:divBdr>
                                                                  <w:divsChild>
                                                                    <w:div w:id="1467117854">
                                                                      <w:marLeft w:val="0"/>
                                                                      <w:marRight w:val="0"/>
                                                                      <w:marTop w:val="0"/>
                                                                      <w:marBottom w:val="360"/>
                                                                      <w:divBdr>
                                                                        <w:top w:val="single" w:sz="6" w:space="0" w:color="CCCCCC"/>
                                                                        <w:left w:val="none" w:sz="0" w:space="0" w:color="auto"/>
                                                                        <w:bottom w:val="none" w:sz="0" w:space="0" w:color="auto"/>
                                                                        <w:right w:val="none" w:sz="0" w:space="0" w:color="auto"/>
                                                                      </w:divBdr>
                                                                      <w:divsChild>
                                                                        <w:div w:id="1527792317">
                                                                          <w:marLeft w:val="0"/>
                                                                          <w:marRight w:val="0"/>
                                                                          <w:marTop w:val="0"/>
                                                                          <w:marBottom w:val="0"/>
                                                                          <w:divBdr>
                                                                            <w:top w:val="none" w:sz="0" w:space="0" w:color="auto"/>
                                                                            <w:left w:val="none" w:sz="0" w:space="0" w:color="auto"/>
                                                                            <w:bottom w:val="none" w:sz="0" w:space="0" w:color="auto"/>
                                                                            <w:right w:val="none" w:sz="0" w:space="0" w:color="auto"/>
                                                                          </w:divBdr>
                                                                          <w:divsChild>
                                                                            <w:div w:id="270170820">
                                                                              <w:marLeft w:val="0"/>
                                                                              <w:marRight w:val="0"/>
                                                                              <w:marTop w:val="0"/>
                                                                              <w:marBottom w:val="0"/>
                                                                              <w:divBdr>
                                                                                <w:top w:val="none" w:sz="0" w:space="0" w:color="auto"/>
                                                                                <w:left w:val="none" w:sz="0" w:space="0" w:color="auto"/>
                                                                                <w:bottom w:val="none" w:sz="0" w:space="0" w:color="auto"/>
                                                                                <w:right w:val="none" w:sz="0" w:space="0" w:color="auto"/>
                                                                              </w:divBdr>
                                                                              <w:divsChild>
                                                                                <w:div w:id="1347949696">
                                                                                  <w:marLeft w:val="0"/>
                                                                                  <w:marRight w:val="0"/>
                                                                                  <w:marTop w:val="0"/>
                                                                                  <w:marBottom w:val="0"/>
                                                                                  <w:divBdr>
                                                                                    <w:top w:val="none" w:sz="0" w:space="0" w:color="auto"/>
                                                                                    <w:left w:val="none" w:sz="0" w:space="0" w:color="auto"/>
                                                                                    <w:bottom w:val="none" w:sz="0" w:space="0" w:color="auto"/>
                                                                                    <w:right w:val="none" w:sz="0" w:space="0" w:color="auto"/>
                                                                                  </w:divBdr>
                                                                                  <w:divsChild>
                                                                                    <w:div w:id="1384595849">
                                                                                      <w:marLeft w:val="0"/>
                                                                                      <w:marRight w:val="0"/>
                                                                                      <w:marTop w:val="0"/>
                                                                                      <w:marBottom w:val="0"/>
                                                                                      <w:divBdr>
                                                                                        <w:top w:val="none" w:sz="0" w:space="0" w:color="auto"/>
                                                                                        <w:left w:val="none" w:sz="0" w:space="0" w:color="auto"/>
                                                                                        <w:bottom w:val="none" w:sz="0" w:space="0" w:color="auto"/>
                                                                                        <w:right w:val="none" w:sz="0" w:space="0" w:color="auto"/>
                                                                                      </w:divBdr>
                                                                                      <w:divsChild>
                                                                                        <w:div w:id="717820071">
                                                                                          <w:marLeft w:val="0"/>
                                                                                          <w:marRight w:val="0"/>
                                                                                          <w:marTop w:val="0"/>
                                                                                          <w:marBottom w:val="0"/>
                                                                                          <w:divBdr>
                                                                                            <w:top w:val="none" w:sz="0" w:space="0" w:color="auto"/>
                                                                                            <w:left w:val="none" w:sz="0" w:space="0" w:color="auto"/>
                                                                                            <w:bottom w:val="none" w:sz="0" w:space="0" w:color="auto"/>
                                                                                            <w:right w:val="none" w:sz="0" w:space="0" w:color="auto"/>
                                                                                          </w:divBdr>
                                                                                          <w:divsChild>
                                                                                            <w:div w:id="2097555670">
                                                                                              <w:marLeft w:val="0"/>
                                                                                              <w:marRight w:val="0"/>
                                                                                              <w:marTop w:val="0"/>
                                                                                              <w:marBottom w:val="0"/>
                                                                                              <w:divBdr>
                                                                                                <w:top w:val="none" w:sz="0" w:space="0" w:color="auto"/>
                                                                                                <w:left w:val="none" w:sz="0" w:space="0" w:color="auto"/>
                                                                                                <w:bottom w:val="none" w:sz="0" w:space="0" w:color="auto"/>
                                                                                                <w:right w:val="none" w:sz="0" w:space="0" w:color="auto"/>
                                                                                              </w:divBdr>
                                                                                              <w:divsChild>
                                                                                                <w:div w:id="1663662715">
                                                                                                  <w:marLeft w:val="0"/>
                                                                                                  <w:marRight w:val="0"/>
                                                                                                  <w:marTop w:val="0"/>
                                                                                                  <w:marBottom w:val="0"/>
                                                                                                  <w:divBdr>
                                                                                                    <w:top w:val="none" w:sz="0" w:space="0" w:color="auto"/>
                                                                                                    <w:left w:val="none" w:sz="0" w:space="0" w:color="auto"/>
                                                                                                    <w:bottom w:val="none" w:sz="0" w:space="0" w:color="auto"/>
                                                                                                    <w:right w:val="none" w:sz="0" w:space="0" w:color="auto"/>
                                                                                                  </w:divBdr>
                                                                                                  <w:divsChild>
                                                                                                    <w:div w:id="517738483">
                                                                                                      <w:marLeft w:val="0"/>
                                                                                                      <w:marRight w:val="0"/>
                                                                                                      <w:marTop w:val="0"/>
                                                                                                      <w:marBottom w:val="0"/>
                                                                                                      <w:divBdr>
                                                                                                        <w:top w:val="none" w:sz="0" w:space="0" w:color="auto"/>
                                                                                                        <w:left w:val="none" w:sz="0" w:space="0" w:color="auto"/>
                                                                                                        <w:bottom w:val="none" w:sz="0" w:space="0" w:color="auto"/>
                                                                                                        <w:right w:val="none" w:sz="0" w:space="0" w:color="auto"/>
                                                                                                      </w:divBdr>
                                                                                                      <w:divsChild>
                                                                                                        <w:div w:id="48577239">
                                                                                                          <w:marLeft w:val="0"/>
                                                                                                          <w:marRight w:val="0"/>
                                                                                                          <w:marTop w:val="0"/>
                                                                                                          <w:marBottom w:val="0"/>
                                                                                                          <w:divBdr>
                                                                                                            <w:top w:val="none" w:sz="0" w:space="0" w:color="auto"/>
                                                                                                            <w:left w:val="none" w:sz="0" w:space="0" w:color="auto"/>
                                                                                                            <w:bottom w:val="none" w:sz="0" w:space="0" w:color="auto"/>
                                                                                                            <w:right w:val="none" w:sz="0" w:space="0" w:color="auto"/>
                                                                                                          </w:divBdr>
                                                                                                        </w:div>
                                                                                                        <w:div w:id="129129452">
                                                                                                          <w:marLeft w:val="0"/>
                                                                                                          <w:marRight w:val="0"/>
                                                                                                          <w:marTop w:val="0"/>
                                                                                                          <w:marBottom w:val="0"/>
                                                                                                          <w:divBdr>
                                                                                                            <w:top w:val="none" w:sz="0" w:space="0" w:color="auto"/>
                                                                                                            <w:left w:val="none" w:sz="0" w:space="0" w:color="auto"/>
                                                                                                            <w:bottom w:val="none" w:sz="0" w:space="0" w:color="auto"/>
                                                                                                            <w:right w:val="none" w:sz="0" w:space="0" w:color="auto"/>
                                                                                                          </w:divBdr>
                                                                                                        </w:div>
                                                                                                        <w:div w:id="134298911">
                                                                                                          <w:marLeft w:val="0"/>
                                                                                                          <w:marRight w:val="0"/>
                                                                                                          <w:marTop w:val="0"/>
                                                                                                          <w:marBottom w:val="0"/>
                                                                                                          <w:divBdr>
                                                                                                            <w:top w:val="none" w:sz="0" w:space="0" w:color="auto"/>
                                                                                                            <w:left w:val="none" w:sz="0" w:space="0" w:color="auto"/>
                                                                                                            <w:bottom w:val="none" w:sz="0" w:space="0" w:color="auto"/>
                                                                                                            <w:right w:val="none" w:sz="0" w:space="0" w:color="auto"/>
                                                                                                          </w:divBdr>
                                                                                                        </w:div>
                                                                                                        <w:div w:id="524562470">
                                                                                                          <w:marLeft w:val="0"/>
                                                                                                          <w:marRight w:val="0"/>
                                                                                                          <w:marTop w:val="0"/>
                                                                                                          <w:marBottom w:val="0"/>
                                                                                                          <w:divBdr>
                                                                                                            <w:top w:val="none" w:sz="0" w:space="0" w:color="auto"/>
                                                                                                            <w:left w:val="none" w:sz="0" w:space="0" w:color="auto"/>
                                                                                                            <w:bottom w:val="none" w:sz="0" w:space="0" w:color="auto"/>
                                                                                                            <w:right w:val="none" w:sz="0" w:space="0" w:color="auto"/>
                                                                                                          </w:divBdr>
                                                                                                        </w:div>
                                                                                                        <w:div w:id="645551673">
                                                                                                          <w:marLeft w:val="0"/>
                                                                                                          <w:marRight w:val="0"/>
                                                                                                          <w:marTop w:val="0"/>
                                                                                                          <w:marBottom w:val="0"/>
                                                                                                          <w:divBdr>
                                                                                                            <w:top w:val="none" w:sz="0" w:space="0" w:color="auto"/>
                                                                                                            <w:left w:val="none" w:sz="0" w:space="0" w:color="auto"/>
                                                                                                            <w:bottom w:val="none" w:sz="0" w:space="0" w:color="auto"/>
                                                                                                            <w:right w:val="none" w:sz="0" w:space="0" w:color="auto"/>
                                                                                                          </w:divBdr>
                                                                                                        </w:div>
                                                                                                        <w:div w:id="841823047">
                                                                                                          <w:marLeft w:val="0"/>
                                                                                                          <w:marRight w:val="0"/>
                                                                                                          <w:marTop w:val="0"/>
                                                                                                          <w:marBottom w:val="0"/>
                                                                                                          <w:divBdr>
                                                                                                            <w:top w:val="none" w:sz="0" w:space="0" w:color="auto"/>
                                                                                                            <w:left w:val="none" w:sz="0" w:space="0" w:color="auto"/>
                                                                                                            <w:bottom w:val="none" w:sz="0" w:space="0" w:color="auto"/>
                                                                                                            <w:right w:val="none" w:sz="0" w:space="0" w:color="auto"/>
                                                                                                          </w:divBdr>
                                                                                                        </w:div>
                                                                                                        <w:div w:id="844396298">
                                                                                                          <w:marLeft w:val="0"/>
                                                                                                          <w:marRight w:val="0"/>
                                                                                                          <w:marTop w:val="0"/>
                                                                                                          <w:marBottom w:val="0"/>
                                                                                                          <w:divBdr>
                                                                                                            <w:top w:val="none" w:sz="0" w:space="0" w:color="auto"/>
                                                                                                            <w:left w:val="none" w:sz="0" w:space="0" w:color="auto"/>
                                                                                                            <w:bottom w:val="none" w:sz="0" w:space="0" w:color="auto"/>
                                                                                                            <w:right w:val="none" w:sz="0" w:space="0" w:color="auto"/>
                                                                                                          </w:divBdr>
                                                                                                        </w:div>
                                                                                                        <w:div w:id="860781370">
                                                                                                          <w:marLeft w:val="0"/>
                                                                                                          <w:marRight w:val="0"/>
                                                                                                          <w:marTop w:val="0"/>
                                                                                                          <w:marBottom w:val="0"/>
                                                                                                          <w:divBdr>
                                                                                                            <w:top w:val="none" w:sz="0" w:space="0" w:color="auto"/>
                                                                                                            <w:left w:val="none" w:sz="0" w:space="0" w:color="auto"/>
                                                                                                            <w:bottom w:val="none" w:sz="0" w:space="0" w:color="auto"/>
                                                                                                            <w:right w:val="none" w:sz="0" w:space="0" w:color="auto"/>
                                                                                                          </w:divBdr>
                                                                                                        </w:div>
                                                                                                        <w:div w:id="939874666">
                                                                                                          <w:marLeft w:val="0"/>
                                                                                                          <w:marRight w:val="0"/>
                                                                                                          <w:marTop w:val="0"/>
                                                                                                          <w:marBottom w:val="0"/>
                                                                                                          <w:divBdr>
                                                                                                            <w:top w:val="none" w:sz="0" w:space="0" w:color="auto"/>
                                                                                                            <w:left w:val="none" w:sz="0" w:space="0" w:color="auto"/>
                                                                                                            <w:bottom w:val="none" w:sz="0" w:space="0" w:color="auto"/>
                                                                                                            <w:right w:val="none" w:sz="0" w:space="0" w:color="auto"/>
                                                                                                          </w:divBdr>
                                                                                                        </w:div>
                                                                                                        <w:div w:id="1250043748">
                                                                                                          <w:marLeft w:val="0"/>
                                                                                                          <w:marRight w:val="0"/>
                                                                                                          <w:marTop w:val="0"/>
                                                                                                          <w:marBottom w:val="0"/>
                                                                                                          <w:divBdr>
                                                                                                            <w:top w:val="none" w:sz="0" w:space="0" w:color="auto"/>
                                                                                                            <w:left w:val="none" w:sz="0" w:space="0" w:color="auto"/>
                                                                                                            <w:bottom w:val="none" w:sz="0" w:space="0" w:color="auto"/>
                                                                                                            <w:right w:val="none" w:sz="0" w:space="0" w:color="auto"/>
                                                                                                          </w:divBdr>
                                                                                                        </w:div>
                                                                                                        <w:div w:id="1287080845">
                                                                                                          <w:marLeft w:val="0"/>
                                                                                                          <w:marRight w:val="0"/>
                                                                                                          <w:marTop w:val="0"/>
                                                                                                          <w:marBottom w:val="0"/>
                                                                                                          <w:divBdr>
                                                                                                            <w:top w:val="none" w:sz="0" w:space="0" w:color="auto"/>
                                                                                                            <w:left w:val="none" w:sz="0" w:space="0" w:color="auto"/>
                                                                                                            <w:bottom w:val="none" w:sz="0" w:space="0" w:color="auto"/>
                                                                                                            <w:right w:val="none" w:sz="0" w:space="0" w:color="auto"/>
                                                                                                          </w:divBdr>
                                                                                                        </w:div>
                                                                                                        <w:div w:id="1326737897">
                                                                                                          <w:marLeft w:val="0"/>
                                                                                                          <w:marRight w:val="0"/>
                                                                                                          <w:marTop w:val="0"/>
                                                                                                          <w:marBottom w:val="0"/>
                                                                                                          <w:divBdr>
                                                                                                            <w:top w:val="none" w:sz="0" w:space="0" w:color="auto"/>
                                                                                                            <w:left w:val="none" w:sz="0" w:space="0" w:color="auto"/>
                                                                                                            <w:bottom w:val="none" w:sz="0" w:space="0" w:color="auto"/>
                                                                                                            <w:right w:val="none" w:sz="0" w:space="0" w:color="auto"/>
                                                                                                          </w:divBdr>
                                                                                                        </w:div>
                                                                                                        <w:div w:id="1384137986">
                                                                                                          <w:marLeft w:val="0"/>
                                                                                                          <w:marRight w:val="0"/>
                                                                                                          <w:marTop w:val="0"/>
                                                                                                          <w:marBottom w:val="0"/>
                                                                                                          <w:divBdr>
                                                                                                            <w:top w:val="none" w:sz="0" w:space="0" w:color="auto"/>
                                                                                                            <w:left w:val="none" w:sz="0" w:space="0" w:color="auto"/>
                                                                                                            <w:bottom w:val="none" w:sz="0" w:space="0" w:color="auto"/>
                                                                                                            <w:right w:val="none" w:sz="0" w:space="0" w:color="auto"/>
                                                                                                          </w:divBdr>
                                                                                                        </w:div>
                                                                                                        <w:div w:id="1429884032">
                                                                                                          <w:marLeft w:val="0"/>
                                                                                                          <w:marRight w:val="0"/>
                                                                                                          <w:marTop w:val="0"/>
                                                                                                          <w:marBottom w:val="0"/>
                                                                                                          <w:divBdr>
                                                                                                            <w:top w:val="none" w:sz="0" w:space="0" w:color="auto"/>
                                                                                                            <w:left w:val="none" w:sz="0" w:space="0" w:color="auto"/>
                                                                                                            <w:bottom w:val="none" w:sz="0" w:space="0" w:color="auto"/>
                                                                                                            <w:right w:val="none" w:sz="0" w:space="0" w:color="auto"/>
                                                                                                          </w:divBdr>
                                                                                                        </w:div>
                                                                                                        <w:div w:id="1460487064">
                                                                                                          <w:marLeft w:val="0"/>
                                                                                                          <w:marRight w:val="0"/>
                                                                                                          <w:marTop w:val="0"/>
                                                                                                          <w:marBottom w:val="0"/>
                                                                                                          <w:divBdr>
                                                                                                            <w:top w:val="none" w:sz="0" w:space="0" w:color="auto"/>
                                                                                                            <w:left w:val="none" w:sz="0" w:space="0" w:color="auto"/>
                                                                                                            <w:bottom w:val="none" w:sz="0" w:space="0" w:color="auto"/>
                                                                                                            <w:right w:val="none" w:sz="0" w:space="0" w:color="auto"/>
                                                                                                          </w:divBdr>
                                                                                                        </w:div>
                                                                                                        <w:div w:id="1604922360">
                                                                                                          <w:marLeft w:val="0"/>
                                                                                                          <w:marRight w:val="0"/>
                                                                                                          <w:marTop w:val="0"/>
                                                                                                          <w:marBottom w:val="0"/>
                                                                                                          <w:divBdr>
                                                                                                            <w:top w:val="none" w:sz="0" w:space="0" w:color="auto"/>
                                                                                                            <w:left w:val="none" w:sz="0" w:space="0" w:color="auto"/>
                                                                                                            <w:bottom w:val="none" w:sz="0" w:space="0" w:color="auto"/>
                                                                                                            <w:right w:val="none" w:sz="0" w:space="0" w:color="auto"/>
                                                                                                          </w:divBdr>
                                                                                                        </w:div>
                                                                                                        <w:div w:id="1785806747">
                                                                                                          <w:marLeft w:val="0"/>
                                                                                                          <w:marRight w:val="0"/>
                                                                                                          <w:marTop w:val="0"/>
                                                                                                          <w:marBottom w:val="0"/>
                                                                                                          <w:divBdr>
                                                                                                            <w:top w:val="none" w:sz="0" w:space="0" w:color="auto"/>
                                                                                                            <w:left w:val="none" w:sz="0" w:space="0" w:color="auto"/>
                                                                                                            <w:bottom w:val="none" w:sz="0" w:space="0" w:color="auto"/>
                                                                                                            <w:right w:val="none" w:sz="0" w:space="0" w:color="auto"/>
                                                                                                          </w:divBdr>
                                                                                                        </w:div>
                                                                                                        <w:div w:id="1790775711">
                                                                                                          <w:marLeft w:val="0"/>
                                                                                                          <w:marRight w:val="0"/>
                                                                                                          <w:marTop w:val="0"/>
                                                                                                          <w:marBottom w:val="0"/>
                                                                                                          <w:divBdr>
                                                                                                            <w:top w:val="none" w:sz="0" w:space="0" w:color="auto"/>
                                                                                                            <w:left w:val="none" w:sz="0" w:space="0" w:color="auto"/>
                                                                                                            <w:bottom w:val="none" w:sz="0" w:space="0" w:color="auto"/>
                                                                                                            <w:right w:val="none" w:sz="0" w:space="0" w:color="auto"/>
                                                                                                          </w:divBdr>
                                                                                                        </w:div>
                                                                                                        <w:div w:id="1968007612">
                                                                                                          <w:marLeft w:val="0"/>
                                                                                                          <w:marRight w:val="0"/>
                                                                                                          <w:marTop w:val="0"/>
                                                                                                          <w:marBottom w:val="0"/>
                                                                                                          <w:divBdr>
                                                                                                            <w:top w:val="none" w:sz="0" w:space="0" w:color="auto"/>
                                                                                                            <w:left w:val="none" w:sz="0" w:space="0" w:color="auto"/>
                                                                                                            <w:bottom w:val="none" w:sz="0" w:space="0" w:color="auto"/>
                                                                                                            <w:right w:val="none" w:sz="0" w:space="0" w:color="auto"/>
                                                                                                          </w:divBdr>
                                                                                                        </w:div>
                                                                                                        <w:div w:id="2066679984">
                                                                                                          <w:marLeft w:val="0"/>
                                                                                                          <w:marRight w:val="0"/>
                                                                                                          <w:marTop w:val="0"/>
                                                                                                          <w:marBottom w:val="0"/>
                                                                                                          <w:divBdr>
                                                                                                            <w:top w:val="none" w:sz="0" w:space="0" w:color="auto"/>
                                                                                                            <w:left w:val="none" w:sz="0" w:space="0" w:color="auto"/>
                                                                                                            <w:bottom w:val="none" w:sz="0" w:space="0" w:color="auto"/>
                                                                                                            <w:right w:val="none" w:sz="0" w:space="0" w:color="auto"/>
                                                                                                          </w:divBdr>
                                                                                                        </w:div>
                                                                                                        <w:div w:id="2112431584">
                                                                                                          <w:marLeft w:val="0"/>
                                                                                                          <w:marRight w:val="0"/>
                                                                                                          <w:marTop w:val="0"/>
                                                                                                          <w:marBottom w:val="0"/>
                                                                                                          <w:divBdr>
                                                                                                            <w:top w:val="none" w:sz="0" w:space="0" w:color="auto"/>
                                                                                                            <w:left w:val="none" w:sz="0" w:space="0" w:color="auto"/>
                                                                                                            <w:bottom w:val="none" w:sz="0" w:space="0" w:color="auto"/>
                                                                                                            <w:right w:val="none" w:sz="0" w:space="0" w:color="auto"/>
                                                                                                          </w:divBdr>
                                                                                                        </w:div>
                                                                                                        <w:div w:id="2118791841">
                                                                                                          <w:marLeft w:val="0"/>
                                                                                                          <w:marRight w:val="0"/>
                                                                                                          <w:marTop w:val="0"/>
                                                                                                          <w:marBottom w:val="0"/>
                                                                                                          <w:divBdr>
                                                                                                            <w:top w:val="none" w:sz="0" w:space="0" w:color="auto"/>
                                                                                                            <w:left w:val="none" w:sz="0" w:space="0" w:color="auto"/>
                                                                                                            <w:bottom w:val="none" w:sz="0" w:space="0" w:color="auto"/>
                                                                                                            <w:right w:val="none" w:sz="0" w:space="0" w:color="auto"/>
                                                                                                          </w:divBdr>
                                                                                                        </w:div>
                                                                                                        <w:div w:id="213046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4021150">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446582801">
          <w:marLeft w:val="0"/>
          <w:marRight w:val="0"/>
          <w:marTop w:val="0"/>
          <w:marBottom w:val="0"/>
          <w:divBdr>
            <w:top w:val="none" w:sz="0" w:space="0" w:color="auto"/>
            <w:left w:val="none" w:sz="0" w:space="0" w:color="auto"/>
            <w:bottom w:val="none" w:sz="0" w:space="0" w:color="auto"/>
            <w:right w:val="none" w:sz="0" w:space="0" w:color="auto"/>
          </w:divBdr>
        </w:div>
      </w:divsChild>
    </w:div>
    <w:div w:id="274021924">
      <w:bodyDiv w:val="1"/>
      <w:marLeft w:val="150"/>
      <w:marRight w:val="150"/>
      <w:marTop w:val="150"/>
      <w:marBottom w:val="150"/>
      <w:divBdr>
        <w:top w:val="none" w:sz="0" w:space="0" w:color="auto"/>
        <w:left w:val="none" w:sz="0" w:space="0" w:color="auto"/>
        <w:bottom w:val="none" w:sz="0" w:space="0" w:color="auto"/>
        <w:right w:val="none" w:sz="0" w:space="0" w:color="auto"/>
      </w:divBdr>
      <w:divsChild>
        <w:div w:id="433987504">
          <w:marLeft w:val="0"/>
          <w:marRight w:val="0"/>
          <w:marTop w:val="0"/>
          <w:marBottom w:val="0"/>
          <w:divBdr>
            <w:top w:val="none" w:sz="0" w:space="0" w:color="auto"/>
            <w:left w:val="none" w:sz="0" w:space="0" w:color="auto"/>
            <w:bottom w:val="none" w:sz="0" w:space="0" w:color="auto"/>
            <w:right w:val="none" w:sz="0" w:space="0" w:color="auto"/>
          </w:divBdr>
        </w:div>
        <w:div w:id="445078601">
          <w:marLeft w:val="0"/>
          <w:marRight w:val="0"/>
          <w:marTop w:val="0"/>
          <w:marBottom w:val="0"/>
          <w:divBdr>
            <w:top w:val="none" w:sz="0" w:space="0" w:color="auto"/>
            <w:left w:val="none" w:sz="0" w:space="0" w:color="auto"/>
            <w:bottom w:val="none" w:sz="0" w:space="0" w:color="auto"/>
            <w:right w:val="none" w:sz="0" w:space="0" w:color="auto"/>
          </w:divBdr>
        </w:div>
        <w:div w:id="854923777">
          <w:marLeft w:val="0"/>
          <w:marRight w:val="0"/>
          <w:marTop w:val="0"/>
          <w:marBottom w:val="0"/>
          <w:divBdr>
            <w:top w:val="none" w:sz="0" w:space="0" w:color="auto"/>
            <w:left w:val="none" w:sz="0" w:space="0" w:color="auto"/>
            <w:bottom w:val="none" w:sz="0" w:space="0" w:color="auto"/>
            <w:right w:val="none" w:sz="0" w:space="0" w:color="auto"/>
          </w:divBdr>
        </w:div>
      </w:divsChild>
    </w:div>
    <w:div w:id="292448196">
      <w:bodyDiv w:val="1"/>
      <w:marLeft w:val="178"/>
      <w:marRight w:val="178"/>
      <w:marTop w:val="178"/>
      <w:marBottom w:val="178"/>
      <w:divBdr>
        <w:top w:val="none" w:sz="0" w:space="0" w:color="auto"/>
        <w:left w:val="none" w:sz="0" w:space="0" w:color="auto"/>
        <w:bottom w:val="none" w:sz="0" w:space="0" w:color="auto"/>
        <w:right w:val="none" w:sz="0" w:space="0" w:color="auto"/>
      </w:divBdr>
      <w:divsChild>
        <w:div w:id="35475385">
          <w:marLeft w:val="0"/>
          <w:marRight w:val="0"/>
          <w:marTop w:val="0"/>
          <w:marBottom w:val="0"/>
          <w:divBdr>
            <w:top w:val="none" w:sz="0" w:space="0" w:color="auto"/>
            <w:left w:val="none" w:sz="0" w:space="0" w:color="auto"/>
            <w:bottom w:val="none" w:sz="0" w:space="0" w:color="auto"/>
            <w:right w:val="none" w:sz="0" w:space="0" w:color="auto"/>
          </w:divBdr>
        </w:div>
        <w:div w:id="437681807">
          <w:marLeft w:val="0"/>
          <w:marRight w:val="0"/>
          <w:marTop w:val="0"/>
          <w:marBottom w:val="0"/>
          <w:divBdr>
            <w:top w:val="none" w:sz="0" w:space="0" w:color="auto"/>
            <w:left w:val="none" w:sz="0" w:space="0" w:color="auto"/>
            <w:bottom w:val="none" w:sz="0" w:space="0" w:color="auto"/>
            <w:right w:val="none" w:sz="0" w:space="0" w:color="auto"/>
          </w:divBdr>
        </w:div>
        <w:div w:id="1581137687">
          <w:marLeft w:val="0"/>
          <w:marRight w:val="0"/>
          <w:marTop w:val="0"/>
          <w:marBottom w:val="0"/>
          <w:divBdr>
            <w:top w:val="none" w:sz="0" w:space="0" w:color="auto"/>
            <w:left w:val="none" w:sz="0" w:space="0" w:color="auto"/>
            <w:bottom w:val="none" w:sz="0" w:space="0" w:color="auto"/>
            <w:right w:val="none" w:sz="0" w:space="0" w:color="auto"/>
          </w:divBdr>
        </w:div>
      </w:divsChild>
    </w:div>
    <w:div w:id="304622756">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550141948">
          <w:marLeft w:val="0"/>
          <w:marRight w:val="0"/>
          <w:marTop w:val="0"/>
          <w:marBottom w:val="0"/>
          <w:divBdr>
            <w:top w:val="none" w:sz="0" w:space="0" w:color="auto"/>
            <w:left w:val="none" w:sz="0" w:space="0" w:color="auto"/>
            <w:bottom w:val="none" w:sz="0" w:space="0" w:color="auto"/>
            <w:right w:val="none" w:sz="0" w:space="0" w:color="auto"/>
          </w:divBdr>
        </w:div>
        <w:div w:id="1557424853">
          <w:marLeft w:val="0"/>
          <w:marRight w:val="0"/>
          <w:marTop w:val="0"/>
          <w:marBottom w:val="0"/>
          <w:divBdr>
            <w:top w:val="none" w:sz="0" w:space="0" w:color="auto"/>
            <w:left w:val="none" w:sz="0" w:space="0" w:color="auto"/>
            <w:bottom w:val="none" w:sz="0" w:space="0" w:color="auto"/>
            <w:right w:val="none" w:sz="0" w:space="0" w:color="auto"/>
          </w:divBdr>
        </w:div>
        <w:div w:id="1636990113">
          <w:marLeft w:val="0"/>
          <w:marRight w:val="0"/>
          <w:marTop w:val="0"/>
          <w:marBottom w:val="0"/>
          <w:divBdr>
            <w:top w:val="none" w:sz="0" w:space="0" w:color="auto"/>
            <w:left w:val="none" w:sz="0" w:space="0" w:color="auto"/>
            <w:bottom w:val="none" w:sz="0" w:space="0" w:color="auto"/>
            <w:right w:val="none" w:sz="0" w:space="0" w:color="auto"/>
          </w:divBdr>
        </w:div>
      </w:divsChild>
    </w:div>
    <w:div w:id="332072696">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070151150">
          <w:marLeft w:val="0"/>
          <w:marRight w:val="0"/>
          <w:marTop w:val="0"/>
          <w:marBottom w:val="0"/>
          <w:divBdr>
            <w:top w:val="none" w:sz="0" w:space="0" w:color="auto"/>
            <w:left w:val="none" w:sz="0" w:space="0" w:color="auto"/>
            <w:bottom w:val="none" w:sz="0" w:space="0" w:color="auto"/>
            <w:right w:val="none" w:sz="0" w:space="0" w:color="auto"/>
          </w:divBdr>
        </w:div>
        <w:div w:id="1279991692">
          <w:marLeft w:val="0"/>
          <w:marRight w:val="0"/>
          <w:marTop w:val="0"/>
          <w:marBottom w:val="0"/>
          <w:divBdr>
            <w:top w:val="none" w:sz="0" w:space="0" w:color="auto"/>
            <w:left w:val="none" w:sz="0" w:space="0" w:color="auto"/>
            <w:bottom w:val="none" w:sz="0" w:space="0" w:color="auto"/>
            <w:right w:val="none" w:sz="0" w:space="0" w:color="auto"/>
          </w:divBdr>
        </w:div>
      </w:divsChild>
    </w:div>
    <w:div w:id="384841509">
      <w:bodyDiv w:val="1"/>
      <w:marLeft w:val="150"/>
      <w:marRight w:val="150"/>
      <w:marTop w:val="150"/>
      <w:marBottom w:val="150"/>
      <w:divBdr>
        <w:top w:val="none" w:sz="0" w:space="0" w:color="auto"/>
        <w:left w:val="none" w:sz="0" w:space="0" w:color="auto"/>
        <w:bottom w:val="none" w:sz="0" w:space="0" w:color="auto"/>
        <w:right w:val="none" w:sz="0" w:space="0" w:color="auto"/>
      </w:divBdr>
      <w:divsChild>
        <w:div w:id="399059720">
          <w:marLeft w:val="0"/>
          <w:marRight w:val="0"/>
          <w:marTop w:val="0"/>
          <w:marBottom w:val="0"/>
          <w:divBdr>
            <w:top w:val="none" w:sz="0" w:space="0" w:color="auto"/>
            <w:left w:val="none" w:sz="0" w:space="0" w:color="auto"/>
            <w:bottom w:val="none" w:sz="0" w:space="0" w:color="auto"/>
            <w:right w:val="none" w:sz="0" w:space="0" w:color="auto"/>
          </w:divBdr>
        </w:div>
        <w:div w:id="692540940">
          <w:marLeft w:val="0"/>
          <w:marRight w:val="0"/>
          <w:marTop w:val="0"/>
          <w:marBottom w:val="0"/>
          <w:divBdr>
            <w:top w:val="none" w:sz="0" w:space="0" w:color="auto"/>
            <w:left w:val="none" w:sz="0" w:space="0" w:color="auto"/>
            <w:bottom w:val="none" w:sz="0" w:space="0" w:color="auto"/>
            <w:right w:val="none" w:sz="0" w:space="0" w:color="auto"/>
          </w:divBdr>
        </w:div>
        <w:div w:id="694624759">
          <w:marLeft w:val="0"/>
          <w:marRight w:val="0"/>
          <w:marTop w:val="0"/>
          <w:marBottom w:val="0"/>
          <w:divBdr>
            <w:top w:val="none" w:sz="0" w:space="0" w:color="auto"/>
            <w:left w:val="none" w:sz="0" w:space="0" w:color="auto"/>
            <w:bottom w:val="none" w:sz="0" w:space="0" w:color="auto"/>
            <w:right w:val="none" w:sz="0" w:space="0" w:color="auto"/>
          </w:divBdr>
        </w:div>
        <w:div w:id="1549219091">
          <w:marLeft w:val="0"/>
          <w:marRight w:val="0"/>
          <w:marTop w:val="0"/>
          <w:marBottom w:val="0"/>
          <w:divBdr>
            <w:top w:val="none" w:sz="0" w:space="0" w:color="auto"/>
            <w:left w:val="none" w:sz="0" w:space="0" w:color="auto"/>
            <w:bottom w:val="none" w:sz="0" w:space="0" w:color="auto"/>
            <w:right w:val="none" w:sz="0" w:space="0" w:color="auto"/>
          </w:divBdr>
        </w:div>
        <w:div w:id="1942882600">
          <w:marLeft w:val="0"/>
          <w:marRight w:val="0"/>
          <w:marTop w:val="0"/>
          <w:marBottom w:val="0"/>
          <w:divBdr>
            <w:top w:val="none" w:sz="0" w:space="0" w:color="auto"/>
            <w:left w:val="none" w:sz="0" w:space="0" w:color="auto"/>
            <w:bottom w:val="none" w:sz="0" w:space="0" w:color="auto"/>
            <w:right w:val="none" w:sz="0" w:space="0" w:color="auto"/>
          </w:divBdr>
        </w:div>
      </w:divsChild>
    </w:div>
    <w:div w:id="466319450">
      <w:bodyDiv w:val="1"/>
      <w:marLeft w:val="150"/>
      <w:marRight w:val="150"/>
      <w:marTop w:val="150"/>
      <w:marBottom w:val="150"/>
      <w:divBdr>
        <w:top w:val="none" w:sz="0" w:space="0" w:color="auto"/>
        <w:left w:val="none" w:sz="0" w:space="0" w:color="auto"/>
        <w:bottom w:val="none" w:sz="0" w:space="0" w:color="auto"/>
        <w:right w:val="none" w:sz="0" w:space="0" w:color="auto"/>
      </w:divBdr>
      <w:divsChild>
        <w:div w:id="906306139">
          <w:marLeft w:val="0"/>
          <w:marRight w:val="0"/>
          <w:marTop w:val="0"/>
          <w:marBottom w:val="0"/>
          <w:divBdr>
            <w:top w:val="none" w:sz="0" w:space="0" w:color="auto"/>
            <w:left w:val="none" w:sz="0" w:space="0" w:color="auto"/>
            <w:bottom w:val="none" w:sz="0" w:space="0" w:color="auto"/>
            <w:right w:val="none" w:sz="0" w:space="0" w:color="auto"/>
          </w:divBdr>
        </w:div>
      </w:divsChild>
    </w:div>
    <w:div w:id="470102264">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626808810">
          <w:marLeft w:val="0"/>
          <w:marRight w:val="0"/>
          <w:marTop w:val="0"/>
          <w:marBottom w:val="0"/>
          <w:divBdr>
            <w:top w:val="none" w:sz="0" w:space="0" w:color="auto"/>
            <w:left w:val="none" w:sz="0" w:space="0" w:color="auto"/>
            <w:bottom w:val="none" w:sz="0" w:space="0" w:color="auto"/>
            <w:right w:val="none" w:sz="0" w:space="0" w:color="auto"/>
          </w:divBdr>
        </w:div>
      </w:divsChild>
    </w:div>
    <w:div w:id="501508616">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43814647">
          <w:marLeft w:val="0"/>
          <w:marRight w:val="0"/>
          <w:marTop w:val="0"/>
          <w:marBottom w:val="0"/>
          <w:divBdr>
            <w:top w:val="none" w:sz="0" w:space="0" w:color="auto"/>
            <w:left w:val="none" w:sz="0" w:space="0" w:color="auto"/>
            <w:bottom w:val="none" w:sz="0" w:space="0" w:color="auto"/>
            <w:right w:val="none" w:sz="0" w:space="0" w:color="auto"/>
          </w:divBdr>
        </w:div>
        <w:div w:id="735739045">
          <w:marLeft w:val="0"/>
          <w:marRight w:val="0"/>
          <w:marTop w:val="0"/>
          <w:marBottom w:val="0"/>
          <w:divBdr>
            <w:top w:val="none" w:sz="0" w:space="0" w:color="auto"/>
            <w:left w:val="none" w:sz="0" w:space="0" w:color="auto"/>
            <w:bottom w:val="none" w:sz="0" w:space="0" w:color="auto"/>
            <w:right w:val="none" w:sz="0" w:space="0" w:color="auto"/>
          </w:divBdr>
        </w:div>
        <w:div w:id="1088309040">
          <w:marLeft w:val="0"/>
          <w:marRight w:val="0"/>
          <w:marTop w:val="0"/>
          <w:marBottom w:val="0"/>
          <w:divBdr>
            <w:top w:val="none" w:sz="0" w:space="0" w:color="auto"/>
            <w:left w:val="none" w:sz="0" w:space="0" w:color="auto"/>
            <w:bottom w:val="none" w:sz="0" w:space="0" w:color="auto"/>
            <w:right w:val="none" w:sz="0" w:space="0" w:color="auto"/>
          </w:divBdr>
        </w:div>
        <w:div w:id="1878080837">
          <w:marLeft w:val="0"/>
          <w:marRight w:val="0"/>
          <w:marTop w:val="0"/>
          <w:marBottom w:val="0"/>
          <w:divBdr>
            <w:top w:val="none" w:sz="0" w:space="0" w:color="auto"/>
            <w:left w:val="none" w:sz="0" w:space="0" w:color="auto"/>
            <w:bottom w:val="none" w:sz="0" w:space="0" w:color="auto"/>
            <w:right w:val="none" w:sz="0" w:space="0" w:color="auto"/>
          </w:divBdr>
        </w:div>
        <w:div w:id="1994990478">
          <w:marLeft w:val="0"/>
          <w:marRight w:val="0"/>
          <w:marTop w:val="0"/>
          <w:marBottom w:val="0"/>
          <w:divBdr>
            <w:top w:val="none" w:sz="0" w:space="0" w:color="auto"/>
            <w:left w:val="none" w:sz="0" w:space="0" w:color="auto"/>
            <w:bottom w:val="none" w:sz="0" w:space="0" w:color="auto"/>
            <w:right w:val="none" w:sz="0" w:space="0" w:color="auto"/>
          </w:divBdr>
        </w:div>
      </w:divsChild>
    </w:div>
    <w:div w:id="557858337">
      <w:bodyDiv w:val="1"/>
      <w:marLeft w:val="150"/>
      <w:marRight w:val="150"/>
      <w:marTop w:val="150"/>
      <w:marBottom w:val="150"/>
      <w:divBdr>
        <w:top w:val="none" w:sz="0" w:space="0" w:color="auto"/>
        <w:left w:val="none" w:sz="0" w:space="0" w:color="auto"/>
        <w:bottom w:val="none" w:sz="0" w:space="0" w:color="auto"/>
        <w:right w:val="none" w:sz="0" w:space="0" w:color="auto"/>
      </w:divBdr>
      <w:divsChild>
        <w:div w:id="930772574">
          <w:marLeft w:val="0"/>
          <w:marRight w:val="0"/>
          <w:marTop w:val="0"/>
          <w:marBottom w:val="0"/>
          <w:divBdr>
            <w:top w:val="none" w:sz="0" w:space="0" w:color="auto"/>
            <w:left w:val="none" w:sz="0" w:space="0" w:color="auto"/>
            <w:bottom w:val="none" w:sz="0" w:space="0" w:color="auto"/>
            <w:right w:val="none" w:sz="0" w:space="0" w:color="auto"/>
          </w:divBdr>
        </w:div>
      </w:divsChild>
    </w:div>
    <w:div w:id="645821372">
      <w:bodyDiv w:val="1"/>
      <w:marLeft w:val="0"/>
      <w:marRight w:val="0"/>
      <w:marTop w:val="0"/>
      <w:marBottom w:val="0"/>
      <w:divBdr>
        <w:top w:val="none" w:sz="0" w:space="0" w:color="auto"/>
        <w:left w:val="none" w:sz="0" w:space="0" w:color="auto"/>
        <w:bottom w:val="none" w:sz="0" w:space="0" w:color="auto"/>
        <w:right w:val="none" w:sz="0" w:space="0" w:color="auto"/>
      </w:divBdr>
      <w:divsChild>
        <w:div w:id="1309019021">
          <w:marLeft w:val="0"/>
          <w:marRight w:val="0"/>
          <w:marTop w:val="0"/>
          <w:marBottom w:val="0"/>
          <w:divBdr>
            <w:top w:val="none" w:sz="0" w:space="0" w:color="auto"/>
            <w:left w:val="none" w:sz="0" w:space="0" w:color="auto"/>
            <w:bottom w:val="none" w:sz="0" w:space="0" w:color="auto"/>
            <w:right w:val="none" w:sz="0" w:space="0" w:color="auto"/>
          </w:divBdr>
        </w:div>
      </w:divsChild>
    </w:div>
    <w:div w:id="698818927">
      <w:bodyDiv w:val="1"/>
      <w:marLeft w:val="150"/>
      <w:marRight w:val="150"/>
      <w:marTop w:val="150"/>
      <w:marBottom w:val="150"/>
      <w:divBdr>
        <w:top w:val="none" w:sz="0" w:space="0" w:color="auto"/>
        <w:left w:val="none" w:sz="0" w:space="0" w:color="auto"/>
        <w:bottom w:val="none" w:sz="0" w:space="0" w:color="auto"/>
        <w:right w:val="none" w:sz="0" w:space="0" w:color="auto"/>
      </w:divBdr>
      <w:divsChild>
        <w:div w:id="995843550">
          <w:marLeft w:val="0"/>
          <w:marRight w:val="0"/>
          <w:marTop w:val="0"/>
          <w:marBottom w:val="0"/>
          <w:divBdr>
            <w:top w:val="none" w:sz="0" w:space="0" w:color="auto"/>
            <w:left w:val="none" w:sz="0" w:space="0" w:color="auto"/>
            <w:bottom w:val="none" w:sz="0" w:space="0" w:color="auto"/>
            <w:right w:val="none" w:sz="0" w:space="0" w:color="auto"/>
          </w:divBdr>
        </w:div>
        <w:div w:id="1005673715">
          <w:marLeft w:val="0"/>
          <w:marRight w:val="0"/>
          <w:marTop w:val="0"/>
          <w:marBottom w:val="0"/>
          <w:divBdr>
            <w:top w:val="none" w:sz="0" w:space="0" w:color="auto"/>
            <w:left w:val="none" w:sz="0" w:space="0" w:color="auto"/>
            <w:bottom w:val="none" w:sz="0" w:space="0" w:color="auto"/>
            <w:right w:val="none" w:sz="0" w:space="0" w:color="auto"/>
          </w:divBdr>
        </w:div>
        <w:div w:id="1091853524">
          <w:marLeft w:val="0"/>
          <w:marRight w:val="0"/>
          <w:marTop w:val="0"/>
          <w:marBottom w:val="0"/>
          <w:divBdr>
            <w:top w:val="none" w:sz="0" w:space="0" w:color="auto"/>
            <w:left w:val="none" w:sz="0" w:space="0" w:color="auto"/>
            <w:bottom w:val="none" w:sz="0" w:space="0" w:color="auto"/>
            <w:right w:val="none" w:sz="0" w:space="0" w:color="auto"/>
          </w:divBdr>
        </w:div>
        <w:div w:id="1110736063">
          <w:marLeft w:val="0"/>
          <w:marRight w:val="0"/>
          <w:marTop w:val="0"/>
          <w:marBottom w:val="0"/>
          <w:divBdr>
            <w:top w:val="none" w:sz="0" w:space="0" w:color="auto"/>
            <w:left w:val="none" w:sz="0" w:space="0" w:color="auto"/>
            <w:bottom w:val="none" w:sz="0" w:space="0" w:color="auto"/>
            <w:right w:val="none" w:sz="0" w:space="0" w:color="auto"/>
          </w:divBdr>
        </w:div>
        <w:div w:id="1374190585">
          <w:marLeft w:val="0"/>
          <w:marRight w:val="0"/>
          <w:marTop w:val="0"/>
          <w:marBottom w:val="0"/>
          <w:divBdr>
            <w:top w:val="none" w:sz="0" w:space="0" w:color="auto"/>
            <w:left w:val="none" w:sz="0" w:space="0" w:color="auto"/>
            <w:bottom w:val="none" w:sz="0" w:space="0" w:color="auto"/>
            <w:right w:val="none" w:sz="0" w:space="0" w:color="auto"/>
          </w:divBdr>
        </w:div>
        <w:div w:id="1572472027">
          <w:marLeft w:val="0"/>
          <w:marRight w:val="0"/>
          <w:marTop w:val="0"/>
          <w:marBottom w:val="0"/>
          <w:divBdr>
            <w:top w:val="none" w:sz="0" w:space="0" w:color="auto"/>
            <w:left w:val="none" w:sz="0" w:space="0" w:color="auto"/>
            <w:bottom w:val="none" w:sz="0" w:space="0" w:color="auto"/>
            <w:right w:val="none" w:sz="0" w:space="0" w:color="auto"/>
          </w:divBdr>
        </w:div>
        <w:div w:id="1584878783">
          <w:marLeft w:val="0"/>
          <w:marRight w:val="0"/>
          <w:marTop w:val="0"/>
          <w:marBottom w:val="0"/>
          <w:divBdr>
            <w:top w:val="none" w:sz="0" w:space="0" w:color="auto"/>
            <w:left w:val="none" w:sz="0" w:space="0" w:color="auto"/>
            <w:bottom w:val="none" w:sz="0" w:space="0" w:color="auto"/>
            <w:right w:val="none" w:sz="0" w:space="0" w:color="auto"/>
          </w:divBdr>
        </w:div>
        <w:div w:id="1904950575">
          <w:marLeft w:val="0"/>
          <w:marRight w:val="0"/>
          <w:marTop w:val="0"/>
          <w:marBottom w:val="0"/>
          <w:divBdr>
            <w:top w:val="none" w:sz="0" w:space="0" w:color="auto"/>
            <w:left w:val="none" w:sz="0" w:space="0" w:color="auto"/>
            <w:bottom w:val="none" w:sz="0" w:space="0" w:color="auto"/>
            <w:right w:val="none" w:sz="0" w:space="0" w:color="auto"/>
          </w:divBdr>
        </w:div>
        <w:div w:id="2112889616">
          <w:marLeft w:val="0"/>
          <w:marRight w:val="0"/>
          <w:marTop w:val="0"/>
          <w:marBottom w:val="0"/>
          <w:divBdr>
            <w:top w:val="none" w:sz="0" w:space="0" w:color="auto"/>
            <w:left w:val="none" w:sz="0" w:space="0" w:color="auto"/>
            <w:bottom w:val="none" w:sz="0" w:space="0" w:color="auto"/>
            <w:right w:val="none" w:sz="0" w:space="0" w:color="auto"/>
          </w:divBdr>
        </w:div>
      </w:divsChild>
    </w:div>
    <w:div w:id="771971526">
      <w:bodyDiv w:val="1"/>
      <w:marLeft w:val="0"/>
      <w:marRight w:val="0"/>
      <w:marTop w:val="0"/>
      <w:marBottom w:val="0"/>
      <w:divBdr>
        <w:top w:val="none" w:sz="0" w:space="0" w:color="auto"/>
        <w:left w:val="none" w:sz="0" w:space="0" w:color="auto"/>
        <w:bottom w:val="none" w:sz="0" w:space="0" w:color="auto"/>
        <w:right w:val="none" w:sz="0" w:space="0" w:color="auto"/>
      </w:divBdr>
      <w:divsChild>
        <w:div w:id="1285382302">
          <w:marLeft w:val="0"/>
          <w:marRight w:val="0"/>
          <w:marTop w:val="0"/>
          <w:marBottom w:val="0"/>
          <w:divBdr>
            <w:top w:val="none" w:sz="0" w:space="0" w:color="auto"/>
            <w:left w:val="none" w:sz="0" w:space="0" w:color="auto"/>
            <w:bottom w:val="none" w:sz="0" w:space="0" w:color="auto"/>
            <w:right w:val="none" w:sz="0" w:space="0" w:color="auto"/>
          </w:divBdr>
          <w:divsChild>
            <w:div w:id="361131294">
              <w:marLeft w:val="0"/>
              <w:marRight w:val="0"/>
              <w:marTop w:val="0"/>
              <w:marBottom w:val="0"/>
              <w:divBdr>
                <w:top w:val="none" w:sz="0" w:space="0" w:color="auto"/>
                <w:left w:val="none" w:sz="0" w:space="0" w:color="auto"/>
                <w:bottom w:val="none" w:sz="0" w:space="0" w:color="auto"/>
                <w:right w:val="none" w:sz="0" w:space="0" w:color="auto"/>
              </w:divBdr>
              <w:divsChild>
                <w:div w:id="729576877">
                  <w:marLeft w:val="0"/>
                  <w:marRight w:val="0"/>
                  <w:marTop w:val="0"/>
                  <w:marBottom w:val="0"/>
                  <w:divBdr>
                    <w:top w:val="none" w:sz="0" w:space="0" w:color="auto"/>
                    <w:left w:val="none" w:sz="0" w:space="0" w:color="auto"/>
                    <w:bottom w:val="none" w:sz="0" w:space="0" w:color="auto"/>
                    <w:right w:val="none" w:sz="0" w:space="0" w:color="auto"/>
                  </w:divBdr>
                  <w:divsChild>
                    <w:div w:id="315377957">
                      <w:marLeft w:val="0"/>
                      <w:marRight w:val="0"/>
                      <w:marTop w:val="0"/>
                      <w:marBottom w:val="0"/>
                      <w:divBdr>
                        <w:top w:val="none" w:sz="0" w:space="0" w:color="auto"/>
                        <w:left w:val="none" w:sz="0" w:space="0" w:color="auto"/>
                        <w:bottom w:val="none" w:sz="0" w:space="0" w:color="auto"/>
                        <w:right w:val="none" w:sz="0" w:space="0" w:color="auto"/>
                      </w:divBdr>
                      <w:divsChild>
                        <w:div w:id="489250202">
                          <w:marLeft w:val="0"/>
                          <w:marRight w:val="0"/>
                          <w:marTop w:val="0"/>
                          <w:marBottom w:val="0"/>
                          <w:divBdr>
                            <w:top w:val="none" w:sz="0" w:space="0" w:color="auto"/>
                            <w:left w:val="none" w:sz="0" w:space="0" w:color="auto"/>
                            <w:bottom w:val="none" w:sz="0" w:space="0" w:color="auto"/>
                            <w:right w:val="none" w:sz="0" w:space="0" w:color="auto"/>
                          </w:divBdr>
                          <w:divsChild>
                            <w:div w:id="605427738">
                              <w:marLeft w:val="0"/>
                              <w:marRight w:val="0"/>
                              <w:marTop w:val="0"/>
                              <w:marBottom w:val="0"/>
                              <w:divBdr>
                                <w:top w:val="none" w:sz="0" w:space="0" w:color="auto"/>
                                <w:left w:val="none" w:sz="0" w:space="0" w:color="auto"/>
                                <w:bottom w:val="none" w:sz="0" w:space="0" w:color="auto"/>
                                <w:right w:val="none" w:sz="0" w:space="0" w:color="auto"/>
                              </w:divBdr>
                              <w:divsChild>
                                <w:div w:id="27040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6406855">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02601351">
          <w:marLeft w:val="0"/>
          <w:marRight w:val="0"/>
          <w:marTop w:val="0"/>
          <w:marBottom w:val="0"/>
          <w:divBdr>
            <w:top w:val="none" w:sz="0" w:space="0" w:color="auto"/>
            <w:left w:val="none" w:sz="0" w:space="0" w:color="auto"/>
            <w:bottom w:val="none" w:sz="0" w:space="0" w:color="auto"/>
            <w:right w:val="none" w:sz="0" w:space="0" w:color="auto"/>
          </w:divBdr>
          <w:divsChild>
            <w:div w:id="11692690">
              <w:marLeft w:val="0"/>
              <w:marRight w:val="0"/>
              <w:marTop w:val="0"/>
              <w:marBottom w:val="0"/>
              <w:divBdr>
                <w:top w:val="none" w:sz="0" w:space="0" w:color="auto"/>
                <w:left w:val="none" w:sz="0" w:space="0" w:color="auto"/>
                <w:bottom w:val="none" w:sz="0" w:space="0" w:color="auto"/>
                <w:right w:val="none" w:sz="0" w:space="0" w:color="auto"/>
              </w:divBdr>
              <w:divsChild>
                <w:div w:id="942036074">
                  <w:marLeft w:val="0"/>
                  <w:marRight w:val="0"/>
                  <w:marTop w:val="0"/>
                  <w:marBottom w:val="0"/>
                  <w:divBdr>
                    <w:top w:val="none" w:sz="0" w:space="0" w:color="auto"/>
                    <w:left w:val="none" w:sz="0" w:space="0" w:color="auto"/>
                    <w:bottom w:val="none" w:sz="0" w:space="0" w:color="auto"/>
                    <w:right w:val="none" w:sz="0" w:space="0" w:color="auto"/>
                  </w:divBdr>
                  <w:divsChild>
                    <w:div w:id="1198196868">
                      <w:marLeft w:val="0"/>
                      <w:marRight w:val="0"/>
                      <w:marTop w:val="0"/>
                      <w:marBottom w:val="0"/>
                      <w:divBdr>
                        <w:top w:val="none" w:sz="0" w:space="0" w:color="auto"/>
                        <w:left w:val="none" w:sz="0" w:space="0" w:color="auto"/>
                        <w:bottom w:val="none" w:sz="0" w:space="0" w:color="auto"/>
                        <w:right w:val="none" w:sz="0" w:space="0" w:color="auto"/>
                      </w:divBdr>
                      <w:divsChild>
                        <w:div w:id="1727139025">
                          <w:marLeft w:val="0"/>
                          <w:marRight w:val="0"/>
                          <w:marTop w:val="0"/>
                          <w:marBottom w:val="0"/>
                          <w:divBdr>
                            <w:top w:val="none" w:sz="0" w:space="0" w:color="auto"/>
                            <w:left w:val="none" w:sz="0" w:space="0" w:color="auto"/>
                            <w:bottom w:val="none" w:sz="0" w:space="0" w:color="auto"/>
                            <w:right w:val="none" w:sz="0" w:space="0" w:color="auto"/>
                          </w:divBdr>
                          <w:divsChild>
                            <w:div w:id="121385653">
                              <w:marLeft w:val="0"/>
                              <w:marRight w:val="0"/>
                              <w:marTop w:val="0"/>
                              <w:marBottom w:val="0"/>
                              <w:divBdr>
                                <w:top w:val="none" w:sz="0" w:space="0" w:color="auto"/>
                                <w:left w:val="none" w:sz="0" w:space="0" w:color="auto"/>
                                <w:bottom w:val="none" w:sz="0" w:space="0" w:color="auto"/>
                                <w:right w:val="none" w:sz="0" w:space="0" w:color="auto"/>
                              </w:divBdr>
                              <w:divsChild>
                                <w:div w:id="433938612">
                                  <w:marLeft w:val="0"/>
                                  <w:marRight w:val="0"/>
                                  <w:marTop w:val="0"/>
                                  <w:marBottom w:val="0"/>
                                  <w:divBdr>
                                    <w:top w:val="none" w:sz="0" w:space="0" w:color="auto"/>
                                    <w:left w:val="none" w:sz="0" w:space="0" w:color="auto"/>
                                    <w:bottom w:val="none" w:sz="0" w:space="0" w:color="auto"/>
                                    <w:right w:val="none" w:sz="0" w:space="0" w:color="auto"/>
                                  </w:divBdr>
                                  <w:divsChild>
                                    <w:div w:id="110376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589402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899099325">
          <w:marLeft w:val="0"/>
          <w:marRight w:val="0"/>
          <w:marTop w:val="0"/>
          <w:marBottom w:val="0"/>
          <w:divBdr>
            <w:top w:val="none" w:sz="0" w:space="0" w:color="auto"/>
            <w:left w:val="none" w:sz="0" w:space="0" w:color="auto"/>
            <w:bottom w:val="none" w:sz="0" w:space="0" w:color="auto"/>
            <w:right w:val="none" w:sz="0" w:space="0" w:color="auto"/>
          </w:divBdr>
        </w:div>
      </w:divsChild>
    </w:div>
    <w:div w:id="94195848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646787984">
          <w:marLeft w:val="0"/>
          <w:marRight w:val="0"/>
          <w:marTop w:val="0"/>
          <w:marBottom w:val="0"/>
          <w:divBdr>
            <w:top w:val="none" w:sz="0" w:space="0" w:color="auto"/>
            <w:left w:val="none" w:sz="0" w:space="0" w:color="auto"/>
            <w:bottom w:val="none" w:sz="0" w:space="0" w:color="auto"/>
            <w:right w:val="none" w:sz="0" w:space="0" w:color="auto"/>
          </w:divBdr>
        </w:div>
      </w:divsChild>
    </w:div>
    <w:div w:id="947590293">
      <w:bodyDiv w:val="1"/>
      <w:marLeft w:val="0"/>
      <w:marRight w:val="0"/>
      <w:marTop w:val="0"/>
      <w:marBottom w:val="0"/>
      <w:divBdr>
        <w:top w:val="none" w:sz="0" w:space="0" w:color="auto"/>
        <w:left w:val="none" w:sz="0" w:space="0" w:color="auto"/>
        <w:bottom w:val="none" w:sz="0" w:space="0" w:color="auto"/>
        <w:right w:val="none" w:sz="0" w:space="0" w:color="auto"/>
      </w:divBdr>
    </w:div>
    <w:div w:id="973371649">
      <w:bodyDiv w:val="1"/>
      <w:marLeft w:val="0"/>
      <w:marRight w:val="0"/>
      <w:marTop w:val="0"/>
      <w:marBottom w:val="0"/>
      <w:divBdr>
        <w:top w:val="none" w:sz="0" w:space="0" w:color="auto"/>
        <w:left w:val="none" w:sz="0" w:space="0" w:color="auto"/>
        <w:bottom w:val="none" w:sz="0" w:space="0" w:color="auto"/>
        <w:right w:val="none" w:sz="0" w:space="0" w:color="auto"/>
      </w:divBdr>
      <w:divsChild>
        <w:div w:id="719285557">
          <w:marLeft w:val="0"/>
          <w:marRight w:val="0"/>
          <w:marTop w:val="0"/>
          <w:marBottom w:val="0"/>
          <w:divBdr>
            <w:top w:val="none" w:sz="0" w:space="0" w:color="auto"/>
            <w:left w:val="none" w:sz="0" w:space="0" w:color="auto"/>
            <w:bottom w:val="none" w:sz="0" w:space="0" w:color="auto"/>
            <w:right w:val="none" w:sz="0" w:space="0" w:color="auto"/>
          </w:divBdr>
        </w:div>
      </w:divsChild>
    </w:div>
    <w:div w:id="1018434874">
      <w:bodyDiv w:val="1"/>
      <w:marLeft w:val="178"/>
      <w:marRight w:val="178"/>
      <w:marTop w:val="178"/>
      <w:marBottom w:val="178"/>
      <w:divBdr>
        <w:top w:val="none" w:sz="0" w:space="0" w:color="auto"/>
        <w:left w:val="none" w:sz="0" w:space="0" w:color="auto"/>
        <w:bottom w:val="none" w:sz="0" w:space="0" w:color="auto"/>
        <w:right w:val="none" w:sz="0" w:space="0" w:color="auto"/>
      </w:divBdr>
      <w:divsChild>
        <w:div w:id="89356443">
          <w:marLeft w:val="0"/>
          <w:marRight w:val="0"/>
          <w:marTop w:val="0"/>
          <w:marBottom w:val="0"/>
          <w:divBdr>
            <w:top w:val="none" w:sz="0" w:space="0" w:color="auto"/>
            <w:left w:val="none" w:sz="0" w:space="0" w:color="auto"/>
            <w:bottom w:val="none" w:sz="0" w:space="0" w:color="auto"/>
            <w:right w:val="none" w:sz="0" w:space="0" w:color="auto"/>
          </w:divBdr>
        </w:div>
        <w:div w:id="91979473">
          <w:marLeft w:val="0"/>
          <w:marRight w:val="0"/>
          <w:marTop w:val="0"/>
          <w:marBottom w:val="0"/>
          <w:divBdr>
            <w:top w:val="none" w:sz="0" w:space="0" w:color="auto"/>
            <w:left w:val="none" w:sz="0" w:space="0" w:color="auto"/>
            <w:bottom w:val="none" w:sz="0" w:space="0" w:color="auto"/>
            <w:right w:val="none" w:sz="0" w:space="0" w:color="auto"/>
          </w:divBdr>
        </w:div>
        <w:div w:id="109249336">
          <w:marLeft w:val="0"/>
          <w:marRight w:val="0"/>
          <w:marTop w:val="0"/>
          <w:marBottom w:val="0"/>
          <w:divBdr>
            <w:top w:val="none" w:sz="0" w:space="0" w:color="auto"/>
            <w:left w:val="none" w:sz="0" w:space="0" w:color="auto"/>
            <w:bottom w:val="none" w:sz="0" w:space="0" w:color="auto"/>
            <w:right w:val="none" w:sz="0" w:space="0" w:color="auto"/>
          </w:divBdr>
        </w:div>
        <w:div w:id="122701916">
          <w:marLeft w:val="0"/>
          <w:marRight w:val="0"/>
          <w:marTop w:val="0"/>
          <w:marBottom w:val="0"/>
          <w:divBdr>
            <w:top w:val="none" w:sz="0" w:space="0" w:color="auto"/>
            <w:left w:val="none" w:sz="0" w:space="0" w:color="auto"/>
            <w:bottom w:val="none" w:sz="0" w:space="0" w:color="auto"/>
            <w:right w:val="none" w:sz="0" w:space="0" w:color="auto"/>
          </w:divBdr>
        </w:div>
        <w:div w:id="135026167">
          <w:marLeft w:val="0"/>
          <w:marRight w:val="0"/>
          <w:marTop w:val="0"/>
          <w:marBottom w:val="0"/>
          <w:divBdr>
            <w:top w:val="none" w:sz="0" w:space="0" w:color="auto"/>
            <w:left w:val="none" w:sz="0" w:space="0" w:color="auto"/>
            <w:bottom w:val="none" w:sz="0" w:space="0" w:color="auto"/>
            <w:right w:val="none" w:sz="0" w:space="0" w:color="auto"/>
          </w:divBdr>
        </w:div>
        <w:div w:id="519858677">
          <w:marLeft w:val="0"/>
          <w:marRight w:val="0"/>
          <w:marTop w:val="0"/>
          <w:marBottom w:val="0"/>
          <w:divBdr>
            <w:top w:val="none" w:sz="0" w:space="0" w:color="auto"/>
            <w:left w:val="none" w:sz="0" w:space="0" w:color="auto"/>
            <w:bottom w:val="none" w:sz="0" w:space="0" w:color="auto"/>
            <w:right w:val="none" w:sz="0" w:space="0" w:color="auto"/>
          </w:divBdr>
        </w:div>
        <w:div w:id="557328415">
          <w:marLeft w:val="0"/>
          <w:marRight w:val="0"/>
          <w:marTop w:val="0"/>
          <w:marBottom w:val="0"/>
          <w:divBdr>
            <w:top w:val="none" w:sz="0" w:space="0" w:color="auto"/>
            <w:left w:val="none" w:sz="0" w:space="0" w:color="auto"/>
            <w:bottom w:val="none" w:sz="0" w:space="0" w:color="auto"/>
            <w:right w:val="none" w:sz="0" w:space="0" w:color="auto"/>
          </w:divBdr>
        </w:div>
        <w:div w:id="788666756">
          <w:marLeft w:val="0"/>
          <w:marRight w:val="0"/>
          <w:marTop w:val="0"/>
          <w:marBottom w:val="0"/>
          <w:divBdr>
            <w:top w:val="none" w:sz="0" w:space="0" w:color="auto"/>
            <w:left w:val="none" w:sz="0" w:space="0" w:color="auto"/>
            <w:bottom w:val="none" w:sz="0" w:space="0" w:color="auto"/>
            <w:right w:val="none" w:sz="0" w:space="0" w:color="auto"/>
          </w:divBdr>
        </w:div>
        <w:div w:id="823278552">
          <w:marLeft w:val="0"/>
          <w:marRight w:val="0"/>
          <w:marTop w:val="0"/>
          <w:marBottom w:val="0"/>
          <w:divBdr>
            <w:top w:val="none" w:sz="0" w:space="0" w:color="auto"/>
            <w:left w:val="none" w:sz="0" w:space="0" w:color="auto"/>
            <w:bottom w:val="none" w:sz="0" w:space="0" w:color="auto"/>
            <w:right w:val="none" w:sz="0" w:space="0" w:color="auto"/>
          </w:divBdr>
        </w:div>
        <w:div w:id="846747560">
          <w:marLeft w:val="0"/>
          <w:marRight w:val="0"/>
          <w:marTop w:val="0"/>
          <w:marBottom w:val="0"/>
          <w:divBdr>
            <w:top w:val="none" w:sz="0" w:space="0" w:color="auto"/>
            <w:left w:val="none" w:sz="0" w:space="0" w:color="auto"/>
            <w:bottom w:val="none" w:sz="0" w:space="0" w:color="auto"/>
            <w:right w:val="none" w:sz="0" w:space="0" w:color="auto"/>
          </w:divBdr>
        </w:div>
        <w:div w:id="995958508">
          <w:marLeft w:val="0"/>
          <w:marRight w:val="0"/>
          <w:marTop w:val="0"/>
          <w:marBottom w:val="0"/>
          <w:divBdr>
            <w:top w:val="none" w:sz="0" w:space="0" w:color="auto"/>
            <w:left w:val="none" w:sz="0" w:space="0" w:color="auto"/>
            <w:bottom w:val="none" w:sz="0" w:space="0" w:color="auto"/>
            <w:right w:val="none" w:sz="0" w:space="0" w:color="auto"/>
          </w:divBdr>
        </w:div>
        <w:div w:id="1337537777">
          <w:marLeft w:val="0"/>
          <w:marRight w:val="0"/>
          <w:marTop w:val="0"/>
          <w:marBottom w:val="0"/>
          <w:divBdr>
            <w:top w:val="none" w:sz="0" w:space="0" w:color="auto"/>
            <w:left w:val="none" w:sz="0" w:space="0" w:color="auto"/>
            <w:bottom w:val="none" w:sz="0" w:space="0" w:color="auto"/>
            <w:right w:val="none" w:sz="0" w:space="0" w:color="auto"/>
          </w:divBdr>
        </w:div>
        <w:div w:id="1350984512">
          <w:marLeft w:val="0"/>
          <w:marRight w:val="0"/>
          <w:marTop w:val="0"/>
          <w:marBottom w:val="0"/>
          <w:divBdr>
            <w:top w:val="none" w:sz="0" w:space="0" w:color="auto"/>
            <w:left w:val="none" w:sz="0" w:space="0" w:color="auto"/>
            <w:bottom w:val="none" w:sz="0" w:space="0" w:color="auto"/>
            <w:right w:val="none" w:sz="0" w:space="0" w:color="auto"/>
          </w:divBdr>
        </w:div>
        <w:div w:id="1358198398">
          <w:marLeft w:val="0"/>
          <w:marRight w:val="0"/>
          <w:marTop w:val="0"/>
          <w:marBottom w:val="0"/>
          <w:divBdr>
            <w:top w:val="none" w:sz="0" w:space="0" w:color="auto"/>
            <w:left w:val="none" w:sz="0" w:space="0" w:color="auto"/>
            <w:bottom w:val="none" w:sz="0" w:space="0" w:color="auto"/>
            <w:right w:val="none" w:sz="0" w:space="0" w:color="auto"/>
          </w:divBdr>
        </w:div>
        <w:div w:id="1439522756">
          <w:marLeft w:val="0"/>
          <w:marRight w:val="0"/>
          <w:marTop w:val="0"/>
          <w:marBottom w:val="0"/>
          <w:divBdr>
            <w:top w:val="none" w:sz="0" w:space="0" w:color="auto"/>
            <w:left w:val="none" w:sz="0" w:space="0" w:color="auto"/>
            <w:bottom w:val="none" w:sz="0" w:space="0" w:color="auto"/>
            <w:right w:val="none" w:sz="0" w:space="0" w:color="auto"/>
          </w:divBdr>
        </w:div>
        <w:div w:id="1627539610">
          <w:marLeft w:val="0"/>
          <w:marRight w:val="0"/>
          <w:marTop w:val="0"/>
          <w:marBottom w:val="0"/>
          <w:divBdr>
            <w:top w:val="none" w:sz="0" w:space="0" w:color="auto"/>
            <w:left w:val="none" w:sz="0" w:space="0" w:color="auto"/>
            <w:bottom w:val="none" w:sz="0" w:space="0" w:color="auto"/>
            <w:right w:val="none" w:sz="0" w:space="0" w:color="auto"/>
          </w:divBdr>
        </w:div>
        <w:div w:id="1948735046">
          <w:marLeft w:val="0"/>
          <w:marRight w:val="0"/>
          <w:marTop w:val="0"/>
          <w:marBottom w:val="0"/>
          <w:divBdr>
            <w:top w:val="none" w:sz="0" w:space="0" w:color="auto"/>
            <w:left w:val="none" w:sz="0" w:space="0" w:color="auto"/>
            <w:bottom w:val="none" w:sz="0" w:space="0" w:color="auto"/>
            <w:right w:val="none" w:sz="0" w:space="0" w:color="auto"/>
          </w:divBdr>
        </w:div>
        <w:div w:id="1982728177">
          <w:marLeft w:val="0"/>
          <w:marRight w:val="0"/>
          <w:marTop w:val="0"/>
          <w:marBottom w:val="0"/>
          <w:divBdr>
            <w:top w:val="none" w:sz="0" w:space="0" w:color="auto"/>
            <w:left w:val="none" w:sz="0" w:space="0" w:color="auto"/>
            <w:bottom w:val="none" w:sz="0" w:space="0" w:color="auto"/>
            <w:right w:val="none" w:sz="0" w:space="0" w:color="auto"/>
          </w:divBdr>
        </w:div>
        <w:div w:id="2019843930">
          <w:marLeft w:val="0"/>
          <w:marRight w:val="0"/>
          <w:marTop w:val="0"/>
          <w:marBottom w:val="0"/>
          <w:divBdr>
            <w:top w:val="none" w:sz="0" w:space="0" w:color="auto"/>
            <w:left w:val="none" w:sz="0" w:space="0" w:color="auto"/>
            <w:bottom w:val="none" w:sz="0" w:space="0" w:color="auto"/>
            <w:right w:val="none" w:sz="0" w:space="0" w:color="auto"/>
          </w:divBdr>
        </w:div>
        <w:div w:id="2078624879">
          <w:marLeft w:val="0"/>
          <w:marRight w:val="0"/>
          <w:marTop w:val="0"/>
          <w:marBottom w:val="0"/>
          <w:divBdr>
            <w:top w:val="none" w:sz="0" w:space="0" w:color="auto"/>
            <w:left w:val="none" w:sz="0" w:space="0" w:color="auto"/>
            <w:bottom w:val="none" w:sz="0" w:space="0" w:color="auto"/>
            <w:right w:val="none" w:sz="0" w:space="0" w:color="auto"/>
          </w:divBdr>
        </w:div>
        <w:div w:id="2091192555">
          <w:marLeft w:val="0"/>
          <w:marRight w:val="0"/>
          <w:marTop w:val="0"/>
          <w:marBottom w:val="0"/>
          <w:divBdr>
            <w:top w:val="none" w:sz="0" w:space="0" w:color="auto"/>
            <w:left w:val="none" w:sz="0" w:space="0" w:color="auto"/>
            <w:bottom w:val="none" w:sz="0" w:space="0" w:color="auto"/>
            <w:right w:val="none" w:sz="0" w:space="0" w:color="auto"/>
          </w:divBdr>
        </w:div>
        <w:div w:id="2095277190">
          <w:marLeft w:val="0"/>
          <w:marRight w:val="0"/>
          <w:marTop w:val="0"/>
          <w:marBottom w:val="0"/>
          <w:divBdr>
            <w:top w:val="none" w:sz="0" w:space="0" w:color="auto"/>
            <w:left w:val="none" w:sz="0" w:space="0" w:color="auto"/>
            <w:bottom w:val="none" w:sz="0" w:space="0" w:color="auto"/>
            <w:right w:val="none" w:sz="0" w:space="0" w:color="auto"/>
          </w:divBdr>
        </w:div>
        <w:div w:id="2143497632">
          <w:marLeft w:val="0"/>
          <w:marRight w:val="0"/>
          <w:marTop w:val="0"/>
          <w:marBottom w:val="0"/>
          <w:divBdr>
            <w:top w:val="none" w:sz="0" w:space="0" w:color="auto"/>
            <w:left w:val="none" w:sz="0" w:space="0" w:color="auto"/>
            <w:bottom w:val="none" w:sz="0" w:space="0" w:color="auto"/>
            <w:right w:val="none" w:sz="0" w:space="0" w:color="auto"/>
          </w:divBdr>
        </w:div>
      </w:divsChild>
    </w:div>
    <w:div w:id="1020670125">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24804581">
          <w:marLeft w:val="0"/>
          <w:marRight w:val="0"/>
          <w:marTop w:val="0"/>
          <w:marBottom w:val="0"/>
          <w:divBdr>
            <w:top w:val="none" w:sz="0" w:space="0" w:color="auto"/>
            <w:left w:val="none" w:sz="0" w:space="0" w:color="auto"/>
            <w:bottom w:val="none" w:sz="0" w:space="0" w:color="auto"/>
            <w:right w:val="none" w:sz="0" w:space="0" w:color="auto"/>
          </w:divBdr>
        </w:div>
        <w:div w:id="605112246">
          <w:marLeft w:val="0"/>
          <w:marRight w:val="0"/>
          <w:marTop w:val="0"/>
          <w:marBottom w:val="0"/>
          <w:divBdr>
            <w:top w:val="none" w:sz="0" w:space="0" w:color="auto"/>
            <w:left w:val="none" w:sz="0" w:space="0" w:color="auto"/>
            <w:bottom w:val="none" w:sz="0" w:space="0" w:color="auto"/>
            <w:right w:val="none" w:sz="0" w:space="0" w:color="auto"/>
          </w:divBdr>
        </w:div>
        <w:div w:id="1183085239">
          <w:marLeft w:val="0"/>
          <w:marRight w:val="0"/>
          <w:marTop w:val="0"/>
          <w:marBottom w:val="0"/>
          <w:divBdr>
            <w:top w:val="none" w:sz="0" w:space="0" w:color="auto"/>
            <w:left w:val="none" w:sz="0" w:space="0" w:color="auto"/>
            <w:bottom w:val="none" w:sz="0" w:space="0" w:color="auto"/>
            <w:right w:val="none" w:sz="0" w:space="0" w:color="auto"/>
          </w:divBdr>
        </w:div>
        <w:div w:id="1790859235">
          <w:marLeft w:val="0"/>
          <w:marRight w:val="0"/>
          <w:marTop w:val="0"/>
          <w:marBottom w:val="0"/>
          <w:divBdr>
            <w:top w:val="none" w:sz="0" w:space="0" w:color="auto"/>
            <w:left w:val="none" w:sz="0" w:space="0" w:color="auto"/>
            <w:bottom w:val="none" w:sz="0" w:space="0" w:color="auto"/>
            <w:right w:val="none" w:sz="0" w:space="0" w:color="auto"/>
          </w:divBdr>
        </w:div>
        <w:div w:id="2122532923">
          <w:marLeft w:val="0"/>
          <w:marRight w:val="0"/>
          <w:marTop w:val="0"/>
          <w:marBottom w:val="0"/>
          <w:divBdr>
            <w:top w:val="none" w:sz="0" w:space="0" w:color="auto"/>
            <w:left w:val="none" w:sz="0" w:space="0" w:color="auto"/>
            <w:bottom w:val="none" w:sz="0" w:space="0" w:color="auto"/>
            <w:right w:val="none" w:sz="0" w:space="0" w:color="auto"/>
          </w:divBdr>
        </w:div>
      </w:divsChild>
    </w:div>
    <w:div w:id="1020933358">
      <w:bodyDiv w:val="1"/>
      <w:marLeft w:val="88"/>
      <w:marRight w:val="88"/>
      <w:marTop w:val="88"/>
      <w:marBottom w:val="88"/>
      <w:divBdr>
        <w:top w:val="none" w:sz="0" w:space="0" w:color="auto"/>
        <w:left w:val="none" w:sz="0" w:space="0" w:color="auto"/>
        <w:bottom w:val="none" w:sz="0" w:space="0" w:color="auto"/>
        <w:right w:val="none" w:sz="0" w:space="0" w:color="auto"/>
      </w:divBdr>
      <w:divsChild>
        <w:div w:id="379206585">
          <w:marLeft w:val="0"/>
          <w:marRight w:val="0"/>
          <w:marTop w:val="0"/>
          <w:marBottom w:val="0"/>
          <w:divBdr>
            <w:top w:val="none" w:sz="0" w:space="0" w:color="auto"/>
            <w:left w:val="none" w:sz="0" w:space="0" w:color="auto"/>
            <w:bottom w:val="none" w:sz="0" w:space="0" w:color="auto"/>
            <w:right w:val="none" w:sz="0" w:space="0" w:color="auto"/>
          </w:divBdr>
        </w:div>
        <w:div w:id="538931034">
          <w:marLeft w:val="0"/>
          <w:marRight w:val="0"/>
          <w:marTop w:val="0"/>
          <w:marBottom w:val="0"/>
          <w:divBdr>
            <w:top w:val="none" w:sz="0" w:space="0" w:color="auto"/>
            <w:left w:val="none" w:sz="0" w:space="0" w:color="auto"/>
            <w:bottom w:val="none" w:sz="0" w:space="0" w:color="auto"/>
            <w:right w:val="none" w:sz="0" w:space="0" w:color="auto"/>
          </w:divBdr>
        </w:div>
        <w:div w:id="1009017202">
          <w:marLeft w:val="0"/>
          <w:marRight w:val="0"/>
          <w:marTop w:val="0"/>
          <w:marBottom w:val="0"/>
          <w:divBdr>
            <w:top w:val="none" w:sz="0" w:space="0" w:color="auto"/>
            <w:left w:val="none" w:sz="0" w:space="0" w:color="auto"/>
            <w:bottom w:val="none" w:sz="0" w:space="0" w:color="auto"/>
            <w:right w:val="none" w:sz="0" w:space="0" w:color="auto"/>
          </w:divBdr>
        </w:div>
        <w:div w:id="1679195997">
          <w:marLeft w:val="0"/>
          <w:marRight w:val="0"/>
          <w:marTop w:val="0"/>
          <w:marBottom w:val="0"/>
          <w:divBdr>
            <w:top w:val="none" w:sz="0" w:space="0" w:color="auto"/>
            <w:left w:val="none" w:sz="0" w:space="0" w:color="auto"/>
            <w:bottom w:val="none" w:sz="0" w:space="0" w:color="auto"/>
            <w:right w:val="none" w:sz="0" w:space="0" w:color="auto"/>
          </w:divBdr>
        </w:div>
        <w:div w:id="1826360147">
          <w:marLeft w:val="0"/>
          <w:marRight w:val="0"/>
          <w:marTop w:val="0"/>
          <w:marBottom w:val="0"/>
          <w:divBdr>
            <w:top w:val="none" w:sz="0" w:space="0" w:color="auto"/>
            <w:left w:val="none" w:sz="0" w:space="0" w:color="auto"/>
            <w:bottom w:val="none" w:sz="0" w:space="0" w:color="auto"/>
            <w:right w:val="none" w:sz="0" w:space="0" w:color="auto"/>
          </w:divBdr>
        </w:div>
        <w:div w:id="1844473508">
          <w:marLeft w:val="0"/>
          <w:marRight w:val="0"/>
          <w:marTop w:val="0"/>
          <w:marBottom w:val="0"/>
          <w:divBdr>
            <w:top w:val="none" w:sz="0" w:space="0" w:color="auto"/>
            <w:left w:val="none" w:sz="0" w:space="0" w:color="auto"/>
            <w:bottom w:val="none" w:sz="0" w:space="0" w:color="auto"/>
            <w:right w:val="none" w:sz="0" w:space="0" w:color="auto"/>
          </w:divBdr>
        </w:div>
        <w:div w:id="1942177294">
          <w:marLeft w:val="0"/>
          <w:marRight w:val="0"/>
          <w:marTop w:val="0"/>
          <w:marBottom w:val="0"/>
          <w:divBdr>
            <w:top w:val="none" w:sz="0" w:space="0" w:color="auto"/>
            <w:left w:val="none" w:sz="0" w:space="0" w:color="auto"/>
            <w:bottom w:val="none" w:sz="0" w:space="0" w:color="auto"/>
            <w:right w:val="none" w:sz="0" w:space="0" w:color="auto"/>
          </w:divBdr>
        </w:div>
        <w:div w:id="1944141300">
          <w:marLeft w:val="0"/>
          <w:marRight w:val="0"/>
          <w:marTop w:val="0"/>
          <w:marBottom w:val="0"/>
          <w:divBdr>
            <w:top w:val="none" w:sz="0" w:space="0" w:color="auto"/>
            <w:left w:val="none" w:sz="0" w:space="0" w:color="auto"/>
            <w:bottom w:val="none" w:sz="0" w:space="0" w:color="auto"/>
            <w:right w:val="none" w:sz="0" w:space="0" w:color="auto"/>
          </w:divBdr>
        </w:div>
      </w:divsChild>
    </w:div>
    <w:div w:id="1024747580">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63731933">
          <w:marLeft w:val="0"/>
          <w:marRight w:val="0"/>
          <w:marTop w:val="0"/>
          <w:marBottom w:val="0"/>
          <w:divBdr>
            <w:top w:val="none" w:sz="0" w:space="0" w:color="auto"/>
            <w:left w:val="none" w:sz="0" w:space="0" w:color="auto"/>
            <w:bottom w:val="none" w:sz="0" w:space="0" w:color="auto"/>
            <w:right w:val="none" w:sz="0" w:space="0" w:color="auto"/>
          </w:divBdr>
        </w:div>
      </w:divsChild>
    </w:div>
    <w:div w:id="1053653809">
      <w:bodyDiv w:val="1"/>
      <w:marLeft w:val="150"/>
      <w:marRight w:val="150"/>
      <w:marTop w:val="150"/>
      <w:marBottom w:val="150"/>
      <w:divBdr>
        <w:top w:val="none" w:sz="0" w:space="0" w:color="auto"/>
        <w:left w:val="none" w:sz="0" w:space="0" w:color="auto"/>
        <w:bottom w:val="none" w:sz="0" w:space="0" w:color="auto"/>
        <w:right w:val="none" w:sz="0" w:space="0" w:color="auto"/>
      </w:divBdr>
      <w:divsChild>
        <w:div w:id="428933689">
          <w:marLeft w:val="0"/>
          <w:marRight w:val="0"/>
          <w:marTop w:val="0"/>
          <w:marBottom w:val="0"/>
          <w:divBdr>
            <w:top w:val="none" w:sz="0" w:space="0" w:color="auto"/>
            <w:left w:val="none" w:sz="0" w:space="0" w:color="auto"/>
            <w:bottom w:val="none" w:sz="0" w:space="0" w:color="auto"/>
            <w:right w:val="none" w:sz="0" w:space="0" w:color="auto"/>
          </w:divBdr>
        </w:div>
        <w:div w:id="981351423">
          <w:marLeft w:val="0"/>
          <w:marRight w:val="0"/>
          <w:marTop w:val="0"/>
          <w:marBottom w:val="0"/>
          <w:divBdr>
            <w:top w:val="none" w:sz="0" w:space="0" w:color="auto"/>
            <w:left w:val="none" w:sz="0" w:space="0" w:color="auto"/>
            <w:bottom w:val="none" w:sz="0" w:space="0" w:color="auto"/>
            <w:right w:val="none" w:sz="0" w:space="0" w:color="auto"/>
          </w:divBdr>
        </w:div>
      </w:divsChild>
    </w:div>
    <w:div w:id="106457092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3776467">
          <w:marLeft w:val="0"/>
          <w:marRight w:val="0"/>
          <w:marTop w:val="0"/>
          <w:marBottom w:val="0"/>
          <w:divBdr>
            <w:top w:val="none" w:sz="0" w:space="0" w:color="auto"/>
            <w:left w:val="none" w:sz="0" w:space="0" w:color="auto"/>
            <w:bottom w:val="none" w:sz="0" w:space="0" w:color="auto"/>
            <w:right w:val="none" w:sz="0" w:space="0" w:color="auto"/>
          </w:divBdr>
        </w:div>
        <w:div w:id="633950599">
          <w:marLeft w:val="0"/>
          <w:marRight w:val="0"/>
          <w:marTop w:val="0"/>
          <w:marBottom w:val="0"/>
          <w:divBdr>
            <w:top w:val="none" w:sz="0" w:space="0" w:color="auto"/>
            <w:left w:val="none" w:sz="0" w:space="0" w:color="auto"/>
            <w:bottom w:val="none" w:sz="0" w:space="0" w:color="auto"/>
            <w:right w:val="none" w:sz="0" w:space="0" w:color="auto"/>
          </w:divBdr>
        </w:div>
        <w:div w:id="1156724885">
          <w:marLeft w:val="0"/>
          <w:marRight w:val="0"/>
          <w:marTop w:val="0"/>
          <w:marBottom w:val="0"/>
          <w:divBdr>
            <w:top w:val="none" w:sz="0" w:space="0" w:color="auto"/>
            <w:left w:val="none" w:sz="0" w:space="0" w:color="auto"/>
            <w:bottom w:val="none" w:sz="0" w:space="0" w:color="auto"/>
            <w:right w:val="none" w:sz="0" w:space="0" w:color="auto"/>
          </w:divBdr>
        </w:div>
        <w:div w:id="1766028219">
          <w:marLeft w:val="0"/>
          <w:marRight w:val="0"/>
          <w:marTop w:val="0"/>
          <w:marBottom w:val="0"/>
          <w:divBdr>
            <w:top w:val="none" w:sz="0" w:space="0" w:color="auto"/>
            <w:left w:val="none" w:sz="0" w:space="0" w:color="auto"/>
            <w:bottom w:val="none" w:sz="0" w:space="0" w:color="auto"/>
            <w:right w:val="none" w:sz="0" w:space="0" w:color="auto"/>
          </w:divBdr>
        </w:div>
      </w:divsChild>
    </w:div>
    <w:div w:id="1084034725">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299410423">
          <w:marLeft w:val="0"/>
          <w:marRight w:val="0"/>
          <w:marTop w:val="0"/>
          <w:marBottom w:val="0"/>
          <w:divBdr>
            <w:top w:val="none" w:sz="0" w:space="0" w:color="auto"/>
            <w:left w:val="none" w:sz="0" w:space="0" w:color="auto"/>
            <w:bottom w:val="none" w:sz="0" w:space="0" w:color="auto"/>
            <w:right w:val="none" w:sz="0" w:space="0" w:color="auto"/>
          </w:divBdr>
          <w:divsChild>
            <w:div w:id="904800337">
              <w:marLeft w:val="0"/>
              <w:marRight w:val="0"/>
              <w:marTop w:val="0"/>
              <w:marBottom w:val="0"/>
              <w:divBdr>
                <w:top w:val="none" w:sz="0" w:space="0" w:color="auto"/>
                <w:left w:val="none" w:sz="0" w:space="0" w:color="auto"/>
                <w:bottom w:val="none" w:sz="0" w:space="0" w:color="auto"/>
                <w:right w:val="none" w:sz="0" w:space="0" w:color="auto"/>
              </w:divBdr>
              <w:divsChild>
                <w:div w:id="854925729">
                  <w:marLeft w:val="0"/>
                  <w:marRight w:val="0"/>
                  <w:marTop w:val="0"/>
                  <w:marBottom w:val="0"/>
                  <w:divBdr>
                    <w:top w:val="none" w:sz="0" w:space="0" w:color="auto"/>
                    <w:left w:val="none" w:sz="0" w:space="0" w:color="auto"/>
                    <w:bottom w:val="none" w:sz="0" w:space="0" w:color="auto"/>
                    <w:right w:val="none" w:sz="0" w:space="0" w:color="auto"/>
                  </w:divBdr>
                  <w:divsChild>
                    <w:div w:id="1532721609">
                      <w:marLeft w:val="0"/>
                      <w:marRight w:val="0"/>
                      <w:marTop w:val="0"/>
                      <w:marBottom w:val="0"/>
                      <w:divBdr>
                        <w:top w:val="none" w:sz="0" w:space="0" w:color="auto"/>
                        <w:left w:val="none" w:sz="0" w:space="0" w:color="auto"/>
                        <w:bottom w:val="none" w:sz="0" w:space="0" w:color="auto"/>
                        <w:right w:val="none" w:sz="0" w:space="0" w:color="auto"/>
                      </w:divBdr>
                      <w:divsChild>
                        <w:div w:id="1425034408">
                          <w:marLeft w:val="0"/>
                          <w:marRight w:val="0"/>
                          <w:marTop w:val="0"/>
                          <w:marBottom w:val="0"/>
                          <w:divBdr>
                            <w:top w:val="none" w:sz="0" w:space="0" w:color="auto"/>
                            <w:left w:val="none" w:sz="0" w:space="0" w:color="auto"/>
                            <w:bottom w:val="none" w:sz="0" w:space="0" w:color="auto"/>
                            <w:right w:val="none" w:sz="0" w:space="0" w:color="auto"/>
                          </w:divBdr>
                          <w:divsChild>
                            <w:div w:id="1533498636">
                              <w:marLeft w:val="0"/>
                              <w:marRight w:val="0"/>
                              <w:marTop w:val="0"/>
                              <w:marBottom w:val="0"/>
                              <w:divBdr>
                                <w:top w:val="none" w:sz="0" w:space="0" w:color="auto"/>
                                <w:left w:val="none" w:sz="0" w:space="0" w:color="auto"/>
                                <w:bottom w:val="none" w:sz="0" w:space="0" w:color="auto"/>
                                <w:right w:val="none" w:sz="0" w:space="0" w:color="auto"/>
                              </w:divBdr>
                              <w:divsChild>
                                <w:div w:id="149905027">
                                  <w:marLeft w:val="0"/>
                                  <w:marRight w:val="0"/>
                                  <w:marTop w:val="0"/>
                                  <w:marBottom w:val="0"/>
                                  <w:divBdr>
                                    <w:top w:val="none" w:sz="0" w:space="0" w:color="auto"/>
                                    <w:left w:val="none" w:sz="0" w:space="0" w:color="auto"/>
                                    <w:bottom w:val="none" w:sz="0" w:space="0" w:color="auto"/>
                                    <w:right w:val="none" w:sz="0" w:space="0" w:color="auto"/>
                                  </w:divBdr>
                                  <w:divsChild>
                                    <w:div w:id="169064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1123459">
      <w:bodyDiv w:val="1"/>
      <w:marLeft w:val="150"/>
      <w:marRight w:val="150"/>
      <w:marTop w:val="150"/>
      <w:marBottom w:val="150"/>
      <w:divBdr>
        <w:top w:val="none" w:sz="0" w:space="0" w:color="auto"/>
        <w:left w:val="none" w:sz="0" w:space="0" w:color="auto"/>
        <w:bottom w:val="none" w:sz="0" w:space="0" w:color="auto"/>
        <w:right w:val="none" w:sz="0" w:space="0" w:color="auto"/>
      </w:divBdr>
      <w:divsChild>
        <w:div w:id="399218">
          <w:marLeft w:val="0"/>
          <w:marRight w:val="0"/>
          <w:marTop w:val="0"/>
          <w:marBottom w:val="0"/>
          <w:divBdr>
            <w:top w:val="none" w:sz="0" w:space="0" w:color="auto"/>
            <w:left w:val="none" w:sz="0" w:space="0" w:color="auto"/>
            <w:bottom w:val="none" w:sz="0" w:space="0" w:color="auto"/>
            <w:right w:val="none" w:sz="0" w:space="0" w:color="auto"/>
          </w:divBdr>
        </w:div>
        <w:div w:id="3097515">
          <w:marLeft w:val="0"/>
          <w:marRight w:val="0"/>
          <w:marTop w:val="0"/>
          <w:marBottom w:val="0"/>
          <w:divBdr>
            <w:top w:val="none" w:sz="0" w:space="0" w:color="auto"/>
            <w:left w:val="none" w:sz="0" w:space="0" w:color="auto"/>
            <w:bottom w:val="none" w:sz="0" w:space="0" w:color="auto"/>
            <w:right w:val="none" w:sz="0" w:space="0" w:color="auto"/>
          </w:divBdr>
        </w:div>
        <w:div w:id="15695755">
          <w:marLeft w:val="0"/>
          <w:marRight w:val="0"/>
          <w:marTop w:val="0"/>
          <w:marBottom w:val="0"/>
          <w:divBdr>
            <w:top w:val="none" w:sz="0" w:space="0" w:color="auto"/>
            <w:left w:val="none" w:sz="0" w:space="0" w:color="auto"/>
            <w:bottom w:val="none" w:sz="0" w:space="0" w:color="auto"/>
            <w:right w:val="none" w:sz="0" w:space="0" w:color="auto"/>
          </w:divBdr>
        </w:div>
        <w:div w:id="74057227">
          <w:marLeft w:val="0"/>
          <w:marRight w:val="0"/>
          <w:marTop w:val="0"/>
          <w:marBottom w:val="0"/>
          <w:divBdr>
            <w:top w:val="none" w:sz="0" w:space="0" w:color="auto"/>
            <w:left w:val="none" w:sz="0" w:space="0" w:color="auto"/>
            <w:bottom w:val="none" w:sz="0" w:space="0" w:color="auto"/>
            <w:right w:val="none" w:sz="0" w:space="0" w:color="auto"/>
          </w:divBdr>
        </w:div>
        <w:div w:id="74206241">
          <w:marLeft w:val="0"/>
          <w:marRight w:val="0"/>
          <w:marTop w:val="0"/>
          <w:marBottom w:val="0"/>
          <w:divBdr>
            <w:top w:val="none" w:sz="0" w:space="0" w:color="auto"/>
            <w:left w:val="none" w:sz="0" w:space="0" w:color="auto"/>
            <w:bottom w:val="none" w:sz="0" w:space="0" w:color="auto"/>
            <w:right w:val="none" w:sz="0" w:space="0" w:color="auto"/>
          </w:divBdr>
        </w:div>
        <w:div w:id="82729610">
          <w:marLeft w:val="0"/>
          <w:marRight w:val="0"/>
          <w:marTop w:val="0"/>
          <w:marBottom w:val="0"/>
          <w:divBdr>
            <w:top w:val="none" w:sz="0" w:space="0" w:color="auto"/>
            <w:left w:val="none" w:sz="0" w:space="0" w:color="auto"/>
            <w:bottom w:val="none" w:sz="0" w:space="0" w:color="auto"/>
            <w:right w:val="none" w:sz="0" w:space="0" w:color="auto"/>
          </w:divBdr>
        </w:div>
        <w:div w:id="86314800">
          <w:marLeft w:val="0"/>
          <w:marRight w:val="0"/>
          <w:marTop w:val="0"/>
          <w:marBottom w:val="0"/>
          <w:divBdr>
            <w:top w:val="none" w:sz="0" w:space="0" w:color="auto"/>
            <w:left w:val="none" w:sz="0" w:space="0" w:color="auto"/>
            <w:bottom w:val="none" w:sz="0" w:space="0" w:color="auto"/>
            <w:right w:val="none" w:sz="0" w:space="0" w:color="auto"/>
          </w:divBdr>
        </w:div>
        <w:div w:id="95907053">
          <w:marLeft w:val="0"/>
          <w:marRight w:val="0"/>
          <w:marTop w:val="0"/>
          <w:marBottom w:val="0"/>
          <w:divBdr>
            <w:top w:val="none" w:sz="0" w:space="0" w:color="auto"/>
            <w:left w:val="none" w:sz="0" w:space="0" w:color="auto"/>
            <w:bottom w:val="none" w:sz="0" w:space="0" w:color="auto"/>
            <w:right w:val="none" w:sz="0" w:space="0" w:color="auto"/>
          </w:divBdr>
        </w:div>
        <w:div w:id="102000625">
          <w:marLeft w:val="0"/>
          <w:marRight w:val="0"/>
          <w:marTop w:val="0"/>
          <w:marBottom w:val="0"/>
          <w:divBdr>
            <w:top w:val="none" w:sz="0" w:space="0" w:color="auto"/>
            <w:left w:val="none" w:sz="0" w:space="0" w:color="auto"/>
            <w:bottom w:val="none" w:sz="0" w:space="0" w:color="auto"/>
            <w:right w:val="none" w:sz="0" w:space="0" w:color="auto"/>
          </w:divBdr>
        </w:div>
        <w:div w:id="147284347">
          <w:marLeft w:val="0"/>
          <w:marRight w:val="0"/>
          <w:marTop w:val="0"/>
          <w:marBottom w:val="0"/>
          <w:divBdr>
            <w:top w:val="none" w:sz="0" w:space="0" w:color="auto"/>
            <w:left w:val="none" w:sz="0" w:space="0" w:color="auto"/>
            <w:bottom w:val="none" w:sz="0" w:space="0" w:color="auto"/>
            <w:right w:val="none" w:sz="0" w:space="0" w:color="auto"/>
          </w:divBdr>
        </w:div>
        <w:div w:id="149714690">
          <w:marLeft w:val="0"/>
          <w:marRight w:val="0"/>
          <w:marTop w:val="0"/>
          <w:marBottom w:val="0"/>
          <w:divBdr>
            <w:top w:val="none" w:sz="0" w:space="0" w:color="auto"/>
            <w:left w:val="none" w:sz="0" w:space="0" w:color="auto"/>
            <w:bottom w:val="none" w:sz="0" w:space="0" w:color="auto"/>
            <w:right w:val="none" w:sz="0" w:space="0" w:color="auto"/>
          </w:divBdr>
        </w:div>
        <w:div w:id="151720089">
          <w:marLeft w:val="0"/>
          <w:marRight w:val="0"/>
          <w:marTop w:val="0"/>
          <w:marBottom w:val="0"/>
          <w:divBdr>
            <w:top w:val="none" w:sz="0" w:space="0" w:color="auto"/>
            <w:left w:val="none" w:sz="0" w:space="0" w:color="auto"/>
            <w:bottom w:val="none" w:sz="0" w:space="0" w:color="auto"/>
            <w:right w:val="none" w:sz="0" w:space="0" w:color="auto"/>
          </w:divBdr>
        </w:div>
        <w:div w:id="158276799">
          <w:marLeft w:val="0"/>
          <w:marRight w:val="0"/>
          <w:marTop w:val="0"/>
          <w:marBottom w:val="0"/>
          <w:divBdr>
            <w:top w:val="none" w:sz="0" w:space="0" w:color="auto"/>
            <w:left w:val="none" w:sz="0" w:space="0" w:color="auto"/>
            <w:bottom w:val="none" w:sz="0" w:space="0" w:color="auto"/>
            <w:right w:val="none" w:sz="0" w:space="0" w:color="auto"/>
          </w:divBdr>
        </w:div>
        <w:div w:id="163207423">
          <w:marLeft w:val="0"/>
          <w:marRight w:val="0"/>
          <w:marTop w:val="0"/>
          <w:marBottom w:val="0"/>
          <w:divBdr>
            <w:top w:val="none" w:sz="0" w:space="0" w:color="auto"/>
            <w:left w:val="none" w:sz="0" w:space="0" w:color="auto"/>
            <w:bottom w:val="none" w:sz="0" w:space="0" w:color="auto"/>
            <w:right w:val="none" w:sz="0" w:space="0" w:color="auto"/>
          </w:divBdr>
        </w:div>
        <w:div w:id="186452676">
          <w:marLeft w:val="0"/>
          <w:marRight w:val="0"/>
          <w:marTop w:val="0"/>
          <w:marBottom w:val="0"/>
          <w:divBdr>
            <w:top w:val="none" w:sz="0" w:space="0" w:color="auto"/>
            <w:left w:val="none" w:sz="0" w:space="0" w:color="auto"/>
            <w:bottom w:val="none" w:sz="0" w:space="0" w:color="auto"/>
            <w:right w:val="none" w:sz="0" w:space="0" w:color="auto"/>
          </w:divBdr>
        </w:div>
        <w:div w:id="231938857">
          <w:marLeft w:val="0"/>
          <w:marRight w:val="0"/>
          <w:marTop w:val="0"/>
          <w:marBottom w:val="0"/>
          <w:divBdr>
            <w:top w:val="none" w:sz="0" w:space="0" w:color="auto"/>
            <w:left w:val="none" w:sz="0" w:space="0" w:color="auto"/>
            <w:bottom w:val="none" w:sz="0" w:space="0" w:color="auto"/>
            <w:right w:val="none" w:sz="0" w:space="0" w:color="auto"/>
          </w:divBdr>
        </w:div>
        <w:div w:id="241915553">
          <w:marLeft w:val="0"/>
          <w:marRight w:val="0"/>
          <w:marTop w:val="0"/>
          <w:marBottom w:val="0"/>
          <w:divBdr>
            <w:top w:val="none" w:sz="0" w:space="0" w:color="auto"/>
            <w:left w:val="none" w:sz="0" w:space="0" w:color="auto"/>
            <w:bottom w:val="none" w:sz="0" w:space="0" w:color="auto"/>
            <w:right w:val="none" w:sz="0" w:space="0" w:color="auto"/>
          </w:divBdr>
        </w:div>
        <w:div w:id="273371404">
          <w:marLeft w:val="0"/>
          <w:marRight w:val="0"/>
          <w:marTop w:val="0"/>
          <w:marBottom w:val="0"/>
          <w:divBdr>
            <w:top w:val="none" w:sz="0" w:space="0" w:color="auto"/>
            <w:left w:val="none" w:sz="0" w:space="0" w:color="auto"/>
            <w:bottom w:val="none" w:sz="0" w:space="0" w:color="auto"/>
            <w:right w:val="none" w:sz="0" w:space="0" w:color="auto"/>
          </w:divBdr>
        </w:div>
        <w:div w:id="313920396">
          <w:marLeft w:val="0"/>
          <w:marRight w:val="0"/>
          <w:marTop w:val="0"/>
          <w:marBottom w:val="0"/>
          <w:divBdr>
            <w:top w:val="none" w:sz="0" w:space="0" w:color="auto"/>
            <w:left w:val="none" w:sz="0" w:space="0" w:color="auto"/>
            <w:bottom w:val="none" w:sz="0" w:space="0" w:color="auto"/>
            <w:right w:val="none" w:sz="0" w:space="0" w:color="auto"/>
          </w:divBdr>
        </w:div>
        <w:div w:id="316420130">
          <w:marLeft w:val="0"/>
          <w:marRight w:val="0"/>
          <w:marTop w:val="0"/>
          <w:marBottom w:val="0"/>
          <w:divBdr>
            <w:top w:val="none" w:sz="0" w:space="0" w:color="auto"/>
            <w:left w:val="none" w:sz="0" w:space="0" w:color="auto"/>
            <w:bottom w:val="none" w:sz="0" w:space="0" w:color="auto"/>
            <w:right w:val="none" w:sz="0" w:space="0" w:color="auto"/>
          </w:divBdr>
        </w:div>
        <w:div w:id="320542413">
          <w:marLeft w:val="0"/>
          <w:marRight w:val="0"/>
          <w:marTop w:val="0"/>
          <w:marBottom w:val="0"/>
          <w:divBdr>
            <w:top w:val="none" w:sz="0" w:space="0" w:color="auto"/>
            <w:left w:val="none" w:sz="0" w:space="0" w:color="auto"/>
            <w:bottom w:val="none" w:sz="0" w:space="0" w:color="auto"/>
            <w:right w:val="none" w:sz="0" w:space="0" w:color="auto"/>
          </w:divBdr>
        </w:div>
        <w:div w:id="330525637">
          <w:marLeft w:val="0"/>
          <w:marRight w:val="0"/>
          <w:marTop w:val="0"/>
          <w:marBottom w:val="0"/>
          <w:divBdr>
            <w:top w:val="none" w:sz="0" w:space="0" w:color="auto"/>
            <w:left w:val="none" w:sz="0" w:space="0" w:color="auto"/>
            <w:bottom w:val="none" w:sz="0" w:space="0" w:color="auto"/>
            <w:right w:val="none" w:sz="0" w:space="0" w:color="auto"/>
          </w:divBdr>
        </w:div>
        <w:div w:id="344409150">
          <w:marLeft w:val="0"/>
          <w:marRight w:val="0"/>
          <w:marTop w:val="0"/>
          <w:marBottom w:val="0"/>
          <w:divBdr>
            <w:top w:val="none" w:sz="0" w:space="0" w:color="auto"/>
            <w:left w:val="none" w:sz="0" w:space="0" w:color="auto"/>
            <w:bottom w:val="none" w:sz="0" w:space="0" w:color="auto"/>
            <w:right w:val="none" w:sz="0" w:space="0" w:color="auto"/>
          </w:divBdr>
        </w:div>
        <w:div w:id="351885644">
          <w:marLeft w:val="0"/>
          <w:marRight w:val="0"/>
          <w:marTop w:val="0"/>
          <w:marBottom w:val="0"/>
          <w:divBdr>
            <w:top w:val="none" w:sz="0" w:space="0" w:color="auto"/>
            <w:left w:val="none" w:sz="0" w:space="0" w:color="auto"/>
            <w:bottom w:val="none" w:sz="0" w:space="0" w:color="auto"/>
            <w:right w:val="none" w:sz="0" w:space="0" w:color="auto"/>
          </w:divBdr>
        </w:div>
        <w:div w:id="357053023">
          <w:marLeft w:val="0"/>
          <w:marRight w:val="0"/>
          <w:marTop w:val="0"/>
          <w:marBottom w:val="0"/>
          <w:divBdr>
            <w:top w:val="none" w:sz="0" w:space="0" w:color="auto"/>
            <w:left w:val="none" w:sz="0" w:space="0" w:color="auto"/>
            <w:bottom w:val="none" w:sz="0" w:space="0" w:color="auto"/>
            <w:right w:val="none" w:sz="0" w:space="0" w:color="auto"/>
          </w:divBdr>
        </w:div>
        <w:div w:id="362679549">
          <w:marLeft w:val="0"/>
          <w:marRight w:val="0"/>
          <w:marTop w:val="0"/>
          <w:marBottom w:val="0"/>
          <w:divBdr>
            <w:top w:val="none" w:sz="0" w:space="0" w:color="auto"/>
            <w:left w:val="none" w:sz="0" w:space="0" w:color="auto"/>
            <w:bottom w:val="none" w:sz="0" w:space="0" w:color="auto"/>
            <w:right w:val="none" w:sz="0" w:space="0" w:color="auto"/>
          </w:divBdr>
        </w:div>
        <w:div w:id="522134060">
          <w:marLeft w:val="0"/>
          <w:marRight w:val="0"/>
          <w:marTop w:val="0"/>
          <w:marBottom w:val="0"/>
          <w:divBdr>
            <w:top w:val="none" w:sz="0" w:space="0" w:color="auto"/>
            <w:left w:val="none" w:sz="0" w:space="0" w:color="auto"/>
            <w:bottom w:val="none" w:sz="0" w:space="0" w:color="auto"/>
            <w:right w:val="none" w:sz="0" w:space="0" w:color="auto"/>
          </w:divBdr>
        </w:div>
        <w:div w:id="535387498">
          <w:marLeft w:val="0"/>
          <w:marRight w:val="0"/>
          <w:marTop w:val="0"/>
          <w:marBottom w:val="0"/>
          <w:divBdr>
            <w:top w:val="none" w:sz="0" w:space="0" w:color="auto"/>
            <w:left w:val="none" w:sz="0" w:space="0" w:color="auto"/>
            <w:bottom w:val="none" w:sz="0" w:space="0" w:color="auto"/>
            <w:right w:val="none" w:sz="0" w:space="0" w:color="auto"/>
          </w:divBdr>
        </w:div>
        <w:div w:id="556934622">
          <w:marLeft w:val="0"/>
          <w:marRight w:val="0"/>
          <w:marTop w:val="0"/>
          <w:marBottom w:val="0"/>
          <w:divBdr>
            <w:top w:val="none" w:sz="0" w:space="0" w:color="auto"/>
            <w:left w:val="none" w:sz="0" w:space="0" w:color="auto"/>
            <w:bottom w:val="none" w:sz="0" w:space="0" w:color="auto"/>
            <w:right w:val="none" w:sz="0" w:space="0" w:color="auto"/>
          </w:divBdr>
        </w:div>
        <w:div w:id="565846023">
          <w:marLeft w:val="0"/>
          <w:marRight w:val="0"/>
          <w:marTop w:val="0"/>
          <w:marBottom w:val="0"/>
          <w:divBdr>
            <w:top w:val="none" w:sz="0" w:space="0" w:color="auto"/>
            <w:left w:val="none" w:sz="0" w:space="0" w:color="auto"/>
            <w:bottom w:val="none" w:sz="0" w:space="0" w:color="auto"/>
            <w:right w:val="none" w:sz="0" w:space="0" w:color="auto"/>
          </w:divBdr>
        </w:div>
        <w:div w:id="572787324">
          <w:marLeft w:val="0"/>
          <w:marRight w:val="0"/>
          <w:marTop w:val="0"/>
          <w:marBottom w:val="0"/>
          <w:divBdr>
            <w:top w:val="none" w:sz="0" w:space="0" w:color="auto"/>
            <w:left w:val="none" w:sz="0" w:space="0" w:color="auto"/>
            <w:bottom w:val="none" w:sz="0" w:space="0" w:color="auto"/>
            <w:right w:val="none" w:sz="0" w:space="0" w:color="auto"/>
          </w:divBdr>
        </w:div>
        <w:div w:id="576792823">
          <w:marLeft w:val="0"/>
          <w:marRight w:val="0"/>
          <w:marTop w:val="0"/>
          <w:marBottom w:val="0"/>
          <w:divBdr>
            <w:top w:val="none" w:sz="0" w:space="0" w:color="auto"/>
            <w:left w:val="none" w:sz="0" w:space="0" w:color="auto"/>
            <w:bottom w:val="none" w:sz="0" w:space="0" w:color="auto"/>
            <w:right w:val="none" w:sz="0" w:space="0" w:color="auto"/>
          </w:divBdr>
        </w:div>
        <w:div w:id="592126510">
          <w:marLeft w:val="0"/>
          <w:marRight w:val="0"/>
          <w:marTop w:val="0"/>
          <w:marBottom w:val="0"/>
          <w:divBdr>
            <w:top w:val="none" w:sz="0" w:space="0" w:color="auto"/>
            <w:left w:val="none" w:sz="0" w:space="0" w:color="auto"/>
            <w:bottom w:val="none" w:sz="0" w:space="0" w:color="auto"/>
            <w:right w:val="none" w:sz="0" w:space="0" w:color="auto"/>
          </w:divBdr>
        </w:div>
        <w:div w:id="602299213">
          <w:marLeft w:val="0"/>
          <w:marRight w:val="0"/>
          <w:marTop w:val="0"/>
          <w:marBottom w:val="0"/>
          <w:divBdr>
            <w:top w:val="none" w:sz="0" w:space="0" w:color="auto"/>
            <w:left w:val="none" w:sz="0" w:space="0" w:color="auto"/>
            <w:bottom w:val="none" w:sz="0" w:space="0" w:color="auto"/>
            <w:right w:val="none" w:sz="0" w:space="0" w:color="auto"/>
          </w:divBdr>
        </w:div>
        <w:div w:id="607471547">
          <w:marLeft w:val="0"/>
          <w:marRight w:val="0"/>
          <w:marTop w:val="0"/>
          <w:marBottom w:val="0"/>
          <w:divBdr>
            <w:top w:val="none" w:sz="0" w:space="0" w:color="auto"/>
            <w:left w:val="none" w:sz="0" w:space="0" w:color="auto"/>
            <w:bottom w:val="none" w:sz="0" w:space="0" w:color="auto"/>
            <w:right w:val="none" w:sz="0" w:space="0" w:color="auto"/>
          </w:divBdr>
        </w:div>
        <w:div w:id="612833149">
          <w:marLeft w:val="0"/>
          <w:marRight w:val="0"/>
          <w:marTop w:val="0"/>
          <w:marBottom w:val="0"/>
          <w:divBdr>
            <w:top w:val="none" w:sz="0" w:space="0" w:color="auto"/>
            <w:left w:val="none" w:sz="0" w:space="0" w:color="auto"/>
            <w:bottom w:val="none" w:sz="0" w:space="0" w:color="auto"/>
            <w:right w:val="none" w:sz="0" w:space="0" w:color="auto"/>
          </w:divBdr>
        </w:div>
        <w:div w:id="613562744">
          <w:marLeft w:val="0"/>
          <w:marRight w:val="0"/>
          <w:marTop w:val="0"/>
          <w:marBottom w:val="0"/>
          <w:divBdr>
            <w:top w:val="none" w:sz="0" w:space="0" w:color="auto"/>
            <w:left w:val="none" w:sz="0" w:space="0" w:color="auto"/>
            <w:bottom w:val="none" w:sz="0" w:space="0" w:color="auto"/>
            <w:right w:val="none" w:sz="0" w:space="0" w:color="auto"/>
          </w:divBdr>
        </w:div>
        <w:div w:id="646978893">
          <w:marLeft w:val="0"/>
          <w:marRight w:val="0"/>
          <w:marTop w:val="0"/>
          <w:marBottom w:val="0"/>
          <w:divBdr>
            <w:top w:val="none" w:sz="0" w:space="0" w:color="auto"/>
            <w:left w:val="none" w:sz="0" w:space="0" w:color="auto"/>
            <w:bottom w:val="none" w:sz="0" w:space="0" w:color="auto"/>
            <w:right w:val="none" w:sz="0" w:space="0" w:color="auto"/>
          </w:divBdr>
        </w:div>
        <w:div w:id="665478817">
          <w:marLeft w:val="0"/>
          <w:marRight w:val="0"/>
          <w:marTop w:val="0"/>
          <w:marBottom w:val="0"/>
          <w:divBdr>
            <w:top w:val="none" w:sz="0" w:space="0" w:color="auto"/>
            <w:left w:val="none" w:sz="0" w:space="0" w:color="auto"/>
            <w:bottom w:val="none" w:sz="0" w:space="0" w:color="auto"/>
            <w:right w:val="none" w:sz="0" w:space="0" w:color="auto"/>
          </w:divBdr>
        </w:div>
        <w:div w:id="668220096">
          <w:marLeft w:val="0"/>
          <w:marRight w:val="0"/>
          <w:marTop w:val="0"/>
          <w:marBottom w:val="0"/>
          <w:divBdr>
            <w:top w:val="none" w:sz="0" w:space="0" w:color="auto"/>
            <w:left w:val="none" w:sz="0" w:space="0" w:color="auto"/>
            <w:bottom w:val="none" w:sz="0" w:space="0" w:color="auto"/>
            <w:right w:val="none" w:sz="0" w:space="0" w:color="auto"/>
          </w:divBdr>
        </w:div>
        <w:div w:id="713653937">
          <w:marLeft w:val="0"/>
          <w:marRight w:val="0"/>
          <w:marTop w:val="0"/>
          <w:marBottom w:val="0"/>
          <w:divBdr>
            <w:top w:val="none" w:sz="0" w:space="0" w:color="auto"/>
            <w:left w:val="none" w:sz="0" w:space="0" w:color="auto"/>
            <w:bottom w:val="none" w:sz="0" w:space="0" w:color="auto"/>
            <w:right w:val="none" w:sz="0" w:space="0" w:color="auto"/>
          </w:divBdr>
        </w:div>
        <w:div w:id="748237671">
          <w:marLeft w:val="0"/>
          <w:marRight w:val="0"/>
          <w:marTop w:val="0"/>
          <w:marBottom w:val="0"/>
          <w:divBdr>
            <w:top w:val="none" w:sz="0" w:space="0" w:color="auto"/>
            <w:left w:val="none" w:sz="0" w:space="0" w:color="auto"/>
            <w:bottom w:val="none" w:sz="0" w:space="0" w:color="auto"/>
            <w:right w:val="none" w:sz="0" w:space="0" w:color="auto"/>
          </w:divBdr>
        </w:div>
        <w:div w:id="758796794">
          <w:marLeft w:val="0"/>
          <w:marRight w:val="0"/>
          <w:marTop w:val="0"/>
          <w:marBottom w:val="0"/>
          <w:divBdr>
            <w:top w:val="none" w:sz="0" w:space="0" w:color="auto"/>
            <w:left w:val="none" w:sz="0" w:space="0" w:color="auto"/>
            <w:bottom w:val="none" w:sz="0" w:space="0" w:color="auto"/>
            <w:right w:val="none" w:sz="0" w:space="0" w:color="auto"/>
          </w:divBdr>
        </w:div>
        <w:div w:id="767391555">
          <w:marLeft w:val="0"/>
          <w:marRight w:val="0"/>
          <w:marTop w:val="0"/>
          <w:marBottom w:val="0"/>
          <w:divBdr>
            <w:top w:val="none" w:sz="0" w:space="0" w:color="auto"/>
            <w:left w:val="none" w:sz="0" w:space="0" w:color="auto"/>
            <w:bottom w:val="none" w:sz="0" w:space="0" w:color="auto"/>
            <w:right w:val="none" w:sz="0" w:space="0" w:color="auto"/>
          </w:divBdr>
        </w:div>
        <w:div w:id="768501799">
          <w:marLeft w:val="0"/>
          <w:marRight w:val="0"/>
          <w:marTop w:val="0"/>
          <w:marBottom w:val="0"/>
          <w:divBdr>
            <w:top w:val="none" w:sz="0" w:space="0" w:color="auto"/>
            <w:left w:val="none" w:sz="0" w:space="0" w:color="auto"/>
            <w:bottom w:val="none" w:sz="0" w:space="0" w:color="auto"/>
            <w:right w:val="none" w:sz="0" w:space="0" w:color="auto"/>
          </w:divBdr>
        </w:div>
        <w:div w:id="840655452">
          <w:marLeft w:val="0"/>
          <w:marRight w:val="0"/>
          <w:marTop w:val="0"/>
          <w:marBottom w:val="0"/>
          <w:divBdr>
            <w:top w:val="none" w:sz="0" w:space="0" w:color="auto"/>
            <w:left w:val="none" w:sz="0" w:space="0" w:color="auto"/>
            <w:bottom w:val="none" w:sz="0" w:space="0" w:color="auto"/>
            <w:right w:val="none" w:sz="0" w:space="0" w:color="auto"/>
          </w:divBdr>
        </w:div>
        <w:div w:id="887179667">
          <w:marLeft w:val="0"/>
          <w:marRight w:val="0"/>
          <w:marTop w:val="0"/>
          <w:marBottom w:val="0"/>
          <w:divBdr>
            <w:top w:val="none" w:sz="0" w:space="0" w:color="auto"/>
            <w:left w:val="none" w:sz="0" w:space="0" w:color="auto"/>
            <w:bottom w:val="none" w:sz="0" w:space="0" w:color="auto"/>
            <w:right w:val="none" w:sz="0" w:space="0" w:color="auto"/>
          </w:divBdr>
        </w:div>
        <w:div w:id="889465543">
          <w:marLeft w:val="0"/>
          <w:marRight w:val="0"/>
          <w:marTop w:val="0"/>
          <w:marBottom w:val="0"/>
          <w:divBdr>
            <w:top w:val="none" w:sz="0" w:space="0" w:color="auto"/>
            <w:left w:val="none" w:sz="0" w:space="0" w:color="auto"/>
            <w:bottom w:val="none" w:sz="0" w:space="0" w:color="auto"/>
            <w:right w:val="none" w:sz="0" w:space="0" w:color="auto"/>
          </w:divBdr>
        </w:div>
        <w:div w:id="901523167">
          <w:marLeft w:val="0"/>
          <w:marRight w:val="0"/>
          <w:marTop w:val="0"/>
          <w:marBottom w:val="0"/>
          <w:divBdr>
            <w:top w:val="none" w:sz="0" w:space="0" w:color="auto"/>
            <w:left w:val="none" w:sz="0" w:space="0" w:color="auto"/>
            <w:bottom w:val="none" w:sz="0" w:space="0" w:color="auto"/>
            <w:right w:val="none" w:sz="0" w:space="0" w:color="auto"/>
          </w:divBdr>
        </w:div>
        <w:div w:id="906837745">
          <w:marLeft w:val="0"/>
          <w:marRight w:val="0"/>
          <w:marTop w:val="0"/>
          <w:marBottom w:val="0"/>
          <w:divBdr>
            <w:top w:val="none" w:sz="0" w:space="0" w:color="auto"/>
            <w:left w:val="none" w:sz="0" w:space="0" w:color="auto"/>
            <w:bottom w:val="none" w:sz="0" w:space="0" w:color="auto"/>
            <w:right w:val="none" w:sz="0" w:space="0" w:color="auto"/>
          </w:divBdr>
        </w:div>
        <w:div w:id="914783874">
          <w:marLeft w:val="0"/>
          <w:marRight w:val="0"/>
          <w:marTop w:val="0"/>
          <w:marBottom w:val="0"/>
          <w:divBdr>
            <w:top w:val="none" w:sz="0" w:space="0" w:color="auto"/>
            <w:left w:val="none" w:sz="0" w:space="0" w:color="auto"/>
            <w:bottom w:val="none" w:sz="0" w:space="0" w:color="auto"/>
            <w:right w:val="none" w:sz="0" w:space="0" w:color="auto"/>
          </w:divBdr>
        </w:div>
        <w:div w:id="915744003">
          <w:marLeft w:val="0"/>
          <w:marRight w:val="0"/>
          <w:marTop w:val="0"/>
          <w:marBottom w:val="0"/>
          <w:divBdr>
            <w:top w:val="none" w:sz="0" w:space="0" w:color="auto"/>
            <w:left w:val="none" w:sz="0" w:space="0" w:color="auto"/>
            <w:bottom w:val="none" w:sz="0" w:space="0" w:color="auto"/>
            <w:right w:val="none" w:sz="0" w:space="0" w:color="auto"/>
          </w:divBdr>
        </w:div>
        <w:div w:id="924146998">
          <w:marLeft w:val="0"/>
          <w:marRight w:val="0"/>
          <w:marTop w:val="0"/>
          <w:marBottom w:val="0"/>
          <w:divBdr>
            <w:top w:val="none" w:sz="0" w:space="0" w:color="auto"/>
            <w:left w:val="none" w:sz="0" w:space="0" w:color="auto"/>
            <w:bottom w:val="none" w:sz="0" w:space="0" w:color="auto"/>
            <w:right w:val="none" w:sz="0" w:space="0" w:color="auto"/>
          </w:divBdr>
        </w:div>
        <w:div w:id="935550876">
          <w:marLeft w:val="0"/>
          <w:marRight w:val="0"/>
          <w:marTop w:val="0"/>
          <w:marBottom w:val="0"/>
          <w:divBdr>
            <w:top w:val="none" w:sz="0" w:space="0" w:color="auto"/>
            <w:left w:val="none" w:sz="0" w:space="0" w:color="auto"/>
            <w:bottom w:val="none" w:sz="0" w:space="0" w:color="auto"/>
            <w:right w:val="none" w:sz="0" w:space="0" w:color="auto"/>
          </w:divBdr>
        </w:div>
        <w:div w:id="943072446">
          <w:marLeft w:val="0"/>
          <w:marRight w:val="0"/>
          <w:marTop w:val="0"/>
          <w:marBottom w:val="0"/>
          <w:divBdr>
            <w:top w:val="none" w:sz="0" w:space="0" w:color="auto"/>
            <w:left w:val="none" w:sz="0" w:space="0" w:color="auto"/>
            <w:bottom w:val="none" w:sz="0" w:space="0" w:color="auto"/>
            <w:right w:val="none" w:sz="0" w:space="0" w:color="auto"/>
          </w:divBdr>
        </w:div>
        <w:div w:id="950670968">
          <w:marLeft w:val="0"/>
          <w:marRight w:val="0"/>
          <w:marTop w:val="0"/>
          <w:marBottom w:val="0"/>
          <w:divBdr>
            <w:top w:val="none" w:sz="0" w:space="0" w:color="auto"/>
            <w:left w:val="none" w:sz="0" w:space="0" w:color="auto"/>
            <w:bottom w:val="none" w:sz="0" w:space="0" w:color="auto"/>
            <w:right w:val="none" w:sz="0" w:space="0" w:color="auto"/>
          </w:divBdr>
        </w:div>
        <w:div w:id="991830713">
          <w:marLeft w:val="0"/>
          <w:marRight w:val="0"/>
          <w:marTop w:val="0"/>
          <w:marBottom w:val="0"/>
          <w:divBdr>
            <w:top w:val="none" w:sz="0" w:space="0" w:color="auto"/>
            <w:left w:val="none" w:sz="0" w:space="0" w:color="auto"/>
            <w:bottom w:val="none" w:sz="0" w:space="0" w:color="auto"/>
            <w:right w:val="none" w:sz="0" w:space="0" w:color="auto"/>
          </w:divBdr>
        </w:div>
        <w:div w:id="1091006539">
          <w:marLeft w:val="0"/>
          <w:marRight w:val="0"/>
          <w:marTop w:val="0"/>
          <w:marBottom w:val="0"/>
          <w:divBdr>
            <w:top w:val="none" w:sz="0" w:space="0" w:color="auto"/>
            <w:left w:val="none" w:sz="0" w:space="0" w:color="auto"/>
            <w:bottom w:val="none" w:sz="0" w:space="0" w:color="auto"/>
            <w:right w:val="none" w:sz="0" w:space="0" w:color="auto"/>
          </w:divBdr>
        </w:div>
        <w:div w:id="1110053107">
          <w:marLeft w:val="0"/>
          <w:marRight w:val="0"/>
          <w:marTop w:val="0"/>
          <w:marBottom w:val="0"/>
          <w:divBdr>
            <w:top w:val="none" w:sz="0" w:space="0" w:color="auto"/>
            <w:left w:val="none" w:sz="0" w:space="0" w:color="auto"/>
            <w:bottom w:val="none" w:sz="0" w:space="0" w:color="auto"/>
            <w:right w:val="none" w:sz="0" w:space="0" w:color="auto"/>
          </w:divBdr>
        </w:div>
        <w:div w:id="1176308153">
          <w:marLeft w:val="0"/>
          <w:marRight w:val="0"/>
          <w:marTop w:val="0"/>
          <w:marBottom w:val="0"/>
          <w:divBdr>
            <w:top w:val="none" w:sz="0" w:space="0" w:color="auto"/>
            <w:left w:val="none" w:sz="0" w:space="0" w:color="auto"/>
            <w:bottom w:val="none" w:sz="0" w:space="0" w:color="auto"/>
            <w:right w:val="none" w:sz="0" w:space="0" w:color="auto"/>
          </w:divBdr>
        </w:div>
        <w:div w:id="1187063855">
          <w:marLeft w:val="0"/>
          <w:marRight w:val="0"/>
          <w:marTop w:val="0"/>
          <w:marBottom w:val="0"/>
          <w:divBdr>
            <w:top w:val="none" w:sz="0" w:space="0" w:color="auto"/>
            <w:left w:val="none" w:sz="0" w:space="0" w:color="auto"/>
            <w:bottom w:val="none" w:sz="0" w:space="0" w:color="auto"/>
            <w:right w:val="none" w:sz="0" w:space="0" w:color="auto"/>
          </w:divBdr>
        </w:div>
        <w:div w:id="1202593622">
          <w:marLeft w:val="0"/>
          <w:marRight w:val="0"/>
          <w:marTop w:val="0"/>
          <w:marBottom w:val="0"/>
          <w:divBdr>
            <w:top w:val="none" w:sz="0" w:space="0" w:color="auto"/>
            <w:left w:val="none" w:sz="0" w:space="0" w:color="auto"/>
            <w:bottom w:val="none" w:sz="0" w:space="0" w:color="auto"/>
            <w:right w:val="none" w:sz="0" w:space="0" w:color="auto"/>
          </w:divBdr>
        </w:div>
        <w:div w:id="1220170004">
          <w:marLeft w:val="0"/>
          <w:marRight w:val="0"/>
          <w:marTop w:val="0"/>
          <w:marBottom w:val="0"/>
          <w:divBdr>
            <w:top w:val="none" w:sz="0" w:space="0" w:color="auto"/>
            <w:left w:val="none" w:sz="0" w:space="0" w:color="auto"/>
            <w:bottom w:val="none" w:sz="0" w:space="0" w:color="auto"/>
            <w:right w:val="none" w:sz="0" w:space="0" w:color="auto"/>
          </w:divBdr>
        </w:div>
        <w:div w:id="1270502818">
          <w:marLeft w:val="0"/>
          <w:marRight w:val="0"/>
          <w:marTop w:val="0"/>
          <w:marBottom w:val="0"/>
          <w:divBdr>
            <w:top w:val="none" w:sz="0" w:space="0" w:color="auto"/>
            <w:left w:val="none" w:sz="0" w:space="0" w:color="auto"/>
            <w:bottom w:val="none" w:sz="0" w:space="0" w:color="auto"/>
            <w:right w:val="none" w:sz="0" w:space="0" w:color="auto"/>
          </w:divBdr>
        </w:div>
        <w:div w:id="1291352423">
          <w:marLeft w:val="0"/>
          <w:marRight w:val="0"/>
          <w:marTop w:val="0"/>
          <w:marBottom w:val="0"/>
          <w:divBdr>
            <w:top w:val="none" w:sz="0" w:space="0" w:color="auto"/>
            <w:left w:val="none" w:sz="0" w:space="0" w:color="auto"/>
            <w:bottom w:val="none" w:sz="0" w:space="0" w:color="auto"/>
            <w:right w:val="none" w:sz="0" w:space="0" w:color="auto"/>
          </w:divBdr>
        </w:div>
        <w:div w:id="1379158808">
          <w:marLeft w:val="0"/>
          <w:marRight w:val="0"/>
          <w:marTop w:val="0"/>
          <w:marBottom w:val="0"/>
          <w:divBdr>
            <w:top w:val="none" w:sz="0" w:space="0" w:color="auto"/>
            <w:left w:val="none" w:sz="0" w:space="0" w:color="auto"/>
            <w:bottom w:val="none" w:sz="0" w:space="0" w:color="auto"/>
            <w:right w:val="none" w:sz="0" w:space="0" w:color="auto"/>
          </w:divBdr>
        </w:div>
        <w:div w:id="1396932320">
          <w:marLeft w:val="0"/>
          <w:marRight w:val="0"/>
          <w:marTop w:val="0"/>
          <w:marBottom w:val="0"/>
          <w:divBdr>
            <w:top w:val="none" w:sz="0" w:space="0" w:color="auto"/>
            <w:left w:val="none" w:sz="0" w:space="0" w:color="auto"/>
            <w:bottom w:val="none" w:sz="0" w:space="0" w:color="auto"/>
            <w:right w:val="none" w:sz="0" w:space="0" w:color="auto"/>
          </w:divBdr>
        </w:div>
        <w:div w:id="1404260874">
          <w:marLeft w:val="0"/>
          <w:marRight w:val="0"/>
          <w:marTop w:val="0"/>
          <w:marBottom w:val="0"/>
          <w:divBdr>
            <w:top w:val="none" w:sz="0" w:space="0" w:color="auto"/>
            <w:left w:val="none" w:sz="0" w:space="0" w:color="auto"/>
            <w:bottom w:val="none" w:sz="0" w:space="0" w:color="auto"/>
            <w:right w:val="none" w:sz="0" w:space="0" w:color="auto"/>
          </w:divBdr>
        </w:div>
        <w:div w:id="1417248708">
          <w:marLeft w:val="0"/>
          <w:marRight w:val="0"/>
          <w:marTop w:val="0"/>
          <w:marBottom w:val="0"/>
          <w:divBdr>
            <w:top w:val="none" w:sz="0" w:space="0" w:color="auto"/>
            <w:left w:val="none" w:sz="0" w:space="0" w:color="auto"/>
            <w:bottom w:val="none" w:sz="0" w:space="0" w:color="auto"/>
            <w:right w:val="none" w:sz="0" w:space="0" w:color="auto"/>
          </w:divBdr>
        </w:div>
        <w:div w:id="1426029321">
          <w:marLeft w:val="0"/>
          <w:marRight w:val="0"/>
          <w:marTop w:val="0"/>
          <w:marBottom w:val="0"/>
          <w:divBdr>
            <w:top w:val="none" w:sz="0" w:space="0" w:color="auto"/>
            <w:left w:val="none" w:sz="0" w:space="0" w:color="auto"/>
            <w:bottom w:val="none" w:sz="0" w:space="0" w:color="auto"/>
            <w:right w:val="none" w:sz="0" w:space="0" w:color="auto"/>
          </w:divBdr>
        </w:div>
        <w:div w:id="1445224391">
          <w:marLeft w:val="0"/>
          <w:marRight w:val="0"/>
          <w:marTop w:val="0"/>
          <w:marBottom w:val="0"/>
          <w:divBdr>
            <w:top w:val="none" w:sz="0" w:space="0" w:color="auto"/>
            <w:left w:val="none" w:sz="0" w:space="0" w:color="auto"/>
            <w:bottom w:val="none" w:sz="0" w:space="0" w:color="auto"/>
            <w:right w:val="none" w:sz="0" w:space="0" w:color="auto"/>
          </w:divBdr>
        </w:div>
        <w:div w:id="1459882402">
          <w:marLeft w:val="0"/>
          <w:marRight w:val="0"/>
          <w:marTop w:val="0"/>
          <w:marBottom w:val="0"/>
          <w:divBdr>
            <w:top w:val="none" w:sz="0" w:space="0" w:color="auto"/>
            <w:left w:val="none" w:sz="0" w:space="0" w:color="auto"/>
            <w:bottom w:val="none" w:sz="0" w:space="0" w:color="auto"/>
            <w:right w:val="none" w:sz="0" w:space="0" w:color="auto"/>
          </w:divBdr>
        </w:div>
        <w:div w:id="1470515199">
          <w:marLeft w:val="0"/>
          <w:marRight w:val="0"/>
          <w:marTop w:val="0"/>
          <w:marBottom w:val="0"/>
          <w:divBdr>
            <w:top w:val="none" w:sz="0" w:space="0" w:color="auto"/>
            <w:left w:val="none" w:sz="0" w:space="0" w:color="auto"/>
            <w:bottom w:val="none" w:sz="0" w:space="0" w:color="auto"/>
            <w:right w:val="none" w:sz="0" w:space="0" w:color="auto"/>
          </w:divBdr>
        </w:div>
        <w:div w:id="1486433891">
          <w:marLeft w:val="0"/>
          <w:marRight w:val="0"/>
          <w:marTop w:val="0"/>
          <w:marBottom w:val="0"/>
          <w:divBdr>
            <w:top w:val="none" w:sz="0" w:space="0" w:color="auto"/>
            <w:left w:val="none" w:sz="0" w:space="0" w:color="auto"/>
            <w:bottom w:val="none" w:sz="0" w:space="0" w:color="auto"/>
            <w:right w:val="none" w:sz="0" w:space="0" w:color="auto"/>
          </w:divBdr>
        </w:div>
        <w:div w:id="1519000443">
          <w:marLeft w:val="0"/>
          <w:marRight w:val="0"/>
          <w:marTop w:val="0"/>
          <w:marBottom w:val="0"/>
          <w:divBdr>
            <w:top w:val="none" w:sz="0" w:space="0" w:color="auto"/>
            <w:left w:val="none" w:sz="0" w:space="0" w:color="auto"/>
            <w:bottom w:val="none" w:sz="0" w:space="0" w:color="auto"/>
            <w:right w:val="none" w:sz="0" w:space="0" w:color="auto"/>
          </w:divBdr>
        </w:div>
        <w:div w:id="1541866824">
          <w:marLeft w:val="0"/>
          <w:marRight w:val="0"/>
          <w:marTop w:val="0"/>
          <w:marBottom w:val="0"/>
          <w:divBdr>
            <w:top w:val="none" w:sz="0" w:space="0" w:color="auto"/>
            <w:left w:val="none" w:sz="0" w:space="0" w:color="auto"/>
            <w:bottom w:val="none" w:sz="0" w:space="0" w:color="auto"/>
            <w:right w:val="none" w:sz="0" w:space="0" w:color="auto"/>
          </w:divBdr>
        </w:div>
        <w:div w:id="1659074554">
          <w:marLeft w:val="0"/>
          <w:marRight w:val="0"/>
          <w:marTop w:val="0"/>
          <w:marBottom w:val="0"/>
          <w:divBdr>
            <w:top w:val="none" w:sz="0" w:space="0" w:color="auto"/>
            <w:left w:val="none" w:sz="0" w:space="0" w:color="auto"/>
            <w:bottom w:val="none" w:sz="0" w:space="0" w:color="auto"/>
            <w:right w:val="none" w:sz="0" w:space="0" w:color="auto"/>
          </w:divBdr>
        </w:div>
        <w:div w:id="1666207510">
          <w:marLeft w:val="0"/>
          <w:marRight w:val="0"/>
          <w:marTop w:val="0"/>
          <w:marBottom w:val="0"/>
          <w:divBdr>
            <w:top w:val="none" w:sz="0" w:space="0" w:color="auto"/>
            <w:left w:val="none" w:sz="0" w:space="0" w:color="auto"/>
            <w:bottom w:val="none" w:sz="0" w:space="0" w:color="auto"/>
            <w:right w:val="none" w:sz="0" w:space="0" w:color="auto"/>
          </w:divBdr>
        </w:div>
        <w:div w:id="1670713560">
          <w:marLeft w:val="0"/>
          <w:marRight w:val="0"/>
          <w:marTop w:val="0"/>
          <w:marBottom w:val="0"/>
          <w:divBdr>
            <w:top w:val="none" w:sz="0" w:space="0" w:color="auto"/>
            <w:left w:val="none" w:sz="0" w:space="0" w:color="auto"/>
            <w:bottom w:val="none" w:sz="0" w:space="0" w:color="auto"/>
            <w:right w:val="none" w:sz="0" w:space="0" w:color="auto"/>
          </w:divBdr>
        </w:div>
        <w:div w:id="1725375638">
          <w:marLeft w:val="0"/>
          <w:marRight w:val="0"/>
          <w:marTop w:val="0"/>
          <w:marBottom w:val="0"/>
          <w:divBdr>
            <w:top w:val="none" w:sz="0" w:space="0" w:color="auto"/>
            <w:left w:val="none" w:sz="0" w:space="0" w:color="auto"/>
            <w:bottom w:val="none" w:sz="0" w:space="0" w:color="auto"/>
            <w:right w:val="none" w:sz="0" w:space="0" w:color="auto"/>
          </w:divBdr>
        </w:div>
        <w:div w:id="1794210922">
          <w:marLeft w:val="0"/>
          <w:marRight w:val="0"/>
          <w:marTop w:val="0"/>
          <w:marBottom w:val="0"/>
          <w:divBdr>
            <w:top w:val="none" w:sz="0" w:space="0" w:color="auto"/>
            <w:left w:val="none" w:sz="0" w:space="0" w:color="auto"/>
            <w:bottom w:val="none" w:sz="0" w:space="0" w:color="auto"/>
            <w:right w:val="none" w:sz="0" w:space="0" w:color="auto"/>
          </w:divBdr>
        </w:div>
        <w:div w:id="1795634083">
          <w:marLeft w:val="0"/>
          <w:marRight w:val="0"/>
          <w:marTop w:val="0"/>
          <w:marBottom w:val="0"/>
          <w:divBdr>
            <w:top w:val="none" w:sz="0" w:space="0" w:color="auto"/>
            <w:left w:val="none" w:sz="0" w:space="0" w:color="auto"/>
            <w:bottom w:val="none" w:sz="0" w:space="0" w:color="auto"/>
            <w:right w:val="none" w:sz="0" w:space="0" w:color="auto"/>
          </w:divBdr>
        </w:div>
        <w:div w:id="1806848457">
          <w:marLeft w:val="0"/>
          <w:marRight w:val="0"/>
          <w:marTop w:val="0"/>
          <w:marBottom w:val="0"/>
          <w:divBdr>
            <w:top w:val="none" w:sz="0" w:space="0" w:color="auto"/>
            <w:left w:val="none" w:sz="0" w:space="0" w:color="auto"/>
            <w:bottom w:val="none" w:sz="0" w:space="0" w:color="auto"/>
            <w:right w:val="none" w:sz="0" w:space="0" w:color="auto"/>
          </w:divBdr>
        </w:div>
        <w:div w:id="1856070585">
          <w:marLeft w:val="0"/>
          <w:marRight w:val="0"/>
          <w:marTop w:val="0"/>
          <w:marBottom w:val="0"/>
          <w:divBdr>
            <w:top w:val="none" w:sz="0" w:space="0" w:color="auto"/>
            <w:left w:val="none" w:sz="0" w:space="0" w:color="auto"/>
            <w:bottom w:val="none" w:sz="0" w:space="0" w:color="auto"/>
            <w:right w:val="none" w:sz="0" w:space="0" w:color="auto"/>
          </w:divBdr>
        </w:div>
        <w:div w:id="1876775946">
          <w:marLeft w:val="0"/>
          <w:marRight w:val="0"/>
          <w:marTop w:val="0"/>
          <w:marBottom w:val="0"/>
          <w:divBdr>
            <w:top w:val="none" w:sz="0" w:space="0" w:color="auto"/>
            <w:left w:val="none" w:sz="0" w:space="0" w:color="auto"/>
            <w:bottom w:val="none" w:sz="0" w:space="0" w:color="auto"/>
            <w:right w:val="none" w:sz="0" w:space="0" w:color="auto"/>
          </w:divBdr>
        </w:div>
        <w:div w:id="1878080454">
          <w:marLeft w:val="0"/>
          <w:marRight w:val="0"/>
          <w:marTop w:val="0"/>
          <w:marBottom w:val="0"/>
          <w:divBdr>
            <w:top w:val="none" w:sz="0" w:space="0" w:color="auto"/>
            <w:left w:val="none" w:sz="0" w:space="0" w:color="auto"/>
            <w:bottom w:val="none" w:sz="0" w:space="0" w:color="auto"/>
            <w:right w:val="none" w:sz="0" w:space="0" w:color="auto"/>
          </w:divBdr>
        </w:div>
        <w:div w:id="1905069322">
          <w:marLeft w:val="0"/>
          <w:marRight w:val="0"/>
          <w:marTop w:val="0"/>
          <w:marBottom w:val="0"/>
          <w:divBdr>
            <w:top w:val="none" w:sz="0" w:space="0" w:color="auto"/>
            <w:left w:val="none" w:sz="0" w:space="0" w:color="auto"/>
            <w:bottom w:val="none" w:sz="0" w:space="0" w:color="auto"/>
            <w:right w:val="none" w:sz="0" w:space="0" w:color="auto"/>
          </w:divBdr>
        </w:div>
        <w:div w:id="1936402298">
          <w:marLeft w:val="0"/>
          <w:marRight w:val="0"/>
          <w:marTop w:val="0"/>
          <w:marBottom w:val="0"/>
          <w:divBdr>
            <w:top w:val="none" w:sz="0" w:space="0" w:color="auto"/>
            <w:left w:val="none" w:sz="0" w:space="0" w:color="auto"/>
            <w:bottom w:val="none" w:sz="0" w:space="0" w:color="auto"/>
            <w:right w:val="none" w:sz="0" w:space="0" w:color="auto"/>
          </w:divBdr>
        </w:div>
        <w:div w:id="1946844785">
          <w:marLeft w:val="0"/>
          <w:marRight w:val="0"/>
          <w:marTop w:val="0"/>
          <w:marBottom w:val="0"/>
          <w:divBdr>
            <w:top w:val="none" w:sz="0" w:space="0" w:color="auto"/>
            <w:left w:val="none" w:sz="0" w:space="0" w:color="auto"/>
            <w:bottom w:val="none" w:sz="0" w:space="0" w:color="auto"/>
            <w:right w:val="none" w:sz="0" w:space="0" w:color="auto"/>
          </w:divBdr>
        </w:div>
        <w:div w:id="1974410173">
          <w:marLeft w:val="0"/>
          <w:marRight w:val="0"/>
          <w:marTop w:val="0"/>
          <w:marBottom w:val="0"/>
          <w:divBdr>
            <w:top w:val="none" w:sz="0" w:space="0" w:color="auto"/>
            <w:left w:val="none" w:sz="0" w:space="0" w:color="auto"/>
            <w:bottom w:val="none" w:sz="0" w:space="0" w:color="auto"/>
            <w:right w:val="none" w:sz="0" w:space="0" w:color="auto"/>
          </w:divBdr>
        </w:div>
        <w:div w:id="1999529927">
          <w:marLeft w:val="0"/>
          <w:marRight w:val="0"/>
          <w:marTop w:val="0"/>
          <w:marBottom w:val="0"/>
          <w:divBdr>
            <w:top w:val="none" w:sz="0" w:space="0" w:color="auto"/>
            <w:left w:val="none" w:sz="0" w:space="0" w:color="auto"/>
            <w:bottom w:val="none" w:sz="0" w:space="0" w:color="auto"/>
            <w:right w:val="none" w:sz="0" w:space="0" w:color="auto"/>
          </w:divBdr>
        </w:div>
        <w:div w:id="2026636494">
          <w:marLeft w:val="0"/>
          <w:marRight w:val="0"/>
          <w:marTop w:val="0"/>
          <w:marBottom w:val="0"/>
          <w:divBdr>
            <w:top w:val="none" w:sz="0" w:space="0" w:color="auto"/>
            <w:left w:val="none" w:sz="0" w:space="0" w:color="auto"/>
            <w:bottom w:val="none" w:sz="0" w:space="0" w:color="auto"/>
            <w:right w:val="none" w:sz="0" w:space="0" w:color="auto"/>
          </w:divBdr>
        </w:div>
        <w:div w:id="2064257613">
          <w:marLeft w:val="0"/>
          <w:marRight w:val="0"/>
          <w:marTop w:val="0"/>
          <w:marBottom w:val="0"/>
          <w:divBdr>
            <w:top w:val="none" w:sz="0" w:space="0" w:color="auto"/>
            <w:left w:val="none" w:sz="0" w:space="0" w:color="auto"/>
            <w:bottom w:val="none" w:sz="0" w:space="0" w:color="auto"/>
            <w:right w:val="none" w:sz="0" w:space="0" w:color="auto"/>
          </w:divBdr>
        </w:div>
        <w:div w:id="2141879605">
          <w:marLeft w:val="0"/>
          <w:marRight w:val="0"/>
          <w:marTop w:val="0"/>
          <w:marBottom w:val="0"/>
          <w:divBdr>
            <w:top w:val="none" w:sz="0" w:space="0" w:color="auto"/>
            <w:left w:val="none" w:sz="0" w:space="0" w:color="auto"/>
            <w:bottom w:val="none" w:sz="0" w:space="0" w:color="auto"/>
            <w:right w:val="none" w:sz="0" w:space="0" w:color="auto"/>
          </w:divBdr>
        </w:div>
      </w:divsChild>
    </w:div>
    <w:div w:id="1095594609">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34181811">
          <w:marLeft w:val="0"/>
          <w:marRight w:val="0"/>
          <w:marTop w:val="0"/>
          <w:marBottom w:val="0"/>
          <w:divBdr>
            <w:top w:val="none" w:sz="0" w:space="0" w:color="auto"/>
            <w:left w:val="none" w:sz="0" w:space="0" w:color="auto"/>
            <w:bottom w:val="none" w:sz="0" w:space="0" w:color="auto"/>
            <w:right w:val="none" w:sz="0" w:space="0" w:color="auto"/>
          </w:divBdr>
        </w:div>
        <w:div w:id="834956057">
          <w:marLeft w:val="0"/>
          <w:marRight w:val="0"/>
          <w:marTop w:val="0"/>
          <w:marBottom w:val="0"/>
          <w:divBdr>
            <w:top w:val="none" w:sz="0" w:space="0" w:color="auto"/>
            <w:left w:val="none" w:sz="0" w:space="0" w:color="auto"/>
            <w:bottom w:val="none" w:sz="0" w:space="0" w:color="auto"/>
            <w:right w:val="none" w:sz="0" w:space="0" w:color="auto"/>
          </w:divBdr>
        </w:div>
        <w:div w:id="968822446">
          <w:marLeft w:val="0"/>
          <w:marRight w:val="0"/>
          <w:marTop w:val="0"/>
          <w:marBottom w:val="0"/>
          <w:divBdr>
            <w:top w:val="none" w:sz="0" w:space="0" w:color="auto"/>
            <w:left w:val="none" w:sz="0" w:space="0" w:color="auto"/>
            <w:bottom w:val="none" w:sz="0" w:space="0" w:color="auto"/>
            <w:right w:val="none" w:sz="0" w:space="0" w:color="auto"/>
          </w:divBdr>
        </w:div>
        <w:div w:id="1429613984">
          <w:marLeft w:val="0"/>
          <w:marRight w:val="0"/>
          <w:marTop w:val="0"/>
          <w:marBottom w:val="0"/>
          <w:divBdr>
            <w:top w:val="none" w:sz="0" w:space="0" w:color="auto"/>
            <w:left w:val="none" w:sz="0" w:space="0" w:color="auto"/>
            <w:bottom w:val="none" w:sz="0" w:space="0" w:color="auto"/>
            <w:right w:val="none" w:sz="0" w:space="0" w:color="auto"/>
          </w:divBdr>
        </w:div>
        <w:div w:id="1705060495">
          <w:marLeft w:val="0"/>
          <w:marRight w:val="0"/>
          <w:marTop w:val="0"/>
          <w:marBottom w:val="0"/>
          <w:divBdr>
            <w:top w:val="none" w:sz="0" w:space="0" w:color="auto"/>
            <w:left w:val="none" w:sz="0" w:space="0" w:color="auto"/>
            <w:bottom w:val="none" w:sz="0" w:space="0" w:color="auto"/>
            <w:right w:val="none" w:sz="0" w:space="0" w:color="auto"/>
          </w:divBdr>
        </w:div>
      </w:divsChild>
    </w:div>
    <w:div w:id="111621375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28911364">
          <w:marLeft w:val="0"/>
          <w:marRight w:val="0"/>
          <w:marTop w:val="0"/>
          <w:marBottom w:val="0"/>
          <w:divBdr>
            <w:top w:val="none" w:sz="0" w:space="0" w:color="auto"/>
            <w:left w:val="none" w:sz="0" w:space="0" w:color="auto"/>
            <w:bottom w:val="none" w:sz="0" w:space="0" w:color="auto"/>
            <w:right w:val="none" w:sz="0" w:space="0" w:color="auto"/>
          </w:divBdr>
        </w:div>
        <w:div w:id="468284485">
          <w:marLeft w:val="0"/>
          <w:marRight w:val="0"/>
          <w:marTop w:val="0"/>
          <w:marBottom w:val="0"/>
          <w:divBdr>
            <w:top w:val="none" w:sz="0" w:space="0" w:color="auto"/>
            <w:left w:val="none" w:sz="0" w:space="0" w:color="auto"/>
            <w:bottom w:val="none" w:sz="0" w:space="0" w:color="auto"/>
            <w:right w:val="none" w:sz="0" w:space="0" w:color="auto"/>
          </w:divBdr>
        </w:div>
        <w:div w:id="484974996">
          <w:marLeft w:val="0"/>
          <w:marRight w:val="0"/>
          <w:marTop w:val="0"/>
          <w:marBottom w:val="0"/>
          <w:divBdr>
            <w:top w:val="none" w:sz="0" w:space="0" w:color="auto"/>
            <w:left w:val="none" w:sz="0" w:space="0" w:color="auto"/>
            <w:bottom w:val="none" w:sz="0" w:space="0" w:color="auto"/>
            <w:right w:val="none" w:sz="0" w:space="0" w:color="auto"/>
          </w:divBdr>
        </w:div>
        <w:div w:id="570316493">
          <w:marLeft w:val="0"/>
          <w:marRight w:val="0"/>
          <w:marTop w:val="0"/>
          <w:marBottom w:val="0"/>
          <w:divBdr>
            <w:top w:val="none" w:sz="0" w:space="0" w:color="auto"/>
            <w:left w:val="none" w:sz="0" w:space="0" w:color="auto"/>
            <w:bottom w:val="none" w:sz="0" w:space="0" w:color="auto"/>
            <w:right w:val="none" w:sz="0" w:space="0" w:color="auto"/>
          </w:divBdr>
        </w:div>
        <w:div w:id="577599761">
          <w:marLeft w:val="0"/>
          <w:marRight w:val="0"/>
          <w:marTop w:val="0"/>
          <w:marBottom w:val="0"/>
          <w:divBdr>
            <w:top w:val="none" w:sz="0" w:space="0" w:color="auto"/>
            <w:left w:val="none" w:sz="0" w:space="0" w:color="auto"/>
            <w:bottom w:val="none" w:sz="0" w:space="0" w:color="auto"/>
            <w:right w:val="none" w:sz="0" w:space="0" w:color="auto"/>
          </w:divBdr>
        </w:div>
        <w:div w:id="832184002">
          <w:marLeft w:val="0"/>
          <w:marRight w:val="0"/>
          <w:marTop w:val="0"/>
          <w:marBottom w:val="0"/>
          <w:divBdr>
            <w:top w:val="none" w:sz="0" w:space="0" w:color="auto"/>
            <w:left w:val="none" w:sz="0" w:space="0" w:color="auto"/>
            <w:bottom w:val="none" w:sz="0" w:space="0" w:color="auto"/>
            <w:right w:val="none" w:sz="0" w:space="0" w:color="auto"/>
          </w:divBdr>
        </w:div>
        <w:div w:id="1413040864">
          <w:marLeft w:val="0"/>
          <w:marRight w:val="0"/>
          <w:marTop w:val="0"/>
          <w:marBottom w:val="0"/>
          <w:divBdr>
            <w:top w:val="none" w:sz="0" w:space="0" w:color="auto"/>
            <w:left w:val="none" w:sz="0" w:space="0" w:color="auto"/>
            <w:bottom w:val="none" w:sz="0" w:space="0" w:color="auto"/>
            <w:right w:val="none" w:sz="0" w:space="0" w:color="auto"/>
          </w:divBdr>
        </w:div>
        <w:div w:id="1546091626">
          <w:marLeft w:val="0"/>
          <w:marRight w:val="0"/>
          <w:marTop w:val="0"/>
          <w:marBottom w:val="0"/>
          <w:divBdr>
            <w:top w:val="none" w:sz="0" w:space="0" w:color="auto"/>
            <w:left w:val="none" w:sz="0" w:space="0" w:color="auto"/>
            <w:bottom w:val="none" w:sz="0" w:space="0" w:color="auto"/>
            <w:right w:val="none" w:sz="0" w:space="0" w:color="auto"/>
          </w:divBdr>
        </w:div>
        <w:div w:id="1811240399">
          <w:marLeft w:val="0"/>
          <w:marRight w:val="0"/>
          <w:marTop w:val="0"/>
          <w:marBottom w:val="0"/>
          <w:divBdr>
            <w:top w:val="none" w:sz="0" w:space="0" w:color="auto"/>
            <w:left w:val="none" w:sz="0" w:space="0" w:color="auto"/>
            <w:bottom w:val="none" w:sz="0" w:space="0" w:color="auto"/>
            <w:right w:val="none" w:sz="0" w:space="0" w:color="auto"/>
          </w:divBdr>
        </w:div>
        <w:div w:id="1964922168">
          <w:marLeft w:val="0"/>
          <w:marRight w:val="0"/>
          <w:marTop w:val="0"/>
          <w:marBottom w:val="0"/>
          <w:divBdr>
            <w:top w:val="none" w:sz="0" w:space="0" w:color="auto"/>
            <w:left w:val="none" w:sz="0" w:space="0" w:color="auto"/>
            <w:bottom w:val="none" w:sz="0" w:space="0" w:color="auto"/>
            <w:right w:val="none" w:sz="0" w:space="0" w:color="auto"/>
          </w:divBdr>
        </w:div>
        <w:div w:id="2038002023">
          <w:marLeft w:val="0"/>
          <w:marRight w:val="0"/>
          <w:marTop w:val="0"/>
          <w:marBottom w:val="0"/>
          <w:divBdr>
            <w:top w:val="none" w:sz="0" w:space="0" w:color="auto"/>
            <w:left w:val="none" w:sz="0" w:space="0" w:color="auto"/>
            <w:bottom w:val="none" w:sz="0" w:space="0" w:color="auto"/>
            <w:right w:val="none" w:sz="0" w:space="0" w:color="auto"/>
          </w:divBdr>
        </w:div>
        <w:div w:id="2055228053">
          <w:marLeft w:val="0"/>
          <w:marRight w:val="0"/>
          <w:marTop w:val="0"/>
          <w:marBottom w:val="0"/>
          <w:divBdr>
            <w:top w:val="none" w:sz="0" w:space="0" w:color="auto"/>
            <w:left w:val="none" w:sz="0" w:space="0" w:color="auto"/>
            <w:bottom w:val="none" w:sz="0" w:space="0" w:color="auto"/>
            <w:right w:val="none" w:sz="0" w:space="0" w:color="auto"/>
          </w:divBdr>
        </w:div>
      </w:divsChild>
    </w:div>
    <w:div w:id="112161147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841116506">
          <w:marLeft w:val="0"/>
          <w:marRight w:val="0"/>
          <w:marTop w:val="0"/>
          <w:marBottom w:val="0"/>
          <w:divBdr>
            <w:top w:val="none" w:sz="0" w:space="0" w:color="auto"/>
            <w:left w:val="none" w:sz="0" w:space="0" w:color="auto"/>
            <w:bottom w:val="none" w:sz="0" w:space="0" w:color="auto"/>
            <w:right w:val="none" w:sz="0" w:space="0" w:color="auto"/>
          </w:divBdr>
          <w:divsChild>
            <w:div w:id="34817922">
              <w:marLeft w:val="0"/>
              <w:marRight w:val="0"/>
              <w:marTop w:val="0"/>
              <w:marBottom w:val="0"/>
              <w:divBdr>
                <w:top w:val="none" w:sz="0" w:space="0" w:color="auto"/>
                <w:left w:val="none" w:sz="0" w:space="0" w:color="auto"/>
                <w:bottom w:val="none" w:sz="0" w:space="0" w:color="auto"/>
                <w:right w:val="none" w:sz="0" w:space="0" w:color="auto"/>
              </w:divBdr>
              <w:divsChild>
                <w:div w:id="2016956421">
                  <w:marLeft w:val="0"/>
                  <w:marRight w:val="0"/>
                  <w:marTop w:val="0"/>
                  <w:marBottom w:val="0"/>
                  <w:divBdr>
                    <w:top w:val="none" w:sz="0" w:space="0" w:color="auto"/>
                    <w:left w:val="none" w:sz="0" w:space="0" w:color="auto"/>
                    <w:bottom w:val="none" w:sz="0" w:space="0" w:color="auto"/>
                    <w:right w:val="none" w:sz="0" w:space="0" w:color="auto"/>
                  </w:divBdr>
                  <w:divsChild>
                    <w:div w:id="989022953">
                      <w:marLeft w:val="0"/>
                      <w:marRight w:val="0"/>
                      <w:marTop w:val="0"/>
                      <w:marBottom w:val="0"/>
                      <w:divBdr>
                        <w:top w:val="none" w:sz="0" w:space="0" w:color="auto"/>
                        <w:left w:val="none" w:sz="0" w:space="0" w:color="auto"/>
                        <w:bottom w:val="none" w:sz="0" w:space="0" w:color="auto"/>
                        <w:right w:val="none" w:sz="0" w:space="0" w:color="auto"/>
                      </w:divBdr>
                      <w:divsChild>
                        <w:div w:id="1240940920">
                          <w:marLeft w:val="0"/>
                          <w:marRight w:val="0"/>
                          <w:marTop w:val="0"/>
                          <w:marBottom w:val="0"/>
                          <w:divBdr>
                            <w:top w:val="none" w:sz="0" w:space="0" w:color="auto"/>
                            <w:left w:val="none" w:sz="0" w:space="0" w:color="auto"/>
                            <w:bottom w:val="none" w:sz="0" w:space="0" w:color="auto"/>
                            <w:right w:val="none" w:sz="0" w:space="0" w:color="auto"/>
                          </w:divBdr>
                          <w:divsChild>
                            <w:div w:id="1941446160">
                              <w:marLeft w:val="0"/>
                              <w:marRight w:val="0"/>
                              <w:marTop w:val="0"/>
                              <w:marBottom w:val="0"/>
                              <w:divBdr>
                                <w:top w:val="none" w:sz="0" w:space="0" w:color="auto"/>
                                <w:left w:val="none" w:sz="0" w:space="0" w:color="auto"/>
                                <w:bottom w:val="none" w:sz="0" w:space="0" w:color="auto"/>
                                <w:right w:val="none" w:sz="0" w:space="0" w:color="auto"/>
                              </w:divBdr>
                              <w:divsChild>
                                <w:div w:id="2045448016">
                                  <w:marLeft w:val="0"/>
                                  <w:marRight w:val="0"/>
                                  <w:marTop w:val="0"/>
                                  <w:marBottom w:val="0"/>
                                  <w:divBdr>
                                    <w:top w:val="none" w:sz="0" w:space="0" w:color="auto"/>
                                    <w:left w:val="none" w:sz="0" w:space="0" w:color="auto"/>
                                    <w:bottom w:val="none" w:sz="0" w:space="0" w:color="auto"/>
                                    <w:right w:val="none" w:sz="0" w:space="0" w:color="auto"/>
                                  </w:divBdr>
                                  <w:divsChild>
                                    <w:div w:id="204447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0346934">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66083909">
          <w:marLeft w:val="29"/>
          <w:marRight w:val="0"/>
          <w:marTop w:val="0"/>
          <w:marBottom w:val="0"/>
          <w:divBdr>
            <w:top w:val="none" w:sz="0" w:space="0" w:color="auto"/>
            <w:left w:val="none" w:sz="0" w:space="0" w:color="auto"/>
            <w:bottom w:val="none" w:sz="0" w:space="0" w:color="auto"/>
            <w:right w:val="none" w:sz="0" w:space="0" w:color="auto"/>
          </w:divBdr>
        </w:div>
        <w:div w:id="414326691">
          <w:marLeft w:val="29"/>
          <w:marRight w:val="0"/>
          <w:marTop w:val="0"/>
          <w:marBottom w:val="0"/>
          <w:divBdr>
            <w:top w:val="none" w:sz="0" w:space="0" w:color="auto"/>
            <w:left w:val="none" w:sz="0" w:space="0" w:color="auto"/>
            <w:bottom w:val="none" w:sz="0" w:space="0" w:color="auto"/>
            <w:right w:val="none" w:sz="0" w:space="0" w:color="auto"/>
          </w:divBdr>
        </w:div>
        <w:div w:id="580796111">
          <w:marLeft w:val="29"/>
          <w:marRight w:val="0"/>
          <w:marTop w:val="0"/>
          <w:marBottom w:val="0"/>
          <w:divBdr>
            <w:top w:val="none" w:sz="0" w:space="0" w:color="auto"/>
            <w:left w:val="none" w:sz="0" w:space="0" w:color="auto"/>
            <w:bottom w:val="none" w:sz="0" w:space="0" w:color="auto"/>
            <w:right w:val="none" w:sz="0" w:space="0" w:color="auto"/>
          </w:divBdr>
        </w:div>
        <w:div w:id="588972624">
          <w:marLeft w:val="29"/>
          <w:marRight w:val="0"/>
          <w:marTop w:val="0"/>
          <w:marBottom w:val="0"/>
          <w:divBdr>
            <w:top w:val="none" w:sz="0" w:space="0" w:color="auto"/>
            <w:left w:val="none" w:sz="0" w:space="0" w:color="auto"/>
            <w:bottom w:val="none" w:sz="0" w:space="0" w:color="auto"/>
            <w:right w:val="none" w:sz="0" w:space="0" w:color="auto"/>
          </w:divBdr>
        </w:div>
        <w:div w:id="784152341">
          <w:marLeft w:val="29"/>
          <w:marRight w:val="0"/>
          <w:marTop w:val="0"/>
          <w:marBottom w:val="0"/>
          <w:divBdr>
            <w:top w:val="none" w:sz="0" w:space="0" w:color="auto"/>
            <w:left w:val="none" w:sz="0" w:space="0" w:color="auto"/>
            <w:bottom w:val="none" w:sz="0" w:space="0" w:color="auto"/>
            <w:right w:val="none" w:sz="0" w:space="0" w:color="auto"/>
          </w:divBdr>
        </w:div>
        <w:div w:id="846868932">
          <w:marLeft w:val="29"/>
          <w:marRight w:val="0"/>
          <w:marTop w:val="0"/>
          <w:marBottom w:val="0"/>
          <w:divBdr>
            <w:top w:val="none" w:sz="0" w:space="0" w:color="auto"/>
            <w:left w:val="none" w:sz="0" w:space="0" w:color="auto"/>
            <w:bottom w:val="none" w:sz="0" w:space="0" w:color="auto"/>
            <w:right w:val="none" w:sz="0" w:space="0" w:color="auto"/>
          </w:divBdr>
        </w:div>
        <w:div w:id="858735007">
          <w:marLeft w:val="29"/>
          <w:marRight w:val="0"/>
          <w:marTop w:val="0"/>
          <w:marBottom w:val="0"/>
          <w:divBdr>
            <w:top w:val="none" w:sz="0" w:space="0" w:color="auto"/>
            <w:left w:val="none" w:sz="0" w:space="0" w:color="auto"/>
            <w:bottom w:val="none" w:sz="0" w:space="0" w:color="auto"/>
            <w:right w:val="none" w:sz="0" w:space="0" w:color="auto"/>
          </w:divBdr>
        </w:div>
        <w:div w:id="860629774">
          <w:marLeft w:val="29"/>
          <w:marRight w:val="0"/>
          <w:marTop w:val="0"/>
          <w:marBottom w:val="0"/>
          <w:divBdr>
            <w:top w:val="none" w:sz="0" w:space="0" w:color="auto"/>
            <w:left w:val="none" w:sz="0" w:space="0" w:color="auto"/>
            <w:bottom w:val="none" w:sz="0" w:space="0" w:color="auto"/>
            <w:right w:val="none" w:sz="0" w:space="0" w:color="auto"/>
          </w:divBdr>
        </w:div>
        <w:div w:id="1034959321">
          <w:marLeft w:val="29"/>
          <w:marRight w:val="0"/>
          <w:marTop w:val="0"/>
          <w:marBottom w:val="0"/>
          <w:divBdr>
            <w:top w:val="none" w:sz="0" w:space="0" w:color="auto"/>
            <w:left w:val="none" w:sz="0" w:space="0" w:color="auto"/>
            <w:bottom w:val="none" w:sz="0" w:space="0" w:color="auto"/>
            <w:right w:val="none" w:sz="0" w:space="0" w:color="auto"/>
          </w:divBdr>
        </w:div>
        <w:div w:id="1039282060">
          <w:marLeft w:val="29"/>
          <w:marRight w:val="0"/>
          <w:marTop w:val="0"/>
          <w:marBottom w:val="0"/>
          <w:divBdr>
            <w:top w:val="none" w:sz="0" w:space="0" w:color="auto"/>
            <w:left w:val="none" w:sz="0" w:space="0" w:color="auto"/>
            <w:bottom w:val="none" w:sz="0" w:space="0" w:color="auto"/>
            <w:right w:val="none" w:sz="0" w:space="0" w:color="auto"/>
          </w:divBdr>
        </w:div>
        <w:div w:id="1057776068">
          <w:marLeft w:val="29"/>
          <w:marRight w:val="0"/>
          <w:marTop w:val="0"/>
          <w:marBottom w:val="0"/>
          <w:divBdr>
            <w:top w:val="none" w:sz="0" w:space="0" w:color="auto"/>
            <w:left w:val="none" w:sz="0" w:space="0" w:color="auto"/>
            <w:bottom w:val="none" w:sz="0" w:space="0" w:color="auto"/>
            <w:right w:val="none" w:sz="0" w:space="0" w:color="auto"/>
          </w:divBdr>
        </w:div>
        <w:div w:id="1148549826">
          <w:marLeft w:val="29"/>
          <w:marRight w:val="0"/>
          <w:marTop w:val="0"/>
          <w:marBottom w:val="0"/>
          <w:divBdr>
            <w:top w:val="none" w:sz="0" w:space="0" w:color="auto"/>
            <w:left w:val="none" w:sz="0" w:space="0" w:color="auto"/>
            <w:bottom w:val="none" w:sz="0" w:space="0" w:color="auto"/>
            <w:right w:val="none" w:sz="0" w:space="0" w:color="auto"/>
          </w:divBdr>
        </w:div>
        <w:div w:id="1165319003">
          <w:marLeft w:val="29"/>
          <w:marRight w:val="0"/>
          <w:marTop w:val="0"/>
          <w:marBottom w:val="0"/>
          <w:divBdr>
            <w:top w:val="none" w:sz="0" w:space="0" w:color="auto"/>
            <w:left w:val="none" w:sz="0" w:space="0" w:color="auto"/>
            <w:bottom w:val="none" w:sz="0" w:space="0" w:color="auto"/>
            <w:right w:val="none" w:sz="0" w:space="0" w:color="auto"/>
          </w:divBdr>
        </w:div>
        <w:div w:id="1179000279">
          <w:marLeft w:val="29"/>
          <w:marRight w:val="0"/>
          <w:marTop w:val="0"/>
          <w:marBottom w:val="0"/>
          <w:divBdr>
            <w:top w:val="none" w:sz="0" w:space="0" w:color="auto"/>
            <w:left w:val="none" w:sz="0" w:space="0" w:color="auto"/>
            <w:bottom w:val="none" w:sz="0" w:space="0" w:color="auto"/>
            <w:right w:val="none" w:sz="0" w:space="0" w:color="auto"/>
          </w:divBdr>
        </w:div>
        <w:div w:id="1296334140">
          <w:marLeft w:val="29"/>
          <w:marRight w:val="0"/>
          <w:marTop w:val="0"/>
          <w:marBottom w:val="0"/>
          <w:divBdr>
            <w:top w:val="none" w:sz="0" w:space="0" w:color="auto"/>
            <w:left w:val="none" w:sz="0" w:space="0" w:color="auto"/>
            <w:bottom w:val="none" w:sz="0" w:space="0" w:color="auto"/>
            <w:right w:val="none" w:sz="0" w:space="0" w:color="auto"/>
          </w:divBdr>
        </w:div>
        <w:div w:id="1339312968">
          <w:marLeft w:val="29"/>
          <w:marRight w:val="0"/>
          <w:marTop w:val="0"/>
          <w:marBottom w:val="0"/>
          <w:divBdr>
            <w:top w:val="none" w:sz="0" w:space="0" w:color="auto"/>
            <w:left w:val="none" w:sz="0" w:space="0" w:color="auto"/>
            <w:bottom w:val="none" w:sz="0" w:space="0" w:color="auto"/>
            <w:right w:val="none" w:sz="0" w:space="0" w:color="auto"/>
          </w:divBdr>
        </w:div>
        <w:div w:id="1400514531">
          <w:marLeft w:val="29"/>
          <w:marRight w:val="0"/>
          <w:marTop w:val="0"/>
          <w:marBottom w:val="0"/>
          <w:divBdr>
            <w:top w:val="none" w:sz="0" w:space="0" w:color="auto"/>
            <w:left w:val="none" w:sz="0" w:space="0" w:color="auto"/>
            <w:bottom w:val="none" w:sz="0" w:space="0" w:color="auto"/>
            <w:right w:val="none" w:sz="0" w:space="0" w:color="auto"/>
          </w:divBdr>
        </w:div>
        <w:div w:id="1644047006">
          <w:marLeft w:val="29"/>
          <w:marRight w:val="0"/>
          <w:marTop w:val="0"/>
          <w:marBottom w:val="0"/>
          <w:divBdr>
            <w:top w:val="none" w:sz="0" w:space="0" w:color="auto"/>
            <w:left w:val="none" w:sz="0" w:space="0" w:color="auto"/>
            <w:bottom w:val="none" w:sz="0" w:space="0" w:color="auto"/>
            <w:right w:val="none" w:sz="0" w:space="0" w:color="auto"/>
          </w:divBdr>
        </w:div>
        <w:div w:id="2123259542">
          <w:marLeft w:val="29"/>
          <w:marRight w:val="0"/>
          <w:marTop w:val="0"/>
          <w:marBottom w:val="0"/>
          <w:divBdr>
            <w:top w:val="none" w:sz="0" w:space="0" w:color="auto"/>
            <w:left w:val="none" w:sz="0" w:space="0" w:color="auto"/>
            <w:bottom w:val="none" w:sz="0" w:space="0" w:color="auto"/>
            <w:right w:val="none" w:sz="0" w:space="0" w:color="auto"/>
          </w:divBdr>
        </w:div>
      </w:divsChild>
    </w:div>
    <w:div w:id="1233154485">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107581434">
          <w:marLeft w:val="0"/>
          <w:marRight w:val="0"/>
          <w:marTop w:val="0"/>
          <w:marBottom w:val="0"/>
          <w:divBdr>
            <w:top w:val="none" w:sz="0" w:space="0" w:color="auto"/>
            <w:left w:val="none" w:sz="0" w:space="0" w:color="auto"/>
            <w:bottom w:val="none" w:sz="0" w:space="0" w:color="auto"/>
            <w:right w:val="none" w:sz="0" w:space="0" w:color="auto"/>
          </w:divBdr>
        </w:div>
        <w:div w:id="1453553781">
          <w:marLeft w:val="0"/>
          <w:marRight w:val="0"/>
          <w:marTop w:val="0"/>
          <w:marBottom w:val="0"/>
          <w:divBdr>
            <w:top w:val="none" w:sz="0" w:space="0" w:color="auto"/>
            <w:left w:val="none" w:sz="0" w:space="0" w:color="auto"/>
            <w:bottom w:val="none" w:sz="0" w:space="0" w:color="auto"/>
            <w:right w:val="none" w:sz="0" w:space="0" w:color="auto"/>
          </w:divBdr>
        </w:div>
        <w:div w:id="1797259746">
          <w:marLeft w:val="0"/>
          <w:marRight w:val="0"/>
          <w:marTop w:val="0"/>
          <w:marBottom w:val="0"/>
          <w:divBdr>
            <w:top w:val="none" w:sz="0" w:space="0" w:color="auto"/>
            <w:left w:val="none" w:sz="0" w:space="0" w:color="auto"/>
            <w:bottom w:val="none" w:sz="0" w:space="0" w:color="auto"/>
            <w:right w:val="none" w:sz="0" w:space="0" w:color="auto"/>
          </w:divBdr>
        </w:div>
      </w:divsChild>
    </w:div>
    <w:div w:id="1236009538">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33273329">
          <w:marLeft w:val="0"/>
          <w:marRight w:val="0"/>
          <w:marTop w:val="0"/>
          <w:marBottom w:val="0"/>
          <w:divBdr>
            <w:top w:val="none" w:sz="0" w:space="0" w:color="auto"/>
            <w:left w:val="none" w:sz="0" w:space="0" w:color="auto"/>
            <w:bottom w:val="none" w:sz="0" w:space="0" w:color="auto"/>
            <w:right w:val="none" w:sz="0" w:space="0" w:color="auto"/>
          </w:divBdr>
        </w:div>
        <w:div w:id="253168811">
          <w:marLeft w:val="0"/>
          <w:marRight w:val="0"/>
          <w:marTop w:val="0"/>
          <w:marBottom w:val="0"/>
          <w:divBdr>
            <w:top w:val="none" w:sz="0" w:space="0" w:color="auto"/>
            <w:left w:val="none" w:sz="0" w:space="0" w:color="auto"/>
            <w:bottom w:val="none" w:sz="0" w:space="0" w:color="auto"/>
            <w:right w:val="none" w:sz="0" w:space="0" w:color="auto"/>
          </w:divBdr>
        </w:div>
        <w:div w:id="267347732">
          <w:marLeft w:val="0"/>
          <w:marRight w:val="0"/>
          <w:marTop w:val="0"/>
          <w:marBottom w:val="0"/>
          <w:divBdr>
            <w:top w:val="none" w:sz="0" w:space="0" w:color="auto"/>
            <w:left w:val="none" w:sz="0" w:space="0" w:color="auto"/>
            <w:bottom w:val="none" w:sz="0" w:space="0" w:color="auto"/>
            <w:right w:val="none" w:sz="0" w:space="0" w:color="auto"/>
          </w:divBdr>
        </w:div>
        <w:div w:id="267466415">
          <w:marLeft w:val="0"/>
          <w:marRight w:val="0"/>
          <w:marTop w:val="0"/>
          <w:marBottom w:val="0"/>
          <w:divBdr>
            <w:top w:val="none" w:sz="0" w:space="0" w:color="auto"/>
            <w:left w:val="none" w:sz="0" w:space="0" w:color="auto"/>
            <w:bottom w:val="none" w:sz="0" w:space="0" w:color="auto"/>
            <w:right w:val="none" w:sz="0" w:space="0" w:color="auto"/>
          </w:divBdr>
        </w:div>
        <w:div w:id="268124175">
          <w:marLeft w:val="0"/>
          <w:marRight w:val="0"/>
          <w:marTop w:val="0"/>
          <w:marBottom w:val="0"/>
          <w:divBdr>
            <w:top w:val="none" w:sz="0" w:space="0" w:color="auto"/>
            <w:left w:val="none" w:sz="0" w:space="0" w:color="auto"/>
            <w:bottom w:val="none" w:sz="0" w:space="0" w:color="auto"/>
            <w:right w:val="none" w:sz="0" w:space="0" w:color="auto"/>
          </w:divBdr>
        </w:div>
        <w:div w:id="659383150">
          <w:marLeft w:val="0"/>
          <w:marRight w:val="0"/>
          <w:marTop w:val="0"/>
          <w:marBottom w:val="0"/>
          <w:divBdr>
            <w:top w:val="none" w:sz="0" w:space="0" w:color="auto"/>
            <w:left w:val="none" w:sz="0" w:space="0" w:color="auto"/>
            <w:bottom w:val="none" w:sz="0" w:space="0" w:color="auto"/>
            <w:right w:val="none" w:sz="0" w:space="0" w:color="auto"/>
          </w:divBdr>
        </w:div>
        <w:div w:id="1004698154">
          <w:marLeft w:val="0"/>
          <w:marRight w:val="0"/>
          <w:marTop w:val="0"/>
          <w:marBottom w:val="0"/>
          <w:divBdr>
            <w:top w:val="none" w:sz="0" w:space="0" w:color="auto"/>
            <w:left w:val="none" w:sz="0" w:space="0" w:color="auto"/>
            <w:bottom w:val="none" w:sz="0" w:space="0" w:color="auto"/>
            <w:right w:val="none" w:sz="0" w:space="0" w:color="auto"/>
          </w:divBdr>
        </w:div>
        <w:div w:id="1314333494">
          <w:marLeft w:val="0"/>
          <w:marRight w:val="0"/>
          <w:marTop w:val="0"/>
          <w:marBottom w:val="0"/>
          <w:divBdr>
            <w:top w:val="none" w:sz="0" w:space="0" w:color="auto"/>
            <w:left w:val="none" w:sz="0" w:space="0" w:color="auto"/>
            <w:bottom w:val="none" w:sz="0" w:space="0" w:color="auto"/>
            <w:right w:val="none" w:sz="0" w:space="0" w:color="auto"/>
          </w:divBdr>
        </w:div>
        <w:div w:id="1644234870">
          <w:marLeft w:val="0"/>
          <w:marRight w:val="0"/>
          <w:marTop w:val="0"/>
          <w:marBottom w:val="0"/>
          <w:divBdr>
            <w:top w:val="none" w:sz="0" w:space="0" w:color="auto"/>
            <w:left w:val="none" w:sz="0" w:space="0" w:color="auto"/>
            <w:bottom w:val="none" w:sz="0" w:space="0" w:color="auto"/>
            <w:right w:val="none" w:sz="0" w:space="0" w:color="auto"/>
          </w:divBdr>
        </w:div>
        <w:div w:id="1798600379">
          <w:marLeft w:val="0"/>
          <w:marRight w:val="0"/>
          <w:marTop w:val="0"/>
          <w:marBottom w:val="0"/>
          <w:divBdr>
            <w:top w:val="none" w:sz="0" w:space="0" w:color="auto"/>
            <w:left w:val="none" w:sz="0" w:space="0" w:color="auto"/>
            <w:bottom w:val="none" w:sz="0" w:space="0" w:color="auto"/>
            <w:right w:val="none" w:sz="0" w:space="0" w:color="auto"/>
          </w:divBdr>
        </w:div>
        <w:div w:id="1951234635">
          <w:marLeft w:val="0"/>
          <w:marRight w:val="0"/>
          <w:marTop w:val="0"/>
          <w:marBottom w:val="0"/>
          <w:divBdr>
            <w:top w:val="none" w:sz="0" w:space="0" w:color="auto"/>
            <w:left w:val="none" w:sz="0" w:space="0" w:color="auto"/>
            <w:bottom w:val="none" w:sz="0" w:space="0" w:color="auto"/>
            <w:right w:val="none" w:sz="0" w:space="0" w:color="auto"/>
          </w:divBdr>
        </w:div>
      </w:divsChild>
    </w:div>
    <w:div w:id="1273896405">
      <w:bodyDiv w:val="1"/>
      <w:marLeft w:val="150"/>
      <w:marRight w:val="150"/>
      <w:marTop w:val="150"/>
      <w:marBottom w:val="150"/>
      <w:divBdr>
        <w:top w:val="none" w:sz="0" w:space="0" w:color="auto"/>
        <w:left w:val="none" w:sz="0" w:space="0" w:color="auto"/>
        <w:bottom w:val="none" w:sz="0" w:space="0" w:color="auto"/>
        <w:right w:val="none" w:sz="0" w:space="0" w:color="auto"/>
      </w:divBdr>
      <w:divsChild>
        <w:div w:id="428232571">
          <w:marLeft w:val="0"/>
          <w:marRight w:val="0"/>
          <w:marTop w:val="0"/>
          <w:marBottom w:val="0"/>
          <w:divBdr>
            <w:top w:val="none" w:sz="0" w:space="0" w:color="auto"/>
            <w:left w:val="none" w:sz="0" w:space="0" w:color="auto"/>
            <w:bottom w:val="none" w:sz="0" w:space="0" w:color="auto"/>
            <w:right w:val="none" w:sz="0" w:space="0" w:color="auto"/>
          </w:divBdr>
        </w:div>
        <w:div w:id="595132783">
          <w:marLeft w:val="0"/>
          <w:marRight w:val="0"/>
          <w:marTop w:val="0"/>
          <w:marBottom w:val="0"/>
          <w:divBdr>
            <w:top w:val="none" w:sz="0" w:space="0" w:color="auto"/>
            <w:left w:val="none" w:sz="0" w:space="0" w:color="auto"/>
            <w:bottom w:val="none" w:sz="0" w:space="0" w:color="auto"/>
            <w:right w:val="none" w:sz="0" w:space="0" w:color="auto"/>
          </w:divBdr>
        </w:div>
        <w:div w:id="616522483">
          <w:marLeft w:val="0"/>
          <w:marRight w:val="0"/>
          <w:marTop w:val="0"/>
          <w:marBottom w:val="0"/>
          <w:divBdr>
            <w:top w:val="none" w:sz="0" w:space="0" w:color="auto"/>
            <w:left w:val="none" w:sz="0" w:space="0" w:color="auto"/>
            <w:bottom w:val="none" w:sz="0" w:space="0" w:color="auto"/>
            <w:right w:val="none" w:sz="0" w:space="0" w:color="auto"/>
          </w:divBdr>
        </w:div>
      </w:divsChild>
    </w:div>
    <w:div w:id="1283227002">
      <w:bodyDiv w:val="1"/>
      <w:marLeft w:val="0"/>
      <w:marRight w:val="0"/>
      <w:marTop w:val="0"/>
      <w:marBottom w:val="0"/>
      <w:divBdr>
        <w:top w:val="none" w:sz="0" w:space="0" w:color="auto"/>
        <w:left w:val="none" w:sz="0" w:space="0" w:color="auto"/>
        <w:bottom w:val="none" w:sz="0" w:space="0" w:color="auto"/>
        <w:right w:val="none" w:sz="0" w:space="0" w:color="auto"/>
      </w:divBdr>
      <w:divsChild>
        <w:div w:id="1223253751">
          <w:marLeft w:val="0"/>
          <w:marRight w:val="0"/>
          <w:marTop w:val="0"/>
          <w:marBottom w:val="0"/>
          <w:divBdr>
            <w:top w:val="none" w:sz="0" w:space="0" w:color="auto"/>
            <w:left w:val="none" w:sz="0" w:space="0" w:color="auto"/>
            <w:bottom w:val="none" w:sz="0" w:space="0" w:color="auto"/>
            <w:right w:val="none" w:sz="0" w:space="0" w:color="auto"/>
          </w:divBdr>
        </w:div>
      </w:divsChild>
    </w:div>
    <w:div w:id="1288900129">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062513816">
          <w:marLeft w:val="0"/>
          <w:marRight w:val="0"/>
          <w:marTop w:val="0"/>
          <w:marBottom w:val="0"/>
          <w:divBdr>
            <w:top w:val="none" w:sz="0" w:space="0" w:color="auto"/>
            <w:left w:val="none" w:sz="0" w:space="0" w:color="auto"/>
            <w:bottom w:val="none" w:sz="0" w:space="0" w:color="auto"/>
            <w:right w:val="none" w:sz="0" w:space="0" w:color="auto"/>
          </w:divBdr>
        </w:div>
      </w:divsChild>
    </w:div>
    <w:div w:id="130530721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080900118">
          <w:marLeft w:val="0"/>
          <w:marRight w:val="0"/>
          <w:marTop w:val="0"/>
          <w:marBottom w:val="0"/>
          <w:divBdr>
            <w:top w:val="none" w:sz="0" w:space="0" w:color="auto"/>
            <w:left w:val="none" w:sz="0" w:space="0" w:color="auto"/>
            <w:bottom w:val="none" w:sz="0" w:space="0" w:color="auto"/>
            <w:right w:val="none" w:sz="0" w:space="0" w:color="auto"/>
          </w:divBdr>
        </w:div>
      </w:divsChild>
    </w:div>
    <w:div w:id="1331714095">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679120069">
          <w:marLeft w:val="0"/>
          <w:marRight w:val="0"/>
          <w:marTop w:val="0"/>
          <w:marBottom w:val="0"/>
          <w:divBdr>
            <w:top w:val="none" w:sz="0" w:space="0" w:color="auto"/>
            <w:left w:val="none" w:sz="0" w:space="0" w:color="auto"/>
            <w:bottom w:val="none" w:sz="0" w:space="0" w:color="auto"/>
            <w:right w:val="none" w:sz="0" w:space="0" w:color="auto"/>
          </w:divBdr>
        </w:div>
        <w:div w:id="1687250766">
          <w:marLeft w:val="0"/>
          <w:marRight w:val="0"/>
          <w:marTop w:val="0"/>
          <w:marBottom w:val="0"/>
          <w:divBdr>
            <w:top w:val="none" w:sz="0" w:space="0" w:color="auto"/>
            <w:left w:val="none" w:sz="0" w:space="0" w:color="auto"/>
            <w:bottom w:val="none" w:sz="0" w:space="0" w:color="auto"/>
            <w:right w:val="none" w:sz="0" w:space="0" w:color="auto"/>
          </w:divBdr>
        </w:div>
      </w:divsChild>
    </w:div>
    <w:div w:id="1400252141">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3947173">
          <w:marLeft w:val="0"/>
          <w:marRight w:val="0"/>
          <w:marTop w:val="0"/>
          <w:marBottom w:val="0"/>
          <w:divBdr>
            <w:top w:val="none" w:sz="0" w:space="0" w:color="auto"/>
            <w:left w:val="none" w:sz="0" w:space="0" w:color="auto"/>
            <w:bottom w:val="none" w:sz="0" w:space="0" w:color="auto"/>
            <w:right w:val="none" w:sz="0" w:space="0" w:color="auto"/>
          </w:divBdr>
        </w:div>
      </w:divsChild>
    </w:div>
    <w:div w:id="144049360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727803821">
          <w:marLeft w:val="0"/>
          <w:marRight w:val="0"/>
          <w:marTop w:val="0"/>
          <w:marBottom w:val="0"/>
          <w:divBdr>
            <w:top w:val="none" w:sz="0" w:space="0" w:color="auto"/>
            <w:left w:val="none" w:sz="0" w:space="0" w:color="auto"/>
            <w:bottom w:val="none" w:sz="0" w:space="0" w:color="auto"/>
            <w:right w:val="none" w:sz="0" w:space="0" w:color="auto"/>
          </w:divBdr>
          <w:divsChild>
            <w:div w:id="773019557">
              <w:marLeft w:val="0"/>
              <w:marRight w:val="0"/>
              <w:marTop w:val="0"/>
              <w:marBottom w:val="0"/>
              <w:divBdr>
                <w:top w:val="none" w:sz="0" w:space="0" w:color="auto"/>
                <w:left w:val="none" w:sz="0" w:space="0" w:color="auto"/>
                <w:bottom w:val="none" w:sz="0" w:space="0" w:color="auto"/>
                <w:right w:val="none" w:sz="0" w:space="0" w:color="auto"/>
              </w:divBdr>
              <w:divsChild>
                <w:div w:id="895816139">
                  <w:marLeft w:val="0"/>
                  <w:marRight w:val="0"/>
                  <w:marTop w:val="0"/>
                  <w:marBottom w:val="0"/>
                  <w:divBdr>
                    <w:top w:val="none" w:sz="0" w:space="0" w:color="auto"/>
                    <w:left w:val="none" w:sz="0" w:space="0" w:color="auto"/>
                    <w:bottom w:val="none" w:sz="0" w:space="0" w:color="auto"/>
                    <w:right w:val="none" w:sz="0" w:space="0" w:color="auto"/>
                  </w:divBdr>
                  <w:divsChild>
                    <w:div w:id="64226446">
                      <w:marLeft w:val="0"/>
                      <w:marRight w:val="0"/>
                      <w:marTop w:val="0"/>
                      <w:marBottom w:val="0"/>
                      <w:divBdr>
                        <w:top w:val="none" w:sz="0" w:space="0" w:color="auto"/>
                        <w:left w:val="none" w:sz="0" w:space="0" w:color="auto"/>
                        <w:bottom w:val="none" w:sz="0" w:space="0" w:color="auto"/>
                        <w:right w:val="none" w:sz="0" w:space="0" w:color="auto"/>
                      </w:divBdr>
                      <w:divsChild>
                        <w:div w:id="875969397">
                          <w:marLeft w:val="0"/>
                          <w:marRight w:val="0"/>
                          <w:marTop w:val="0"/>
                          <w:marBottom w:val="0"/>
                          <w:divBdr>
                            <w:top w:val="none" w:sz="0" w:space="0" w:color="auto"/>
                            <w:left w:val="none" w:sz="0" w:space="0" w:color="auto"/>
                            <w:bottom w:val="none" w:sz="0" w:space="0" w:color="auto"/>
                            <w:right w:val="none" w:sz="0" w:space="0" w:color="auto"/>
                          </w:divBdr>
                          <w:divsChild>
                            <w:div w:id="1259291470">
                              <w:marLeft w:val="0"/>
                              <w:marRight w:val="0"/>
                              <w:marTop w:val="0"/>
                              <w:marBottom w:val="0"/>
                              <w:divBdr>
                                <w:top w:val="none" w:sz="0" w:space="0" w:color="auto"/>
                                <w:left w:val="none" w:sz="0" w:space="0" w:color="auto"/>
                                <w:bottom w:val="none" w:sz="0" w:space="0" w:color="auto"/>
                                <w:right w:val="none" w:sz="0" w:space="0" w:color="auto"/>
                              </w:divBdr>
                              <w:divsChild>
                                <w:div w:id="244724388">
                                  <w:marLeft w:val="0"/>
                                  <w:marRight w:val="0"/>
                                  <w:marTop w:val="0"/>
                                  <w:marBottom w:val="0"/>
                                  <w:divBdr>
                                    <w:top w:val="none" w:sz="0" w:space="0" w:color="auto"/>
                                    <w:left w:val="none" w:sz="0" w:space="0" w:color="auto"/>
                                    <w:bottom w:val="none" w:sz="0" w:space="0" w:color="auto"/>
                                    <w:right w:val="none" w:sz="0" w:space="0" w:color="auto"/>
                                  </w:divBdr>
                                  <w:divsChild>
                                    <w:div w:id="180384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3669529">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67405037">
          <w:marLeft w:val="0"/>
          <w:marRight w:val="0"/>
          <w:marTop w:val="0"/>
          <w:marBottom w:val="0"/>
          <w:divBdr>
            <w:top w:val="none" w:sz="0" w:space="0" w:color="auto"/>
            <w:left w:val="none" w:sz="0" w:space="0" w:color="auto"/>
            <w:bottom w:val="none" w:sz="0" w:space="0" w:color="auto"/>
            <w:right w:val="none" w:sz="0" w:space="0" w:color="auto"/>
          </w:divBdr>
          <w:divsChild>
            <w:div w:id="1416974242">
              <w:marLeft w:val="0"/>
              <w:marRight w:val="0"/>
              <w:marTop w:val="0"/>
              <w:marBottom w:val="0"/>
              <w:divBdr>
                <w:top w:val="none" w:sz="0" w:space="0" w:color="auto"/>
                <w:left w:val="none" w:sz="0" w:space="0" w:color="auto"/>
                <w:bottom w:val="none" w:sz="0" w:space="0" w:color="auto"/>
                <w:right w:val="none" w:sz="0" w:space="0" w:color="auto"/>
              </w:divBdr>
              <w:divsChild>
                <w:div w:id="971406337">
                  <w:marLeft w:val="0"/>
                  <w:marRight w:val="0"/>
                  <w:marTop w:val="0"/>
                  <w:marBottom w:val="0"/>
                  <w:divBdr>
                    <w:top w:val="none" w:sz="0" w:space="0" w:color="auto"/>
                    <w:left w:val="none" w:sz="0" w:space="0" w:color="auto"/>
                    <w:bottom w:val="none" w:sz="0" w:space="0" w:color="auto"/>
                    <w:right w:val="none" w:sz="0" w:space="0" w:color="auto"/>
                  </w:divBdr>
                  <w:divsChild>
                    <w:div w:id="1753625482">
                      <w:marLeft w:val="0"/>
                      <w:marRight w:val="0"/>
                      <w:marTop w:val="0"/>
                      <w:marBottom w:val="0"/>
                      <w:divBdr>
                        <w:top w:val="none" w:sz="0" w:space="0" w:color="auto"/>
                        <w:left w:val="none" w:sz="0" w:space="0" w:color="auto"/>
                        <w:bottom w:val="none" w:sz="0" w:space="0" w:color="auto"/>
                        <w:right w:val="none" w:sz="0" w:space="0" w:color="auto"/>
                      </w:divBdr>
                      <w:divsChild>
                        <w:div w:id="948896387">
                          <w:marLeft w:val="0"/>
                          <w:marRight w:val="0"/>
                          <w:marTop w:val="0"/>
                          <w:marBottom w:val="0"/>
                          <w:divBdr>
                            <w:top w:val="none" w:sz="0" w:space="0" w:color="auto"/>
                            <w:left w:val="none" w:sz="0" w:space="0" w:color="auto"/>
                            <w:bottom w:val="none" w:sz="0" w:space="0" w:color="auto"/>
                            <w:right w:val="none" w:sz="0" w:space="0" w:color="auto"/>
                          </w:divBdr>
                          <w:divsChild>
                            <w:div w:id="1955475647">
                              <w:marLeft w:val="0"/>
                              <w:marRight w:val="0"/>
                              <w:marTop w:val="0"/>
                              <w:marBottom w:val="0"/>
                              <w:divBdr>
                                <w:top w:val="none" w:sz="0" w:space="0" w:color="auto"/>
                                <w:left w:val="none" w:sz="0" w:space="0" w:color="auto"/>
                                <w:bottom w:val="none" w:sz="0" w:space="0" w:color="auto"/>
                                <w:right w:val="none" w:sz="0" w:space="0" w:color="auto"/>
                              </w:divBdr>
                              <w:divsChild>
                                <w:div w:id="153297328">
                                  <w:marLeft w:val="0"/>
                                  <w:marRight w:val="0"/>
                                  <w:marTop w:val="0"/>
                                  <w:marBottom w:val="0"/>
                                  <w:divBdr>
                                    <w:top w:val="none" w:sz="0" w:space="0" w:color="auto"/>
                                    <w:left w:val="none" w:sz="0" w:space="0" w:color="auto"/>
                                    <w:bottom w:val="none" w:sz="0" w:space="0" w:color="auto"/>
                                    <w:right w:val="none" w:sz="0" w:space="0" w:color="auto"/>
                                  </w:divBdr>
                                  <w:divsChild>
                                    <w:div w:id="20919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5392034">
      <w:bodyDiv w:val="1"/>
      <w:marLeft w:val="0"/>
      <w:marRight w:val="0"/>
      <w:marTop w:val="0"/>
      <w:marBottom w:val="0"/>
      <w:divBdr>
        <w:top w:val="none" w:sz="0" w:space="0" w:color="auto"/>
        <w:left w:val="none" w:sz="0" w:space="0" w:color="auto"/>
        <w:bottom w:val="none" w:sz="0" w:space="0" w:color="auto"/>
        <w:right w:val="none" w:sz="0" w:space="0" w:color="auto"/>
      </w:divBdr>
      <w:divsChild>
        <w:div w:id="1672372820">
          <w:marLeft w:val="0"/>
          <w:marRight w:val="0"/>
          <w:marTop w:val="0"/>
          <w:marBottom w:val="0"/>
          <w:divBdr>
            <w:top w:val="none" w:sz="0" w:space="0" w:color="auto"/>
            <w:left w:val="none" w:sz="0" w:space="0" w:color="auto"/>
            <w:bottom w:val="none" w:sz="0" w:space="0" w:color="auto"/>
            <w:right w:val="none" w:sz="0" w:space="0" w:color="auto"/>
          </w:divBdr>
          <w:divsChild>
            <w:div w:id="1378437174">
              <w:marLeft w:val="0"/>
              <w:marRight w:val="0"/>
              <w:marTop w:val="0"/>
              <w:marBottom w:val="0"/>
              <w:divBdr>
                <w:top w:val="none" w:sz="0" w:space="0" w:color="auto"/>
                <w:left w:val="none" w:sz="0" w:space="0" w:color="auto"/>
                <w:bottom w:val="none" w:sz="0" w:space="0" w:color="auto"/>
                <w:right w:val="none" w:sz="0" w:space="0" w:color="auto"/>
              </w:divBdr>
              <w:divsChild>
                <w:div w:id="537283905">
                  <w:marLeft w:val="0"/>
                  <w:marRight w:val="0"/>
                  <w:marTop w:val="0"/>
                  <w:marBottom w:val="0"/>
                  <w:divBdr>
                    <w:top w:val="none" w:sz="0" w:space="0" w:color="auto"/>
                    <w:left w:val="none" w:sz="0" w:space="0" w:color="auto"/>
                    <w:bottom w:val="none" w:sz="0" w:space="0" w:color="auto"/>
                    <w:right w:val="none" w:sz="0" w:space="0" w:color="auto"/>
                  </w:divBdr>
                  <w:divsChild>
                    <w:div w:id="896629342">
                      <w:marLeft w:val="0"/>
                      <w:marRight w:val="0"/>
                      <w:marTop w:val="0"/>
                      <w:marBottom w:val="0"/>
                      <w:divBdr>
                        <w:top w:val="none" w:sz="0" w:space="0" w:color="auto"/>
                        <w:left w:val="none" w:sz="0" w:space="0" w:color="auto"/>
                        <w:bottom w:val="none" w:sz="0" w:space="0" w:color="auto"/>
                        <w:right w:val="none" w:sz="0" w:space="0" w:color="auto"/>
                      </w:divBdr>
                      <w:divsChild>
                        <w:div w:id="1345478958">
                          <w:marLeft w:val="0"/>
                          <w:marRight w:val="0"/>
                          <w:marTop w:val="0"/>
                          <w:marBottom w:val="0"/>
                          <w:divBdr>
                            <w:top w:val="none" w:sz="0" w:space="0" w:color="auto"/>
                            <w:left w:val="none" w:sz="0" w:space="0" w:color="auto"/>
                            <w:bottom w:val="none" w:sz="0" w:space="0" w:color="auto"/>
                            <w:right w:val="none" w:sz="0" w:space="0" w:color="auto"/>
                          </w:divBdr>
                          <w:divsChild>
                            <w:div w:id="1796290546">
                              <w:marLeft w:val="0"/>
                              <w:marRight w:val="0"/>
                              <w:marTop w:val="0"/>
                              <w:marBottom w:val="0"/>
                              <w:divBdr>
                                <w:top w:val="none" w:sz="0" w:space="0" w:color="auto"/>
                                <w:left w:val="none" w:sz="0" w:space="0" w:color="auto"/>
                                <w:bottom w:val="none" w:sz="0" w:space="0" w:color="auto"/>
                                <w:right w:val="none" w:sz="0" w:space="0" w:color="auto"/>
                              </w:divBdr>
                              <w:divsChild>
                                <w:div w:id="162870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587182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862018448">
          <w:marLeft w:val="0"/>
          <w:marRight w:val="0"/>
          <w:marTop w:val="0"/>
          <w:marBottom w:val="0"/>
          <w:divBdr>
            <w:top w:val="none" w:sz="0" w:space="0" w:color="auto"/>
            <w:left w:val="none" w:sz="0" w:space="0" w:color="auto"/>
            <w:bottom w:val="none" w:sz="0" w:space="0" w:color="auto"/>
            <w:right w:val="none" w:sz="0" w:space="0" w:color="auto"/>
          </w:divBdr>
        </w:div>
        <w:div w:id="971909379">
          <w:marLeft w:val="0"/>
          <w:marRight w:val="0"/>
          <w:marTop w:val="0"/>
          <w:marBottom w:val="0"/>
          <w:divBdr>
            <w:top w:val="none" w:sz="0" w:space="0" w:color="auto"/>
            <w:left w:val="none" w:sz="0" w:space="0" w:color="auto"/>
            <w:bottom w:val="none" w:sz="0" w:space="0" w:color="auto"/>
            <w:right w:val="none" w:sz="0" w:space="0" w:color="auto"/>
          </w:divBdr>
        </w:div>
        <w:div w:id="1528592917">
          <w:marLeft w:val="0"/>
          <w:marRight w:val="0"/>
          <w:marTop w:val="0"/>
          <w:marBottom w:val="0"/>
          <w:divBdr>
            <w:top w:val="none" w:sz="0" w:space="0" w:color="auto"/>
            <w:left w:val="none" w:sz="0" w:space="0" w:color="auto"/>
            <w:bottom w:val="none" w:sz="0" w:space="0" w:color="auto"/>
            <w:right w:val="none" w:sz="0" w:space="0" w:color="auto"/>
          </w:divBdr>
        </w:div>
      </w:divsChild>
    </w:div>
    <w:div w:id="1646859611">
      <w:bodyDiv w:val="1"/>
      <w:marLeft w:val="150"/>
      <w:marRight w:val="150"/>
      <w:marTop w:val="150"/>
      <w:marBottom w:val="150"/>
      <w:divBdr>
        <w:top w:val="none" w:sz="0" w:space="0" w:color="auto"/>
        <w:left w:val="none" w:sz="0" w:space="0" w:color="auto"/>
        <w:bottom w:val="none" w:sz="0" w:space="0" w:color="auto"/>
        <w:right w:val="none" w:sz="0" w:space="0" w:color="auto"/>
      </w:divBdr>
      <w:divsChild>
        <w:div w:id="682780895">
          <w:marLeft w:val="0"/>
          <w:marRight w:val="0"/>
          <w:marTop w:val="0"/>
          <w:marBottom w:val="0"/>
          <w:divBdr>
            <w:top w:val="none" w:sz="0" w:space="0" w:color="auto"/>
            <w:left w:val="none" w:sz="0" w:space="0" w:color="auto"/>
            <w:bottom w:val="none" w:sz="0" w:space="0" w:color="auto"/>
            <w:right w:val="none" w:sz="0" w:space="0" w:color="auto"/>
          </w:divBdr>
        </w:div>
        <w:div w:id="1126195988">
          <w:marLeft w:val="0"/>
          <w:marRight w:val="0"/>
          <w:marTop w:val="0"/>
          <w:marBottom w:val="0"/>
          <w:divBdr>
            <w:top w:val="none" w:sz="0" w:space="0" w:color="auto"/>
            <w:left w:val="none" w:sz="0" w:space="0" w:color="auto"/>
            <w:bottom w:val="none" w:sz="0" w:space="0" w:color="auto"/>
            <w:right w:val="none" w:sz="0" w:space="0" w:color="auto"/>
          </w:divBdr>
        </w:div>
        <w:div w:id="1268729879">
          <w:marLeft w:val="0"/>
          <w:marRight w:val="0"/>
          <w:marTop w:val="0"/>
          <w:marBottom w:val="0"/>
          <w:divBdr>
            <w:top w:val="none" w:sz="0" w:space="0" w:color="auto"/>
            <w:left w:val="none" w:sz="0" w:space="0" w:color="auto"/>
            <w:bottom w:val="none" w:sz="0" w:space="0" w:color="auto"/>
            <w:right w:val="none" w:sz="0" w:space="0" w:color="auto"/>
          </w:divBdr>
        </w:div>
      </w:divsChild>
    </w:div>
    <w:div w:id="1691761557">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770351599">
          <w:marLeft w:val="0"/>
          <w:marRight w:val="0"/>
          <w:marTop w:val="0"/>
          <w:marBottom w:val="0"/>
          <w:divBdr>
            <w:top w:val="none" w:sz="0" w:space="0" w:color="auto"/>
            <w:left w:val="none" w:sz="0" w:space="0" w:color="auto"/>
            <w:bottom w:val="none" w:sz="0" w:space="0" w:color="auto"/>
            <w:right w:val="none" w:sz="0" w:space="0" w:color="auto"/>
          </w:divBdr>
          <w:divsChild>
            <w:div w:id="1115322349">
              <w:marLeft w:val="0"/>
              <w:marRight w:val="0"/>
              <w:marTop w:val="0"/>
              <w:marBottom w:val="0"/>
              <w:divBdr>
                <w:top w:val="none" w:sz="0" w:space="0" w:color="auto"/>
                <w:left w:val="none" w:sz="0" w:space="0" w:color="auto"/>
                <w:bottom w:val="none" w:sz="0" w:space="0" w:color="auto"/>
                <w:right w:val="none" w:sz="0" w:space="0" w:color="auto"/>
              </w:divBdr>
              <w:divsChild>
                <w:div w:id="850491619">
                  <w:marLeft w:val="0"/>
                  <w:marRight w:val="0"/>
                  <w:marTop w:val="0"/>
                  <w:marBottom w:val="0"/>
                  <w:divBdr>
                    <w:top w:val="none" w:sz="0" w:space="0" w:color="auto"/>
                    <w:left w:val="none" w:sz="0" w:space="0" w:color="auto"/>
                    <w:bottom w:val="none" w:sz="0" w:space="0" w:color="auto"/>
                    <w:right w:val="none" w:sz="0" w:space="0" w:color="auto"/>
                  </w:divBdr>
                  <w:divsChild>
                    <w:div w:id="368647752">
                      <w:marLeft w:val="0"/>
                      <w:marRight w:val="0"/>
                      <w:marTop w:val="0"/>
                      <w:marBottom w:val="0"/>
                      <w:divBdr>
                        <w:top w:val="none" w:sz="0" w:space="0" w:color="auto"/>
                        <w:left w:val="none" w:sz="0" w:space="0" w:color="auto"/>
                        <w:bottom w:val="none" w:sz="0" w:space="0" w:color="auto"/>
                        <w:right w:val="none" w:sz="0" w:space="0" w:color="auto"/>
                      </w:divBdr>
                      <w:divsChild>
                        <w:div w:id="1580483472">
                          <w:marLeft w:val="0"/>
                          <w:marRight w:val="0"/>
                          <w:marTop w:val="0"/>
                          <w:marBottom w:val="0"/>
                          <w:divBdr>
                            <w:top w:val="none" w:sz="0" w:space="0" w:color="auto"/>
                            <w:left w:val="none" w:sz="0" w:space="0" w:color="auto"/>
                            <w:bottom w:val="none" w:sz="0" w:space="0" w:color="auto"/>
                            <w:right w:val="none" w:sz="0" w:space="0" w:color="auto"/>
                          </w:divBdr>
                          <w:divsChild>
                            <w:div w:id="1004432724">
                              <w:marLeft w:val="0"/>
                              <w:marRight w:val="0"/>
                              <w:marTop w:val="0"/>
                              <w:marBottom w:val="0"/>
                              <w:divBdr>
                                <w:top w:val="none" w:sz="0" w:space="0" w:color="auto"/>
                                <w:left w:val="none" w:sz="0" w:space="0" w:color="auto"/>
                                <w:bottom w:val="none" w:sz="0" w:space="0" w:color="auto"/>
                                <w:right w:val="none" w:sz="0" w:space="0" w:color="auto"/>
                              </w:divBdr>
                              <w:divsChild>
                                <w:div w:id="1093282804">
                                  <w:marLeft w:val="0"/>
                                  <w:marRight w:val="0"/>
                                  <w:marTop w:val="0"/>
                                  <w:marBottom w:val="0"/>
                                  <w:divBdr>
                                    <w:top w:val="none" w:sz="0" w:space="0" w:color="auto"/>
                                    <w:left w:val="none" w:sz="0" w:space="0" w:color="auto"/>
                                    <w:bottom w:val="none" w:sz="0" w:space="0" w:color="auto"/>
                                    <w:right w:val="none" w:sz="0" w:space="0" w:color="auto"/>
                                  </w:divBdr>
                                  <w:divsChild>
                                    <w:div w:id="156094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8390457">
      <w:bodyDiv w:val="1"/>
      <w:marLeft w:val="0"/>
      <w:marRight w:val="0"/>
      <w:marTop w:val="0"/>
      <w:marBottom w:val="0"/>
      <w:divBdr>
        <w:top w:val="none" w:sz="0" w:space="0" w:color="auto"/>
        <w:left w:val="none" w:sz="0" w:space="0" w:color="auto"/>
        <w:bottom w:val="none" w:sz="0" w:space="0" w:color="auto"/>
        <w:right w:val="none" w:sz="0" w:space="0" w:color="auto"/>
      </w:divBdr>
    </w:div>
    <w:div w:id="1755935130">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62567153">
          <w:marLeft w:val="0"/>
          <w:marRight w:val="0"/>
          <w:marTop w:val="0"/>
          <w:marBottom w:val="0"/>
          <w:divBdr>
            <w:top w:val="none" w:sz="0" w:space="0" w:color="auto"/>
            <w:left w:val="none" w:sz="0" w:space="0" w:color="auto"/>
            <w:bottom w:val="none" w:sz="0" w:space="0" w:color="auto"/>
            <w:right w:val="none" w:sz="0" w:space="0" w:color="auto"/>
          </w:divBdr>
        </w:div>
      </w:divsChild>
    </w:div>
    <w:div w:id="1826699310">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650092265">
          <w:marLeft w:val="0"/>
          <w:marRight w:val="0"/>
          <w:marTop w:val="0"/>
          <w:marBottom w:val="0"/>
          <w:divBdr>
            <w:top w:val="none" w:sz="0" w:space="0" w:color="auto"/>
            <w:left w:val="none" w:sz="0" w:space="0" w:color="auto"/>
            <w:bottom w:val="none" w:sz="0" w:space="0" w:color="auto"/>
            <w:right w:val="none" w:sz="0" w:space="0" w:color="auto"/>
          </w:divBdr>
          <w:divsChild>
            <w:div w:id="1386031913">
              <w:marLeft w:val="0"/>
              <w:marRight w:val="0"/>
              <w:marTop w:val="0"/>
              <w:marBottom w:val="0"/>
              <w:divBdr>
                <w:top w:val="none" w:sz="0" w:space="0" w:color="auto"/>
                <w:left w:val="none" w:sz="0" w:space="0" w:color="auto"/>
                <w:bottom w:val="none" w:sz="0" w:space="0" w:color="auto"/>
                <w:right w:val="none" w:sz="0" w:space="0" w:color="auto"/>
              </w:divBdr>
              <w:divsChild>
                <w:div w:id="1892769237">
                  <w:marLeft w:val="0"/>
                  <w:marRight w:val="0"/>
                  <w:marTop w:val="0"/>
                  <w:marBottom w:val="0"/>
                  <w:divBdr>
                    <w:top w:val="none" w:sz="0" w:space="0" w:color="auto"/>
                    <w:left w:val="none" w:sz="0" w:space="0" w:color="auto"/>
                    <w:bottom w:val="none" w:sz="0" w:space="0" w:color="auto"/>
                    <w:right w:val="none" w:sz="0" w:space="0" w:color="auto"/>
                  </w:divBdr>
                  <w:divsChild>
                    <w:div w:id="1872375450">
                      <w:marLeft w:val="0"/>
                      <w:marRight w:val="0"/>
                      <w:marTop w:val="0"/>
                      <w:marBottom w:val="0"/>
                      <w:divBdr>
                        <w:top w:val="none" w:sz="0" w:space="0" w:color="auto"/>
                        <w:left w:val="none" w:sz="0" w:space="0" w:color="auto"/>
                        <w:bottom w:val="none" w:sz="0" w:space="0" w:color="auto"/>
                        <w:right w:val="none" w:sz="0" w:space="0" w:color="auto"/>
                      </w:divBdr>
                      <w:divsChild>
                        <w:div w:id="1645625405">
                          <w:marLeft w:val="0"/>
                          <w:marRight w:val="0"/>
                          <w:marTop w:val="0"/>
                          <w:marBottom w:val="0"/>
                          <w:divBdr>
                            <w:top w:val="none" w:sz="0" w:space="0" w:color="auto"/>
                            <w:left w:val="none" w:sz="0" w:space="0" w:color="auto"/>
                            <w:bottom w:val="none" w:sz="0" w:space="0" w:color="auto"/>
                            <w:right w:val="none" w:sz="0" w:space="0" w:color="auto"/>
                          </w:divBdr>
                          <w:divsChild>
                            <w:div w:id="1446071150">
                              <w:marLeft w:val="0"/>
                              <w:marRight w:val="0"/>
                              <w:marTop w:val="0"/>
                              <w:marBottom w:val="0"/>
                              <w:divBdr>
                                <w:top w:val="none" w:sz="0" w:space="0" w:color="auto"/>
                                <w:left w:val="none" w:sz="0" w:space="0" w:color="auto"/>
                                <w:bottom w:val="none" w:sz="0" w:space="0" w:color="auto"/>
                                <w:right w:val="none" w:sz="0" w:space="0" w:color="auto"/>
                              </w:divBdr>
                              <w:divsChild>
                                <w:div w:id="1379626391">
                                  <w:marLeft w:val="0"/>
                                  <w:marRight w:val="0"/>
                                  <w:marTop w:val="0"/>
                                  <w:marBottom w:val="0"/>
                                  <w:divBdr>
                                    <w:top w:val="none" w:sz="0" w:space="0" w:color="auto"/>
                                    <w:left w:val="none" w:sz="0" w:space="0" w:color="auto"/>
                                    <w:bottom w:val="none" w:sz="0" w:space="0" w:color="auto"/>
                                    <w:right w:val="none" w:sz="0" w:space="0" w:color="auto"/>
                                  </w:divBdr>
                                  <w:divsChild>
                                    <w:div w:id="913974056">
                                      <w:marLeft w:val="0"/>
                                      <w:marRight w:val="0"/>
                                      <w:marTop w:val="0"/>
                                      <w:marBottom w:val="0"/>
                                      <w:divBdr>
                                        <w:top w:val="none" w:sz="0" w:space="0" w:color="auto"/>
                                        <w:left w:val="none" w:sz="0" w:space="0" w:color="auto"/>
                                        <w:bottom w:val="none" w:sz="0" w:space="0" w:color="auto"/>
                                        <w:right w:val="none" w:sz="0" w:space="0" w:color="auto"/>
                                      </w:divBdr>
                                    </w:div>
                                    <w:div w:id="163764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6533985">
      <w:bodyDiv w:val="1"/>
      <w:marLeft w:val="0"/>
      <w:marRight w:val="0"/>
      <w:marTop w:val="0"/>
      <w:marBottom w:val="0"/>
      <w:divBdr>
        <w:top w:val="none" w:sz="0" w:space="0" w:color="auto"/>
        <w:left w:val="none" w:sz="0" w:space="0" w:color="auto"/>
        <w:bottom w:val="none" w:sz="0" w:space="0" w:color="auto"/>
        <w:right w:val="none" w:sz="0" w:space="0" w:color="auto"/>
      </w:divBdr>
      <w:divsChild>
        <w:div w:id="1991902128">
          <w:marLeft w:val="0"/>
          <w:marRight w:val="0"/>
          <w:marTop w:val="0"/>
          <w:marBottom w:val="0"/>
          <w:divBdr>
            <w:top w:val="none" w:sz="0" w:space="0" w:color="auto"/>
            <w:left w:val="none" w:sz="0" w:space="0" w:color="auto"/>
            <w:bottom w:val="none" w:sz="0" w:space="0" w:color="auto"/>
            <w:right w:val="none" w:sz="0" w:space="0" w:color="auto"/>
          </w:divBdr>
        </w:div>
      </w:divsChild>
    </w:div>
    <w:div w:id="1870873956">
      <w:bodyDiv w:val="1"/>
      <w:marLeft w:val="150"/>
      <w:marRight w:val="150"/>
      <w:marTop w:val="150"/>
      <w:marBottom w:val="150"/>
      <w:divBdr>
        <w:top w:val="none" w:sz="0" w:space="0" w:color="auto"/>
        <w:left w:val="none" w:sz="0" w:space="0" w:color="auto"/>
        <w:bottom w:val="none" w:sz="0" w:space="0" w:color="auto"/>
        <w:right w:val="none" w:sz="0" w:space="0" w:color="auto"/>
      </w:divBdr>
      <w:divsChild>
        <w:div w:id="419451264">
          <w:marLeft w:val="0"/>
          <w:marRight w:val="0"/>
          <w:marTop w:val="0"/>
          <w:marBottom w:val="0"/>
          <w:divBdr>
            <w:top w:val="none" w:sz="0" w:space="0" w:color="auto"/>
            <w:left w:val="none" w:sz="0" w:space="0" w:color="auto"/>
            <w:bottom w:val="none" w:sz="0" w:space="0" w:color="auto"/>
            <w:right w:val="none" w:sz="0" w:space="0" w:color="auto"/>
          </w:divBdr>
        </w:div>
        <w:div w:id="661468086">
          <w:marLeft w:val="0"/>
          <w:marRight w:val="0"/>
          <w:marTop w:val="0"/>
          <w:marBottom w:val="0"/>
          <w:divBdr>
            <w:top w:val="none" w:sz="0" w:space="0" w:color="auto"/>
            <w:left w:val="none" w:sz="0" w:space="0" w:color="auto"/>
            <w:bottom w:val="none" w:sz="0" w:space="0" w:color="auto"/>
            <w:right w:val="none" w:sz="0" w:space="0" w:color="auto"/>
          </w:divBdr>
        </w:div>
        <w:div w:id="1219394466">
          <w:marLeft w:val="0"/>
          <w:marRight w:val="0"/>
          <w:marTop w:val="0"/>
          <w:marBottom w:val="0"/>
          <w:divBdr>
            <w:top w:val="none" w:sz="0" w:space="0" w:color="auto"/>
            <w:left w:val="none" w:sz="0" w:space="0" w:color="auto"/>
            <w:bottom w:val="none" w:sz="0" w:space="0" w:color="auto"/>
            <w:right w:val="none" w:sz="0" w:space="0" w:color="auto"/>
          </w:divBdr>
        </w:div>
      </w:divsChild>
    </w:div>
    <w:div w:id="1892034190">
      <w:bodyDiv w:val="1"/>
      <w:marLeft w:val="178"/>
      <w:marRight w:val="178"/>
      <w:marTop w:val="178"/>
      <w:marBottom w:val="178"/>
      <w:divBdr>
        <w:top w:val="none" w:sz="0" w:space="0" w:color="auto"/>
        <w:left w:val="none" w:sz="0" w:space="0" w:color="auto"/>
        <w:bottom w:val="none" w:sz="0" w:space="0" w:color="auto"/>
        <w:right w:val="none" w:sz="0" w:space="0" w:color="auto"/>
      </w:divBdr>
      <w:divsChild>
        <w:div w:id="1558512596">
          <w:marLeft w:val="0"/>
          <w:marRight w:val="0"/>
          <w:marTop w:val="0"/>
          <w:marBottom w:val="0"/>
          <w:divBdr>
            <w:top w:val="none" w:sz="0" w:space="0" w:color="auto"/>
            <w:left w:val="none" w:sz="0" w:space="0" w:color="auto"/>
            <w:bottom w:val="none" w:sz="0" w:space="0" w:color="auto"/>
            <w:right w:val="none" w:sz="0" w:space="0" w:color="auto"/>
          </w:divBdr>
        </w:div>
      </w:divsChild>
    </w:div>
    <w:div w:id="1898005048">
      <w:bodyDiv w:val="1"/>
      <w:marLeft w:val="178"/>
      <w:marRight w:val="178"/>
      <w:marTop w:val="178"/>
      <w:marBottom w:val="178"/>
      <w:divBdr>
        <w:top w:val="none" w:sz="0" w:space="0" w:color="auto"/>
        <w:left w:val="none" w:sz="0" w:space="0" w:color="auto"/>
        <w:bottom w:val="none" w:sz="0" w:space="0" w:color="auto"/>
        <w:right w:val="none" w:sz="0" w:space="0" w:color="auto"/>
      </w:divBdr>
      <w:divsChild>
        <w:div w:id="1962570746">
          <w:marLeft w:val="0"/>
          <w:marRight w:val="0"/>
          <w:marTop w:val="0"/>
          <w:marBottom w:val="0"/>
          <w:divBdr>
            <w:top w:val="none" w:sz="0" w:space="0" w:color="auto"/>
            <w:left w:val="none" w:sz="0" w:space="0" w:color="auto"/>
            <w:bottom w:val="none" w:sz="0" w:space="0" w:color="auto"/>
            <w:right w:val="none" w:sz="0" w:space="0" w:color="auto"/>
          </w:divBdr>
        </w:div>
      </w:divsChild>
    </w:div>
    <w:div w:id="1962568079">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318749">
          <w:marLeft w:val="0"/>
          <w:marRight w:val="0"/>
          <w:marTop w:val="0"/>
          <w:marBottom w:val="0"/>
          <w:divBdr>
            <w:top w:val="none" w:sz="0" w:space="0" w:color="auto"/>
            <w:left w:val="none" w:sz="0" w:space="0" w:color="auto"/>
            <w:bottom w:val="none" w:sz="0" w:space="0" w:color="auto"/>
            <w:right w:val="none" w:sz="0" w:space="0" w:color="auto"/>
          </w:divBdr>
        </w:div>
        <w:div w:id="67658295">
          <w:marLeft w:val="0"/>
          <w:marRight w:val="0"/>
          <w:marTop w:val="0"/>
          <w:marBottom w:val="0"/>
          <w:divBdr>
            <w:top w:val="none" w:sz="0" w:space="0" w:color="auto"/>
            <w:left w:val="none" w:sz="0" w:space="0" w:color="auto"/>
            <w:bottom w:val="none" w:sz="0" w:space="0" w:color="auto"/>
            <w:right w:val="none" w:sz="0" w:space="0" w:color="auto"/>
          </w:divBdr>
        </w:div>
        <w:div w:id="73090081">
          <w:marLeft w:val="0"/>
          <w:marRight w:val="0"/>
          <w:marTop w:val="0"/>
          <w:marBottom w:val="0"/>
          <w:divBdr>
            <w:top w:val="none" w:sz="0" w:space="0" w:color="auto"/>
            <w:left w:val="none" w:sz="0" w:space="0" w:color="auto"/>
            <w:bottom w:val="none" w:sz="0" w:space="0" w:color="auto"/>
            <w:right w:val="none" w:sz="0" w:space="0" w:color="auto"/>
          </w:divBdr>
        </w:div>
        <w:div w:id="74282850">
          <w:marLeft w:val="0"/>
          <w:marRight w:val="0"/>
          <w:marTop w:val="0"/>
          <w:marBottom w:val="0"/>
          <w:divBdr>
            <w:top w:val="none" w:sz="0" w:space="0" w:color="auto"/>
            <w:left w:val="none" w:sz="0" w:space="0" w:color="auto"/>
            <w:bottom w:val="none" w:sz="0" w:space="0" w:color="auto"/>
            <w:right w:val="none" w:sz="0" w:space="0" w:color="auto"/>
          </w:divBdr>
        </w:div>
        <w:div w:id="74518578">
          <w:marLeft w:val="0"/>
          <w:marRight w:val="0"/>
          <w:marTop w:val="0"/>
          <w:marBottom w:val="0"/>
          <w:divBdr>
            <w:top w:val="none" w:sz="0" w:space="0" w:color="auto"/>
            <w:left w:val="none" w:sz="0" w:space="0" w:color="auto"/>
            <w:bottom w:val="none" w:sz="0" w:space="0" w:color="auto"/>
            <w:right w:val="none" w:sz="0" w:space="0" w:color="auto"/>
          </w:divBdr>
        </w:div>
        <w:div w:id="107284093">
          <w:marLeft w:val="0"/>
          <w:marRight w:val="0"/>
          <w:marTop w:val="0"/>
          <w:marBottom w:val="0"/>
          <w:divBdr>
            <w:top w:val="none" w:sz="0" w:space="0" w:color="auto"/>
            <w:left w:val="none" w:sz="0" w:space="0" w:color="auto"/>
            <w:bottom w:val="none" w:sz="0" w:space="0" w:color="auto"/>
            <w:right w:val="none" w:sz="0" w:space="0" w:color="auto"/>
          </w:divBdr>
        </w:div>
        <w:div w:id="108740391">
          <w:marLeft w:val="0"/>
          <w:marRight w:val="0"/>
          <w:marTop w:val="0"/>
          <w:marBottom w:val="0"/>
          <w:divBdr>
            <w:top w:val="none" w:sz="0" w:space="0" w:color="auto"/>
            <w:left w:val="none" w:sz="0" w:space="0" w:color="auto"/>
            <w:bottom w:val="none" w:sz="0" w:space="0" w:color="auto"/>
            <w:right w:val="none" w:sz="0" w:space="0" w:color="auto"/>
          </w:divBdr>
        </w:div>
        <w:div w:id="111898089">
          <w:marLeft w:val="0"/>
          <w:marRight w:val="0"/>
          <w:marTop w:val="0"/>
          <w:marBottom w:val="0"/>
          <w:divBdr>
            <w:top w:val="none" w:sz="0" w:space="0" w:color="auto"/>
            <w:left w:val="none" w:sz="0" w:space="0" w:color="auto"/>
            <w:bottom w:val="none" w:sz="0" w:space="0" w:color="auto"/>
            <w:right w:val="none" w:sz="0" w:space="0" w:color="auto"/>
          </w:divBdr>
        </w:div>
        <w:div w:id="189032029">
          <w:marLeft w:val="0"/>
          <w:marRight w:val="0"/>
          <w:marTop w:val="0"/>
          <w:marBottom w:val="0"/>
          <w:divBdr>
            <w:top w:val="none" w:sz="0" w:space="0" w:color="auto"/>
            <w:left w:val="none" w:sz="0" w:space="0" w:color="auto"/>
            <w:bottom w:val="none" w:sz="0" w:space="0" w:color="auto"/>
            <w:right w:val="none" w:sz="0" w:space="0" w:color="auto"/>
          </w:divBdr>
        </w:div>
        <w:div w:id="193661329">
          <w:marLeft w:val="0"/>
          <w:marRight w:val="0"/>
          <w:marTop w:val="0"/>
          <w:marBottom w:val="0"/>
          <w:divBdr>
            <w:top w:val="none" w:sz="0" w:space="0" w:color="auto"/>
            <w:left w:val="none" w:sz="0" w:space="0" w:color="auto"/>
            <w:bottom w:val="none" w:sz="0" w:space="0" w:color="auto"/>
            <w:right w:val="none" w:sz="0" w:space="0" w:color="auto"/>
          </w:divBdr>
        </w:div>
        <w:div w:id="200092563">
          <w:marLeft w:val="0"/>
          <w:marRight w:val="0"/>
          <w:marTop w:val="0"/>
          <w:marBottom w:val="0"/>
          <w:divBdr>
            <w:top w:val="none" w:sz="0" w:space="0" w:color="auto"/>
            <w:left w:val="none" w:sz="0" w:space="0" w:color="auto"/>
            <w:bottom w:val="none" w:sz="0" w:space="0" w:color="auto"/>
            <w:right w:val="none" w:sz="0" w:space="0" w:color="auto"/>
          </w:divBdr>
        </w:div>
        <w:div w:id="207185053">
          <w:marLeft w:val="0"/>
          <w:marRight w:val="0"/>
          <w:marTop w:val="0"/>
          <w:marBottom w:val="0"/>
          <w:divBdr>
            <w:top w:val="none" w:sz="0" w:space="0" w:color="auto"/>
            <w:left w:val="none" w:sz="0" w:space="0" w:color="auto"/>
            <w:bottom w:val="none" w:sz="0" w:space="0" w:color="auto"/>
            <w:right w:val="none" w:sz="0" w:space="0" w:color="auto"/>
          </w:divBdr>
        </w:div>
        <w:div w:id="218708447">
          <w:marLeft w:val="0"/>
          <w:marRight w:val="0"/>
          <w:marTop w:val="0"/>
          <w:marBottom w:val="0"/>
          <w:divBdr>
            <w:top w:val="none" w:sz="0" w:space="0" w:color="auto"/>
            <w:left w:val="none" w:sz="0" w:space="0" w:color="auto"/>
            <w:bottom w:val="none" w:sz="0" w:space="0" w:color="auto"/>
            <w:right w:val="none" w:sz="0" w:space="0" w:color="auto"/>
          </w:divBdr>
        </w:div>
        <w:div w:id="236011900">
          <w:marLeft w:val="0"/>
          <w:marRight w:val="0"/>
          <w:marTop w:val="0"/>
          <w:marBottom w:val="0"/>
          <w:divBdr>
            <w:top w:val="none" w:sz="0" w:space="0" w:color="auto"/>
            <w:left w:val="none" w:sz="0" w:space="0" w:color="auto"/>
            <w:bottom w:val="none" w:sz="0" w:space="0" w:color="auto"/>
            <w:right w:val="none" w:sz="0" w:space="0" w:color="auto"/>
          </w:divBdr>
        </w:div>
        <w:div w:id="271208169">
          <w:marLeft w:val="0"/>
          <w:marRight w:val="0"/>
          <w:marTop w:val="0"/>
          <w:marBottom w:val="0"/>
          <w:divBdr>
            <w:top w:val="none" w:sz="0" w:space="0" w:color="auto"/>
            <w:left w:val="none" w:sz="0" w:space="0" w:color="auto"/>
            <w:bottom w:val="none" w:sz="0" w:space="0" w:color="auto"/>
            <w:right w:val="none" w:sz="0" w:space="0" w:color="auto"/>
          </w:divBdr>
        </w:div>
        <w:div w:id="302587465">
          <w:marLeft w:val="0"/>
          <w:marRight w:val="0"/>
          <w:marTop w:val="0"/>
          <w:marBottom w:val="0"/>
          <w:divBdr>
            <w:top w:val="none" w:sz="0" w:space="0" w:color="auto"/>
            <w:left w:val="none" w:sz="0" w:space="0" w:color="auto"/>
            <w:bottom w:val="none" w:sz="0" w:space="0" w:color="auto"/>
            <w:right w:val="none" w:sz="0" w:space="0" w:color="auto"/>
          </w:divBdr>
        </w:div>
        <w:div w:id="314989284">
          <w:marLeft w:val="0"/>
          <w:marRight w:val="0"/>
          <w:marTop w:val="0"/>
          <w:marBottom w:val="0"/>
          <w:divBdr>
            <w:top w:val="none" w:sz="0" w:space="0" w:color="auto"/>
            <w:left w:val="none" w:sz="0" w:space="0" w:color="auto"/>
            <w:bottom w:val="none" w:sz="0" w:space="0" w:color="auto"/>
            <w:right w:val="none" w:sz="0" w:space="0" w:color="auto"/>
          </w:divBdr>
        </w:div>
        <w:div w:id="328682716">
          <w:marLeft w:val="0"/>
          <w:marRight w:val="0"/>
          <w:marTop w:val="0"/>
          <w:marBottom w:val="0"/>
          <w:divBdr>
            <w:top w:val="none" w:sz="0" w:space="0" w:color="auto"/>
            <w:left w:val="none" w:sz="0" w:space="0" w:color="auto"/>
            <w:bottom w:val="none" w:sz="0" w:space="0" w:color="auto"/>
            <w:right w:val="none" w:sz="0" w:space="0" w:color="auto"/>
          </w:divBdr>
        </w:div>
        <w:div w:id="352151371">
          <w:marLeft w:val="0"/>
          <w:marRight w:val="0"/>
          <w:marTop w:val="0"/>
          <w:marBottom w:val="0"/>
          <w:divBdr>
            <w:top w:val="none" w:sz="0" w:space="0" w:color="auto"/>
            <w:left w:val="none" w:sz="0" w:space="0" w:color="auto"/>
            <w:bottom w:val="none" w:sz="0" w:space="0" w:color="auto"/>
            <w:right w:val="none" w:sz="0" w:space="0" w:color="auto"/>
          </w:divBdr>
        </w:div>
        <w:div w:id="354766687">
          <w:marLeft w:val="0"/>
          <w:marRight w:val="0"/>
          <w:marTop w:val="0"/>
          <w:marBottom w:val="0"/>
          <w:divBdr>
            <w:top w:val="none" w:sz="0" w:space="0" w:color="auto"/>
            <w:left w:val="none" w:sz="0" w:space="0" w:color="auto"/>
            <w:bottom w:val="none" w:sz="0" w:space="0" w:color="auto"/>
            <w:right w:val="none" w:sz="0" w:space="0" w:color="auto"/>
          </w:divBdr>
        </w:div>
        <w:div w:id="396628900">
          <w:marLeft w:val="0"/>
          <w:marRight w:val="0"/>
          <w:marTop w:val="0"/>
          <w:marBottom w:val="0"/>
          <w:divBdr>
            <w:top w:val="none" w:sz="0" w:space="0" w:color="auto"/>
            <w:left w:val="none" w:sz="0" w:space="0" w:color="auto"/>
            <w:bottom w:val="none" w:sz="0" w:space="0" w:color="auto"/>
            <w:right w:val="none" w:sz="0" w:space="0" w:color="auto"/>
          </w:divBdr>
        </w:div>
        <w:div w:id="441926071">
          <w:marLeft w:val="0"/>
          <w:marRight w:val="0"/>
          <w:marTop w:val="0"/>
          <w:marBottom w:val="0"/>
          <w:divBdr>
            <w:top w:val="none" w:sz="0" w:space="0" w:color="auto"/>
            <w:left w:val="none" w:sz="0" w:space="0" w:color="auto"/>
            <w:bottom w:val="none" w:sz="0" w:space="0" w:color="auto"/>
            <w:right w:val="none" w:sz="0" w:space="0" w:color="auto"/>
          </w:divBdr>
        </w:div>
        <w:div w:id="486941371">
          <w:marLeft w:val="0"/>
          <w:marRight w:val="0"/>
          <w:marTop w:val="0"/>
          <w:marBottom w:val="0"/>
          <w:divBdr>
            <w:top w:val="none" w:sz="0" w:space="0" w:color="auto"/>
            <w:left w:val="none" w:sz="0" w:space="0" w:color="auto"/>
            <w:bottom w:val="none" w:sz="0" w:space="0" w:color="auto"/>
            <w:right w:val="none" w:sz="0" w:space="0" w:color="auto"/>
          </w:divBdr>
        </w:div>
        <w:div w:id="491141872">
          <w:marLeft w:val="0"/>
          <w:marRight w:val="0"/>
          <w:marTop w:val="0"/>
          <w:marBottom w:val="0"/>
          <w:divBdr>
            <w:top w:val="none" w:sz="0" w:space="0" w:color="auto"/>
            <w:left w:val="none" w:sz="0" w:space="0" w:color="auto"/>
            <w:bottom w:val="none" w:sz="0" w:space="0" w:color="auto"/>
            <w:right w:val="none" w:sz="0" w:space="0" w:color="auto"/>
          </w:divBdr>
        </w:div>
        <w:div w:id="494804839">
          <w:marLeft w:val="0"/>
          <w:marRight w:val="0"/>
          <w:marTop w:val="0"/>
          <w:marBottom w:val="0"/>
          <w:divBdr>
            <w:top w:val="none" w:sz="0" w:space="0" w:color="auto"/>
            <w:left w:val="none" w:sz="0" w:space="0" w:color="auto"/>
            <w:bottom w:val="none" w:sz="0" w:space="0" w:color="auto"/>
            <w:right w:val="none" w:sz="0" w:space="0" w:color="auto"/>
          </w:divBdr>
        </w:div>
        <w:div w:id="499203454">
          <w:marLeft w:val="0"/>
          <w:marRight w:val="0"/>
          <w:marTop w:val="0"/>
          <w:marBottom w:val="0"/>
          <w:divBdr>
            <w:top w:val="none" w:sz="0" w:space="0" w:color="auto"/>
            <w:left w:val="none" w:sz="0" w:space="0" w:color="auto"/>
            <w:bottom w:val="none" w:sz="0" w:space="0" w:color="auto"/>
            <w:right w:val="none" w:sz="0" w:space="0" w:color="auto"/>
          </w:divBdr>
        </w:div>
        <w:div w:id="502933986">
          <w:marLeft w:val="0"/>
          <w:marRight w:val="0"/>
          <w:marTop w:val="0"/>
          <w:marBottom w:val="0"/>
          <w:divBdr>
            <w:top w:val="none" w:sz="0" w:space="0" w:color="auto"/>
            <w:left w:val="none" w:sz="0" w:space="0" w:color="auto"/>
            <w:bottom w:val="none" w:sz="0" w:space="0" w:color="auto"/>
            <w:right w:val="none" w:sz="0" w:space="0" w:color="auto"/>
          </w:divBdr>
        </w:div>
        <w:div w:id="524102761">
          <w:marLeft w:val="0"/>
          <w:marRight w:val="0"/>
          <w:marTop w:val="0"/>
          <w:marBottom w:val="0"/>
          <w:divBdr>
            <w:top w:val="none" w:sz="0" w:space="0" w:color="auto"/>
            <w:left w:val="none" w:sz="0" w:space="0" w:color="auto"/>
            <w:bottom w:val="none" w:sz="0" w:space="0" w:color="auto"/>
            <w:right w:val="none" w:sz="0" w:space="0" w:color="auto"/>
          </w:divBdr>
        </w:div>
        <w:div w:id="526404748">
          <w:marLeft w:val="0"/>
          <w:marRight w:val="0"/>
          <w:marTop w:val="0"/>
          <w:marBottom w:val="0"/>
          <w:divBdr>
            <w:top w:val="none" w:sz="0" w:space="0" w:color="auto"/>
            <w:left w:val="none" w:sz="0" w:space="0" w:color="auto"/>
            <w:bottom w:val="none" w:sz="0" w:space="0" w:color="auto"/>
            <w:right w:val="none" w:sz="0" w:space="0" w:color="auto"/>
          </w:divBdr>
        </w:div>
        <w:div w:id="533470168">
          <w:marLeft w:val="0"/>
          <w:marRight w:val="0"/>
          <w:marTop w:val="0"/>
          <w:marBottom w:val="0"/>
          <w:divBdr>
            <w:top w:val="none" w:sz="0" w:space="0" w:color="auto"/>
            <w:left w:val="none" w:sz="0" w:space="0" w:color="auto"/>
            <w:bottom w:val="none" w:sz="0" w:space="0" w:color="auto"/>
            <w:right w:val="none" w:sz="0" w:space="0" w:color="auto"/>
          </w:divBdr>
        </w:div>
        <w:div w:id="576593857">
          <w:marLeft w:val="0"/>
          <w:marRight w:val="0"/>
          <w:marTop w:val="0"/>
          <w:marBottom w:val="0"/>
          <w:divBdr>
            <w:top w:val="none" w:sz="0" w:space="0" w:color="auto"/>
            <w:left w:val="none" w:sz="0" w:space="0" w:color="auto"/>
            <w:bottom w:val="none" w:sz="0" w:space="0" w:color="auto"/>
            <w:right w:val="none" w:sz="0" w:space="0" w:color="auto"/>
          </w:divBdr>
        </w:div>
        <w:div w:id="605042312">
          <w:marLeft w:val="0"/>
          <w:marRight w:val="0"/>
          <w:marTop w:val="0"/>
          <w:marBottom w:val="0"/>
          <w:divBdr>
            <w:top w:val="none" w:sz="0" w:space="0" w:color="auto"/>
            <w:left w:val="none" w:sz="0" w:space="0" w:color="auto"/>
            <w:bottom w:val="none" w:sz="0" w:space="0" w:color="auto"/>
            <w:right w:val="none" w:sz="0" w:space="0" w:color="auto"/>
          </w:divBdr>
        </w:div>
        <w:div w:id="634603571">
          <w:marLeft w:val="0"/>
          <w:marRight w:val="0"/>
          <w:marTop w:val="0"/>
          <w:marBottom w:val="0"/>
          <w:divBdr>
            <w:top w:val="none" w:sz="0" w:space="0" w:color="auto"/>
            <w:left w:val="none" w:sz="0" w:space="0" w:color="auto"/>
            <w:bottom w:val="none" w:sz="0" w:space="0" w:color="auto"/>
            <w:right w:val="none" w:sz="0" w:space="0" w:color="auto"/>
          </w:divBdr>
        </w:div>
        <w:div w:id="664280330">
          <w:marLeft w:val="0"/>
          <w:marRight w:val="0"/>
          <w:marTop w:val="0"/>
          <w:marBottom w:val="0"/>
          <w:divBdr>
            <w:top w:val="none" w:sz="0" w:space="0" w:color="auto"/>
            <w:left w:val="none" w:sz="0" w:space="0" w:color="auto"/>
            <w:bottom w:val="none" w:sz="0" w:space="0" w:color="auto"/>
            <w:right w:val="none" w:sz="0" w:space="0" w:color="auto"/>
          </w:divBdr>
        </w:div>
        <w:div w:id="684285378">
          <w:marLeft w:val="0"/>
          <w:marRight w:val="0"/>
          <w:marTop w:val="0"/>
          <w:marBottom w:val="0"/>
          <w:divBdr>
            <w:top w:val="none" w:sz="0" w:space="0" w:color="auto"/>
            <w:left w:val="none" w:sz="0" w:space="0" w:color="auto"/>
            <w:bottom w:val="none" w:sz="0" w:space="0" w:color="auto"/>
            <w:right w:val="none" w:sz="0" w:space="0" w:color="auto"/>
          </w:divBdr>
        </w:div>
        <w:div w:id="705101938">
          <w:marLeft w:val="0"/>
          <w:marRight w:val="0"/>
          <w:marTop w:val="0"/>
          <w:marBottom w:val="0"/>
          <w:divBdr>
            <w:top w:val="none" w:sz="0" w:space="0" w:color="auto"/>
            <w:left w:val="none" w:sz="0" w:space="0" w:color="auto"/>
            <w:bottom w:val="none" w:sz="0" w:space="0" w:color="auto"/>
            <w:right w:val="none" w:sz="0" w:space="0" w:color="auto"/>
          </w:divBdr>
        </w:div>
        <w:div w:id="764307266">
          <w:marLeft w:val="0"/>
          <w:marRight w:val="0"/>
          <w:marTop w:val="0"/>
          <w:marBottom w:val="0"/>
          <w:divBdr>
            <w:top w:val="none" w:sz="0" w:space="0" w:color="auto"/>
            <w:left w:val="none" w:sz="0" w:space="0" w:color="auto"/>
            <w:bottom w:val="none" w:sz="0" w:space="0" w:color="auto"/>
            <w:right w:val="none" w:sz="0" w:space="0" w:color="auto"/>
          </w:divBdr>
        </w:div>
        <w:div w:id="871961678">
          <w:marLeft w:val="0"/>
          <w:marRight w:val="0"/>
          <w:marTop w:val="0"/>
          <w:marBottom w:val="0"/>
          <w:divBdr>
            <w:top w:val="none" w:sz="0" w:space="0" w:color="auto"/>
            <w:left w:val="none" w:sz="0" w:space="0" w:color="auto"/>
            <w:bottom w:val="none" w:sz="0" w:space="0" w:color="auto"/>
            <w:right w:val="none" w:sz="0" w:space="0" w:color="auto"/>
          </w:divBdr>
        </w:div>
        <w:div w:id="873880531">
          <w:marLeft w:val="0"/>
          <w:marRight w:val="0"/>
          <w:marTop w:val="0"/>
          <w:marBottom w:val="0"/>
          <w:divBdr>
            <w:top w:val="none" w:sz="0" w:space="0" w:color="auto"/>
            <w:left w:val="none" w:sz="0" w:space="0" w:color="auto"/>
            <w:bottom w:val="none" w:sz="0" w:space="0" w:color="auto"/>
            <w:right w:val="none" w:sz="0" w:space="0" w:color="auto"/>
          </w:divBdr>
        </w:div>
        <w:div w:id="894046571">
          <w:marLeft w:val="0"/>
          <w:marRight w:val="0"/>
          <w:marTop w:val="0"/>
          <w:marBottom w:val="0"/>
          <w:divBdr>
            <w:top w:val="none" w:sz="0" w:space="0" w:color="auto"/>
            <w:left w:val="none" w:sz="0" w:space="0" w:color="auto"/>
            <w:bottom w:val="none" w:sz="0" w:space="0" w:color="auto"/>
            <w:right w:val="none" w:sz="0" w:space="0" w:color="auto"/>
          </w:divBdr>
        </w:div>
        <w:div w:id="902064868">
          <w:marLeft w:val="0"/>
          <w:marRight w:val="0"/>
          <w:marTop w:val="0"/>
          <w:marBottom w:val="0"/>
          <w:divBdr>
            <w:top w:val="none" w:sz="0" w:space="0" w:color="auto"/>
            <w:left w:val="none" w:sz="0" w:space="0" w:color="auto"/>
            <w:bottom w:val="none" w:sz="0" w:space="0" w:color="auto"/>
            <w:right w:val="none" w:sz="0" w:space="0" w:color="auto"/>
          </w:divBdr>
        </w:div>
        <w:div w:id="978533088">
          <w:marLeft w:val="0"/>
          <w:marRight w:val="0"/>
          <w:marTop w:val="0"/>
          <w:marBottom w:val="0"/>
          <w:divBdr>
            <w:top w:val="none" w:sz="0" w:space="0" w:color="auto"/>
            <w:left w:val="none" w:sz="0" w:space="0" w:color="auto"/>
            <w:bottom w:val="none" w:sz="0" w:space="0" w:color="auto"/>
            <w:right w:val="none" w:sz="0" w:space="0" w:color="auto"/>
          </w:divBdr>
        </w:div>
        <w:div w:id="994337840">
          <w:marLeft w:val="0"/>
          <w:marRight w:val="0"/>
          <w:marTop w:val="0"/>
          <w:marBottom w:val="0"/>
          <w:divBdr>
            <w:top w:val="none" w:sz="0" w:space="0" w:color="auto"/>
            <w:left w:val="none" w:sz="0" w:space="0" w:color="auto"/>
            <w:bottom w:val="none" w:sz="0" w:space="0" w:color="auto"/>
            <w:right w:val="none" w:sz="0" w:space="0" w:color="auto"/>
          </w:divBdr>
        </w:div>
        <w:div w:id="1007100593">
          <w:marLeft w:val="0"/>
          <w:marRight w:val="0"/>
          <w:marTop w:val="0"/>
          <w:marBottom w:val="0"/>
          <w:divBdr>
            <w:top w:val="none" w:sz="0" w:space="0" w:color="auto"/>
            <w:left w:val="none" w:sz="0" w:space="0" w:color="auto"/>
            <w:bottom w:val="none" w:sz="0" w:space="0" w:color="auto"/>
            <w:right w:val="none" w:sz="0" w:space="0" w:color="auto"/>
          </w:divBdr>
        </w:div>
        <w:div w:id="1017148323">
          <w:marLeft w:val="0"/>
          <w:marRight w:val="0"/>
          <w:marTop w:val="0"/>
          <w:marBottom w:val="0"/>
          <w:divBdr>
            <w:top w:val="none" w:sz="0" w:space="0" w:color="auto"/>
            <w:left w:val="none" w:sz="0" w:space="0" w:color="auto"/>
            <w:bottom w:val="none" w:sz="0" w:space="0" w:color="auto"/>
            <w:right w:val="none" w:sz="0" w:space="0" w:color="auto"/>
          </w:divBdr>
        </w:div>
        <w:div w:id="1062366019">
          <w:marLeft w:val="0"/>
          <w:marRight w:val="0"/>
          <w:marTop w:val="0"/>
          <w:marBottom w:val="0"/>
          <w:divBdr>
            <w:top w:val="none" w:sz="0" w:space="0" w:color="auto"/>
            <w:left w:val="none" w:sz="0" w:space="0" w:color="auto"/>
            <w:bottom w:val="none" w:sz="0" w:space="0" w:color="auto"/>
            <w:right w:val="none" w:sz="0" w:space="0" w:color="auto"/>
          </w:divBdr>
        </w:div>
        <w:div w:id="1128470028">
          <w:marLeft w:val="0"/>
          <w:marRight w:val="0"/>
          <w:marTop w:val="0"/>
          <w:marBottom w:val="0"/>
          <w:divBdr>
            <w:top w:val="none" w:sz="0" w:space="0" w:color="auto"/>
            <w:left w:val="none" w:sz="0" w:space="0" w:color="auto"/>
            <w:bottom w:val="none" w:sz="0" w:space="0" w:color="auto"/>
            <w:right w:val="none" w:sz="0" w:space="0" w:color="auto"/>
          </w:divBdr>
        </w:div>
        <w:div w:id="1143276677">
          <w:marLeft w:val="0"/>
          <w:marRight w:val="0"/>
          <w:marTop w:val="0"/>
          <w:marBottom w:val="0"/>
          <w:divBdr>
            <w:top w:val="none" w:sz="0" w:space="0" w:color="auto"/>
            <w:left w:val="none" w:sz="0" w:space="0" w:color="auto"/>
            <w:bottom w:val="none" w:sz="0" w:space="0" w:color="auto"/>
            <w:right w:val="none" w:sz="0" w:space="0" w:color="auto"/>
          </w:divBdr>
        </w:div>
        <w:div w:id="1158959319">
          <w:marLeft w:val="0"/>
          <w:marRight w:val="0"/>
          <w:marTop w:val="0"/>
          <w:marBottom w:val="0"/>
          <w:divBdr>
            <w:top w:val="none" w:sz="0" w:space="0" w:color="auto"/>
            <w:left w:val="none" w:sz="0" w:space="0" w:color="auto"/>
            <w:bottom w:val="none" w:sz="0" w:space="0" w:color="auto"/>
            <w:right w:val="none" w:sz="0" w:space="0" w:color="auto"/>
          </w:divBdr>
        </w:div>
        <w:div w:id="1173642156">
          <w:marLeft w:val="0"/>
          <w:marRight w:val="0"/>
          <w:marTop w:val="0"/>
          <w:marBottom w:val="0"/>
          <w:divBdr>
            <w:top w:val="none" w:sz="0" w:space="0" w:color="auto"/>
            <w:left w:val="none" w:sz="0" w:space="0" w:color="auto"/>
            <w:bottom w:val="none" w:sz="0" w:space="0" w:color="auto"/>
            <w:right w:val="none" w:sz="0" w:space="0" w:color="auto"/>
          </w:divBdr>
        </w:div>
        <w:div w:id="1217086104">
          <w:marLeft w:val="0"/>
          <w:marRight w:val="0"/>
          <w:marTop w:val="0"/>
          <w:marBottom w:val="0"/>
          <w:divBdr>
            <w:top w:val="none" w:sz="0" w:space="0" w:color="auto"/>
            <w:left w:val="none" w:sz="0" w:space="0" w:color="auto"/>
            <w:bottom w:val="none" w:sz="0" w:space="0" w:color="auto"/>
            <w:right w:val="none" w:sz="0" w:space="0" w:color="auto"/>
          </w:divBdr>
        </w:div>
        <w:div w:id="1221012421">
          <w:marLeft w:val="0"/>
          <w:marRight w:val="0"/>
          <w:marTop w:val="0"/>
          <w:marBottom w:val="0"/>
          <w:divBdr>
            <w:top w:val="none" w:sz="0" w:space="0" w:color="auto"/>
            <w:left w:val="none" w:sz="0" w:space="0" w:color="auto"/>
            <w:bottom w:val="none" w:sz="0" w:space="0" w:color="auto"/>
            <w:right w:val="none" w:sz="0" w:space="0" w:color="auto"/>
          </w:divBdr>
        </w:div>
        <w:div w:id="1233392830">
          <w:marLeft w:val="0"/>
          <w:marRight w:val="0"/>
          <w:marTop w:val="0"/>
          <w:marBottom w:val="0"/>
          <w:divBdr>
            <w:top w:val="none" w:sz="0" w:space="0" w:color="auto"/>
            <w:left w:val="none" w:sz="0" w:space="0" w:color="auto"/>
            <w:bottom w:val="none" w:sz="0" w:space="0" w:color="auto"/>
            <w:right w:val="none" w:sz="0" w:space="0" w:color="auto"/>
          </w:divBdr>
        </w:div>
        <w:div w:id="1239100009">
          <w:marLeft w:val="0"/>
          <w:marRight w:val="0"/>
          <w:marTop w:val="0"/>
          <w:marBottom w:val="0"/>
          <w:divBdr>
            <w:top w:val="none" w:sz="0" w:space="0" w:color="auto"/>
            <w:left w:val="none" w:sz="0" w:space="0" w:color="auto"/>
            <w:bottom w:val="none" w:sz="0" w:space="0" w:color="auto"/>
            <w:right w:val="none" w:sz="0" w:space="0" w:color="auto"/>
          </w:divBdr>
        </w:div>
        <w:div w:id="1279332535">
          <w:marLeft w:val="0"/>
          <w:marRight w:val="0"/>
          <w:marTop w:val="0"/>
          <w:marBottom w:val="0"/>
          <w:divBdr>
            <w:top w:val="none" w:sz="0" w:space="0" w:color="auto"/>
            <w:left w:val="none" w:sz="0" w:space="0" w:color="auto"/>
            <w:bottom w:val="none" w:sz="0" w:space="0" w:color="auto"/>
            <w:right w:val="none" w:sz="0" w:space="0" w:color="auto"/>
          </w:divBdr>
        </w:div>
        <w:div w:id="1281457438">
          <w:marLeft w:val="0"/>
          <w:marRight w:val="0"/>
          <w:marTop w:val="0"/>
          <w:marBottom w:val="0"/>
          <w:divBdr>
            <w:top w:val="none" w:sz="0" w:space="0" w:color="auto"/>
            <w:left w:val="none" w:sz="0" w:space="0" w:color="auto"/>
            <w:bottom w:val="none" w:sz="0" w:space="0" w:color="auto"/>
            <w:right w:val="none" w:sz="0" w:space="0" w:color="auto"/>
          </w:divBdr>
        </w:div>
        <w:div w:id="1295211426">
          <w:marLeft w:val="0"/>
          <w:marRight w:val="0"/>
          <w:marTop w:val="0"/>
          <w:marBottom w:val="0"/>
          <w:divBdr>
            <w:top w:val="none" w:sz="0" w:space="0" w:color="auto"/>
            <w:left w:val="none" w:sz="0" w:space="0" w:color="auto"/>
            <w:bottom w:val="none" w:sz="0" w:space="0" w:color="auto"/>
            <w:right w:val="none" w:sz="0" w:space="0" w:color="auto"/>
          </w:divBdr>
        </w:div>
        <w:div w:id="1300841529">
          <w:marLeft w:val="0"/>
          <w:marRight w:val="0"/>
          <w:marTop w:val="0"/>
          <w:marBottom w:val="0"/>
          <w:divBdr>
            <w:top w:val="none" w:sz="0" w:space="0" w:color="auto"/>
            <w:left w:val="none" w:sz="0" w:space="0" w:color="auto"/>
            <w:bottom w:val="none" w:sz="0" w:space="0" w:color="auto"/>
            <w:right w:val="none" w:sz="0" w:space="0" w:color="auto"/>
          </w:divBdr>
        </w:div>
        <w:div w:id="1314136576">
          <w:marLeft w:val="0"/>
          <w:marRight w:val="0"/>
          <w:marTop w:val="0"/>
          <w:marBottom w:val="0"/>
          <w:divBdr>
            <w:top w:val="none" w:sz="0" w:space="0" w:color="auto"/>
            <w:left w:val="none" w:sz="0" w:space="0" w:color="auto"/>
            <w:bottom w:val="none" w:sz="0" w:space="0" w:color="auto"/>
            <w:right w:val="none" w:sz="0" w:space="0" w:color="auto"/>
          </w:divBdr>
        </w:div>
        <w:div w:id="1338121090">
          <w:marLeft w:val="0"/>
          <w:marRight w:val="0"/>
          <w:marTop w:val="0"/>
          <w:marBottom w:val="0"/>
          <w:divBdr>
            <w:top w:val="none" w:sz="0" w:space="0" w:color="auto"/>
            <w:left w:val="none" w:sz="0" w:space="0" w:color="auto"/>
            <w:bottom w:val="none" w:sz="0" w:space="0" w:color="auto"/>
            <w:right w:val="none" w:sz="0" w:space="0" w:color="auto"/>
          </w:divBdr>
        </w:div>
        <w:div w:id="1345395617">
          <w:marLeft w:val="0"/>
          <w:marRight w:val="0"/>
          <w:marTop w:val="0"/>
          <w:marBottom w:val="0"/>
          <w:divBdr>
            <w:top w:val="none" w:sz="0" w:space="0" w:color="auto"/>
            <w:left w:val="none" w:sz="0" w:space="0" w:color="auto"/>
            <w:bottom w:val="none" w:sz="0" w:space="0" w:color="auto"/>
            <w:right w:val="none" w:sz="0" w:space="0" w:color="auto"/>
          </w:divBdr>
        </w:div>
        <w:div w:id="1345937101">
          <w:marLeft w:val="0"/>
          <w:marRight w:val="0"/>
          <w:marTop w:val="0"/>
          <w:marBottom w:val="0"/>
          <w:divBdr>
            <w:top w:val="none" w:sz="0" w:space="0" w:color="auto"/>
            <w:left w:val="none" w:sz="0" w:space="0" w:color="auto"/>
            <w:bottom w:val="none" w:sz="0" w:space="0" w:color="auto"/>
            <w:right w:val="none" w:sz="0" w:space="0" w:color="auto"/>
          </w:divBdr>
        </w:div>
        <w:div w:id="1357847432">
          <w:marLeft w:val="0"/>
          <w:marRight w:val="0"/>
          <w:marTop w:val="0"/>
          <w:marBottom w:val="0"/>
          <w:divBdr>
            <w:top w:val="none" w:sz="0" w:space="0" w:color="auto"/>
            <w:left w:val="none" w:sz="0" w:space="0" w:color="auto"/>
            <w:bottom w:val="none" w:sz="0" w:space="0" w:color="auto"/>
            <w:right w:val="none" w:sz="0" w:space="0" w:color="auto"/>
          </w:divBdr>
        </w:div>
        <w:div w:id="1514953792">
          <w:marLeft w:val="0"/>
          <w:marRight w:val="0"/>
          <w:marTop w:val="0"/>
          <w:marBottom w:val="0"/>
          <w:divBdr>
            <w:top w:val="none" w:sz="0" w:space="0" w:color="auto"/>
            <w:left w:val="none" w:sz="0" w:space="0" w:color="auto"/>
            <w:bottom w:val="none" w:sz="0" w:space="0" w:color="auto"/>
            <w:right w:val="none" w:sz="0" w:space="0" w:color="auto"/>
          </w:divBdr>
        </w:div>
        <w:div w:id="1521312441">
          <w:marLeft w:val="0"/>
          <w:marRight w:val="0"/>
          <w:marTop w:val="0"/>
          <w:marBottom w:val="0"/>
          <w:divBdr>
            <w:top w:val="none" w:sz="0" w:space="0" w:color="auto"/>
            <w:left w:val="none" w:sz="0" w:space="0" w:color="auto"/>
            <w:bottom w:val="none" w:sz="0" w:space="0" w:color="auto"/>
            <w:right w:val="none" w:sz="0" w:space="0" w:color="auto"/>
          </w:divBdr>
        </w:div>
        <w:div w:id="1541744215">
          <w:marLeft w:val="0"/>
          <w:marRight w:val="0"/>
          <w:marTop w:val="0"/>
          <w:marBottom w:val="0"/>
          <w:divBdr>
            <w:top w:val="none" w:sz="0" w:space="0" w:color="auto"/>
            <w:left w:val="none" w:sz="0" w:space="0" w:color="auto"/>
            <w:bottom w:val="none" w:sz="0" w:space="0" w:color="auto"/>
            <w:right w:val="none" w:sz="0" w:space="0" w:color="auto"/>
          </w:divBdr>
        </w:div>
        <w:div w:id="1582105393">
          <w:marLeft w:val="0"/>
          <w:marRight w:val="0"/>
          <w:marTop w:val="0"/>
          <w:marBottom w:val="0"/>
          <w:divBdr>
            <w:top w:val="none" w:sz="0" w:space="0" w:color="auto"/>
            <w:left w:val="none" w:sz="0" w:space="0" w:color="auto"/>
            <w:bottom w:val="none" w:sz="0" w:space="0" w:color="auto"/>
            <w:right w:val="none" w:sz="0" w:space="0" w:color="auto"/>
          </w:divBdr>
        </w:div>
        <w:div w:id="1584293073">
          <w:marLeft w:val="0"/>
          <w:marRight w:val="0"/>
          <w:marTop w:val="0"/>
          <w:marBottom w:val="0"/>
          <w:divBdr>
            <w:top w:val="none" w:sz="0" w:space="0" w:color="auto"/>
            <w:left w:val="none" w:sz="0" w:space="0" w:color="auto"/>
            <w:bottom w:val="none" w:sz="0" w:space="0" w:color="auto"/>
            <w:right w:val="none" w:sz="0" w:space="0" w:color="auto"/>
          </w:divBdr>
        </w:div>
        <w:div w:id="1611204635">
          <w:marLeft w:val="0"/>
          <w:marRight w:val="0"/>
          <w:marTop w:val="0"/>
          <w:marBottom w:val="0"/>
          <w:divBdr>
            <w:top w:val="none" w:sz="0" w:space="0" w:color="auto"/>
            <w:left w:val="none" w:sz="0" w:space="0" w:color="auto"/>
            <w:bottom w:val="none" w:sz="0" w:space="0" w:color="auto"/>
            <w:right w:val="none" w:sz="0" w:space="0" w:color="auto"/>
          </w:divBdr>
        </w:div>
        <w:div w:id="1628507407">
          <w:marLeft w:val="0"/>
          <w:marRight w:val="0"/>
          <w:marTop w:val="0"/>
          <w:marBottom w:val="0"/>
          <w:divBdr>
            <w:top w:val="none" w:sz="0" w:space="0" w:color="auto"/>
            <w:left w:val="none" w:sz="0" w:space="0" w:color="auto"/>
            <w:bottom w:val="none" w:sz="0" w:space="0" w:color="auto"/>
            <w:right w:val="none" w:sz="0" w:space="0" w:color="auto"/>
          </w:divBdr>
        </w:div>
        <w:div w:id="1642807400">
          <w:marLeft w:val="0"/>
          <w:marRight w:val="0"/>
          <w:marTop w:val="0"/>
          <w:marBottom w:val="0"/>
          <w:divBdr>
            <w:top w:val="none" w:sz="0" w:space="0" w:color="auto"/>
            <w:left w:val="none" w:sz="0" w:space="0" w:color="auto"/>
            <w:bottom w:val="none" w:sz="0" w:space="0" w:color="auto"/>
            <w:right w:val="none" w:sz="0" w:space="0" w:color="auto"/>
          </w:divBdr>
        </w:div>
        <w:div w:id="1643382644">
          <w:marLeft w:val="0"/>
          <w:marRight w:val="0"/>
          <w:marTop w:val="0"/>
          <w:marBottom w:val="0"/>
          <w:divBdr>
            <w:top w:val="none" w:sz="0" w:space="0" w:color="auto"/>
            <w:left w:val="none" w:sz="0" w:space="0" w:color="auto"/>
            <w:bottom w:val="none" w:sz="0" w:space="0" w:color="auto"/>
            <w:right w:val="none" w:sz="0" w:space="0" w:color="auto"/>
          </w:divBdr>
        </w:div>
        <w:div w:id="1695421933">
          <w:marLeft w:val="0"/>
          <w:marRight w:val="0"/>
          <w:marTop w:val="0"/>
          <w:marBottom w:val="0"/>
          <w:divBdr>
            <w:top w:val="none" w:sz="0" w:space="0" w:color="auto"/>
            <w:left w:val="none" w:sz="0" w:space="0" w:color="auto"/>
            <w:bottom w:val="none" w:sz="0" w:space="0" w:color="auto"/>
            <w:right w:val="none" w:sz="0" w:space="0" w:color="auto"/>
          </w:divBdr>
        </w:div>
        <w:div w:id="1717387252">
          <w:marLeft w:val="0"/>
          <w:marRight w:val="0"/>
          <w:marTop w:val="0"/>
          <w:marBottom w:val="0"/>
          <w:divBdr>
            <w:top w:val="none" w:sz="0" w:space="0" w:color="auto"/>
            <w:left w:val="none" w:sz="0" w:space="0" w:color="auto"/>
            <w:bottom w:val="none" w:sz="0" w:space="0" w:color="auto"/>
            <w:right w:val="none" w:sz="0" w:space="0" w:color="auto"/>
          </w:divBdr>
        </w:div>
        <w:div w:id="1728918738">
          <w:marLeft w:val="0"/>
          <w:marRight w:val="0"/>
          <w:marTop w:val="0"/>
          <w:marBottom w:val="0"/>
          <w:divBdr>
            <w:top w:val="none" w:sz="0" w:space="0" w:color="auto"/>
            <w:left w:val="none" w:sz="0" w:space="0" w:color="auto"/>
            <w:bottom w:val="none" w:sz="0" w:space="0" w:color="auto"/>
            <w:right w:val="none" w:sz="0" w:space="0" w:color="auto"/>
          </w:divBdr>
        </w:div>
        <w:div w:id="1745836136">
          <w:marLeft w:val="0"/>
          <w:marRight w:val="0"/>
          <w:marTop w:val="0"/>
          <w:marBottom w:val="0"/>
          <w:divBdr>
            <w:top w:val="none" w:sz="0" w:space="0" w:color="auto"/>
            <w:left w:val="none" w:sz="0" w:space="0" w:color="auto"/>
            <w:bottom w:val="none" w:sz="0" w:space="0" w:color="auto"/>
            <w:right w:val="none" w:sz="0" w:space="0" w:color="auto"/>
          </w:divBdr>
        </w:div>
        <w:div w:id="1746339153">
          <w:marLeft w:val="0"/>
          <w:marRight w:val="0"/>
          <w:marTop w:val="0"/>
          <w:marBottom w:val="0"/>
          <w:divBdr>
            <w:top w:val="none" w:sz="0" w:space="0" w:color="auto"/>
            <w:left w:val="none" w:sz="0" w:space="0" w:color="auto"/>
            <w:bottom w:val="none" w:sz="0" w:space="0" w:color="auto"/>
            <w:right w:val="none" w:sz="0" w:space="0" w:color="auto"/>
          </w:divBdr>
        </w:div>
        <w:div w:id="1752311088">
          <w:marLeft w:val="0"/>
          <w:marRight w:val="0"/>
          <w:marTop w:val="0"/>
          <w:marBottom w:val="0"/>
          <w:divBdr>
            <w:top w:val="none" w:sz="0" w:space="0" w:color="auto"/>
            <w:left w:val="none" w:sz="0" w:space="0" w:color="auto"/>
            <w:bottom w:val="none" w:sz="0" w:space="0" w:color="auto"/>
            <w:right w:val="none" w:sz="0" w:space="0" w:color="auto"/>
          </w:divBdr>
        </w:div>
        <w:div w:id="1765540154">
          <w:marLeft w:val="0"/>
          <w:marRight w:val="0"/>
          <w:marTop w:val="0"/>
          <w:marBottom w:val="0"/>
          <w:divBdr>
            <w:top w:val="none" w:sz="0" w:space="0" w:color="auto"/>
            <w:left w:val="none" w:sz="0" w:space="0" w:color="auto"/>
            <w:bottom w:val="none" w:sz="0" w:space="0" w:color="auto"/>
            <w:right w:val="none" w:sz="0" w:space="0" w:color="auto"/>
          </w:divBdr>
        </w:div>
        <w:div w:id="1776750181">
          <w:marLeft w:val="0"/>
          <w:marRight w:val="0"/>
          <w:marTop w:val="0"/>
          <w:marBottom w:val="0"/>
          <w:divBdr>
            <w:top w:val="none" w:sz="0" w:space="0" w:color="auto"/>
            <w:left w:val="none" w:sz="0" w:space="0" w:color="auto"/>
            <w:bottom w:val="none" w:sz="0" w:space="0" w:color="auto"/>
            <w:right w:val="none" w:sz="0" w:space="0" w:color="auto"/>
          </w:divBdr>
        </w:div>
        <w:div w:id="1781148982">
          <w:marLeft w:val="0"/>
          <w:marRight w:val="0"/>
          <w:marTop w:val="0"/>
          <w:marBottom w:val="0"/>
          <w:divBdr>
            <w:top w:val="none" w:sz="0" w:space="0" w:color="auto"/>
            <w:left w:val="none" w:sz="0" w:space="0" w:color="auto"/>
            <w:bottom w:val="none" w:sz="0" w:space="0" w:color="auto"/>
            <w:right w:val="none" w:sz="0" w:space="0" w:color="auto"/>
          </w:divBdr>
        </w:div>
        <w:div w:id="1813398478">
          <w:marLeft w:val="0"/>
          <w:marRight w:val="0"/>
          <w:marTop w:val="0"/>
          <w:marBottom w:val="0"/>
          <w:divBdr>
            <w:top w:val="none" w:sz="0" w:space="0" w:color="auto"/>
            <w:left w:val="none" w:sz="0" w:space="0" w:color="auto"/>
            <w:bottom w:val="none" w:sz="0" w:space="0" w:color="auto"/>
            <w:right w:val="none" w:sz="0" w:space="0" w:color="auto"/>
          </w:divBdr>
        </w:div>
        <w:div w:id="1831292601">
          <w:marLeft w:val="0"/>
          <w:marRight w:val="0"/>
          <w:marTop w:val="0"/>
          <w:marBottom w:val="0"/>
          <w:divBdr>
            <w:top w:val="none" w:sz="0" w:space="0" w:color="auto"/>
            <w:left w:val="none" w:sz="0" w:space="0" w:color="auto"/>
            <w:bottom w:val="none" w:sz="0" w:space="0" w:color="auto"/>
            <w:right w:val="none" w:sz="0" w:space="0" w:color="auto"/>
          </w:divBdr>
        </w:div>
        <w:div w:id="1835608414">
          <w:marLeft w:val="0"/>
          <w:marRight w:val="0"/>
          <w:marTop w:val="0"/>
          <w:marBottom w:val="0"/>
          <w:divBdr>
            <w:top w:val="none" w:sz="0" w:space="0" w:color="auto"/>
            <w:left w:val="none" w:sz="0" w:space="0" w:color="auto"/>
            <w:bottom w:val="none" w:sz="0" w:space="0" w:color="auto"/>
            <w:right w:val="none" w:sz="0" w:space="0" w:color="auto"/>
          </w:divBdr>
        </w:div>
        <w:div w:id="1854297235">
          <w:marLeft w:val="0"/>
          <w:marRight w:val="0"/>
          <w:marTop w:val="0"/>
          <w:marBottom w:val="0"/>
          <w:divBdr>
            <w:top w:val="none" w:sz="0" w:space="0" w:color="auto"/>
            <w:left w:val="none" w:sz="0" w:space="0" w:color="auto"/>
            <w:bottom w:val="none" w:sz="0" w:space="0" w:color="auto"/>
            <w:right w:val="none" w:sz="0" w:space="0" w:color="auto"/>
          </w:divBdr>
        </w:div>
        <w:div w:id="1860045330">
          <w:marLeft w:val="0"/>
          <w:marRight w:val="0"/>
          <w:marTop w:val="0"/>
          <w:marBottom w:val="0"/>
          <w:divBdr>
            <w:top w:val="none" w:sz="0" w:space="0" w:color="auto"/>
            <w:left w:val="none" w:sz="0" w:space="0" w:color="auto"/>
            <w:bottom w:val="none" w:sz="0" w:space="0" w:color="auto"/>
            <w:right w:val="none" w:sz="0" w:space="0" w:color="auto"/>
          </w:divBdr>
        </w:div>
        <w:div w:id="1868106278">
          <w:marLeft w:val="0"/>
          <w:marRight w:val="0"/>
          <w:marTop w:val="0"/>
          <w:marBottom w:val="0"/>
          <w:divBdr>
            <w:top w:val="none" w:sz="0" w:space="0" w:color="auto"/>
            <w:left w:val="none" w:sz="0" w:space="0" w:color="auto"/>
            <w:bottom w:val="none" w:sz="0" w:space="0" w:color="auto"/>
            <w:right w:val="none" w:sz="0" w:space="0" w:color="auto"/>
          </w:divBdr>
        </w:div>
        <w:div w:id="1881283823">
          <w:marLeft w:val="0"/>
          <w:marRight w:val="0"/>
          <w:marTop w:val="0"/>
          <w:marBottom w:val="0"/>
          <w:divBdr>
            <w:top w:val="none" w:sz="0" w:space="0" w:color="auto"/>
            <w:left w:val="none" w:sz="0" w:space="0" w:color="auto"/>
            <w:bottom w:val="none" w:sz="0" w:space="0" w:color="auto"/>
            <w:right w:val="none" w:sz="0" w:space="0" w:color="auto"/>
          </w:divBdr>
        </w:div>
        <w:div w:id="1899780646">
          <w:marLeft w:val="0"/>
          <w:marRight w:val="0"/>
          <w:marTop w:val="0"/>
          <w:marBottom w:val="0"/>
          <w:divBdr>
            <w:top w:val="none" w:sz="0" w:space="0" w:color="auto"/>
            <w:left w:val="none" w:sz="0" w:space="0" w:color="auto"/>
            <w:bottom w:val="none" w:sz="0" w:space="0" w:color="auto"/>
            <w:right w:val="none" w:sz="0" w:space="0" w:color="auto"/>
          </w:divBdr>
        </w:div>
        <w:div w:id="1912738536">
          <w:marLeft w:val="0"/>
          <w:marRight w:val="0"/>
          <w:marTop w:val="0"/>
          <w:marBottom w:val="0"/>
          <w:divBdr>
            <w:top w:val="none" w:sz="0" w:space="0" w:color="auto"/>
            <w:left w:val="none" w:sz="0" w:space="0" w:color="auto"/>
            <w:bottom w:val="none" w:sz="0" w:space="0" w:color="auto"/>
            <w:right w:val="none" w:sz="0" w:space="0" w:color="auto"/>
          </w:divBdr>
        </w:div>
        <w:div w:id="1974749850">
          <w:marLeft w:val="0"/>
          <w:marRight w:val="0"/>
          <w:marTop w:val="0"/>
          <w:marBottom w:val="0"/>
          <w:divBdr>
            <w:top w:val="none" w:sz="0" w:space="0" w:color="auto"/>
            <w:left w:val="none" w:sz="0" w:space="0" w:color="auto"/>
            <w:bottom w:val="none" w:sz="0" w:space="0" w:color="auto"/>
            <w:right w:val="none" w:sz="0" w:space="0" w:color="auto"/>
          </w:divBdr>
        </w:div>
        <w:div w:id="1995989569">
          <w:marLeft w:val="0"/>
          <w:marRight w:val="0"/>
          <w:marTop w:val="0"/>
          <w:marBottom w:val="0"/>
          <w:divBdr>
            <w:top w:val="none" w:sz="0" w:space="0" w:color="auto"/>
            <w:left w:val="none" w:sz="0" w:space="0" w:color="auto"/>
            <w:bottom w:val="none" w:sz="0" w:space="0" w:color="auto"/>
            <w:right w:val="none" w:sz="0" w:space="0" w:color="auto"/>
          </w:divBdr>
        </w:div>
        <w:div w:id="2026243729">
          <w:marLeft w:val="0"/>
          <w:marRight w:val="0"/>
          <w:marTop w:val="0"/>
          <w:marBottom w:val="0"/>
          <w:divBdr>
            <w:top w:val="none" w:sz="0" w:space="0" w:color="auto"/>
            <w:left w:val="none" w:sz="0" w:space="0" w:color="auto"/>
            <w:bottom w:val="none" w:sz="0" w:space="0" w:color="auto"/>
            <w:right w:val="none" w:sz="0" w:space="0" w:color="auto"/>
          </w:divBdr>
        </w:div>
        <w:div w:id="2036416503">
          <w:marLeft w:val="0"/>
          <w:marRight w:val="0"/>
          <w:marTop w:val="0"/>
          <w:marBottom w:val="0"/>
          <w:divBdr>
            <w:top w:val="none" w:sz="0" w:space="0" w:color="auto"/>
            <w:left w:val="none" w:sz="0" w:space="0" w:color="auto"/>
            <w:bottom w:val="none" w:sz="0" w:space="0" w:color="auto"/>
            <w:right w:val="none" w:sz="0" w:space="0" w:color="auto"/>
          </w:divBdr>
        </w:div>
        <w:div w:id="2064867115">
          <w:marLeft w:val="0"/>
          <w:marRight w:val="0"/>
          <w:marTop w:val="0"/>
          <w:marBottom w:val="0"/>
          <w:divBdr>
            <w:top w:val="none" w:sz="0" w:space="0" w:color="auto"/>
            <w:left w:val="none" w:sz="0" w:space="0" w:color="auto"/>
            <w:bottom w:val="none" w:sz="0" w:space="0" w:color="auto"/>
            <w:right w:val="none" w:sz="0" w:space="0" w:color="auto"/>
          </w:divBdr>
        </w:div>
        <w:div w:id="2135637135">
          <w:marLeft w:val="0"/>
          <w:marRight w:val="0"/>
          <w:marTop w:val="0"/>
          <w:marBottom w:val="0"/>
          <w:divBdr>
            <w:top w:val="none" w:sz="0" w:space="0" w:color="auto"/>
            <w:left w:val="none" w:sz="0" w:space="0" w:color="auto"/>
            <w:bottom w:val="none" w:sz="0" w:space="0" w:color="auto"/>
            <w:right w:val="none" w:sz="0" w:space="0" w:color="auto"/>
          </w:divBdr>
        </w:div>
      </w:divsChild>
    </w:div>
    <w:div w:id="2055079084">
      <w:bodyDiv w:val="1"/>
      <w:marLeft w:val="150"/>
      <w:marRight w:val="150"/>
      <w:marTop w:val="150"/>
      <w:marBottom w:val="150"/>
      <w:divBdr>
        <w:top w:val="none" w:sz="0" w:space="0" w:color="auto"/>
        <w:left w:val="none" w:sz="0" w:space="0" w:color="auto"/>
        <w:bottom w:val="none" w:sz="0" w:space="0" w:color="auto"/>
        <w:right w:val="none" w:sz="0" w:space="0" w:color="auto"/>
      </w:divBdr>
      <w:divsChild>
        <w:div w:id="949630272">
          <w:marLeft w:val="0"/>
          <w:marRight w:val="0"/>
          <w:marTop w:val="0"/>
          <w:marBottom w:val="0"/>
          <w:divBdr>
            <w:top w:val="none" w:sz="0" w:space="0" w:color="auto"/>
            <w:left w:val="none" w:sz="0" w:space="0" w:color="auto"/>
            <w:bottom w:val="none" w:sz="0" w:space="0" w:color="auto"/>
            <w:right w:val="none" w:sz="0" w:space="0" w:color="auto"/>
          </w:divBdr>
        </w:div>
      </w:divsChild>
    </w:div>
    <w:div w:id="2079789638">
      <w:bodyDiv w:val="1"/>
      <w:marLeft w:val="0"/>
      <w:marRight w:val="0"/>
      <w:marTop w:val="0"/>
      <w:marBottom w:val="0"/>
      <w:divBdr>
        <w:top w:val="none" w:sz="0" w:space="0" w:color="auto"/>
        <w:left w:val="none" w:sz="0" w:space="0" w:color="auto"/>
        <w:bottom w:val="none" w:sz="0" w:space="0" w:color="auto"/>
        <w:right w:val="none" w:sz="0" w:space="0" w:color="auto"/>
      </w:divBdr>
      <w:divsChild>
        <w:div w:id="892883924">
          <w:marLeft w:val="0"/>
          <w:marRight w:val="0"/>
          <w:marTop w:val="0"/>
          <w:marBottom w:val="0"/>
          <w:divBdr>
            <w:top w:val="none" w:sz="0" w:space="0" w:color="auto"/>
            <w:left w:val="single" w:sz="6" w:space="0" w:color="999999"/>
            <w:bottom w:val="single" w:sz="6" w:space="0" w:color="999999"/>
            <w:right w:val="none" w:sz="0" w:space="0" w:color="auto"/>
          </w:divBdr>
          <w:divsChild>
            <w:div w:id="1585609324">
              <w:marLeft w:val="0"/>
              <w:marRight w:val="0"/>
              <w:marTop w:val="0"/>
              <w:marBottom w:val="0"/>
              <w:divBdr>
                <w:top w:val="none" w:sz="0" w:space="0" w:color="auto"/>
                <w:left w:val="none" w:sz="0" w:space="0" w:color="auto"/>
                <w:bottom w:val="none" w:sz="0" w:space="0" w:color="auto"/>
                <w:right w:val="single" w:sz="6" w:space="0" w:color="999999"/>
              </w:divBdr>
              <w:divsChild>
                <w:div w:id="76476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307847">
      <w:bodyDiv w:val="1"/>
      <w:marLeft w:val="178"/>
      <w:marRight w:val="178"/>
      <w:marTop w:val="178"/>
      <w:marBottom w:val="178"/>
      <w:divBdr>
        <w:top w:val="none" w:sz="0" w:space="0" w:color="auto"/>
        <w:left w:val="none" w:sz="0" w:space="0" w:color="auto"/>
        <w:bottom w:val="none" w:sz="0" w:space="0" w:color="auto"/>
        <w:right w:val="none" w:sz="0" w:space="0" w:color="auto"/>
      </w:divBdr>
      <w:divsChild>
        <w:div w:id="1681006497">
          <w:marLeft w:val="0"/>
          <w:marRight w:val="0"/>
          <w:marTop w:val="0"/>
          <w:marBottom w:val="0"/>
          <w:divBdr>
            <w:top w:val="none" w:sz="0" w:space="0" w:color="auto"/>
            <w:left w:val="none" w:sz="0" w:space="0" w:color="auto"/>
            <w:bottom w:val="none" w:sz="0" w:space="0" w:color="auto"/>
            <w:right w:val="none" w:sz="0" w:space="0" w:color="auto"/>
          </w:divBdr>
        </w:div>
      </w:divsChild>
    </w:div>
    <w:div w:id="2091268207">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187406107">
          <w:marLeft w:val="0"/>
          <w:marRight w:val="0"/>
          <w:marTop w:val="0"/>
          <w:marBottom w:val="0"/>
          <w:divBdr>
            <w:top w:val="none" w:sz="0" w:space="0" w:color="auto"/>
            <w:left w:val="none" w:sz="0" w:space="0" w:color="auto"/>
            <w:bottom w:val="none" w:sz="0" w:space="0" w:color="auto"/>
            <w:right w:val="none" w:sz="0" w:space="0" w:color="auto"/>
          </w:divBdr>
          <w:divsChild>
            <w:div w:id="2102290491">
              <w:marLeft w:val="0"/>
              <w:marRight w:val="0"/>
              <w:marTop w:val="0"/>
              <w:marBottom w:val="0"/>
              <w:divBdr>
                <w:top w:val="none" w:sz="0" w:space="0" w:color="auto"/>
                <w:left w:val="none" w:sz="0" w:space="0" w:color="auto"/>
                <w:bottom w:val="none" w:sz="0" w:space="0" w:color="auto"/>
                <w:right w:val="none" w:sz="0" w:space="0" w:color="auto"/>
              </w:divBdr>
              <w:divsChild>
                <w:div w:id="1118336225">
                  <w:marLeft w:val="0"/>
                  <w:marRight w:val="0"/>
                  <w:marTop w:val="0"/>
                  <w:marBottom w:val="0"/>
                  <w:divBdr>
                    <w:top w:val="none" w:sz="0" w:space="0" w:color="auto"/>
                    <w:left w:val="none" w:sz="0" w:space="0" w:color="auto"/>
                    <w:bottom w:val="none" w:sz="0" w:space="0" w:color="auto"/>
                    <w:right w:val="none" w:sz="0" w:space="0" w:color="auto"/>
                  </w:divBdr>
                  <w:divsChild>
                    <w:div w:id="2087726799">
                      <w:marLeft w:val="0"/>
                      <w:marRight w:val="0"/>
                      <w:marTop w:val="0"/>
                      <w:marBottom w:val="0"/>
                      <w:divBdr>
                        <w:top w:val="none" w:sz="0" w:space="0" w:color="auto"/>
                        <w:left w:val="none" w:sz="0" w:space="0" w:color="auto"/>
                        <w:bottom w:val="none" w:sz="0" w:space="0" w:color="auto"/>
                        <w:right w:val="none" w:sz="0" w:space="0" w:color="auto"/>
                      </w:divBdr>
                      <w:divsChild>
                        <w:div w:id="341205355">
                          <w:marLeft w:val="0"/>
                          <w:marRight w:val="0"/>
                          <w:marTop w:val="0"/>
                          <w:marBottom w:val="0"/>
                          <w:divBdr>
                            <w:top w:val="none" w:sz="0" w:space="0" w:color="auto"/>
                            <w:left w:val="none" w:sz="0" w:space="0" w:color="auto"/>
                            <w:bottom w:val="none" w:sz="0" w:space="0" w:color="auto"/>
                            <w:right w:val="none" w:sz="0" w:space="0" w:color="auto"/>
                          </w:divBdr>
                          <w:divsChild>
                            <w:div w:id="332949525">
                              <w:marLeft w:val="0"/>
                              <w:marRight w:val="0"/>
                              <w:marTop w:val="0"/>
                              <w:marBottom w:val="0"/>
                              <w:divBdr>
                                <w:top w:val="none" w:sz="0" w:space="0" w:color="auto"/>
                                <w:left w:val="none" w:sz="0" w:space="0" w:color="auto"/>
                                <w:bottom w:val="none" w:sz="0" w:space="0" w:color="auto"/>
                                <w:right w:val="none" w:sz="0" w:space="0" w:color="auto"/>
                              </w:divBdr>
                              <w:divsChild>
                                <w:div w:id="282813658">
                                  <w:marLeft w:val="0"/>
                                  <w:marRight w:val="0"/>
                                  <w:marTop w:val="0"/>
                                  <w:marBottom w:val="0"/>
                                  <w:divBdr>
                                    <w:top w:val="none" w:sz="0" w:space="0" w:color="auto"/>
                                    <w:left w:val="none" w:sz="0" w:space="0" w:color="auto"/>
                                    <w:bottom w:val="none" w:sz="0" w:space="0" w:color="auto"/>
                                    <w:right w:val="none" w:sz="0" w:space="0" w:color="auto"/>
                                  </w:divBdr>
                                  <w:divsChild>
                                    <w:div w:id="1422294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4179520">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51605188">
          <w:marLeft w:val="0"/>
          <w:marRight w:val="0"/>
          <w:marTop w:val="0"/>
          <w:marBottom w:val="0"/>
          <w:divBdr>
            <w:top w:val="none" w:sz="0" w:space="0" w:color="auto"/>
            <w:left w:val="none" w:sz="0" w:space="0" w:color="auto"/>
            <w:bottom w:val="none" w:sz="0" w:space="0" w:color="auto"/>
            <w:right w:val="none" w:sz="0" w:space="0" w:color="auto"/>
          </w:divBdr>
        </w:div>
        <w:div w:id="199243969">
          <w:marLeft w:val="0"/>
          <w:marRight w:val="0"/>
          <w:marTop w:val="0"/>
          <w:marBottom w:val="0"/>
          <w:divBdr>
            <w:top w:val="none" w:sz="0" w:space="0" w:color="auto"/>
            <w:left w:val="none" w:sz="0" w:space="0" w:color="auto"/>
            <w:bottom w:val="none" w:sz="0" w:space="0" w:color="auto"/>
            <w:right w:val="none" w:sz="0" w:space="0" w:color="auto"/>
          </w:divBdr>
        </w:div>
        <w:div w:id="260573682">
          <w:marLeft w:val="0"/>
          <w:marRight w:val="0"/>
          <w:marTop w:val="0"/>
          <w:marBottom w:val="0"/>
          <w:divBdr>
            <w:top w:val="none" w:sz="0" w:space="0" w:color="auto"/>
            <w:left w:val="none" w:sz="0" w:space="0" w:color="auto"/>
            <w:bottom w:val="none" w:sz="0" w:space="0" w:color="auto"/>
            <w:right w:val="none" w:sz="0" w:space="0" w:color="auto"/>
          </w:divBdr>
        </w:div>
        <w:div w:id="269817929">
          <w:marLeft w:val="0"/>
          <w:marRight w:val="0"/>
          <w:marTop w:val="0"/>
          <w:marBottom w:val="0"/>
          <w:divBdr>
            <w:top w:val="none" w:sz="0" w:space="0" w:color="auto"/>
            <w:left w:val="none" w:sz="0" w:space="0" w:color="auto"/>
            <w:bottom w:val="none" w:sz="0" w:space="0" w:color="auto"/>
            <w:right w:val="none" w:sz="0" w:space="0" w:color="auto"/>
          </w:divBdr>
        </w:div>
        <w:div w:id="502205992">
          <w:marLeft w:val="0"/>
          <w:marRight w:val="0"/>
          <w:marTop w:val="0"/>
          <w:marBottom w:val="0"/>
          <w:divBdr>
            <w:top w:val="none" w:sz="0" w:space="0" w:color="auto"/>
            <w:left w:val="none" w:sz="0" w:space="0" w:color="auto"/>
            <w:bottom w:val="none" w:sz="0" w:space="0" w:color="auto"/>
            <w:right w:val="none" w:sz="0" w:space="0" w:color="auto"/>
          </w:divBdr>
        </w:div>
        <w:div w:id="593245350">
          <w:marLeft w:val="0"/>
          <w:marRight w:val="0"/>
          <w:marTop w:val="0"/>
          <w:marBottom w:val="0"/>
          <w:divBdr>
            <w:top w:val="none" w:sz="0" w:space="0" w:color="auto"/>
            <w:left w:val="none" w:sz="0" w:space="0" w:color="auto"/>
            <w:bottom w:val="none" w:sz="0" w:space="0" w:color="auto"/>
            <w:right w:val="none" w:sz="0" w:space="0" w:color="auto"/>
          </w:divBdr>
        </w:div>
        <w:div w:id="642154247">
          <w:marLeft w:val="0"/>
          <w:marRight w:val="0"/>
          <w:marTop w:val="0"/>
          <w:marBottom w:val="0"/>
          <w:divBdr>
            <w:top w:val="none" w:sz="0" w:space="0" w:color="auto"/>
            <w:left w:val="none" w:sz="0" w:space="0" w:color="auto"/>
            <w:bottom w:val="none" w:sz="0" w:space="0" w:color="auto"/>
            <w:right w:val="none" w:sz="0" w:space="0" w:color="auto"/>
          </w:divBdr>
        </w:div>
        <w:div w:id="712077107">
          <w:marLeft w:val="0"/>
          <w:marRight w:val="0"/>
          <w:marTop w:val="0"/>
          <w:marBottom w:val="0"/>
          <w:divBdr>
            <w:top w:val="none" w:sz="0" w:space="0" w:color="auto"/>
            <w:left w:val="none" w:sz="0" w:space="0" w:color="auto"/>
            <w:bottom w:val="none" w:sz="0" w:space="0" w:color="auto"/>
            <w:right w:val="none" w:sz="0" w:space="0" w:color="auto"/>
          </w:divBdr>
        </w:div>
        <w:div w:id="753206484">
          <w:marLeft w:val="0"/>
          <w:marRight w:val="0"/>
          <w:marTop w:val="0"/>
          <w:marBottom w:val="0"/>
          <w:divBdr>
            <w:top w:val="none" w:sz="0" w:space="0" w:color="auto"/>
            <w:left w:val="none" w:sz="0" w:space="0" w:color="auto"/>
            <w:bottom w:val="none" w:sz="0" w:space="0" w:color="auto"/>
            <w:right w:val="none" w:sz="0" w:space="0" w:color="auto"/>
          </w:divBdr>
        </w:div>
        <w:div w:id="799884173">
          <w:marLeft w:val="0"/>
          <w:marRight w:val="0"/>
          <w:marTop w:val="0"/>
          <w:marBottom w:val="0"/>
          <w:divBdr>
            <w:top w:val="none" w:sz="0" w:space="0" w:color="auto"/>
            <w:left w:val="none" w:sz="0" w:space="0" w:color="auto"/>
            <w:bottom w:val="none" w:sz="0" w:space="0" w:color="auto"/>
            <w:right w:val="none" w:sz="0" w:space="0" w:color="auto"/>
          </w:divBdr>
        </w:div>
        <w:div w:id="1075472605">
          <w:marLeft w:val="0"/>
          <w:marRight w:val="0"/>
          <w:marTop w:val="0"/>
          <w:marBottom w:val="0"/>
          <w:divBdr>
            <w:top w:val="none" w:sz="0" w:space="0" w:color="auto"/>
            <w:left w:val="none" w:sz="0" w:space="0" w:color="auto"/>
            <w:bottom w:val="none" w:sz="0" w:space="0" w:color="auto"/>
            <w:right w:val="none" w:sz="0" w:space="0" w:color="auto"/>
          </w:divBdr>
        </w:div>
        <w:div w:id="1279407411">
          <w:marLeft w:val="0"/>
          <w:marRight w:val="0"/>
          <w:marTop w:val="0"/>
          <w:marBottom w:val="0"/>
          <w:divBdr>
            <w:top w:val="none" w:sz="0" w:space="0" w:color="auto"/>
            <w:left w:val="none" w:sz="0" w:space="0" w:color="auto"/>
            <w:bottom w:val="none" w:sz="0" w:space="0" w:color="auto"/>
            <w:right w:val="none" w:sz="0" w:space="0" w:color="auto"/>
          </w:divBdr>
        </w:div>
        <w:div w:id="1528366231">
          <w:marLeft w:val="0"/>
          <w:marRight w:val="0"/>
          <w:marTop w:val="0"/>
          <w:marBottom w:val="0"/>
          <w:divBdr>
            <w:top w:val="none" w:sz="0" w:space="0" w:color="auto"/>
            <w:left w:val="none" w:sz="0" w:space="0" w:color="auto"/>
            <w:bottom w:val="none" w:sz="0" w:space="0" w:color="auto"/>
            <w:right w:val="none" w:sz="0" w:space="0" w:color="auto"/>
          </w:divBdr>
        </w:div>
        <w:div w:id="1581326962">
          <w:marLeft w:val="0"/>
          <w:marRight w:val="0"/>
          <w:marTop w:val="0"/>
          <w:marBottom w:val="0"/>
          <w:divBdr>
            <w:top w:val="none" w:sz="0" w:space="0" w:color="auto"/>
            <w:left w:val="none" w:sz="0" w:space="0" w:color="auto"/>
            <w:bottom w:val="none" w:sz="0" w:space="0" w:color="auto"/>
            <w:right w:val="none" w:sz="0" w:space="0" w:color="auto"/>
          </w:divBdr>
        </w:div>
        <w:div w:id="1835610372">
          <w:marLeft w:val="0"/>
          <w:marRight w:val="0"/>
          <w:marTop w:val="0"/>
          <w:marBottom w:val="0"/>
          <w:divBdr>
            <w:top w:val="none" w:sz="0" w:space="0" w:color="auto"/>
            <w:left w:val="none" w:sz="0" w:space="0" w:color="auto"/>
            <w:bottom w:val="none" w:sz="0" w:space="0" w:color="auto"/>
            <w:right w:val="none" w:sz="0" w:space="0" w:color="auto"/>
          </w:divBdr>
        </w:div>
        <w:div w:id="1965034620">
          <w:marLeft w:val="0"/>
          <w:marRight w:val="0"/>
          <w:marTop w:val="0"/>
          <w:marBottom w:val="0"/>
          <w:divBdr>
            <w:top w:val="none" w:sz="0" w:space="0" w:color="auto"/>
            <w:left w:val="none" w:sz="0" w:space="0" w:color="auto"/>
            <w:bottom w:val="none" w:sz="0" w:space="0" w:color="auto"/>
            <w:right w:val="none" w:sz="0" w:space="0" w:color="auto"/>
          </w:divBdr>
        </w:div>
        <w:div w:id="2078938718">
          <w:marLeft w:val="0"/>
          <w:marRight w:val="0"/>
          <w:marTop w:val="0"/>
          <w:marBottom w:val="0"/>
          <w:divBdr>
            <w:top w:val="none" w:sz="0" w:space="0" w:color="auto"/>
            <w:left w:val="none" w:sz="0" w:space="0" w:color="auto"/>
            <w:bottom w:val="none" w:sz="0" w:space="0" w:color="auto"/>
            <w:right w:val="none" w:sz="0" w:space="0" w:color="auto"/>
          </w:divBdr>
        </w:div>
      </w:divsChild>
    </w:div>
    <w:div w:id="2130582058">
      <w:bodyDiv w:val="1"/>
      <w:marLeft w:val="150"/>
      <w:marRight w:val="150"/>
      <w:marTop w:val="150"/>
      <w:marBottom w:val="150"/>
      <w:divBdr>
        <w:top w:val="none" w:sz="0" w:space="0" w:color="auto"/>
        <w:left w:val="none" w:sz="0" w:space="0" w:color="auto"/>
        <w:bottom w:val="none" w:sz="0" w:space="0" w:color="auto"/>
        <w:right w:val="none" w:sz="0" w:space="0" w:color="auto"/>
      </w:divBdr>
      <w:divsChild>
        <w:div w:id="373774687">
          <w:marLeft w:val="0"/>
          <w:marRight w:val="0"/>
          <w:marTop w:val="0"/>
          <w:marBottom w:val="0"/>
          <w:divBdr>
            <w:top w:val="none" w:sz="0" w:space="0" w:color="auto"/>
            <w:left w:val="none" w:sz="0" w:space="0" w:color="auto"/>
            <w:bottom w:val="none" w:sz="0" w:space="0" w:color="auto"/>
            <w:right w:val="none" w:sz="0" w:space="0" w:color="auto"/>
          </w:divBdr>
        </w:div>
        <w:div w:id="885019937">
          <w:marLeft w:val="0"/>
          <w:marRight w:val="0"/>
          <w:marTop w:val="0"/>
          <w:marBottom w:val="0"/>
          <w:divBdr>
            <w:top w:val="none" w:sz="0" w:space="0" w:color="auto"/>
            <w:left w:val="none" w:sz="0" w:space="0" w:color="auto"/>
            <w:bottom w:val="none" w:sz="0" w:space="0" w:color="auto"/>
            <w:right w:val="none" w:sz="0" w:space="0" w:color="auto"/>
          </w:divBdr>
        </w:div>
        <w:div w:id="20397694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o" ma:contentTypeID="0x01010052AAF019EF6E5C43A9E4B6CAF157F461" ma:contentTypeVersion="7" ma:contentTypeDescription="Crear nuevo documento." ma:contentTypeScope="" ma:versionID="13a4e7ee405449aec2a11d26ed5dc054">
  <xsd:schema xmlns:xsd="http://www.w3.org/2001/XMLSchema" xmlns:xs="http://www.w3.org/2001/XMLSchema" xmlns:p="http://schemas.microsoft.com/office/2006/metadata/properties" xmlns:ns3="a63170b6-82d8-420c-8e2c-e6e9e08a74aa" targetNamespace="http://schemas.microsoft.com/office/2006/metadata/properties" ma:root="true" ma:fieldsID="76ef48d7143ccec9c88c7f0a49aa12e0" ns3:_="">
    <xsd:import namespace="a63170b6-82d8-420c-8e2c-e6e9e08a74a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3170b6-82d8-420c-8e2c-e6e9e08a74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B307E2-C5A9-4F34-8F81-54DEE91FCF89}">
  <ds:schemaRefs>
    <ds:schemaRef ds:uri="http://schemas.microsoft.com/sharepoint/v3/contenttype/forms"/>
  </ds:schemaRefs>
</ds:datastoreItem>
</file>

<file path=customXml/itemProps2.xml><?xml version="1.0" encoding="utf-8"?>
<ds:datastoreItem xmlns:ds="http://schemas.openxmlformats.org/officeDocument/2006/customXml" ds:itemID="{4543C88A-100A-4E08-8F0B-A45DB4B3B6A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B831F65-E69D-4366-A113-00BFBDD4C9BB}">
  <ds:schemaRefs>
    <ds:schemaRef ds:uri="http://schemas.openxmlformats.org/officeDocument/2006/bibliography"/>
  </ds:schemaRefs>
</ds:datastoreItem>
</file>

<file path=customXml/itemProps4.xml><?xml version="1.0" encoding="utf-8"?>
<ds:datastoreItem xmlns:ds="http://schemas.openxmlformats.org/officeDocument/2006/customXml" ds:itemID="{7DC2E898-47D9-457A-BA20-946A451D97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3170b6-82d8-420c-8e2c-e6e9e08a74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13710</Words>
  <Characters>75411</Characters>
  <Application>Microsoft Office Word</Application>
  <DocSecurity>0</DocSecurity>
  <Lines>628</Lines>
  <Paragraphs>177</Paragraphs>
  <ScaleCrop>false</ScaleCrop>
  <HeadingPairs>
    <vt:vector size="2" baseType="variant">
      <vt:variant>
        <vt:lpstr>Título</vt:lpstr>
      </vt:variant>
      <vt:variant>
        <vt:i4>1</vt:i4>
      </vt:variant>
    </vt:vector>
  </HeadingPairs>
  <TitlesOfParts>
    <vt:vector size="1" baseType="lpstr">
      <vt:lpstr> </vt:lpstr>
    </vt:vector>
  </TitlesOfParts>
  <Company/>
  <LinksUpToDate>false</LinksUpToDate>
  <CharactersWithSpaces>88944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SO_SEC_C1</dc:creator>
  <cp:keywords/>
  <dc:description/>
  <cp:lastModifiedBy>FLOR ANGELA Aldana</cp:lastModifiedBy>
  <cp:revision>2</cp:revision>
  <cp:lastPrinted>2013-04-18T22:41:00Z</cp:lastPrinted>
  <dcterms:created xsi:type="dcterms:W3CDTF">2020-06-26T16:07:00Z</dcterms:created>
  <dcterms:modified xsi:type="dcterms:W3CDTF">2020-06-26T16:07:00Z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0x01010052AAF019EF6E5C43A9E4B6CAF157F461</vt:lpwstr>
  </property>
</Properties>
</file>