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1977" w:rsidRPr="00FB0876" w:rsidRDefault="00BB4BEB" w:rsidP="00FB0876">
      <w:pPr>
        <w:jc w:val="both"/>
        <w:rPr>
          <w:b/>
          <w:sz w:val="22"/>
          <w:szCs w:val="22"/>
          <w:lang w:val="es-MX"/>
        </w:rPr>
      </w:pPr>
      <w:r>
        <w:rPr>
          <w:b/>
          <w:sz w:val="22"/>
          <w:szCs w:val="22"/>
          <w:lang w:val="es-MX"/>
        </w:rPr>
        <w:t xml:space="preserve">ACCIÓN DE TUTELA – Contra providencia judicial – </w:t>
      </w:r>
      <w:r w:rsidR="00801977" w:rsidRPr="00FB0876">
        <w:rPr>
          <w:b/>
          <w:sz w:val="22"/>
          <w:szCs w:val="22"/>
          <w:lang w:val="es-MX"/>
        </w:rPr>
        <w:t xml:space="preserve">Reconocimiento </w:t>
      </w:r>
      <w:r>
        <w:rPr>
          <w:b/>
          <w:sz w:val="22"/>
          <w:szCs w:val="22"/>
          <w:lang w:val="es-MX"/>
        </w:rPr>
        <w:t xml:space="preserve">– </w:t>
      </w:r>
      <w:r w:rsidR="00801977" w:rsidRPr="00FB0876">
        <w:rPr>
          <w:b/>
          <w:sz w:val="22"/>
          <w:szCs w:val="22"/>
          <w:lang w:val="es-MX"/>
        </w:rPr>
        <w:t xml:space="preserve">Contrato realidad </w:t>
      </w:r>
      <w:r w:rsidR="00482568" w:rsidRPr="00FB0876">
        <w:rPr>
          <w:b/>
          <w:sz w:val="22"/>
          <w:szCs w:val="22"/>
          <w:lang w:val="es-MX"/>
        </w:rPr>
        <w:t xml:space="preserve">– Relación laboral </w:t>
      </w:r>
      <w:r>
        <w:rPr>
          <w:b/>
          <w:sz w:val="22"/>
          <w:szCs w:val="22"/>
          <w:lang w:val="es-MX"/>
        </w:rPr>
        <w:t>– Requisitos de procedencia</w:t>
      </w:r>
    </w:p>
    <w:p w:rsidR="00801977" w:rsidRPr="00FB0876" w:rsidRDefault="00801977" w:rsidP="00FB0876">
      <w:pPr>
        <w:jc w:val="both"/>
        <w:rPr>
          <w:sz w:val="22"/>
          <w:szCs w:val="22"/>
          <w:lang w:val="es-MX"/>
        </w:rPr>
      </w:pPr>
    </w:p>
    <w:p w:rsidR="00801977" w:rsidRPr="00FB0876" w:rsidRDefault="00801977" w:rsidP="00FB0876">
      <w:pPr>
        <w:jc w:val="both"/>
        <w:rPr>
          <w:sz w:val="22"/>
          <w:szCs w:val="22"/>
          <w:lang w:val="es-MX"/>
        </w:rPr>
      </w:pPr>
      <w:r w:rsidRPr="00FB0876">
        <w:rPr>
          <w:sz w:val="22"/>
          <w:szCs w:val="22"/>
          <w:lang w:val="es-MX"/>
        </w:rPr>
        <w:t xml:space="preserve">En el caso bajo examen se advierte que la acción de tutela cumple con los requisitos generales que exige la sentencia C-590 del 2005 para la procedencia contra providencia judicial, ya que: i) es evidente que la cuestión que se discute reviste relevancia constitucional, comoquiera que se controvierte la vulneración de varios derechos fundamentales; ii) cumplió con el principio de inmediatez, pues se interpuso antes de que transcurrieran (6) meses después de ejecutoriada la sentencia acusada ; iii) no existen medios ordinarios y/o extraordinarios de defensa judicial eficaces y eficientes con los cuales el accionante pueda lograr la protección de los derechos invocados; iv) se trata de una presunta irregularidad procesal que pueda resultar determinante en el proceso, por exceso ritual manifiesto que deberá estudiarse con detenimiento; v) el actor identificó los hechos y los derechos cuya vulneración alega; y vi) no se trata de una acción de tutela contra sentencia de tutela. (…) El señor James Albeiro Ordoñez Soto presentó acción de tutela en contra del Tribunal Administrativo del Huila, porque, a su juicio, vulneró su derecho fundamental al debido proceso, al proferir la sentencia de 19 de noviembre de 2015, mediante la cual se declaró inhibido de fallar por indebida escogencia de la acción, dentro del proceso de controversias contractuales con radicación número (…) El actor estima que la sentencia de 19 de noviembre de 2015 incurre en un defecto sustantivo y procedimental, por falta de aplicación del artículo 53 de la Constitución Política e indebida interpretación del artículo 87 del Código Contencioso Administrativo, que fijan, respectivamente, la primacía de la realidad sobre las formas y la posibilidad de ejercer la acción de controversias contractuales. Asimismo, alega que dicho fallo desconoce el precedente judicial sentado por el Consejo de Estado en sentencias de 25 de febrero de 2016, de 10 de marzo de </w:t>
      </w:r>
      <w:r w:rsidR="00482568" w:rsidRPr="00FB0876">
        <w:rPr>
          <w:sz w:val="22"/>
          <w:szCs w:val="22"/>
          <w:lang w:val="es-MX"/>
        </w:rPr>
        <w:t>2016 y</w:t>
      </w:r>
      <w:r w:rsidRPr="00FB0876">
        <w:rPr>
          <w:sz w:val="22"/>
          <w:szCs w:val="22"/>
          <w:lang w:val="es-MX"/>
        </w:rPr>
        <w:t xml:space="preserve"> 19 de julio de </w:t>
      </w:r>
      <w:r w:rsidR="00482568" w:rsidRPr="00FB0876">
        <w:rPr>
          <w:sz w:val="22"/>
          <w:szCs w:val="22"/>
          <w:lang w:val="es-MX"/>
        </w:rPr>
        <w:t>2007,</w:t>
      </w:r>
      <w:r w:rsidRPr="00FB0876">
        <w:rPr>
          <w:sz w:val="22"/>
          <w:szCs w:val="22"/>
          <w:lang w:val="es-MX"/>
        </w:rPr>
        <w:t xml:space="preserve"> las cuales indican que la acción contractual es el medio procedente para declarar el contrato realidad.</w:t>
      </w:r>
    </w:p>
    <w:p w:rsidR="00801977" w:rsidRPr="00FB0876" w:rsidRDefault="00801977" w:rsidP="00FB0876">
      <w:pPr>
        <w:jc w:val="both"/>
        <w:rPr>
          <w:sz w:val="22"/>
          <w:szCs w:val="22"/>
          <w:lang w:val="es-MX"/>
        </w:rPr>
      </w:pPr>
    </w:p>
    <w:p w:rsidR="00801977" w:rsidRPr="00FB0876" w:rsidRDefault="00BB4BEB" w:rsidP="00FB0876">
      <w:pPr>
        <w:jc w:val="both"/>
        <w:rPr>
          <w:sz w:val="22"/>
          <w:szCs w:val="22"/>
          <w:lang w:val="es-MX"/>
        </w:rPr>
      </w:pPr>
      <w:r>
        <w:rPr>
          <w:b/>
          <w:sz w:val="22"/>
          <w:szCs w:val="22"/>
          <w:lang w:val="es-MX"/>
        </w:rPr>
        <w:t>ACCIÓN CONTRACTUAL – Improcedencia –</w:t>
      </w:r>
      <w:r w:rsidR="00801977" w:rsidRPr="00FB0876">
        <w:rPr>
          <w:sz w:val="22"/>
          <w:szCs w:val="22"/>
          <w:lang w:val="es-MX"/>
        </w:rPr>
        <w:t xml:space="preserve"> </w:t>
      </w:r>
      <w:r w:rsidR="00801977" w:rsidRPr="00FB0876">
        <w:rPr>
          <w:b/>
          <w:sz w:val="22"/>
          <w:szCs w:val="22"/>
          <w:lang w:val="es-MX"/>
        </w:rPr>
        <w:t>Indebida escogencia del medio de control –</w:t>
      </w:r>
      <w:r>
        <w:rPr>
          <w:b/>
          <w:sz w:val="22"/>
          <w:szCs w:val="22"/>
          <w:lang w:val="es-MX"/>
        </w:rPr>
        <w:t xml:space="preserve"> </w:t>
      </w:r>
      <w:r w:rsidR="00801977" w:rsidRPr="00FB0876">
        <w:rPr>
          <w:b/>
          <w:sz w:val="22"/>
          <w:szCs w:val="22"/>
          <w:lang w:val="es-MX"/>
        </w:rPr>
        <w:t>Nulidad y restablecimiento del derecho</w:t>
      </w:r>
      <w:r>
        <w:rPr>
          <w:b/>
          <w:sz w:val="22"/>
          <w:szCs w:val="22"/>
          <w:lang w:val="es-MX"/>
        </w:rPr>
        <w:t xml:space="preserve"> – Acción procedente – Fallo inhibitorio – Carencia de acto administrativo </w:t>
      </w:r>
    </w:p>
    <w:p w:rsidR="00801977" w:rsidRPr="00FB0876" w:rsidRDefault="00801977" w:rsidP="00FB0876">
      <w:pPr>
        <w:jc w:val="both"/>
        <w:rPr>
          <w:sz w:val="22"/>
          <w:szCs w:val="22"/>
          <w:lang w:val="es-MX"/>
        </w:rPr>
      </w:pPr>
    </w:p>
    <w:p w:rsidR="00801977" w:rsidRPr="00FB0876" w:rsidRDefault="00B219C3" w:rsidP="00FB0876">
      <w:pPr>
        <w:jc w:val="both"/>
        <w:rPr>
          <w:sz w:val="22"/>
          <w:szCs w:val="22"/>
          <w:lang w:val="es-MX"/>
        </w:rPr>
      </w:pPr>
      <w:r>
        <w:rPr>
          <w:sz w:val="22"/>
          <w:szCs w:val="22"/>
          <w:lang w:val="es-MX"/>
        </w:rPr>
        <w:t>(…</w:t>
      </w:r>
      <w:bookmarkStart w:id="0" w:name="_GoBack"/>
      <w:bookmarkEnd w:id="0"/>
      <w:r>
        <w:rPr>
          <w:sz w:val="22"/>
          <w:szCs w:val="22"/>
          <w:lang w:val="es-MX"/>
        </w:rPr>
        <w:t>)</w:t>
      </w:r>
      <w:r w:rsidR="00801977" w:rsidRPr="00FB0876">
        <w:rPr>
          <w:sz w:val="22"/>
          <w:szCs w:val="22"/>
          <w:lang w:val="es-MX"/>
        </w:rPr>
        <w:t xml:space="preserve">la Sala advierte que la autoridad judicial demandada no hizo una interpretación arbitraria de la norma citada, pues la acción contractual es un medio judicial para resolver controversias contractuales y no para declarar relaciones laborales de hecho. Precisamente, era la acción de nulidad y restablecimiento del derecho la que debía haber ejercido el actor para solicitar el reconocimiento del contrato realidad y no la acción de controversias contractuales, pues (…) una y otra tienen como por objeto finalidades diferentes. La anterior interpretación no constituye un exceso ritual manifiesto, pues para el Tribunal no era posible proferir una decisión distinta si se tiene en cuenta que el objeto de las pretensiones del actor no correspondía a la acción de controversias contractuales, (…) en el asunto que ocupa la atención de la Sala, no le era posible al Tribunal demandado proferir un fallo de fondo si se tiene en cuenta que el objeto de las pretensiones del actor no correspondía a la acción de controversias contractuales que ejerció. (…) tal afirmación errada del Tribunal demandado no es suficiente para concluir que se vulneraron los derechos fundamentales del actor, pues aún cuando se aceptara, en gracia de discusión, que el litigio fue resuelto como si se tratara de una acción de nulidad y restablecimiento del derecho, tampoco habría sido posible un fallo de fondo por carencia de acto administrativo cuya legalidad pudiera ser evaluada, como lo advirtió la sentencia acusada. En consecuencia, no se vislumbra la vulneración alegada por el demandante (…) aunado al hecho de que tampoco acudió a la administración para provocar un pronunciamiento susceptible del medio de control de nulidad y restablecimiento del derecho, que era lo que legalmente correspondía. La primacía del derecho sustancial, si bien obliga a evitar el exceso de ritual manifiesto, no conlleva una derogatoria de la obligación para las partes de cumplir sus conductas procesales, como la debida escogencia de la acción, con estricta sujeción a los requisitos y dentro de la oportunidad legal debida. (…) Aunque en el caso de marras el actor afirma que se desconoció el precedente judicial sentado en el fallo de la Sección Segunda del Consejo de Estado de 19 de Julio de 2007 (M.P. Alejandro Ordoñez Maldonado), en el que se afirma que es posible reconocer la existencia de un contrato realidad a través de la acción contractual , lo cierto es que tal tesis no fue pacífica entonces, </w:t>
      </w:r>
      <w:r w:rsidR="00801977" w:rsidRPr="00FB0876">
        <w:rPr>
          <w:sz w:val="22"/>
          <w:szCs w:val="22"/>
          <w:lang w:val="es-MX"/>
        </w:rPr>
        <w:lastRenderedPageBreak/>
        <w:t>pues existían posturas contrarias que consideraban improcedente buscar la legalización de una relación laboral de facto a través de la acción contractual. (…) Teniendo claro que la postura referida como precedente por el accionante no era una tesis unificada y pacífica, mal podría concluirse que este era un precedente que debía acoger el Tribunal accionado. Además, aunque el accionante discute el desconocimiento de los precedentes sentados en las sentencias de 25 de febrero de 2016 y de 10 de marzo de 2016, dictadas ambas por la Sección Segunda, Subsección A, del Consejo de Estado, lo cierto es que tal argumento carece de validez para atacar la decisión que se reprocha, pues dichos fallos se profirieron con posterioridad a la sentencia controvertida, de 19 de noviembre de 2015.</w:t>
      </w:r>
    </w:p>
    <w:p w:rsidR="00FC5AB0" w:rsidRDefault="00FC5AB0" w:rsidP="00FC5AB0">
      <w:pPr>
        <w:jc w:val="both"/>
        <w:rPr>
          <w:b/>
        </w:rPr>
      </w:pPr>
    </w:p>
    <w:p w:rsidR="00801977" w:rsidRDefault="00801977" w:rsidP="00FC5AB0">
      <w:pPr>
        <w:jc w:val="both"/>
        <w:rPr>
          <w:b/>
        </w:rPr>
      </w:pPr>
    </w:p>
    <w:p w:rsidR="00801977" w:rsidRPr="007E36DF" w:rsidRDefault="00801977" w:rsidP="00FC5AB0">
      <w:pPr>
        <w:jc w:val="both"/>
      </w:pPr>
    </w:p>
    <w:p w:rsidR="00E507A6" w:rsidRPr="007E36DF" w:rsidRDefault="00967DB7" w:rsidP="00B4608B">
      <w:pPr>
        <w:jc w:val="center"/>
        <w:rPr>
          <w:b/>
        </w:rPr>
      </w:pPr>
      <w:r w:rsidRPr="007E36DF">
        <w:rPr>
          <w:b/>
        </w:rPr>
        <w:t>C</w:t>
      </w:r>
      <w:r w:rsidR="00E507A6" w:rsidRPr="007E36DF">
        <w:rPr>
          <w:b/>
        </w:rPr>
        <w:t>ONSEJO DE ESTADO</w:t>
      </w:r>
    </w:p>
    <w:p w:rsidR="00E507A6" w:rsidRPr="007E36DF" w:rsidRDefault="00E507A6" w:rsidP="00B4608B">
      <w:pPr>
        <w:jc w:val="center"/>
        <w:rPr>
          <w:b/>
        </w:rPr>
      </w:pPr>
    </w:p>
    <w:p w:rsidR="00E507A6" w:rsidRPr="007E36DF" w:rsidRDefault="00E507A6" w:rsidP="00B4608B">
      <w:pPr>
        <w:jc w:val="center"/>
        <w:rPr>
          <w:b/>
        </w:rPr>
      </w:pPr>
      <w:r w:rsidRPr="007E36DF">
        <w:rPr>
          <w:b/>
        </w:rPr>
        <w:t>SALA DE LO CONTENCIOSO ADMINISTRATIVO</w:t>
      </w:r>
    </w:p>
    <w:p w:rsidR="00E507A6" w:rsidRPr="007E36DF" w:rsidRDefault="00E507A6" w:rsidP="00B4608B">
      <w:pPr>
        <w:jc w:val="center"/>
        <w:rPr>
          <w:b/>
        </w:rPr>
      </w:pPr>
    </w:p>
    <w:p w:rsidR="00E507A6" w:rsidRPr="007E36DF" w:rsidRDefault="00E507A6" w:rsidP="00B4608B">
      <w:pPr>
        <w:jc w:val="center"/>
        <w:rPr>
          <w:b/>
        </w:rPr>
      </w:pPr>
      <w:r w:rsidRPr="007E36DF">
        <w:rPr>
          <w:b/>
        </w:rPr>
        <w:t>SECCIÓN PRIMERA</w:t>
      </w:r>
    </w:p>
    <w:p w:rsidR="00E507A6" w:rsidRPr="007E36DF" w:rsidRDefault="00E507A6" w:rsidP="00B4608B">
      <w:pPr>
        <w:jc w:val="center"/>
        <w:rPr>
          <w:b/>
        </w:rPr>
      </w:pPr>
    </w:p>
    <w:p w:rsidR="00E507A6" w:rsidRPr="007E36DF" w:rsidRDefault="00B4608B" w:rsidP="00B4608B">
      <w:pPr>
        <w:jc w:val="center"/>
        <w:rPr>
          <w:b/>
        </w:rPr>
      </w:pPr>
      <w:r w:rsidRPr="007E36DF">
        <w:rPr>
          <w:b/>
        </w:rPr>
        <w:t>Consejero p</w:t>
      </w:r>
      <w:r w:rsidR="00E507A6" w:rsidRPr="007E36DF">
        <w:rPr>
          <w:b/>
        </w:rPr>
        <w:t>onente: HERNANDO SÁNCHEZ SÁNCHEZ</w:t>
      </w:r>
    </w:p>
    <w:p w:rsidR="00E507A6" w:rsidRPr="007E36DF" w:rsidRDefault="00E507A6" w:rsidP="00967DB7"/>
    <w:p w:rsidR="00E507A6" w:rsidRPr="007E36DF" w:rsidRDefault="00B4608B" w:rsidP="00967DB7">
      <w:r w:rsidRPr="007E36DF">
        <w:t>Bogotá, D.</w:t>
      </w:r>
      <w:r w:rsidR="00E507A6" w:rsidRPr="007E36DF">
        <w:t>C, veintisiete (27) de abril de dos mil diecisiete (2017)</w:t>
      </w:r>
    </w:p>
    <w:p w:rsidR="00E507A6" w:rsidRPr="007E36DF" w:rsidRDefault="00E507A6" w:rsidP="00967DB7"/>
    <w:p w:rsidR="00E507A6" w:rsidRPr="007E36DF" w:rsidRDefault="00E507A6" w:rsidP="00967DB7">
      <w:pPr>
        <w:rPr>
          <w:b/>
        </w:rPr>
      </w:pPr>
      <w:r w:rsidRPr="007E36DF">
        <w:rPr>
          <w:b/>
        </w:rPr>
        <w:t>Radicación número: 11001-03-15-000-2016-02069-</w:t>
      </w:r>
      <w:r w:rsidR="00207E0B" w:rsidRPr="007E36DF">
        <w:rPr>
          <w:b/>
        </w:rPr>
        <w:t>0</w:t>
      </w:r>
      <w:r w:rsidRPr="007E36DF">
        <w:rPr>
          <w:b/>
        </w:rPr>
        <w:t>1</w:t>
      </w:r>
      <w:r w:rsidR="00207E0B" w:rsidRPr="007E36DF">
        <w:rPr>
          <w:b/>
        </w:rPr>
        <w:t>(AC)</w:t>
      </w:r>
    </w:p>
    <w:p w:rsidR="00E507A6" w:rsidRPr="007E36DF" w:rsidRDefault="0008033E" w:rsidP="00967DB7">
      <w:pPr>
        <w:rPr>
          <w:b/>
        </w:rPr>
      </w:pPr>
      <w:r>
        <w:rPr>
          <w:b/>
        </w:rPr>
        <w:t xml:space="preserve"> </w:t>
      </w:r>
    </w:p>
    <w:p w:rsidR="00E507A6" w:rsidRPr="007E36DF" w:rsidRDefault="00E507A6" w:rsidP="00967DB7">
      <w:pPr>
        <w:rPr>
          <w:b/>
        </w:rPr>
      </w:pPr>
      <w:r w:rsidRPr="007E36DF">
        <w:rPr>
          <w:b/>
        </w:rPr>
        <w:t>Actor: JAMES ALBEIRO ORDÓÑEZ SOTO</w:t>
      </w:r>
    </w:p>
    <w:p w:rsidR="00E507A6" w:rsidRPr="007E36DF" w:rsidRDefault="00E507A6" w:rsidP="00967DB7">
      <w:pPr>
        <w:rPr>
          <w:b/>
        </w:rPr>
      </w:pPr>
    </w:p>
    <w:p w:rsidR="00E507A6" w:rsidRPr="007E36DF" w:rsidRDefault="00E507A6" w:rsidP="00967DB7">
      <w:pPr>
        <w:rPr>
          <w:b/>
        </w:rPr>
      </w:pPr>
      <w:r w:rsidRPr="007E36DF">
        <w:rPr>
          <w:b/>
        </w:rPr>
        <w:t>Demandado: TRIBUNAL ADMINISTRATIVO DEL HUILA</w:t>
      </w:r>
    </w:p>
    <w:p w:rsidR="00E507A6" w:rsidRPr="007E36DF" w:rsidRDefault="00E507A6" w:rsidP="00967DB7">
      <w:pPr>
        <w:rPr>
          <w:b/>
        </w:rPr>
      </w:pPr>
    </w:p>
    <w:p w:rsidR="00E507A6" w:rsidRPr="007E36DF" w:rsidRDefault="00E507A6" w:rsidP="00967DB7"/>
    <w:p w:rsidR="00E507A6" w:rsidRPr="007E36DF" w:rsidRDefault="00E507A6" w:rsidP="00967DB7"/>
    <w:p w:rsidR="00E507A6" w:rsidRPr="007E36DF" w:rsidRDefault="00E507A6" w:rsidP="00E507A6">
      <w:pPr>
        <w:widowControl w:val="0"/>
        <w:spacing w:line="360" w:lineRule="auto"/>
        <w:jc w:val="both"/>
      </w:pPr>
      <w:r w:rsidRPr="007E36DF">
        <w:t xml:space="preserve">Se decide la impugnación presentada por el señor </w:t>
      </w:r>
      <w:r w:rsidRPr="007E36DF">
        <w:rPr>
          <w:b/>
        </w:rPr>
        <w:t>James Albeiro Ordoñez Soto</w:t>
      </w:r>
      <w:r w:rsidRPr="007E36DF">
        <w:t>, en contra del fallo de tutela proferido el 16 de agosto de 2016 por la Sección Quinta del Consejo de Estado, que negó el amparo invocado.</w:t>
      </w:r>
    </w:p>
    <w:p w:rsidR="00E507A6" w:rsidRPr="007E36DF" w:rsidRDefault="00E507A6" w:rsidP="00E507A6">
      <w:pPr>
        <w:widowControl w:val="0"/>
        <w:spacing w:line="360" w:lineRule="auto"/>
        <w:jc w:val="both"/>
      </w:pPr>
    </w:p>
    <w:p w:rsidR="00E507A6" w:rsidRPr="007E36DF" w:rsidRDefault="00E507A6" w:rsidP="00E507A6">
      <w:pPr>
        <w:pStyle w:val="Ttulo1"/>
        <w:widowControl w:val="0"/>
        <w:tabs>
          <w:tab w:val="clear" w:pos="4266"/>
        </w:tabs>
        <w:suppressAutoHyphens w:val="0"/>
        <w:spacing w:line="360" w:lineRule="auto"/>
        <w:rPr>
          <w:rFonts w:ascii="Arial" w:hAnsi="Arial" w:cs="Arial"/>
          <w:spacing w:val="0"/>
        </w:rPr>
      </w:pPr>
      <w:r w:rsidRPr="007E36DF">
        <w:rPr>
          <w:rFonts w:ascii="Arial" w:hAnsi="Arial" w:cs="Arial"/>
          <w:spacing w:val="0"/>
        </w:rPr>
        <w:t>I. ANTECEDENTES</w:t>
      </w:r>
    </w:p>
    <w:p w:rsidR="00E507A6" w:rsidRPr="007E36DF" w:rsidRDefault="00E507A6" w:rsidP="00E507A6">
      <w:pPr>
        <w:spacing w:line="360" w:lineRule="auto"/>
        <w:rPr>
          <w:lang w:eastAsia="es-ES"/>
        </w:rPr>
      </w:pPr>
    </w:p>
    <w:p w:rsidR="00E507A6" w:rsidRPr="007E36DF" w:rsidRDefault="00E507A6" w:rsidP="00E507A6">
      <w:pPr>
        <w:spacing w:line="360" w:lineRule="auto"/>
        <w:rPr>
          <w:b/>
        </w:rPr>
      </w:pPr>
      <w:r w:rsidRPr="007E36DF">
        <w:rPr>
          <w:b/>
          <w:bCs/>
        </w:rPr>
        <w:t>1.1</w:t>
      </w:r>
      <w:r w:rsidRPr="007E36DF">
        <w:rPr>
          <w:rFonts w:eastAsia="ヒラギノ角ゴ Pro W3"/>
          <w:b/>
          <w:smallCaps/>
          <w:color w:val="000000"/>
          <w:lang w:val="es-ES_tradnl"/>
        </w:rPr>
        <w:t xml:space="preserve">. </w:t>
      </w:r>
      <w:r w:rsidRPr="007E36DF">
        <w:rPr>
          <w:b/>
        </w:rPr>
        <w:t>La solicitud</w:t>
      </w:r>
    </w:p>
    <w:p w:rsidR="00E507A6" w:rsidRPr="007E36DF" w:rsidRDefault="00E507A6" w:rsidP="00E507A6">
      <w:pPr>
        <w:spacing w:line="360" w:lineRule="auto"/>
      </w:pPr>
    </w:p>
    <w:p w:rsidR="00E507A6" w:rsidRPr="007E36DF" w:rsidRDefault="00E507A6" w:rsidP="00E507A6">
      <w:pPr>
        <w:widowControl w:val="0"/>
        <w:spacing w:line="360" w:lineRule="auto"/>
        <w:jc w:val="both"/>
      </w:pPr>
      <w:r w:rsidRPr="007E36DF">
        <w:t xml:space="preserve">El señor </w:t>
      </w:r>
      <w:r w:rsidRPr="007E36DF">
        <w:rPr>
          <w:b/>
        </w:rPr>
        <w:t>James Albeiro Ordoñez Soto</w:t>
      </w:r>
      <w:r w:rsidRPr="007E36DF">
        <w:t xml:space="preserve"> presentó acción de tutela por la presunta vulneración de su derecho fundamental al </w:t>
      </w:r>
      <w:r w:rsidRPr="007E36DF">
        <w:rPr>
          <w:b/>
        </w:rPr>
        <w:t>debido proceso</w:t>
      </w:r>
      <w:r w:rsidRPr="007E36DF">
        <w:t>, en que, a su juicio, incurrió el Tribunal Administrativo del Huila, al proferir la sentencia de 19 de noviembre de 2015, mediante la cual se declaró inhibido de fallar por indebida escogencia de la acción, dentro del proceso de controversias contractuales con radicación número 41-001-33-31-001-2011-00116-01.</w:t>
      </w:r>
    </w:p>
    <w:p w:rsidR="00E507A6" w:rsidRPr="007E36DF" w:rsidRDefault="00E507A6" w:rsidP="00E507A6">
      <w:pPr>
        <w:widowControl w:val="0"/>
        <w:spacing w:line="360" w:lineRule="auto"/>
        <w:jc w:val="both"/>
      </w:pPr>
    </w:p>
    <w:p w:rsidR="00E507A6" w:rsidRPr="007E36DF" w:rsidRDefault="00E507A6" w:rsidP="00E507A6">
      <w:pPr>
        <w:spacing w:line="360" w:lineRule="auto"/>
        <w:rPr>
          <w:b/>
        </w:rPr>
      </w:pPr>
      <w:r w:rsidRPr="007E36DF">
        <w:rPr>
          <w:b/>
          <w:lang w:val="es-ES_tradnl"/>
        </w:rPr>
        <w:t>1.2. Hechos</w:t>
      </w:r>
    </w:p>
    <w:p w:rsidR="00E507A6" w:rsidRPr="007E36DF" w:rsidRDefault="00E507A6" w:rsidP="00E507A6">
      <w:pPr>
        <w:widowControl w:val="0"/>
        <w:autoSpaceDE w:val="0"/>
        <w:autoSpaceDN w:val="0"/>
        <w:adjustRightInd w:val="0"/>
        <w:spacing w:line="360" w:lineRule="auto"/>
        <w:jc w:val="both"/>
        <w:rPr>
          <w:lang w:val="es-ES_tradnl"/>
        </w:rPr>
      </w:pPr>
    </w:p>
    <w:p w:rsidR="00E507A6" w:rsidRPr="007E36DF" w:rsidRDefault="00E507A6" w:rsidP="00E507A6">
      <w:pPr>
        <w:widowControl w:val="0"/>
        <w:spacing w:line="360" w:lineRule="auto"/>
        <w:jc w:val="both"/>
      </w:pPr>
      <w:r w:rsidRPr="007E36DF">
        <w:lastRenderedPageBreak/>
        <w:t xml:space="preserve">El señor </w:t>
      </w:r>
      <w:r w:rsidRPr="007E36DF">
        <w:rPr>
          <w:b/>
        </w:rPr>
        <w:t>James Albeiro Ordoñez Soto</w:t>
      </w:r>
      <w:r w:rsidRPr="007E36DF">
        <w:t xml:space="preserve"> afirma que, entre los meses de septiembre de 2005 y diciembre de 2008, celebró, de manera ininterrumpida, contratos de prestación de servicios con el Departamento Administrativo de Seguridad - DAS.</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Sostiene que en marzo de 2011 interpuso acción contractual contra dicha entidad, para que se declarara la existencia de un contrato realidad, afirmando que aunque la relación que sostenía se regía por un contrato de prestación de servicios, sus labores eran de carácter laboral y se regían por la subordinación.</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El proceso correspondió por reparto al Juzgado Primero Administrativo de Descongestión de Neiva y se tramitó con radicación número 41-001-33-31-001-2011-00116-01.</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Mediante sentencia de 27 de febrero de 2015 el Juzgado Primero Administrativo de Descongestión de Neiva accedió a las pretensiones de la demanda, declarando la existencia de un contrato realidad entre el señor James Albeiro Ordóñez Soto y el DAS. En tal virtud, ordenó a la entidad accionada reconocer y pagar al actor el cómputo de los períodos laborados para efectos pensionales.</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Inconforme con lo anterior, la entidad demanda interpuso recurso de apelación contra la sentencia de 27 de febrero de 2015.</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El proceso fue conocido en segunda instancia por el Tribunal Administrativo del Huila, el cual, mediante sentencia de 19 de noviembre de 2015, revocó el fallo de primera instancia y, en su lugar, se declaró inhibido para fallar, por indebida escogencia de la acción judicial.</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 xml:space="preserve">Bajo el anterior contexto, el señor </w:t>
      </w:r>
      <w:r w:rsidRPr="007E36DF">
        <w:rPr>
          <w:b/>
        </w:rPr>
        <w:t xml:space="preserve">James Albeiro Ordoñez Soto </w:t>
      </w:r>
      <w:r w:rsidRPr="007E36DF">
        <w:t>considera que el</w:t>
      </w:r>
      <w:r w:rsidRPr="007E36DF">
        <w:rPr>
          <w:b/>
        </w:rPr>
        <w:t xml:space="preserve"> </w:t>
      </w:r>
      <w:r w:rsidRPr="007E36DF">
        <w:t xml:space="preserve">Tribunal Administrativo del Huila vulnera su derecho fundamental al </w:t>
      </w:r>
      <w:r w:rsidRPr="007E36DF">
        <w:rPr>
          <w:b/>
        </w:rPr>
        <w:t>debido proceso,</w:t>
      </w:r>
      <w:r w:rsidRPr="007E36DF">
        <w:t xml:space="preserve"> pues, a su juicio,  la sentencia de 19 de noviembre de 2015 incurre en un defecto sustantivo y procedimental, por falta de aplicación del artículo 53 de la Constitución Política e indebida interpretación del artículo 87 del Código Contencioso Administrativo, que fijan respectivamente la primacía de la realidad sobre las formas y la posibilidad de ejercer la acción de controversias contractuales.</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 xml:space="preserve">Asimismo, alega que dicho fallo desconoce el precedente judicial sentado por el </w:t>
      </w:r>
      <w:r w:rsidRPr="007E36DF">
        <w:lastRenderedPageBreak/>
        <w:t>Consejo de Estado en sentencias de 25 de febrero de 2016</w:t>
      </w:r>
      <w:r w:rsidRPr="007E36DF">
        <w:rPr>
          <w:rStyle w:val="Refdenotaalpie"/>
          <w:rFonts w:cs="Arial"/>
        </w:rPr>
        <w:footnoteReference w:id="1"/>
      </w:r>
      <w:r w:rsidRPr="007E36DF">
        <w:t>, de 10 de marzo de 2016</w:t>
      </w:r>
      <w:r w:rsidRPr="007E36DF">
        <w:rPr>
          <w:rStyle w:val="Refdenotaalpie"/>
          <w:rFonts w:cs="Arial"/>
        </w:rPr>
        <w:footnoteReference w:id="2"/>
      </w:r>
      <w:r w:rsidRPr="007E36DF">
        <w:t xml:space="preserve"> y 19 de julio de 2007</w:t>
      </w:r>
      <w:r w:rsidRPr="007E36DF">
        <w:rPr>
          <w:rFonts w:eastAsia="Times New Roman"/>
          <w:vertAlign w:val="superscript"/>
          <w:lang w:eastAsia="es-ES"/>
        </w:rPr>
        <w:footnoteReference w:id="3"/>
      </w:r>
      <w:r w:rsidRPr="007E36DF">
        <w:t>,</w:t>
      </w:r>
      <w:r w:rsidRPr="007E36DF">
        <w:rPr>
          <w:rFonts w:eastAsia="Times New Roman"/>
          <w:i/>
          <w:lang w:eastAsia="es-ES"/>
        </w:rPr>
        <w:t xml:space="preserve"> </w:t>
      </w:r>
      <w:r w:rsidRPr="007E36DF">
        <w:t>las cuales indican que la acción contractual es el medio procedente para declarar el contrato realidad.</w:t>
      </w:r>
    </w:p>
    <w:p w:rsidR="00E507A6" w:rsidRPr="007E36DF" w:rsidRDefault="00E507A6" w:rsidP="00E507A6">
      <w:pPr>
        <w:widowControl w:val="0"/>
        <w:spacing w:line="360" w:lineRule="auto"/>
        <w:jc w:val="both"/>
      </w:pPr>
    </w:p>
    <w:p w:rsidR="00E507A6" w:rsidRPr="007E36DF" w:rsidRDefault="00E507A6" w:rsidP="00E507A6">
      <w:pPr>
        <w:autoSpaceDE w:val="0"/>
        <w:autoSpaceDN w:val="0"/>
        <w:adjustRightInd w:val="0"/>
        <w:spacing w:line="360" w:lineRule="auto"/>
        <w:jc w:val="both"/>
        <w:rPr>
          <w:rFonts w:eastAsia="ヒラギノ角ゴ Pro W3"/>
          <w:b/>
          <w:smallCaps/>
          <w:color w:val="000000"/>
          <w:lang w:val="es-ES_tradnl"/>
        </w:rPr>
      </w:pPr>
      <w:r w:rsidRPr="007E36DF">
        <w:rPr>
          <w:rFonts w:eastAsia="ヒラギノ角ゴ Pro W3"/>
          <w:b/>
          <w:smallCaps/>
          <w:color w:val="000000"/>
          <w:lang w:val="es-ES_tradnl"/>
        </w:rPr>
        <w:t xml:space="preserve">1.3. </w:t>
      </w:r>
      <w:r w:rsidRPr="007E36DF">
        <w:rPr>
          <w:b/>
        </w:rPr>
        <w:t>Pretensiones</w:t>
      </w:r>
    </w:p>
    <w:p w:rsidR="00E507A6" w:rsidRPr="007E36DF" w:rsidRDefault="00E507A6" w:rsidP="00E507A6">
      <w:pPr>
        <w:autoSpaceDE w:val="0"/>
        <w:autoSpaceDN w:val="0"/>
        <w:adjustRightInd w:val="0"/>
        <w:spacing w:line="360" w:lineRule="auto"/>
        <w:jc w:val="both"/>
        <w:rPr>
          <w:rFonts w:eastAsia="ヒラギノ角ゴ Pro W3"/>
          <w:b/>
          <w:smallCaps/>
          <w:color w:val="000000"/>
          <w:lang w:val="es-ES_tradnl"/>
        </w:rPr>
      </w:pPr>
    </w:p>
    <w:p w:rsidR="00E507A6" w:rsidRPr="007E36DF" w:rsidRDefault="00E507A6" w:rsidP="00E507A6">
      <w:pPr>
        <w:autoSpaceDE w:val="0"/>
        <w:autoSpaceDN w:val="0"/>
        <w:adjustRightInd w:val="0"/>
        <w:spacing w:line="360" w:lineRule="auto"/>
        <w:jc w:val="both"/>
        <w:rPr>
          <w:lang w:val="es-ES_tradnl"/>
        </w:rPr>
      </w:pPr>
      <w:r w:rsidRPr="007E36DF">
        <w:t xml:space="preserve">El señor </w:t>
      </w:r>
      <w:r w:rsidRPr="007E36DF">
        <w:rPr>
          <w:b/>
        </w:rPr>
        <w:t xml:space="preserve">James Albeiro Ordoñez Soto </w:t>
      </w:r>
      <w:r w:rsidRPr="007E36DF">
        <w:t>solicita</w:t>
      </w:r>
      <w:r w:rsidRPr="007E36DF">
        <w:rPr>
          <w:b/>
        </w:rPr>
        <w:t xml:space="preserve"> </w:t>
      </w:r>
      <w:r w:rsidRPr="007E36DF">
        <w:rPr>
          <w:lang w:val="es-ES_tradnl"/>
        </w:rPr>
        <w:t xml:space="preserve">amparar su derecho fundamental </w:t>
      </w:r>
      <w:r w:rsidRPr="007E36DF">
        <w:rPr>
          <w:b/>
          <w:lang w:val="es-ES_tradnl"/>
        </w:rPr>
        <w:t>al debido proceso</w:t>
      </w:r>
      <w:r w:rsidRPr="007E36DF">
        <w:rPr>
          <w:lang w:val="es-ES_tradnl"/>
        </w:rPr>
        <w:t xml:space="preserve"> y que, en consecuencia, dejar sin efectos el fallo proferido el 19 de noviembre de 2015 por el Tribunal Administrativo del Huila. En su lugar, pide ordenar al  Tribunal Administrativo del Huila dictar una nueva sentencia en la que se pronuncia de fondo sobre las pretensiones invocadas en </w:t>
      </w:r>
      <w:r w:rsidRPr="007E36DF">
        <w:t>el proceso de controversias contractuales con radicación número 41-001-33-31-001-2011-00116-01</w:t>
      </w:r>
      <w:r w:rsidRPr="007E36DF">
        <w:rPr>
          <w:lang w:val="es-ES_tradnl"/>
        </w:rPr>
        <w:t>.</w:t>
      </w:r>
    </w:p>
    <w:p w:rsidR="00E507A6" w:rsidRPr="007E36DF" w:rsidRDefault="00E507A6" w:rsidP="00E507A6">
      <w:pPr>
        <w:autoSpaceDE w:val="0"/>
        <w:autoSpaceDN w:val="0"/>
        <w:adjustRightInd w:val="0"/>
        <w:spacing w:line="360" w:lineRule="auto"/>
        <w:jc w:val="both"/>
        <w:rPr>
          <w:lang w:val="es-ES_tradnl"/>
        </w:rPr>
      </w:pPr>
    </w:p>
    <w:p w:rsidR="00E507A6" w:rsidRPr="007E36DF" w:rsidRDefault="00E507A6" w:rsidP="00E507A6">
      <w:pPr>
        <w:spacing w:line="360" w:lineRule="auto"/>
        <w:rPr>
          <w:b/>
        </w:rPr>
      </w:pPr>
      <w:r w:rsidRPr="007E36DF">
        <w:rPr>
          <w:b/>
        </w:rPr>
        <w:t>1.4. Actuación</w:t>
      </w:r>
    </w:p>
    <w:p w:rsidR="00E507A6" w:rsidRPr="007E36DF" w:rsidRDefault="00E507A6" w:rsidP="00E507A6">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rPr>
          <w:b/>
          <w:smallCaps/>
        </w:rPr>
      </w:pPr>
    </w:p>
    <w:p w:rsidR="00E507A6" w:rsidRPr="007E36DF" w:rsidRDefault="00E507A6" w:rsidP="00E507A6">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pPr>
      <w:r w:rsidRPr="007E36DF">
        <w:t>Por auto de 15 de julio de 2016, la Sección Quinta del Consejo de Estado admitió la acción de tutela y dispuso notificar al Tribunal Administrativo del Huila, al Juzgado Primera Administrativo de Descongestión de Neiva, a la Agencia Nacional de Defensa Jurídica del Estado y a la Unidad Nacional de Protección, UNP.</w:t>
      </w:r>
    </w:p>
    <w:p w:rsidR="00E507A6" w:rsidRPr="007E36DF" w:rsidRDefault="00E507A6" w:rsidP="00E507A6">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pPr>
    </w:p>
    <w:p w:rsidR="00E507A6" w:rsidRPr="007E36DF" w:rsidRDefault="00E507A6" w:rsidP="00E507A6">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rPr>
          <w:b/>
        </w:rPr>
      </w:pPr>
      <w:r w:rsidRPr="007E36DF">
        <w:rPr>
          <w:b/>
        </w:rPr>
        <w:t>1.5. Las contestaciones</w:t>
      </w:r>
    </w:p>
    <w:p w:rsidR="00E507A6" w:rsidRPr="007E36DF" w:rsidRDefault="00E507A6" w:rsidP="00E507A6">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rPr>
          <w:b/>
        </w:rPr>
      </w:pPr>
    </w:p>
    <w:p w:rsidR="00E507A6" w:rsidRPr="007E36DF" w:rsidRDefault="00E507A6" w:rsidP="00E507A6">
      <w:pPr>
        <w:pStyle w:val="Sangra2detindependiente"/>
        <w:spacing w:after="0" w:line="360" w:lineRule="auto"/>
        <w:ind w:left="0"/>
        <w:jc w:val="both"/>
        <w:rPr>
          <w:rFonts w:ascii="Arial" w:hAnsi="Arial" w:cs="Arial"/>
          <w:lang w:val="es-ES_tradnl"/>
        </w:rPr>
      </w:pPr>
      <w:r w:rsidRPr="007E36DF">
        <w:rPr>
          <w:rFonts w:ascii="Arial" w:hAnsi="Arial" w:cs="Arial"/>
          <w:lang w:val="es-ES_tradnl"/>
        </w:rPr>
        <w:t>1.5.1.  El Tribunal Administrativo del Huila se opuso a las pretensiones del accionante, afirmando que la acción procedente para declarar la existencia del contrato realidad es la acción de nulidad y restablecimiento y no la acción contractual.</w:t>
      </w:r>
    </w:p>
    <w:p w:rsidR="00E507A6" w:rsidRPr="007E36DF" w:rsidRDefault="00E507A6" w:rsidP="00E507A6">
      <w:pPr>
        <w:pStyle w:val="Sangra2detindependiente"/>
        <w:spacing w:after="0" w:line="360" w:lineRule="auto"/>
        <w:ind w:left="0"/>
        <w:jc w:val="both"/>
        <w:rPr>
          <w:rFonts w:ascii="Arial" w:hAnsi="Arial" w:cs="Arial"/>
          <w:lang w:val="es-ES_tradnl"/>
        </w:rPr>
      </w:pPr>
    </w:p>
    <w:p w:rsidR="00E507A6" w:rsidRPr="007E36DF" w:rsidRDefault="00E507A6" w:rsidP="00E507A6">
      <w:pPr>
        <w:pStyle w:val="Sangra2detindependiente"/>
        <w:spacing w:after="0" w:line="360" w:lineRule="auto"/>
        <w:ind w:left="0"/>
        <w:jc w:val="both"/>
        <w:rPr>
          <w:rFonts w:ascii="Arial" w:hAnsi="Arial" w:cs="Arial"/>
          <w:lang w:val="es-ES_tradnl"/>
        </w:rPr>
      </w:pPr>
      <w:r w:rsidRPr="007E36DF">
        <w:rPr>
          <w:rFonts w:ascii="Arial" w:hAnsi="Arial" w:cs="Arial"/>
          <w:lang w:val="es-ES_tradnl"/>
        </w:rPr>
        <w:t xml:space="preserve">Indicó que se declaró inhibido para fallar el proceso </w:t>
      </w:r>
      <w:r w:rsidRPr="007E36DF">
        <w:rPr>
          <w:rFonts w:ascii="Arial" w:hAnsi="Arial" w:cs="Arial"/>
        </w:rPr>
        <w:t xml:space="preserve">de controversias contractuales con radicación número 41-001-33-31-001-2011-00116-01, porque el actor </w:t>
      </w:r>
      <w:r w:rsidRPr="007E36DF">
        <w:rPr>
          <w:rFonts w:ascii="Arial" w:hAnsi="Arial" w:cs="Arial"/>
          <w:lang w:val="es-ES_tradnl"/>
        </w:rPr>
        <w:t>escogió la acción judicial equivocada para solicitar el reconocimiento del contrato realidad.</w:t>
      </w:r>
    </w:p>
    <w:p w:rsidR="00E507A6" w:rsidRPr="007E36DF" w:rsidRDefault="00E507A6" w:rsidP="00E507A6">
      <w:pPr>
        <w:pStyle w:val="Sangra2detindependiente"/>
        <w:spacing w:after="0" w:line="360" w:lineRule="auto"/>
        <w:ind w:left="0"/>
        <w:jc w:val="both"/>
        <w:rPr>
          <w:rFonts w:ascii="Arial" w:hAnsi="Arial" w:cs="Arial"/>
          <w:lang w:val="es-ES_tradnl"/>
        </w:rPr>
      </w:pPr>
      <w:r w:rsidRPr="007E36DF">
        <w:rPr>
          <w:rFonts w:ascii="Arial" w:hAnsi="Arial" w:cs="Arial"/>
          <w:lang w:val="es-ES_tradnl"/>
        </w:rPr>
        <w:t xml:space="preserve"> </w:t>
      </w:r>
    </w:p>
    <w:p w:rsidR="00E507A6" w:rsidRPr="007E36DF" w:rsidRDefault="00E507A6" w:rsidP="00E507A6">
      <w:pPr>
        <w:pStyle w:val="Sangra2detindependiente"/>
        <w:spacing w:after="0" w:line="360" w:lineRule="auto"/>
        <w:ind w:left="0"/>
        <w:jc w:val="both"/>
        <w:rPr>
          <w:rFonts w:ascii="Arial" w:hAnsi="Arial" w:cs="Arial"/>
          <w:lang w:val="es-ES_tradnl"/>
        </w:rPr>
      </w:pPr>
      <w:r w:rsidRPr="007E36DF">
        <w:rPr>
          <w:rFonts w:ascii="Arial" w:hAnsi="Arial" w:cs="Arial"/>
          <w:lang w:val="es-CO"/>
        </w:rPr>
        <w:lastRenderedPageBreak/>
        <w:t xml:space="preserve">1.5.2. </w:t>
      </w:r>
      <w:r w:rsidRPr="007E36DF">
        <w:rPr>
          <w:rFonts w:ascii="Arial" w:hAnsi="Arial" w:cs="Arial"/>
          <w:lang w:val="es-ES_tradnl"/>
        </w:rPr>
        <w:t>La Agencia de Defensa Jurídica del Estado se opuso a las pretensiones de la acción de tutela, manifestando que la acción de tutela de la referencia tenía como única finalidad motivar una tercera instancia dentro del proceso de controversias contractuales reprochado por el actor.</w:t>
      </w:r>
    </w:p>
    <w:p w:rsidR="00E507A6" w:rsidRPr="007E36DF" w:rsidRDefault="00E507A6" w:rsidP="00E507A6">
      <w:pPr>
        <w:pStyle w:val="Sangra2detindependiente"/>
        <w:spacing w:after="0" w:line="360" w:lineRule="auto"/>
        <w:ind w:left="0"/>
        <w:jc w:val="both"/>
        <w:rPr>
          <w:rFonts w:ascii="Arial" w:hAnsi="Arial" w:cs="Arial"/>
          <w:lang w:val="es-CO"/>
        </w:rPr>
      </w:pPr>
    </w:p>
    <w:p w:rsidR="00E507A6" w:rsidRPr="007E36DF" w:rsidRDefault="00E507A6" w:rsidP="00E507A6">
      <w:pPr>
        <w:pStyle w:val="Sangra2detindependiente"/>
        <w:spacing w:after="0" w:line="360" w:lineRule="auto"/>
        <w:ind w:left="0"/>
        <w:jc w:val="both"/>
        <w:rPr>
          <w:rFonts w:ascii="Arial" w:hAnsi="Arial" w:cs="Arial"/>
          <w:lang w:val="es-ES_tradnl"/>
        </w:rPr>
      </w:pPr>
      <w:r w:rsidRPr="007E36DF">
        <w:rPr>
          <w:rFonts w:ascii="Arial" w:hAnsi="Arial" w:cs="Arial"/>
          <w:lang w:val="es-ES_tradnl"/>
        </w:rPr>
        <w:t>1.5.3. La Unidad Nacional de Protección, solicitó ser desvinculada de la acción de tutela, alegando que no es la entidad demandada por el actor.</w:t>
      </w:r>
    </w:p>
    <w:p w:rsidR="00E507A6" w:rsidRPr="007E36DF" w:rsidRDefault="00E507A6" w:rsidP="00E507A6">
      <w:pPr>
        <w:pStyle w:val="Sangra2detindependiente"/>
        <w:spacing w:after="0" w:line="360" w:lineRule="auto"/>
        <w:ind w:left="0"/>
        <w:jc w:val="both"/>
        <w:rPr>
          <w:rFonts w:ascii="Arial" w:hAnsi="Arial" w:cs="Arial"/>
          <w:lang w:val="es-ES_tradnl"/>
        </w:rPr>
      </w:pPr>
    </w:p>
    <w:p w:rsidR="00E507A6" w:rsidRPr="007E36DF" w:rsidRDefault="00E507A6" w:rsidP="00E507A6">
      <w:pPr>
        <w:pStyle w:val="Sangra2detindependiente"/>
        <w:spacing w:after="0" w:line="360" w:lineRule="auto"/>
        <w:ind w:left="0"/>
        <w:jc w:val="both"/>
        <w:rPr>
          <w:rFonts w:ascii="Arial" w:hAnsi="Arial" w:cs="Arial"/>
          <w:lang w:val="es-ES_tradnl"/>
        </w:rPr>
      </w:pPr>
      <w:r w:rsidRPr="007E36DF">
        <w:rPr>
          <w:rFonts w:ascii="Arial" w:hAnsi="Arial" w:cs="Arial"/>
          <w:lang w:val="es-ES_tradnl"/>
        </w:rPr>
        <w:t>1.5.4. El Juzgado Primera Administrativo de Descongestión de Neiva, guardó silencio.</w:t>
      </w:r>
    </w:p>
    <w:p w:rsidR="00E507A6" w:rsidRPr="007E36DF" w:rsidRDefault="00E507A6" w:rsidP="00E507A6">
      <w:pPr>
        <w:pStyle w:val="Sangra2detindependiente"/>
        <w:spacing w:after="0" w:line="360" w:lineRule="auto"/>
        <w:ind w:left="0"/>
        <w:jc w:val="both"/>
        <w:rPr>
          <w:rFonts w:ascii="Arial" w:hAnsi="Arial" w:cs="Arial"/>
          <w:lang w:val="es-ES_tradnl"/>
        </w:rPr>
      </w:pPr>
    </w:p>
    <w:p w:rsidR="00E507A6" w:rsidRPr="007E36DF" w:rsidRDefault="00E507A6" w:rsidP="00E507A6">
      <w:pPr>
        <w:spacing w:line="360" w:lineRule="auto"/>
        <w:jc w:val="both"/>
        <w:rPr>
          <w:b/>
        </w:rPr>
      </w:pPr>
      <w:r w:rsidRPr="007E36DF">
        <w:rPr>
          <w:b/>
        </w:rPr>
        <w:t>1.6. La sentencia impugnada</w:t>
      </w:r>
    </w:p>
    <w:p w:rsidR="00E507A6" w:rsidRPr="007E36DF" w:rsidRDefault="00E507A6" w:rsidP="00E507A6">
      <w:pPr>
        <w:spacing w:line="360" w:lineRule="auto"/>
        <w:jc w:val="both"/>
      </w:pPr>
    </w:p>
    <w:p w:rsidR="00E507A6" w:rsidRPr="007E36DF" w:rsidRDefault="00E507A6" w:rsidP="00E507A6">
      <w:pPr>
        <w:spacing w:line="360" w:lineRule="auto"/>
        <w:jc w:val="both"/>
      </w:pPr>
      <w:r w:rsidRPr="007E36DF">
        <w:t>Mediante sentencia de 16 de agosto de 2016 la Sección Quinta del Consejo de Estado negó las pretensiones de la acción de tutela, alegando que el actor no demostró la vulneración del derecho fundamental al debido proceso.</w:t>
      </w:r>
    </w:p>
    <w:p w:rsidR="00E507A6" w:rsidRPr="007E36DF" w:rsidRDefault="00E507A6" w:rsidP="00E507A6">
      <w:pPr>
        <w:spacing w:line="360" w:lineRule="auto"/>
        <w:jc w:val="both"/>
      </w:pPr>
    </w:p>
    <w:p w:rsidR="00E507A6" w:rsidRPr="007E36DF" w:rsidRDefault="00E507A6" w:rsidP="00E507A6">
      <w:pPr>
        <w:spacing w:line="360" w:lineRule="auto"/>
        <w:jc w:val="both"/>
      </w:pPr>
      <w:r w:rsidRPr="007E36DF">
        <w:t xml:space="preserve">Al efecto, el </w:t>
      </w:r>
      <w:r w:rsidRPr="007E36DF">
        <w:rPr>
          <w:i/>
        </w:rPr>
        <w:t>a quo</w:t>
      </w:r>
      <w:r w:rsidRPr="007E36DF">
        <w:t xml:space="preserve"> puso de presente que ya había tenido la oportunidad de pronunciarse en un asunto con identidad de supuestos fáctico</w:t>
      </w:r>
      <w:r w:rsidRPr="007E36DF">
        <w:rPr>
          <w:rStyle w:val="Refdenotaalpie"/>
          <w:rFonts w:cs="Arial"/>
        </w:rPr>
        <w:footnoteReference w:id="4"/>
      </w:r>
      <w:r w:rsidRPr="007E36DF">
        <w:t>, en el que un contratista del DAS pretendía el reconocimiento de una relación laboral a través de una acción contractual y se le habían negado las pretensiones en la acción de tutela.</w:t>
      </w:r>
    </w:p>
    <w:p w:rsidR="00E507A6" w:rsidRPr="007E36DF" w:rsidRDefault="00E507A6" w:rsidP="00E507A6">
      <w:pPr>
        <w:spacing w:line="360" w:lineRule="auto"/>
        <w:jc w:val="both"/>
      </w:pPr>
    </w:p>
    <w:p w:rsidR="00E507A6" w:rsidRPr="007E36DF" w:rsidRDefault="00E507A6" w:rsidP="00E507A6">
      <w:pPr>
        <w:spacing w:line="360" w:lineRule="auto"/>
        <w:jc w:val="both"/>
      </w:pPr>
      <w:r w:rsidRPr="007E36DF">
        <w:t>En tal virtud, encontró infundado el defecto sustantivo alegado por el actor y concluyó que el Tribunal accionado interpretó de forma racional las normas que fundamentaron su decisión. Indicó que todos los asuntos declarativos que buscaran el reconocimiento de una relación laboral, con fundamento en el artículo 53 de la Constitución, debían tramitarse por medio de la acción de nulidad y restablecimiento del derecho.</w:t>
      </w:r>
    </w:p>
    <w:p w:rsidR="00E507A6" w:rsidRPr="007E36DF" w:rsidRDefault="00E507A6" w:rsidP="00E507A6">
      <w:pPr>
        <w:spacing w:line="360" w:lineRule="auto"/>
        <w:jc w:val="both"/>
      </w:pPr>
    </w:p>
    <w:p w:rsidR="00E507A6" w:rsidRPr="007E36DF" w:rsidRDefault="00E507A6" w:rsidP="00E507A6">
      <w:pPr>
        <w:spacing w:line="360" w:lineRule="auto"/>
        <w:jc w:val="both"/>
        <w:rPr>
          <w:b/>
        </w:rPr>
      </w:pPr>
      <w:r w:rsidRPr="007E36DF">
        <w:rPr>
          <w:b/>
        </w:rPr>
        <w:t>1.7. La impugnación</w:t>
      </w:r>
    </w:p>
    <w:p w:rsidR="00E507A6" w:rsidRPr="007E36DF" w:rsidRDefault="00E507A6" w:rsidP="00E507A6">
      <w:pPr>
        <w:spacing w:line="360" w:lineRule="auto"/>
        <w:jc w:val="both"/>
        <w:rPr>
          <w:b/>
        </w:rPr>
      </w:pPr>
    </w:p>
    <w:p w:rsidR="00E507A6" w:rsidRPr="007E36DF" w:rsidRDefault="00E507A6" w:rsidP="00E507A6">
      <w:pPr>
        <w:widowControl w:val="0"/>
        <w:spacing w:line="360" w:lineRule="auto"/>
        <w:jc w:val="both"/>
      </w:pPr>
      <w:r w:rsidRPr="007E36DF">
        <w:t xml:space="preserve">El actor impugnó el fallo de tutela insistiendo en los argumentos expuestos en el escrito de amparo, esto es, en que la sentencia de 19 de noviembre de 2015 incurrió en un defecto sustantivo y procedimental, por falta de aplicación del artículo 53 de la Constitución Política e indebida interpretación del artículo 87 del Código </w:t>
      </w:r>
      <w:r w:rsidRPr="007E36DF">
        <w:lastRenderedPageBreak/>
        <w:t>Contencioso Administrativo, que fijan, respectivamente, la primacía de la realidad sobre las formas y la posibilidad de ejercer la acción de controversias contractuales.</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Igualmente, alegó que dicho fallo desconoció el precedente judicial sentado por el Consejo de Estado en sentencias de 25 de febrero de 2016</w:t>
      </w:r>
      <w:r w:rsidRPr="007E36DF">
        <w:rPr>
          <w:rStyle w:val="Refdenotaalpie"/>
          <w:rFonts w:cs="Arial"/>
        </w:rPr>
        <w:footnoteReference w:id="5"/>
      </w:r>
      <w:r w:rsidRPr="007E36DF">
        <w:t>, de 10 de marzo de 2016</w:t>
      </w:r>
      <w:r w:rsidRPr="007E36DF">
        <w:rPr>
          <w:rStyle w:val="Refdenotaalpie"/>
          <w:rFonts w:cs="Arial"/>
        </w:rPr>
        <w:footnoteReference w:id="6"/>
      </w:r>
      <w:r w:rsidRPr="007E36DF">
        <w:t xml:space="preserve"> y 19 de julio de 2007</w:t>
      </w:r>
      <w:r w:rsidRPr="007E36DF">
        <w:rPr>
          <w:rFonts w:eastAsia="Times New Roman"/>
          <w:vertAlign w:val="superscript"/>
          <w:lang w:eastAsia="es-ES"/>
        </w:rPr>
        <w:footnoteReference w:id="7"/>
      </w:r>
      <w:r w:rsidRPr="007E36DF">
        <w:t>,</w:t>
      </w:r>
      <w:r w:rsidRPr="007E36DF">
        <w:rPr>
          <w:rFonts w:eastAsia="Times New Roman"/>
          <w:i/>
          <w:lang w:eastAsia="es-ES"/>
        </w:rPr>
        <w:t xml:space="preserve"> </w:t>
      </w:r>
      <w:r w:rsidRPr="007E36DF">
        <w:t>las cuales indican que la acción contractual es el medio procedente para declarar el contrato realidad.</w:t>
      </w:r>
    </w:p>
    <w:p w:rsidR="00E507A6" w:rsidRPr="007E36DF" w:rsidRDefault="00E507A6" w:rsidP="00E507A6">
      <w:pPr>
        <w:spacing w:line="360" w:lineRule="auto"/>
        <w:jc w:val="both"/>
      </w:pPr>
    </w:p>
    <w:p w:rsidR="00E507A6" w:rsidRPr="007E36DF" w:rsidRDefault="00E507A6" w:rsidP="00E507A6">
      <w:pPr>
        <w:keepNext/>
        <w:numPr>
          <w:ilvl w:val="0"/>
          <w:numId w:val="1"/>
        </w:numPr>
        <w:suppressAutoHyphens/>
        <w:spacing w:line="360" w:lineRule="auto"/>
        <w:jc w:val="center"/>
        <w:outlineLvl w:val="0"/>
        <w:rPr>
          <w:rFonts w:eastAsia="Times New Roman"/>
          <w:b/>
          <w:lang w:eastAsia="es-ES"/>
        </w:rPr>
      </w:pPr>
      <w:r w:rsidRPr="007E36DF">
        <w:rPr>
          <w:rFonts w:eastAsia="Times New Roman"/>
          <w:b/>
          <w:lang w:eastAsia="es-ES"/>
        </w:rPr>
        <w:t>CONSIDERACIONES DE LA SALA</w:t>
      </w:r>
    </w:p>
    <w:p w:rsidR="00E507A6" w:rsidRPr="007E36DF" w:rsidRDefault="00E507A6" w:rsidP="00E507A6">
      <w:pPr>
        <w:keepNext/>
        <w:suppressAutoHyphens/>
        <w:spacing w:line="360" w:lineRule="auto"/>
        <w:ind w:left="1080"/>
        <w:outlineLvl w:val="0"/>
        <w:rPr>
          <w:rFonts w:eastAsia="Times New Roman"/>
          <w:b/>
          <w:lang w:eastAsia="es-ES"/>
        </w:rPr>
      </w:pPr>
    </w:p>
    <w:p w:rsidR="00E507A6" w:rsidRPr="007E36DF" w:rsidRDefault="00E507A6" w:rsidP="00E507A6">
      <w:pPr>
        <w:spacing w:line="360" w:lineRule="auto"/>
        <w:jc w:val="both"/>
        <w:rPr>
          <w:b/>
        </w:rPr>
      </w:pPr>
      <w:r w:rsidRPr="007E36DF">
        <w:rPr>
          <w:rFonts w:eastAsia="Times New Roman"/>
          <w:b/>
          <w:bCs/>
          <w:lang w:eastAsia="es-ES"/>
        </w:rPr>
        <w:t xml:space="preserve">1. </w:t>
      </w:r>
      <w:r w:rsidRPr="007E36DF">
        <w:rPr>
          <w:b/>
        </w:rPr>
        <w:t>Competencia de la Sala</w:t>
      </w:r>
    </w:p>
    <w:p w:rsidR="00E507A6" w:rsidRPr="007E36DF" w:rsidRDefault="00E507A6" w:rsidP="00E507A6">
      <w:pPr>
        <w:spacing w:line="360" w:lineRule="auto"/>
        <w:jc w:val="both"/>
      </w:pPr>
    </w:p>
    <w:p w:rsidR="00E507A6" w:rsidRPr="007E36DF" w:rsidRDefault="00E507A6" w:rsidP="00E507A6">
      <w:pPr>
        <w:pStyle w:val="Textoindependiente"/>
        <w:spacing w:after="0" w:line="360" w:lineRule="auto"/>
        <w:jc w:val="both"/>
        <w:rPr>
          <w:rFonts w:ascii="Arial" w:hAnsi="Arial" w:cs="Arial"/>
          <w:sz w:val="24"/>
          <w:szCs w:val="24"/>
        </w:rPr>
      </w:pPr>
      <w:r w:rsidRPr="007E36DF">
        <w:rPr>
          <w:rFonts w:ascii="Arial" w:hAnsi="Arial" w:cs="Arial"/>
          <w:sz w:val="24"/>
          <w:szCs w:val="24"/>
        </w:rPr>
        <w:t>Esta Sección es competente para conocer de este proceso, de conformidad con el artículo 1º y 32 del Decreto 2591 de 1991, por el cual se reglamenta la acción de tutela  consagrada en el artículo 86 de la Constitución Política y el numeral 2° del artículo 1° del Decreto 1382 de 2000, por el cual se establecen reglas para el reparto de la acción de tutela.</w:t>
      </w:r>
    </w:p>
    <w:p w:rsidR="00E507A6" w:rsidRPr="007E36DF" w:rsidRDefault="00E507A6" w:rsidP="00E507A6">
      <w:pPr>
        <w:spacing w:line="360" w:lineRule="auto"/>
        <w:jc w:val="both"/>
      </w:pPr>
    </w:p>
    <w:p w:rsidR="00E507A6" w:rsidRPr="007E36DF" w:rsidRDefault="00E507A6" w:rsidP="00E507A6">
      <w:pPr>
        <w:spacing w:line="360" w:lineRule="auto"/>
        <w:jc w:val="both"/>
        <w:rPr>
          <w:b/>
        </w:rPr>
      </w:pPr>
      <w:r w:rsidRPr="007E36DF">
        <w:rPr>
          <w:b/>
        </w:rPr>
        <w:t>3. Generalidades de la acción de tutela</w:t>
      </w:r>
    </w:p>
    <w:p w:rsidR="00E507A6" w:rsidRPr="007E36DF" w:rsidRDefault="00E507A6" w:rsidP="00E507A6">
      <w:pPr>
        <w:spacing w:line="360" w:lineRule="auto"/>
        <w:jc w:val="both"/>
      </w:pPr>
    </w:p>
    <w:p w:rsidR="00E507A6" w:rsidRPr="007E36DF" w:rsidRDefault="00E507A6" w:rsidP="00E507A6">
      <w:pPr>
        <w:spacing w:line="360" w:lineRule="auto"/>
        <w:jc w:val="both"/>
      </w:pPr>
      <w:r w:rsidRPr="007E36DF">
        <w:t>La acción de tutela ha sido instituida como instrumento preferente y sumario, destinado a proteger de manera efectiva e inmediata los derechos constitucionales fundamentales, cuando hayan sido violados o amenazados por las autoridades públicas, o por los particulares, en los casos expresamente señalados. Procede, a falta de otro medio de defensa judicial, a menos que se utilice como mecanismo transitorio, para prevenir un perjuicio irremediable.</w:t>
      </w:r>
    </w:p>
    <w:p w:rsidR="00E507A6" w:rsidRPr="007E36DF" w:rsidRDefault="00E507A6" w:rsidP="00E507A6">
      <w:pPr>
        <w:spacing w:line="360" w:lineRule="auto"/>
        <w:jc w:val="both"/>
      </w:pPr>
    </w:p>
    <w:p w:rsidR="00E507A6" w:rsidRPr="007E36DF" w:rsidRDefault="00E507A6" w:rsidP="00E507A6">
      <w:pPr>
        <w:spacing w:line="360" w:lineRule="auto"/>
        <w:jc w:val="both"/>
        <w:rPr>
          <w:rFonts w:eastAsia="Arial"/>
          <w:b/>
          <w:bCs/>
          <w:u w:color="FF0000"/>
          <w:lang w:val="es-ES_tradnl"/>
        </w:rPr>
      </w:pPr>
      <w:r w:rsidRPr="007E36DF">
        <w:rPr>
          <w:rFonts w:eastAsia="?????? Pro W3"/>
          <w:b/>
          <w:bCs/>
          <w:u w:color="FF0000"/>
          <w:lang w:val="es-ES_tradnl"/>
        </w:rPr>
        <w:t>4. Procedencia de la acción de tutela frente a providencias judiciales</w:t>
      </w:r>
    </w:p>
    <w:p w:rsidR="00E507A6" w:rsidRPr="007E36DF" w:rsidRDefault="00E507A6" w:rsidP="00E507A6">
      <w:pPr>
        <w:spacing w:line="360" w:lineRule="auto"/>
        <w:jc w:val="both"/>
        <w:rPr>
          <w:u w:color="FF0000"/>
        </w:rPr>
      </w:pPr>
      <w:r w:rsidRPr="007E36DF">
        <w:rPr>
          <w:u w:color="FF0000"/>
        </w:rPr>
        <w:t xml:space="preserve"> </w:t>
      </w:r>
    </w:p>
    <w:p w:rsidR="00E507A6" w:rsidRPr="007E36DF" w:rsidRDefault="00E507A6" w:rsidP="00E507A6">
      <w:pPr>
        <w:spacing w:line="360" w:lineRule="auto"/>
        <w:jc w:val="both"/>
        <w:rPr>
          <w:u w:color="FF0000"/>
        </w:rPr>
      </w:pPr>
      <w:r w:rsidRPr="007E36DF">
        <w:rPr>
          <w:u w:color="FF0000"/>
        </w:rPr>
        <w:t>Con ocasión de la acción de tutela instaurada por la señora Nery Germania Álvarez Bello (</w:t>
      </w:r>
      <w:r w:rsidRPr="007E36DF">
        <w:rPr>
          <w:iCs/>
          <w:u w:color="FF0000"/>
        </w:rPr>
        <w:t>Rad.: 2009-01328, M.P. Dra. María Elizabeth García González</w:t>
      </w:r>
      <w:r w:rsidRPr="007E36DF">
        <w:rPr>
          <w:u w:color="FF0000"/>
        </w:rPr>
        <w:t xml:space="preserve">), en un asunto que fue asumido por importancia jurídica por la Sala Plena, en sentencia del 31 de julio de 2012, consideró necesario admitir que debe acometerse el estudio de fondo </w:t>
      </w:r>
      <w:r w:rsidRPr="007E36DF">
        <w:rPr>
          <w:u w:color="FF0000"/>
        </w:rPr>
        <w:lastRenderedPageBreak/>
        <w:t xml:space="preserve">de la acción de tutela cuando se esté en presencia de providencias judiciales – </w:t>
      </w:r>
      <w:r w:rsidRPr="007E36DF">
        <w:rPr>
          <w:i/>
          <w:iCs/>
          <w:u w:color="FF0000"/>
        </w:rPr>
        <w:t xml:space="preserve">sin importar la instancia y el órgano que las profiera </w:t>
      </w:r>
      <w:r w:rsidRPr="007E36DF">
        <w:rPr>
          <w:u w:color="FF0000"/>
        </w:rPr>
        <w:t>- que resulten violatorias de derecho fundamentales, observando al efecto los parámetros fijados hasta el momento jurisprudencialmente y los que en el futuro determine la Ley y la propia doctrina judicial.</w:t>
      </w:r>
    </w:p>
    <w:p w:rsidR="00E507A6" w:rsidRPr="007E36DF" w:rsidRDefault="00E507A6" w:rsidP="00E507A6">
      <w:pPr>
        <w:spacing w:line="360" w:lineRule="auto"/>
        <w:jc w:val="both"/>
        <w:rPr>
          <w:b/>
        </w:rPr>
      </w:pPr>
    </w:p>
    <w:p w:rsidR="00E507A6" w:rsidRPr="007E36DF" w:rsidRDefault="00E507A6" w:rsidP="00E507A6">
      <w:pPr>
        <w:jc w:val="both"/>
        <w:rPr>
          <w:b/>
          <w:bCs/>
          <w:u w:color="FF0000"/>
        </w:rPr>
      </w:pPr>
      <w:r w:rsidRPr="007E36DF">
        <w:rPr>
          <w:b/>
        </w:rPr>
        <w:t xml:space="preserve">5. </w:t>
      </w:r>
      <w:r w:rsidRPr="007E36DF">
        <w:rPr>
          <w:b/>
          <w:bCs/>
          <w:u w:color="FF0000"/>
        </w:rPr>
        <w:t>Requisitos generales y especiales de procedibilidad de la acción constitucional cuando se dirige contra decisiones judiciales</w:t>
      </w:r>
    </w:p>
    <w:p w:rsidR="00E507A6" w:rsidRPr="007E36DF" w:rsidRDefault="00E507A6" w:rsidP="00E507A6">
      <w:pPr>
        <w:suppressAutoHyphens/>
        <w:spacing w:line="360" w:lineRule="auto"/>
        <w:jc w:val="both"/>
        <w:rPr>
          <w:u w:color="FF0000"/>
        </w:rPr>
      </w:pPr>
    </w:p>
    <w:p w:rsidR="00E507A6" w:rsidRPr="007E36DF" w:rsidRDefault="00E507A6" w:rsidP="00E507A6">
      <w:pPr>
        <w:suppressAutoHyphens/>
        <w:spacing w:line="360" w:lineRule="auto"/>
        <w:jc w:val="both"/>
        <w:rPr>
          <w:u w:color="FF0000"/>
        </w:rPr>
      </w:pPr>
      <w:r w:rsidRPr="007E36DF">
        <w:rPr>
          <w:u w:color="FF0000"/>
        </w:rPr>
        <w:t>Esta Sección adoptó como parámetros a seguir los señalados en la sentencia C-590 de 8 de junio de 2005, proferida por la Corte Constitucional, sin perjuicio de los demás pronunciamientos que esta Corporación elabore sobre el tema.</w:t>
      </w:r>
    </w:p>
    <w:p w:rsidR="00E507A6" w:rsidRPr="007E36DF" w:rsidRDefault="00E507A6" w:rsidP="00E507A6">
      <w:pPr>
        <w:spacing w:line="360" w:lineRule="auto"/>
        <w:jc w:val="both"/>
        <w:rPr>
          <w:u w:color="FF0000"/>
        </w:rPr>
      </w:pPr>
    </w:p>
    <w:p w:rsidR="00E507A6" w:rsidRPr="007E36DF" w:rsidRDefault="00E507A6" w:rsidP="00E507A6">
      <w:pPr>
        <w:spacing w:line="360" w:lineRule="auto"/>
        <w:jc w:val="both"/>
        <w:rPr>
          <w:u w:color="FF0000"/>
        </w:rPr>
      </w:pPr>
      <w:r w:rsidRPr="007E36DF">
        <w:rPr>
          <w:u w:color="FF0000"/>
        </w:rPr>
        <w:t xml:space="preserve">Por lo anterior, y con el fin de hacer operante la nueva posición jurisprudencial, estableció como </w:t>
      </w:r>
      <w:r w:rsidRPr="007E36DF">
        <w:rPr>
          <w:bCs/>
          <w:u w:color="FF0000"/>
        </w:rPr>
        <w:t>requisitos generales de procedibilidad</w:t>
      </w:r>
      <w:r w:rsidRPr="007E36DF">
        <w:rPr>
          <w:u w:color="FF0000"/>
        </w:rPr>
        <w:t xml:space="preserve"> de esta acción constitucional, cuando se dirige contra decisiones judiciales:  </w:t>
      </w:r>
      <w:r w:rsidRPr="007E36DF">
        <w:rPr>
          <w:bCs/>
          <w:u w:color="FF0000"/>
        </w:rPr>
        <w:t>i)</w:t>
      </w:r>
      <w:r w:rsidRPr="007E36DF">
        <w:rPr>
          <w:u w:color="FF0000"/>
        </w:rPr>
        <w:t xml:space="preserve"> la relevancia constitucional del asunto; </w:t>
      </w:r>
      <w:r w:rsidRPr="007E36DF">
        <w:rPr>
          <w:bCs/>
          <w:u w:color="FF0000"/>
        </w:rPr>
        <w:t>ii)</w:t>
      </w:r>
      <w:r w:rsidRPr="007E36DF">
        <w:rPr>
          <w:u w:color="FF0000"/>
        </w:rPr>
        <w:t xml:space="preserve"> el uso de todos los medios de defensa judiciales salvo la existencia de un perjuicio irremediable; </w:t>
      </w:r>
      <w:r w:rsidRPr="007E36DF">
        <w:rPr>
          <w:bCs/>
          <w:u w:color="FF0000"/>
        </w:rPr>
        <w:t>iii)</w:t>
      </w:r>
      <w:r w:rsidRPr="007E36DF">
        <w:rPr>
          <w:u w:color="FF0000"/>
        </w:rPr>
        <w:t xml:space="preserve"> el cumplimiento del principio de inmediatez; </w:t>
      </w:r>
      <w:r w:rsidRPr="007E36DF">
        <w:rPr>
          <w:bCs/>
          <w:u w:color="FF0000"/>
        </w:rPr>
        <w:t>iv)</w:t>
      </w:r>
      <w:r w:rsidRPr="007E36DF">
        <w:rPr>
          <w:u w:color="FF0000"/>
        </w:rPr>
        <w:t xml:space="preserve"> la existencia de una irregularidad procesal con efecto decisivo en la providencia objeto de inconformidad; </w:t>
      </w:r>
      <w:r w:rsidRPr="007E36DF">
        <w:rPr>
          <w:bCs/>
          <w:u w:color="FF0000"/>
        </w:rPr>
        <w:t>v)</w:t>
      </w:r>
      <w:r w:rsidRPr="007E36DF">
        <w:rPr>
          <w:u w:color="FF0000"/>
        </w:rPr>
        <w:t xml:space="preserve"> la identificación clara de los hechos causantes de la vulneración y su alegación en el proceso, y </w:t>
      </w:r>
      <w:r w:rsidRPr="007E36DF">
        <w:rPr>
          <w:bCs/>
          <w:u w:color="FF0000"/>
        </w:rPr>
        <w:t>vi)</w:t>
      </w:r>
      <w:r w:rsidRPr="007E36DF">
        <w:rPr>
          <w:u w:color="FF0000"/>
        </w:rPr>
        <w:t xml:space="preserve"> que no se trate de tutela contra tutela.</w:t>
      </w:r>
    </w:p>
    <w:p w:rsidR="00E507A6" w:rsidRPr="007E36DF" w:rsidRDefault="00E507A6" w:rsidP="00E507A6">
      <w:pPr>
        <w:spacing w:line="360" w:lineRule="auto"/>
        <w:ind w:right="474"/>
        <w:jc w:val="both"/>
        <w:rPr>
          <w:u w:color="FF0000"/>
        </w:rPr>
      </w:pPr>
    </w:p>
    <w:p w:rsidR="00E507A6" w:rsidRPr="007E36DF" w:rsidRDefault="00E507A6" w:rsidP="00E507A6">
      <w:pPr>
        <w:spacing w:line="360" w:lineRule="auto"/>
        <w:jc w:val="both"/>
        <w:rPr>
          <w:u w:color="FF0000"/>
        </w:rPr>
      </w:pPr>
      <w:r w:rsidRPr="007E36DF">
        <w:rPr>
          <w:u w:color="FF0000"/>
        </w:rPr>
        <w:t xml:space="preserve">Además de estas exigencias, la Corte en la mencionada sentencia C–590 de 2005, precisó que era imperioso acreditar la existencia de unos </w:t>
      </w:r>
      <w:r w:rsidRPr="007E36DF">
        <w:rPr>
          <w:b/>
          <w:bCs/>
          <w:u w:color="FF0000"/>
        </w:rPr>
        <w:t>requisitos especiales</w:t>
      </w:r>
      <w:r w:rsidRPr="007E36DF">
        <w:rPr>
          <w:u w:color="FF0000"/>
        </w:rPr>
        <w:t xml:space="preserve"> de procedibilidad, que el propio Tribunal Constitucional los ha considerado como las causales concretas que “</w:t>
      </w:r>
      <w:r w:rsidRPr="007E36DF">
        <w:rPr>
          <w:i/>
          <w:iCs/>
          <w:u w:color="FF0000"/>
        </w:rPr>
        <w:t>de verificarse su ocurrencia autorizan al juez de tutela a dejar sin efecto una providencia judicial</w:t>
      </w:r>
      <w:r w:rsidRPr="007E36DF">
        <w:rPr>
          <w:u w:color="FF0000"/>
        </w:rPr>
        <w:t>”</w:t>
      </w:r>
      <w:r w:rsidRPr="007E36DF">
        <w:rPr>
          <w:u w:color="FF0000"/>
        </w:rPr>
        <w:footnoteReference w:id="8"/>
      </w:r>
      <w:r w:rsidRPr="007E36DF">
        <w:rPr>
          <w:u w:color="FF0000"/>
        </w:rPr>
        <w:t>.</w:t>
      </w:r>
    </w:p>
    <w:p w:rsidR="00E507A6" w:rsidRPr="007E36DF" w:rsidRDefault="00E507A6" w:rsidP="00E507A6">
      <w:pPr>
        <w:spacing w:line="360" w:lineRule="auto"/>
        <w:jc w:val="both"/>
        <w:rPr>
          <w:u w:color="FF0000"/>
        </w:rPr>
      </w:pPr>
    </w:p>
    <w:p w:rsidR="00E507A6" w:rsidRPr="007E36DF" w:rsidRDefault="00E507A6" w:rsidP="00E507A6">
      <w:pPr>
        <w:spacing w:line="360" w:lineRule="auto"/>
        <w:jc w:val="both"/>
        <w:rPr>
          <w:u w:color="FF0000"/>
        </w:rPr>
      </w:pPr>
      <w:r w:rsidRPr="007E36DF">
        <w:rPr>
          <w:u w:color="FF0000"/>
        </w:rPr>
        <w:t xml:space="preserve">Así pues, el juez debe comprobar la ocurrencia de al menos uno de los siguientes defectos: </w:t>
      </w:r>
      <w:r w:rsidRPr="007E36DF">
        <w:rPr>
          <w:bCs/>
          <w:u w:color="FF0000"/>
        </w:rPr>
        <w:t>i)</w:t>
      </w:r>
      <w:r w:rsidRPr="007E36DF">
        <w:rPr>
          <w:u w:color="FF0000"/>
        </w:rPr>
        <w:t xml:space="preserve"> orgánico; </w:t>
      </w:r>
      <w:r w:rsidRPr="007E36DF">
        <w:rPr>
          <w:bCs/>
          <w:u w:color="FF0000"/>
        </w:rPr>
        <w:t>ii)</w:t>
      </w:r>
      <w:r w:rsidRPr="007E36DF">
        <w:rPr>
          <w:u w:color="FF0000"/>
        </w:rPr>
        <w:t xml:space="preserve"> procedimental absoluto; </w:t>
      </w:r>
      <w:r w:rsidRPr="007E36DF">
        <w:rPr>
          <w:bCs/>
          <w:u w:color="FF0000"/>
        </w:rPr>
        <w:t>iii)</w:t>
      </w:r>
      <w:r w:rsidRPr="007E36DF">
        <w:rPr>
          <w:u w:color="FF0000"/>
        </w:rPr>
        <w:t xml:space="preserve"> fáctico; </w:t>
      </w:r>
      <w:r w:rsidRPr="007E36DF">
        <w:rPr>
          <w:bCs/>
          <w:u w:color="FF0000"/>
        </w:rPr>
        <w:t>iv)</w:t>
      </w:r>
      <w:r w:rsidRPr="007E36DF">
        <w:rPr>
          <w:u w:color="FF0000"/>
        </w:rPr>
        <w:t xml:space="preserve"> material o sustantivo; </w:t>
      </w:r>
      <w:r w:rsidRPr="007E36DF">
        <w:rPr>
          <w:bCs/>
          <w:u w:color="FF0000"/>
        </w:rPr>
        <w:t>v)</w:t>
      </w:r>
      <w:r w:rsidRPr="007E36DF">
        <w:rPr>
          <w:u w:color="FF0000"/>
        </w:rPr>
        <w:t xml:space="preserve"> error inducido; </w:t>
      </w:r>
      <w:r w:rsidRPr="007E36DF">
        <w:rPr>
          <w:bCs/>
          <w:u w:color="FF0000"/>
        </w:rPr>
        <w:t>vi)</w:t>
      </w:r>
      <w:r w:rsidRPr="007E36DF">
        <w:rPr>
          <w:u w:color="FF0000"/>
        </w:rPr>
        <w:t xml:space="preserve"> decisión sin motivación; </w:t>
      </w:r>
      <w:r w:rsidRPr="007E36DF">
        <w:rPr>
          <w:bCs/>
          <w:u w:color="FF0000"/>
        </w:rPr>
        <w:t>vii)</w:t>
      </w:r>
      <w:r w:rsidRPr="007E36DF">
        <w:rPr>
          <w:u w:color="FF0000"/>
        </w:rPr>
        <w:t xml:space="preserve"> desconocimiento del precedente; y </w:t>
      </w:r>
      <w:r w:rsidRPr="007E36DF">
        <w:rPr>
          <w:bCs/>
          <w:u w:color="FF0000"/>
        </w:rPr>
        <w:t>viii)</w:t>
      </w:r>
      <w:r w:rsidRPr="007E36DF">
        <w:rPr>
          <w:u w:color="FF0000"/>
        </w:rPr>
        <w:t xml:space="preserve"> violación directa de la Constitución.</w:t>
      </w:r>
    </w:p>
    <w:p w:rsidR="00E507A6" w:rsidRPr="007E36DF" w:rsidRDefault="00E507A6" w:rsidP="00E507A6">
      <w:pPr>
        <w:spacing w:line="360" w:lineRule="auto"/>
        <w:ind w:left="567" w:hanging="283"/>
        <w:jc w:val="both"/>
        <w:rPr>
          <w:u w:color="FF0000"/>
        </w:rPr>
      </w:pPr>
    </w:p>
    <w:p w:rsidR="00E507A6" w:rsidRPr="007E36DF" w:rsidRDefault="00E507A6" w:rsidP="00E507A6">
      <w:pPr>
        <w:spacing w:line="360" w:lineRule="auto"/>
        <w:jc w:val="both"/>
        <w:rPr>
          <w:u w:color="FF0000"/>
        </w:rPr>
      </w:pPr>
      <w:r w:rsidRPr="007E36DF">
        <w:rPr>
          <w:u w:color="FF0000"/>
        </w:rPr>
        <w:lastRenderedPageBreak/>
        <w:t xml:space="preserve">De lo expuesto, la Sala advierte que, cuando el juez constitucional conoce una demanda impetrada en ejercicio de la acción de tutela y en la que se alega la vulneración de derechos fundamentales con ocasión de la expedición de una providencia judicial, en primer lugar, </w:t>
      </w:r>
      <w:r w:rsidRPr="007E36DF">
        <w:rPr>
          <w:bCs/>
          <w:u w:color="FF0000"/>
        </w:rPr>
        <w:t>debe verificar la presencia de los requisitos generales y, en segundo término, le corresponde examinar si en el caso objeto de análisis se configura uno de los defectos especiales ya explicados</w:t>
      </w:r>
      <w:r w:rsidRPr="007E36DF">
        <w:rPr>
          <w:u w:color="FF0000"/>
        </w:rPr>
        <w:t>, permitiéndole de esta manera “</w:t>
      </w:r>
      <w:r w:rsidRPr="007E36DF">
        <w:rPr>
          <w:i/>
          <w:iCs/>
          <w:u w:color="FF0000"/>
        </w:rPr>
        <w:t>dejar sin efecto o modular la decisión</w:t>
      </w:r>
      <w:r w:rsidRPr="007E36DF">
        <w:rPr>
          <w:u w:color="FF0000"/>
        </w:rPr>
        <w:t>”</w:t>
      </w:r>
      <w:r w:rsidRPr="007E36DF">
        <w:rPr>
          <w:u w:color="FF0000"/>
          <w:vertAlign w:val="superscript"/>
        </w:rPr>
        <w:footnoteReference w:id="9"/>
      </w:r>
      <w:r w:rsidRPr="007E36DF">
        <w:rPr>
          <w:u w:color="FF0000"/>
        </w:rPr>
        <w:t xml:space="preserve"> que encaje en dichos parámetros.</w:t>
      </w:r>
    </w:p>
    <w:p w:rsidR="00E507A6" w:rsidRPr="007E36DF" w:rsidRDefault="00E507A6" w:rsidP="00E507A6">
      <w:pPr>
        <w:spacing w:line="360" w:lineRule="auto"/>
        <w:jc w:val="both"/>
        <w:rPr>
          <w:u w:color="FF0000"/>
        </w:rPr>
      </w:pPr>
    </w:p>
    <w:p w:rsidR="00E507A6" w:rsidRPr="007E36DF" w:rsidRDefault="00E507A6" w:rsidP="00E507A6">
      <w:pPr>
        <w:spacing w:line="360" w:lineRule="auto"/>
        <w:jc w:val="both"/>
        <w:rPr>
          <w:u w:color="FF0000"/>
        </w:rPr>
      </w:pPr>
      <w:r w:rsidRPr="007E36DF">
        <w:rPr>
          <w:u w:color="FF0000"/>
        </w:rPr>
        <w:t>Se trata, entonces, de una rigurosa y cuidadosa constatación de los presupuestos de procedibilidad, por cuanto resulta a todas luces necesario evitar que este instrumento excepcional se convierta en una manera de desconocer principios y valores constitucionales tales como los de cosa juzgada, debido proceso, seguridad jurídica e independencia judicial que gobiernan todo proceso jurisdiccional.</w:t>
      </w:r>
    </w:p>
    <w:p w:rsidR="00E507A6" w:rsidRPr="007E36DF" w:rsidRDefault="00E507A6" w:rsidP="00E507A6">
      <w:pPr>
        <w:spacing w:line="360" w:lineRule="auto"/>
        <w:jc w:val="both"/>
        <w:rPr>
          <w:u w:color="FF0000"/>
        </w:rPr>
      </w:pPr>
    </w:p>
    <w:p w:rsidR="00E507A6" w:rsidRPr="007E36DF" w:rsidRDefault="00E507A6" w:rsidP="00E507A6">
      <w:pPr>
        <w:spacing w:line="360" w:lineRule="auto"/>
        <w:jc w:val="both"/>
        <w:rPr>
          <w:u w:color="FF0000"/>
        </w:rPr>
      </w:pPr>
      <w:r w:rsidRPr="007E36DF">
        <w:rPr>
          <w:u w:color="FF0000"/>
        </w:rPr>
        <w:t xml:space="preserve">El criterio expuesto fue reiterado en pronunciamiento de la Sala Plena de la Corporación, en sentencia de unificación de 5 de agosto de 2014, radicado: 11001031500020120220101, </w:t>
      </w:r>
      <w:r w:rsidR="00DF2FEF" w:rsidRPr="007E36DF">
        <w:rPr>
          <w:u w:color="FF0000"/>
        </w:rPr>
        <w:t>[C.P.]</w:t>
      </w:r>
      <w:r w:rsidRPr="007E36DF">
        <w:rPr>
          <w:u w:color="FF0000"/>
        </w:rPr>
        <w:t>, Jorge Octavio Ramírez Ramírez.</w:t>
      </w:r>
    </w:p>
    <w:p w:rsidR="00E507A6" w:rsidRPr="007E36DF" w:rsidRDefault="00E507A6" w:rsidP="00E507A6">
      <w:pPr>
        <w:tabs>
          <w:tab w:val="center" w:pos="4464"/>
        </w:tabs>
        <w:spacing w:line="360" w:lineRule="auto"/>
        <w:ind w:right="-91"/>
        <w:jc w:val="both"/>
      </w:pPr>
    </w:p>
    <w:p w:rsidR="00E507A6" w:rsidRPr="007E36DF" w:rsidRDefault="00E507A6" w:rsidP="00E507A6">
      <w:pPr>
        <w:widowControl w:val="0"/>
        <w:spacing w:line="360" w:lineRule="auto"/>
        <w:ind w:right="51"/>
        <w:jc w:val="both"/>
      </w:pPr>
      <w:r w:rsidRPr="007E36DF">
        <w:t>En el caso bajo examen se advierte que la acción de tutela cumple con los requisitos generales que exige la sentencia C-590 del 2005 para la procedencia contra providencia judicial, ya que: i) es evidente que la cuestión que se discute reviste relevancia constitucional, comoquiera que se controvierte la vulneración de varios derechos fundamentales; ii) cumplió con el principio de inmediatez, pues se interpuso antes de que transcurrieran (6) meses después de ejecutoriada la sentencia acusada</w:t>
      </w:r>
      <w:r w:rsidRPr="007E36DF">
        <w:rPr>
          <w:vertAlign w:val="superscript"/>
        </w:rPr>
        <w:footnoteReference w:id="10"/>
      </w:r>
      <w:r w:rsidRPr="007E36DF">
        <w:t xml:space="preserve">; iii) no existen medios ordinarios y/o extraordinarios de </w:t>
      </w:r>
      <w:r w:rsidRPr="007E36DF">
        <w:lastRenderedPageBreak/>
        <w:t>defensa judicial eficaces y eficientes con los cuales el accionante pueda lograr la protección de los derechos invocados; iv) se trata de una presunta irregularidad procesal que pueda resultar determinante en el proceso, por exceso ritual manifiesto que deberá estudiarse con detenimiento; v) el actor identificó los hechos y los derechos cuya vulneración alega; y vi) no se trata de una acción de tutela contra sentencia de tutela.</w:t>
      </w:r>
    </w:p>
    <w:p w:rsidR="00E507A6" w:rsidRPr="007E36DF" w:rsidRDefault="00E507A6" w:rsidP="00E507A6">
      <w:pPr>
        <w:widowControl w:val="0"/>
        <w:spacing w:line="360" w:lineRule="auto"/>
        <w:ind w:right="51"/>
        <w:jc w:val="both"/>
      </w:pPr>
    </w:p>
    <w:p w:rsidR="00E507A6" w:rsidRPr="007E36DF" w:rsidRDefault="00E507A6" w:rsidP="00E507A6">
      <w:pPr>
        <w:widowControl w:val="0"/>
        <w:spacing w:line="360" w:lineRule="auto"/>
        <w:jc w:val="both"/>
        <w:rPr>
          <w:b/>
          <w:shd w:val="clear" w:color="auto" w:fill="FFFFFF"/>
        </w:rPr>
      </w:pPr>
      <w:r w:rsidRPr="007E36DF">
        <w:rPr>
          <w:rFonts w:eastAsia="Times New Roman"/>
          <w:b/>
          <w:lang w:eastAsia="es-ES"/>
        </w:rPr>
        <w:t xml:space="preserve">6. </w:t>
      </w:r>
      <w:r w:rsidRPr="007E36DF">
        <w:rPr>
          <w:b/>
          <w:shd w:val="clear" w:color="auto" w:fill="FFFFFF"/>
        </w:rPr>
        <w:t>El caso concreto</w:t>
      </w:r>
    </w:p>
    <w:p w:rsidR="00E507A6" w:rsidRPr="007E36DF" w:rsidRDefault="00E507A6" w:rsidP="00E507A6">
      <w:pPr>
        <w:widowControl w:val="0"/>
        <w:spacing w:line="360" w:lineRule="auto"/>
        <w:jc w:val="both"/>
        <w:rPr>
          <w:rFonts w:eastAsia="Times New Roman"/>
          <w:b/>
          <w:lang w:eastAsia="es-ES"/>
        </w:rPr>
      </w:pPr>
    </w:p>
    <w:p w:rsidR="00E507A6" w:rsidRPr="007E36DF" w:rsidRDefault="00E507A6" w:rsidP="00E507A6">
      <w:pPr>
        <w:widowControl w:val="0"/>
        <w:spacing w:line="360" w:lineRule="auto"/>
        <w:jc w:val="both"/>
      </w:pPr>
      <w:r w:rsidRPr="007E36DF">
        <w:t xml:space="preserve">El señor </w:t>
      </w:r>
      <w:r w:rsidRPr="007E36DF">
        <w:rPr>
          <w:b/>
        </w:rPr>
        <w:t>James Albeiro Ordoñez Soto</w:t>
      </w:r>
      <w:r w:rsidRPr="007E36DF">
        <w:t xml:space="preserve"> presentó acción de tutela en contra del Tribunal Administrativo del Huila, porque, a su juicio, vulneró su derecho fundamental al </w:t>
      </w:r>
      <w:r w:rsidRPr="007E36DF">
        <w:rPr>
          <w:b/>
        </w:rPr>
        <w:t>debido proceso</w:t>
      </w:r>
      <w:r w:rsidRPr="007E36DF">
        <w:t>, al proferir la sentencia de 19 de noviembre de 2015, mediante la cual se declaró inhibido de fallar por indebida escogencia de la acción, dentro del proceso de controversias contractuales con radicación número 41-001-33-31-001-2011-00116-01.</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El actor estima que la sentencia de 19 de noviembre de 2015 incurre en un defecto sustantivo y procedimental, por falta de aplicación del artículo 53 de la Constitución Política e indebida interpretación del artículo 87 del Código Contencioso Administrativo, que fijan, respectivamente, la primacía de la realidad sobre las formas y la posibilidad de ejercer la acción de controversias contractuales. Asimismo, alega que dicho fallo desconoce el precedente judicial sentado por el Consejo de Estado en sentencias de 25 de febrero de 2016</w:t>
      </w:r>
      <w:r w:rsidRPr="007E36DF">
        <w:rPr>
          <w:rStyle w:val="Refdenotaalpie"/>
          <w:rFonts w:cs="Arial"/>
        </w:rPr>
        <w:footnoteReference w:id="11"/>
      </w:r>
      <w:r w:rsidRPr="007E36DF">
        <w:t>, de 10 de marzo de 2016</w:t>
      </w:r>
      <w:r w:rsidRPr="007E36DF">
        <w:rPr>
          <w:rStyle w:val="Refdenotaalpie"/>
          <w:rFonts w:cs="Arial"/>
        </w:rPr>
        <w:footnoteReference w:id="12"/>
      </w:r>
      <w:r w:rsidRPr="007E36DF">
        <w:t xml:space="preserve"> y 19 de julio de 2007</w:t>
      </w:r>
      <w:r w:rsidRPr="007E36DF">
        <w:rPr>
          <w:rFonts w:eastAsia="Times New Roman"/>
          <w:vertAlign w:val="superscript"/>
          <w:lang w:eastAsia="es-ES"/>
        </w:rPr>
        <w:footnoteReference w:id="13"/>
      </w:r>
      <w:r w:rsidRPr="007E36DF">
        <w:t>,</w:t>
      </w:r>
      <w:r w:rsidRPr="007E36DF">
        <w:rPr>
          <w:rFonts w:eastAsia="Times New Roman"/>
          <w:i/>
          <w:lang w:eastAsia="es-ES"/>
        </w:rPr>
        <w:t xml:space="preserve"> </w:t>
      </w:r>
      <w:r w:rsidRPr="007E36DF">
        <w:t>las cuales indican que la acción contractual es el medio procedente para declarar el contrato realidad.</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Bajo el anterior contexto, el problema jurídico que debe resolver la Sala en el presente caso consiste en establecer si, en efecto, el Tribunal Administrativo del Huila incurrió en los defectos sustantivo, procedimental y en desconocimiento del precedente judicial, al proferir la sentencia de 19 de noviembre de 2015.</w:t>
      </w:r>
    </w:p>
    <w:p w:rsidR="00E507A6" w:rsidRPr="007E36DF" w:rsidRDefault="00E507A6" w:rsidP="00E507A6">
      <w:pPr>
        <w:widowControl w:val="0"/>
        <w:spacing w:line="360" w:lineRule="auto"/>
        <w:jc w:val="both"/>
      </w:pPr>
    </w:p>
    <w:p w:rsidR="00E507A6" w:rsidRPr="007E36DF" w:rsidRDefault="00E507A6" w:rsidP="00E507A6">
      <w:pPr>
        <w:widowControl w:val="0"/>
        <w:spacing w:line="360" w:lineRule="auto"/>
        <w:jc w:val="both"/>
      </w:pPr>
      <w:r w:rsidRPr="007E36DF">
        <w:t xml:space="preserve">Ahora, sobre las formas de configuración del defecto sustantivo en las providencias </w:t>
      </w:r>
      <w:r w:rsidRPr="007E36DF">
        <w:lastRenderedPageBreak/>
        <w:t>judiciales, en diferentes pronunciamientos la Corte Constitucional se ha referido a ellas manifestando que se pueden presentar cuando la decisión judicial cuestionada:</w:t>
      </w:r>
    </w:p>
    <w:p w:rsidR="00E507A6" w:rsidRPr="007E36DF" w:rsidRDefault="00E507A6" w:rsidP="00E507A6">
      <w:pPr>
        <w:widowControl w:val="0"/>
        <w:spacing w:line="360" w:lineRule="auto"/>
        <w:jc w:val="both"/>
      </w:pPr>
    </w:p>
    <w:p w:rsidR="00E507A6" w:rsidRPr="007E36DF" w:rsidRDefault="00E507A6" w:rsidP="00E507A6">
      <w:pPr>
        <w:widowControl w:val="0"/>
        <w:ind w:left="567" w:right="618"/>
        <w:jc w:val="both"/>
        <w:rPr>
          <w:i/>
          <w:lang w:eastAsia="es-ES"/>
        </w:rPr>
      </w:pPr>
      <w:r w:rsidRPr="007E36DF">
        <w:rPr>
          <w:i/>
        </w:rPr>
        <w:t xml:space="preserve">“(i) </w:t>
      </w:r>
      <w:r w:rsidRPr="007E36DF">
        <w:rPr>
          <w:i/>
          <w:lang w:eastAsia="es-ES"/>
        </w:rPr>
        <w:t>Se funda en una norma que no se encuentra vigente por haber sido derogada, o por haber sido declarada inconstitucional</w:t>
      </w:r>
      <w:r w:rsidRPr="007E36DF">
        <w:rPr>
          <w:i/>
          <w:vertAlign w:val="superscript"/>
          <w:lang w:eastAsia="es-ES"/>
        </w:rPr>
        <w:footnoteReference w:id="14"/>
      </w:r>
      <w:r w:rsidRPr="007E36DF">
        <w:rPr>
          <w:i/>
          <w:lang w:eastAsia="es-ES"/>
        </w:rPr>
        <w:t>;</w:t>
      </w:r>
    </w:p>
    <w:p w:rsidR="00E507A6" w:rsidRPr="007E36DF" w:rsidRDefault="00E507A6" w:rsidP="00E507A6">
      <w:pPr>
        <w:widowControl w:val="0"/>
        <w:ind w:left="567" w:right="618"/>
        <w:contextualSpacing/>
        <w:jc w:val="both"/>
        <w:rPr>
          <w:i/>
          <w:lang w:eastAsia="es-ES"/>
        </w:rPr>
      </w:pPr>
      <w:r w:rsidRPr="007E36DF">
        <w:rPr>
          <w:i/>
          <w:lang w:eastAsia="es-ES"/>
        </w:rPr>
        <w:t xml:space="preserve">(ii) Desconoce, por interpretación o aplicación, las sentencias con efectos </w:t>
      </w:r>
      <w:r w:rsidRPr="007E36DF">
        <w:rPr>
          <w:i/>
          <w:iCs/>
          <w:lang w:eastAsia="es-ES"/>
        </w:rPr>
        <w:t>erga omnes</w:t>
      </w:r>
      <w:r w:rsidRPr="007E36DF">
        <w:rPr>
          <w:i/>
          <w:lang w:eastAsia="es-ES"/>
        </w:rPr>
        <w:t> que han definido el alcance de la norma</w:t>
      </w:r>
      <w:r w:rsidRPr="007E36DF">
        <w:rPr>
          <w:i/>
          <w:vertAlign w:val="superscript"/>
          <w:lang w:eastAsia="es-ES"/>
        </w:rPr>
        <w:footnoteReference w:id="15"/>
      </w:r>
      <w:r w:rsidRPr="007E36DF">
        <w:rPr>
          <w:i/>
          <w:lang w:eastAsia="es-ES"/>
        </w:rPr>
        <w:t>;</w:t>
      </w:r>
    </w:p>
    <w:p w:rsidR="00E507A6" w:rsidRPr="007E36DF" w:rsidRDefault="00E507A6" w:rsidP="00E507A6">
      <w:pPr>
        <w:widowControl w:val="0"/>
        <w:ind w:left="567" w:right="618"/>
        <w:contextualSpacing/>
        <w:jc w:val="both"/>
        <w:rPr>
          <w:i/>
          <w:lang w:eastAsia="es-ES"/>
        </w:rPr>
      </w:pPr>
      <w:r w:rsidRPr="007E36DF">
        <w:rPr>
          <w:i/>
          <w:lang w:eastAsia="es-ES"/>
        </w:rPr>
        <w:t>(iii) Interpreta o aplica la norma sin tener en cuenta otras disposiciones aplicables al caso y que son necesarias para efectuar una interpretación sistemática</w:t>
      </w:r>
      <w:r w:rsidRPr="007E36DF">
        <w:rPr>
          <w:i/>
          <w:vertAlign w:val="superscript"/>
          <w:lang w:eastAsia="es-ES"/>
        </w:rPr>
        <w:footnoteReference w:id="16"/>
      </w:r>
      <w:r w:rsidRPr="007E36DF">
        <w:rPr>
          <w:i/>
          <w:lang w:eastAsia="es-ES"/>
        </w:rPr>
        <w:t>;</w:t>
      </w:r>
    </w:p>
    <w:p w:rsidR="00E507A6" w:rsidRPr="007E36DF" w:rsidRDefault="00E507A6" w:rsidP="00E507A6">
      <w:pPr>
        <w:widowControl w:val="0"/>
        <w:ind w:left="567" w:right="618"/>
        <w:contextualSpacing/>
        <w:jc w:val="both"/>
        <w:rPr>
          <w:i/>
          <w:lang w:eastAsia="es-ES"/>
        </w:rPr>
      </w:pPr>
      <w:r w:rsidRPr="007E36DF">
        <w:rPr>
          <w:i/>
          <w:iCs/>
          <w:lang w:eastAsia="es-ES"/>
        </w:rPr>
        <w:t>(iv) Se abstuvo de aplicar la excepción de inconstitucionalidad, a pesar de que la norma es claramente inconstitucional para el caso concreto</w:t>
      </w:r>
      <w:r w:rsidRPr="007E36DF">
        <w:rPr>
          <w:i/>
          <w:iCs/>
          <w:vertAlign w:val="superscript"/>
          <w:lang w:eastAsia="es-ES"/>
        </w:rPr>
        <w:footnoteReference w:id="17"/>
      </w:r>
      <w:r w:rsidRPr="007E36DF">
        <w:rPr>
          <w:i/>
          <w:iCs/>
          <w:lang w:eastAsia="es-ES"/>
        </w:rPr>
        <w:t>;</w:t>
      </w:r>
    </w:p>
    <w:p w:rsidR="00E507A6" w:rsidRPr="007E36DF" w:rsidRDefault="00E507A6" w:rsidP="00E507A6">
      <w:pPr>
        <w:widowControl w:val="0"/>
        <w:ind w:left="567" w:right="618"/>
        <w:contextualSpacing/>
        <w:jc w:val="both"/>
        <w:rPr>
          <w:i/>
          <w:lang w:eastAsia="es-ES"/>
        </w:rPr>
      </w:pPr>
      <w:r w:rsidRPr="007E36DF">
        <w:rPr>
          <w:i/>
          <w:lang w:eastAsia="es-ES"/>
        </w:rPr>
        <w:t>(v) La norma aplicable al caso concreto es desatendida y por ende inaplicada</w:t>
      </w:r>
      <w:r w:rsidRPr="007E36DF">
        <w:rPr>
          <w:i/>
          <w:vertAlign w:val="superscript"/>
          <w:lang w:eastAsia="es-ES"/>
        </w:rPr>
        <w:footnoteReference w:id="18"/>
      </w:r>
      <w:r w:rsidRPr="007E36DF">
        <w:rPr>
          <w:i/>
          <w:lang w:eastAsia="es-ES"/>
        </w:rPr>
        <w:t>; o cuando</w:t>
      </w:r>
    </w:p>
    <w:p w:rsidR="00E507A6" w:rsidRPr="007E36DF" w:rsidRDefault="00E507A6" w:rsidP="00E507A6">
      <w:pPr>
        <w:widowControl w:val="0"/>
        <w:ind w:left="567" w:right="618"/>
        <w:contextualSpacing/>
        <w:jc w:val="both"/>
        <w:rPr>
          <w:i/>
          <w:lang w:eastAsia="es-ES"/>
        </w:rPr>
      </w:pPr>
      <w:r w:rsidRPr="007E36DF">
        <w:rPr>
          <w:i/>
          <w:lang w:eastAsia="es-ES"/>
        </w:rPr>
        <w:t>(vi) Se le reconocen a la norma en cuestión efectos distintos a los expresamente señalados por el legislador</w:t>
      </w:r>
      <w:r w:rsidRPr="007E36DF">
        <w:rPr>
          <w:i/>
          <w:vertAlign w:val="superscript"/>
          <w:lang w:eastAsia="es-ES"/>
        </w:rPr>
        <w:footnoteReference w:id="19"/>
      </w:r>
      <w:r w:rsidRPr="007E36DF">
        <w:rPr>
          <w:i/>
          <w:lang w:eastAsia="es-ES"/>
        </w:rPr>
        <w:t>.”</w:t>
      </w:r>
    </w:p>
    <w:p w:rsidR="00E507A6" w:rsidRPr="007E36DF" w:rsidRDefault="00E507A6" w:rsidP="00E507A6">
      <w:pPr>
        <w:widowControl w:val="0"/>
        <w:spacing w:line="360" w:lineRule="auto"/>
        <w:ind w:right="618"/>
        <w:contextualSpacing/>
        <w:jc w:val="both"/>
        <w:rPr>
          <w:i/>
          <w:lang w:eastAsia="es-ES"/>
        </w:rPr>
      </w:pPr>
    </w:p>
    <w:p w:rsidR="00E507A6" w:rsidRPr="007E36DF" w:rsidRDefault="00E507A6" w:rsidP="00E507A6">
      <w:pPr>
        <w:widowControl w:val="0"/>
        <w:spacing w:line="360" w:lineRule="auto"/>
        <w:jc w:val="both"/>
      </w:pPr>
      <w:r w:rsidRPr="007E36DF">
        <w:t>Por su parte, la jurisprudencia constitucional ha establecido que el defecto procedimental absoluto se configura cuando: i) el juez se aparta de las normas procesales, ii) desconoce el procedimiento determinado por la ley, o iii) el exceso ritual anula la efectividad de los derechos fundamentales:</w:t>
      </w:r>
    </w:p>
    <w:p w:rsidR="00E507A6" w:rsidRPr="007E36DF" w:rsidRDefault="00E507A6" w:rsidP="00E507A6">
      <w:pPr>
        <w:ind w:left="567" w:right="618"/>
        <w:jc w:val="both"/>
        <w:rPr>
          <w:i/>
        </w:rPr>
      </w:pPr>
    </w:p>
    <w:p w:rsidR="00E507A6" w:rsidRPr="007E36DF" w:rsidRDefault="00E507A6" w:rsidP="00E507A6">
      <w:pPr>
        <w:ind w:left="567" w:right="618"/>
        <w:jc w:val="both"/>
        <w:rPr>
          <w:b/>
          <w:i/>
        </w:rPr>
      </w:pPr>
      <w:r w:rsidRPr="007E36DF">
        <w:rPr>
          <w:i/>
        </w:rPr>
        <w:t xml:space="preserve">“Este tiene lugar siempre que, en desarrollo de la actividad judicial, el funcionario se aparte de manera evidente y grotesca de las normas procesales aplicables. Al desconocer completamente el procedimiento determinado por la ley, el juez termina produciendo un fallo arbitrario que vulnera derechos fundamentales. </w:t>
      </w:r>
      <w:r w:rsidRPr="007E36DF">
        <w:rPr>
          <w:b/>
          <w:i/>
        </w:rPr>
        <w:t>T</w:t>
      </w:r>
      <w:r w:rsidRPr="007E36DF">
        <w:rPr>
          <w:b/>
          <w:i/>
          <w:color w:val="000000"/>
        </w:rPr>
        <w:t>ambién se ha admitido que, en forma excepcional, éste puede configurarse debido a un </w:t>
      </w:r>
      <w:r w:rsidRPr="007E36DF">
        <w:rPr>
          <w:b/>
          <w:i/>
          <w:iCs/>
          <w:color w:val="000000"/>
        </w:rPr>
        <w:t>exceso ritual manifiesto, </w:t>
      </w:r>
      <w:r w:rsidRPr="007E36DF">
        <w:rPr>
          <w:b/>
          <w:i/>
          <w:color w:val="000000"/>
        </w:rPr>
        <w:t>a consecuencia del cual el operador judicial resta o anula la efectividad de los derechos fundamentales por motivos excesivamente formales.”</w:t>
      </w:r>
      <w:r w:rsidRPr="007E36DF">
        <w:rPr>
          <w:rStyle w:val="Refdenotaalpie"/>
          <w:rFonts w:cs="Arial"/>
          <w:b/>
          <w:i/>
          <w:color w:val="000000"/>
        </w:rPr>
        <w:footnoteReference w:id="20"/>
      </w:r>
    </w:p>
    <w:p w:rsidR="00E507A6" w:rsidRPr="007E36DF" w:rsidRDefault="00E507A6" w:rsidP="00E507A6">
      <w:pPr>
        <w:ind w:left="567" w:right="618"/>
        <w:jc w:val="both"/>
        <w:rPr>
          <w:i/>
          <w:lang w:val="es-ES_tradnl"/>
        </w:rPr>
      </w:pPr>
      <w:r w:rsidRPr="007E36DF">
        <w:rPr>
          <w:i/>
          <w:lang w:val="es-ES_tradnl"/>
        </w:rPr>
        <w:t>“…</w:t>
      </w:r>
      <w:r w:rsidRPr="007E36DF">
        <w:rPr>
          <w:b/>
          <w:i/>
          <w:lang w:val="es-ES_tradnl"/>
        </w:rPr>
        <w:t>el juez se desvía por completo del procedimiento fijado por la ley para dar trámite a determinadas cuestiones y actúa de forma arbitraria y caprichosa, con fundamento en su sola voluntad,</w:t>
      </w:r>
      <w:r w:rsidRPr="007E36DF">
        <w:rPr>
          <w:i/>
          <w:lang w:val="es-ES_tradnl"/>
        </w:rPr>
        <w:t xml:space="preserve"> se configura el defecto procedimental. El defecto procedimental se erige en una violación al debido proceso cuando el juez da un cauce que no corresponde al asunto sometido a su competencia, o cuando pretermite las etapas propias del juicio, como por ejemplo, omite la notificación de un acto que requiera de esta formalidad según la ley, o cuando pasa por alto realizar el debate probatorio, natural a todo proceso, vulnerando el derecho de defensa y contradicción de los sujetos procesales al no </w:t>
      </w:r>
      <w:r w:rsidRPr="007E36DF">
        <w:rPr>
          <w:i/>
          <w:lang w:val="es-ES_tradnl"/>
        </w:rPr>
        <w:lastRenderedPageBreak/>
        <w:t>permitirles sustentar o comprobar los hechos de la demanda o su contestación, con la consecuente negación de sus pretensiones en la decisión de fondo y la violación a los derechos fundamentales.”</w:t>
      </w:r>
      <w:r w:rsidRPr="007E36DF">
        <w:rPr>
          <w:rStyle w:val="Refdenotaalpie"/>
          <w:rFonts w:cs="Arial"/>
          <w:i/>
          <w:lang w:val="es-ES_tradnl"/>
        </w:rPr>
        <w:footnoteReference w:id="21"/>
      </w:r>
    </w:p>
    <w:p w:rsidR="00E507A6" w:rsidRPr="007E36DF" w:rsidRDefault="00E507A6" w:rsidP="00E507A6">
      <w:pPr>
        <w:widowControl w:val="0"/>
        <w:spacing w:line="360" w:lineRule="auto"/>
        <w:jc w:val="both"/>
        <w:rPr>
          <w:lang w:val="es-ES_tradnl"/>
        </w:rPr>
      </w:pPr>
    </w:p>
    <w:p w:rsidR="00E507A6" w:rsidRPr="007E36DF" w:rsidRDefault="00E507A6" w:rsidP="00E507A6">
      <w:pPr>
        <w:widowControl w:val="0"/>
        <w:spacing w:line="360" w:lineRule="auto"/>
        <w:jc w:val="both"/>
        <w:rPr>
          <w:rFonts w:eastAsia="Times New Roman"/>
          <w:lang w:eastAsia="es-ES"/>
        </w:rPr>
      </w:pPr>
      <w:r w:rsidRPr="007E36DF">
        <w:rPr>
          <w:lang w:val="es-ES_tradnl"/>
        </w:rPr>
        <w:t xml:space="preserve">A su turno, </w:t>
      </w:r>
      <w:r w:rsidRPr="007E36DF">
        <w:rPr>
          <w:rFonts w:eastAsia="Times New Roman"/>
          <w:lang w:eastAsia="es-ES"/>
        </w:rPr>
        <w:t>en cuanto al desconocimiento de precedente, es menester anotar que la Corte Constitucional, en la sentencia T- 457 del 2008, ha sintetizado su interpretación sobre los efectos del alcance del precedente, de la siguiente manera:</w:t>
      </w:r>
    </w:p>
    <w:p w:rsidR="00E507A6" w:rsidRPr="007E36DF" w:rsidRDefault="00E507A6" w:rsidP="00E507A6">
      <w:pPr>
        <w:widowControl w:val="0"/>
        <w:spacing w:line="360" w:lineRule="auto"/>
        <w:jc w:val="both"/>
        <w:rPr>
          <w:rFonts w:eastAsia="Times New Roman"/>
          <w:lang w:eastAsia="es-ES"/>
        </w:rPr>
      </w:pPr>
    </w:p>
    <w:p w:rsidR="00E507A6" w:rsidRPr="007E36DF" w:rsidRDefault="00E507A6" w:rsidP="00E507A6">
      <w:pPr>
        <w:ind w:left="567" w:right="618"/>
        <w:jc w:val="both"/>
        <w:rPr>
          <w:rFonts w:eastAsia="Times New Roman"/>
          <w:i/>
          <w:lang w:eastAsia="es-CO"/>
        </w:rPr>
      </w:pPr>
      <w:r w:rsidRPr="007E36DF">
        <w:rPr>
          <w:rFonts w:eastAsia="Times New Roman"/>
          <w:i/>
          <w:lang w:eastAsia="es-CO"/>
        </w:rPr>
        <w:t xml:space="preserve">“En relación a la aplicación del precedente, esta Sala de Revisión en sentencia T-158 de 2006 señaló: </w:t>
      </w:r>
      <w:r w:rsidRPr="007E36DF">
        <w:rPr>
          <w:rFonts w:eastAsia="Times New Roman"/>
          <w:i/>
          <w:iCs/>
          <w:lang w:eastAsia="es-CO"/>
        </w:rPr>
        <w:t>“Por ello, la correcta utilización del precedente judicial implica que un caso pendiente de decisión debe ser fallado de conformidad con el(los) caso(s) del pasado, sólo (i) si los hechos relevantes que definen el caso pendiente de fallo son semejantes a los supuestos de hecho que enmarcan el caso del pasado, (ii) si la consecuencia jurídica aplicada a los supuestos del caso pasado, constituye la pretensión del caso presente y (iii) si la regla jurisprudencial no ha sido cambiada o ha evolucionado en una distinta o más específica que modifique algún supuesto de hecho para su aplicación.”</w:t>
      </w:r>
      <w:r w:rsidRPr="007E36DF">
        <w:rPr>
          <w:rFonts w:eastAsia="Times New Roman"/>
          <w:i/>
          <w:vertAlign w:val="superscript"/>
          <w:lang w:eastAsia="es-CO"/>
        </w:rPr>
        <w:footnoteReference w:id="22"/>
      </w:r>
      <w:r w:rsidRPr="007E36DF">
        <w:rPr>
          <w:rFonts w:eastAsia="Times New Roman"/>
          <w:i/>
          <w:lang w:eastAsia="es-CO"/>
        </w:rPr>
        <w:t xml:space="preserve">. </w:t>
      </w:r>
    </w:p>
    <w:p w:rsidR="00E507A6" w:rsidRPr="007E36DF" w:rsidRDefault="00E507A6" w:rsidP="00E507A6">
      <w:pPr>
        <w:spacing w:before="100" w:beforeAutospacing="1"/>
        <w:ind w:left="851"/>
        <w:jc w:val="both"/>
        <w:rPr>
          <w:rFonts w:eastAsia="Times New Roman"/>
          <w:lang w:eastAsia="es-CO"/>
        </w:rPr>
      </w:pPr>
    </w:p>
    <w:p w:rsidR="00E507A6" w:rsidRPr="007E36DF" w:rsidRDefault="00E507A6" w:rsidP="00E507A6">
      <w:pPr>
        <w:widowControl w:val="0"/>
        <w:spacing w:line="360" w:lineRule="auto"/>
        <w:jc w:val="both"/>
        <w:rPr>
          <w:rFonts w:eastAsia="Times New Roman"/>
          <w:lang w:eastAsia="es-ES"/>
        </w:rPr>
      </w:pPr>
      <w:r w:rsidRPr="007E36DF">
        <w:rPr>
          <w:rFonts w:eastAsia="Times New Roman"/>
          <w:lang w:eastAsia="es-ES"/>
        </w:rPr>
        <w:t>Con base en la interpretación y efectos que se desprenden de los artículos 4 y 243 de la Constitución Política, la Corte Constitucional ha venido definiendo cuándo el precedente de un fallo tiene carácter vinculante y es obligatorio para todos los operadores del derecho:</w:t>
      </w:r>
    </w:p>
    <w:p w:rsidR="00E507A6" w:rsidRPr="007E36DF" w:rsidRDefault="00E507A6" w:rsidP="00E507A6">
      <w:pPr>
        <w:widowControl w:val="0"/>
        <w:spacing w:line="360" w:lineRule="auto"/>
        <w:jc w:val="both"/>
        <w:rPr>
          <w:rFonts w:eastAsia="Times New Roman"/>
          <w:lang w:eastAsia="es-ES"/>
        </w:rPr>
      </w:pPr>
    </w:p>
    <w:p w:rsidR="00E507A6" w:rsidRPr="007E36DF" w:rsidRDefault="00E507A6" w:rsidP="00E507A6">
      <w:pPr>
        <w:tabs>
          <w:tab w:val="center" w:pos="4252"/>
          <w:tab w:val="right" w:pos="8504"/>
        </w:tabs>
        <w:ind w:left="567" w:right="618"/>
        <w:jc w:val="both"/>
        <w:rPr>
          <w:rFonts w:eastAsia="Times New Roman"/>
          <w:i/>
          <w:lang w:eastAsia="es-ES"/>
        </w:rPr>
      </w:pPr>
      <w:r w:rsidRPr="007E36DF">
        <w:rPr>
          <w:rFonts w:eastAsia="Times New Roman"/>
          <w:i/>
          <w:lang w:eastAsia="es-ES"/>
        </w:rPr>
        <w:t>“En el análisis de un caso deben confluir los siguientes elementos para establecer hasta qué punto el precedente es relevante o no: (i) En la ratio decidendi de la sentencia se encuentra una regla relacionada con el caso a resolver posteriormente. (ii) La ratio debió haber servido de base para solucionar un problema jurídico semejante, o a una cuestión constitucional semejante. (iii) los hechos del caso o las normas juzgadas en la sentencia anterior deben ser semejantes o plantear un punto de derecho semejante al que debe resolverse posteriormente. En este sentido será razonable que “cuando en una situación similar, se observe que los hechos determinantes no concuerdan con el supuesto de hecho, el juez esté legitimado para no considerar vinculante el precedente”. Estos tres elementos hacen que una sentencia anterior sea vinculante y, en esa medida, que se constituya en un precedente aplicable a un caso concreto. De allí que se pueda definir el precedente aplicable, como aquella sentencia anterior y pertinente cuya ratio conduce a una regla - prohibición, orden o autorización- determinante para resolver el caso, dados unos hechos y un problema jurídico, o una cuestión de constitucionalidad específica, semejantes.”</w:t>
      </w:r>
      <w:r w:rsidRPr="007E36DF">
        <w:rPr>
          <w:rFonts w:eastAsia="Times New Roman"/>
          <w:i/>
          <w:vertAlign w:val="superscript"/>
          <w:lang w:eastAsia="es-ES"/>
        </w:rPr>
        <w:footnoteReference w:id="23"/>
      </w:r>
    </w:p>
    <w:p w:rsidR="00E507A6" w:rsidRPr="007E36DF" w:rsidRDefault="00E507A6" w:rsidP="00E507A6">
      <w:pPr>
        <w:spacing w:line="360" w:lineRule="auto"/>
        <w:ind w:right="618"/>
        <w:jc w:val="both"/>
        <w:rPr>
          <w:lang w:eastAsia="es-CO"/>
        </w:rPr>
      </w:pPr>
    </w:p>
    <w:p w:rsidR="00E507A6" w:rsidRPr="007E36DF" w:rsidRDefault="00E507A6" w:rsidP="00E507A6">
      <w:pPr>
        <w:widowControl w:val="0"/>
        <w:spacing w:line="360" w:lineRule="auto"/>
        <w:ind w:right="51"/>
        <w:contextualSpacing/>
        <w:jc w:val="both"/>
      </w:pPr>
      <w:r w:rsidRPr="007E36DF">
        <w:rPr>
          <w:lang w:eastAsia="es-ES"/>
        </w:rPr>
        <w:t xml:space="preserve">En el caso </w:t>
      </w:r>
      <w:r w:rsidRPr="007E36DF">
        <w:rPr>
          <w:i/>
          <w:lang w:eastAsia="es-ES"/>
        </w:rPr>
        <w:t xml:space="preserve">sub examine, </w:t>
      </w:r>
      <w:r w:rsidRPr="007E36DF">
        <w:rPr>
          <w:lang w:eastAsia="es-ES"/>
        </w:rPr>
        <w:t xml:space="preserve">la sentencia proferida el </w:t>
      </w:r>
      <w:r w:rsidRPr="007E36DF">
        <w:t xml:space="preserve">19 de noviembre de 2015 por el </w:t>
      </w:r>
      <w:r w:rsidRPr="007E36DF">
        <w:lastRenderedPageBreak/>
        <w:t>Tribunal Administrativo del Huila, se fundamentó de la siguiente manera:</w:t>
      </w:r>
    </w:p>
    <w:p w:rsidR="00E507A6" w:rsidRPr="007E36DF" w:rsidRDefault="00E507A6" w:rsidP="00E507A6">
      <w:pPr>
        <w:widowControl w:val="0"/>
        <w:spacing w:line="360" w:lineRule="auto"/>
        <w:ind w:right="618"/>
        <w:contextualSpacing/>
        <w:jc w:val="both"/>
      </w:pPr>
    </w:p>
    <w:p w:rsidR="00E507A6" w:rsidRPr="007E36DF" w:rsidRDefault="00E507A6" w:rsidP="00E507A6">
      <w:pPr>
        <w:widowControl w:val="0"/>
        <w:ind w:left="567" w:right="618"/>
        <w:contextualSpacing/>
        <w:jc w:val="both"/>
        <w:rPr>
          <w:i/>
        </w:rPr>
      </w:pPr>
      <w:r w:rsidRPr="007E36DF">
        <w:rPr>
          <w:i/>
        </w:rPr>
        <w:t>“de lo anterior se desprende que si bien el demandante puede elegir entre la acción de nulidad y restablecimiento del derecho o la acción contractual para hacer valer su derecho a percibir una remuneración ajustada a la realidad, esto es, el vínculo laboral, ello no lo exime de exigir tales pretensiones conforme a la acción que corresponde, pues en estricto juicio se incurre en una evidente falta de técnica para demandar que impone la posibilidad de decidir de fondo el asunto.</w:t>
      </w:r>
    </w:p>
    <w:p w:rsidR="00E507A6" w:rsidRPr="007E36DF" w:rsidRDefault="00E507A6" w:rsidP="00E507A6">
      <w:pPr>
        <w:widowControl w:val="0"/>
        <w:ind w:left="567" w:right="618"/>
        <w:contextualSpacing/>
        <w:jc w:val="both"/>
        <w:rPr>
          <w:i/>
        </w:rPr>
      </w:pPr>
    </w:p>
    <w:p w:rsidR="00E507A6" w:rsidRPr="007E36DF" w:rsidRDefault="00E507A6" w:rsidP="00E507A6">
      <w:pPr>
        <w:widowControl w:val="0"/>
        <w:ind w:left="567" w:right="618"/>
        <w:contextualSpacing/>
        <w:jc w:val="both"/>
        <w:rPr>
          <w:i/>
        </w:rPr>
      </w:pPr>
      <w:r w:rsidRPr="007E36DF">
        <w:rPr>
          <w:i/>
        </w:rPr>
        <w:t>En el caso objeto de estudio, la parte elige demandar por acción contractual pero su argumento se refiere a una acción de nulidad y restablecimiento del derecho y es claro que en ese supuesto, debió hacer a la entidad la respectiva reclamación previa que motivara (sic) al expedición de un acto administrativo.</w:t>
      </w:r>
    </w:p>
    <w:p w:rsidR="00E507A6" w:rsidRPr="007E36DF" w:rsidRDefault="00E507A6" w:rsidP="00E507A6">
      <w:pPr>
        <w:widowControl w:val="0"/>
        <w:ind w:left="567" w:right="618"/>
        <w:contextualSpacing/>
        <w:jc w:val="both"/>
        <w:rPr>
          <w:i/>
        </w:rPr>
      </w:pPr>
    </w:p>
    <w:p w:rsidR="00E507A6" w:rsidRPr="007E36DF" w:rsidRDefault="00E507A6" w:rsidP="00E507A6">
      <w:pPr>
        <w:widowControl w:val="0"/>
        <w:ind w:left="567" w:right="618"/>
        <w:contextualSpacing/>
        <w:jc w:val="both"/>
        <w:rPr>
          <w:i/>
          <w:lang w:eastAsia="es-ES"/>
        </w:rPr>
      </w:pPr>
      <w:r w:rsidRPr="007E36DF">
        <w:rPr>
          <w:i/>
        </w:rPr>
        <w:t>Dado que la parte demandante incurrió en una indebida escogencia de la acción, se evidencia que existe una falta de técnica que afecta el debido proceso y que impide un pronunciamiento de fondo sobre los derechos que reclama el demandante.”</w:t>
      </w:r>
    </w:p>
    <w:p w:rsidR="00E507A6" w:rsidRPr="007E36DF" w:rsidRDefault="00E507A6" w:rsidP="00E507A6">
      <w:pPr>
        <w:widowControl w:val="0"/>
        <w:spacing w:line="360" w:lineRule="auto"/>
        <w:ind w:right="618"/>
        <w:contextualSpacing/>
        <w:jc w:val="both"/>
        <w:rPr>
          <w:i/>
          <w:lang w:eastAsia="es-ES"/>
        </w:rPr>
      </w:pPr>
    </w:p>
    <w:p w:rsidR="00E507A6" w:rsidRPr="007E36DF" w:rsidRDefault="00E507A6" w:rsidP="00E507A6">
      <w:pPr>
        <w:widowControl w:val="0"/>
        <w:spacing w:line="360" w:lineRule="auto"/>
        <w:ind w:right="51"/>
        <w:contextualSpacing/>
        <w:jc w:val="both"/>
        <w:rPr>
          <w:lang w:eastAsia="es-ES"/>
        </w:rPr>
      </w:pPr>
      <w:r w:rsidRPr="007E36DF">
        <w:rPr>
          <w:lang w:eastAsia="es-ES"/>
        </w:rPr>
        <w:t xml:space="preserve">En vista de lo expuesto, se evidencia que el </w:t>
      </w:r>
      <w:r w:rsidRPr="007E36DF">
        <w:t>Tribunal Administrativo del Huila se declaró inhibido para fallar, porque advirtió que el accionante escogió indebidamente la acción para solicitar el reconocimiento de su relación laboral con el DAS.</w:t>
      </w:r>
    </w:p>
    <w:p w:rsidR="00E507A6" w:rsidRPr="007E36DF" w:rsidRDefault="00E507A6" w:rsidP="00E507A6">
      <w:pPr>
        <w:widowControl w:val="0"/>
        <w:ind w:left="567" w:right="618"/>
        <w:contextualSpacing/>
        <w:jc w:val="both"/>
        <w:rPr>
          <w:i/>
          <w:lang w:eastAsia="es-ES"/>
        </w:rPr>
      </w:pPr>
    </w:p>
    <w:p w:rsidR="00E507A6" w:rsidRPr="007E36DF" w:rsidRDefault="00E507A6" w:rsidP="00E507A6">
      <w:pPr>
        <w:widowControl w:val="0"/>
        <w:spacing w:line="360" w:lineRule="auto"/>
        <w:ind w:right="51"/>
        <w:contextualSpacing/>
        <w:jc w:val="both"/>
        <w:rPr>
          <w:lang w:eastAsia="es-CO"/>
        </w:rPr>
      </w:pPr>
      <w:r w:rsidRPr="007E36DF">
        <w:rPr>
          <w:lang w:eastAsia="es-ES"/>
        </w:rPr>
        <w:t xml:space="preserve">Justamente, el Tribunal estableció que no podía reconocerse el contrato realidad a través de la acción contractual, porque esta no era idónea para ello, sino para </w:t>
      </w:r>
      <w:r w:rsidRPr="007E36DF">
        <w:rPr>
          <w:lang w:eastAsia="es-CO"/>
        </w:rPr>
        <w:t xml:space="preserve">resolver controversias surgidas en la celebración de contratos entre un particular y el Estado. A propósito, es menester poner de presente que el artículo 87 del Código Contencioso Administrativo señala: </w:t>
      </w:r>
    </w:p>
    <w:p w:rsidR="00E507A6" w:rsidRPr="007E36DF" w:rsidRDefault="00E507A6" w:rsidP="00E507A6">
      <w:pPr>
        <w:widowControl w:val="0"/>
        <w:spacing w:line="360" w:lineRule="auto"/>
        <w:ind w:right="51"/>
        <w:contextualSpacing/>
        <w:jc w:val="both"/>
        <w:rPr>
          <w:lang w:eastAsia="es-CO"/>
        </w:rPr>
      </w:pPr>
    </w:p>
    <w:p w:rsidR="00E507A6" w:rsidRPr="007E36DF" w:rsidRDefault="00E507A6" w:rsidP="00E507A6">
      <w:pPr>
        <w:shd w:val="clear" w:color="auto" w:fill="FFFFFF"/>
        <w:ind w:left="567" w:right="618"/>
        <w:jc w:val="both"/>
        <w:rPr>
          <w:rFonts w:eastAsia="Times New Roman"/>
          <w:b/>
          <w:i/>
          <w:color w:val="000000"/>
          <w:u w:val="single"/>
          <w:lang w:eastAsia="es-ES"/>
        </w:rPr>
      </w:pPr>
      <w:r w:rsidRPr="007E36DF">
        <w:rPr>
          <w:rFonts w:eastAsia="Times New Roman"/>
          <w:i/>
          <w:lang w:eastAsia="es-ES"/>
        </w:rPr>
        <w:t>“</w:t>
      </w:r>
      <w:r w:rsidRPr="007E36DF">
        <w:rPr>
          <w:rFonts w:eastAsia="Times New Roman"/>
          <w:b/>
          <w:bCs/>
          <w:i/>
          <w:color w:val="000000"/>
          <w:lang w:eastAsia="es-ES"/>
        </w:rPr>
        <w:t>Artículo</w:t>
      </w:r>
      <w:r w:rsidRPr="007E36DF">
        <w:rPr>
          <w:rFonts w:eastAsia="Times New Roman"/>
          <w:i/>
          <w:color w:val="000000"/>
          <w:lang w:eastAsia="es-ES"/>
        </w:rPr>
        <w:t> </w:t>
      </w:r>
      <w:bookmarkStart w:id="1" w:name="87"/>
      <w:r w:rsidRPr="007E36DF">
        <w:rPr>
          <w:rFonts w:eastAsia="Times New Roman"/>
          <w:b/>
          <w:bCs/>
          <w:i/>
          <w:color w:val="000000"/>
          <w:lang w:eastAsia="es-ES"/>
        </w:rPr>
        <w:t> </w:t>
      </w:r>
      <w:bookmarkEnd w:id="1"/>
      <w:r w:rsidRPr="007E36DF">
        <w:rPr>
          <w:rFonts w:eastAsia="Times New Roman"/>
          <w:b/>
          <w:bCs/>
          <w:i/>
          <w:color w:val="000000"/>
          <w:lang w:eastAsia="es-ES"/>
        </w:rPr>
        <w:t>87. </w:t>
      </w:r>
      <w:r w:rsidRPr="007E36DF">
        <w:rPr>
          <w:rFonts w:eastAsia="Times New Roman"/>
          <w:i/>
          <w:color w:val="000000"/>
          <w:lang w:eastAsia="es-ES"/>
        </w:rPr>
        <w:t> </w:t>
      </w:r>
      <w:r w:rsidRPr="007E36DF">
        <w:rPr>
          <w:rFonts w:eastAsia="Times New Roman"/>
          <w:b/>
          <w:i/>
          <w:color w:val="000000"/>
          <w:u w:val="single"/>
          <w:lang w:eastAsia="es-ES"/>
        </w:rPr>
        <w:t>De las controversias contractuales. Cualquiera de las partes de un contrato estatal podrá pedir que se declare su existencia o su nulidad y que se hagan las declaraciones, condenas o restituciones consecuenciales, que se ordene su revisión, que se declare su incumplimiento y que se condene al responsable a indemnizar los perjuicios y que se hagan otras declaraciones y condenas.</w:t>
      </w:r>
    </w:p>
    <w:p w:rsidR="00E507A6" w:rsidRPr="007E36DF" w:rsidRDefault="00E507A6" w:rsidP="00E507A6">
      <w:pPr>
        <w:ind w:left="567" w:right="618"/>
        <w:jc w:val="both"/>
        <w:rPr>
          <w:rFonts w:eastAsia="Times New Roman"/>
          <w:i/>
          <w:color w:val="000000"/>
          <w:shd w:val="clear" w:color="auto" w:fill="FFFFFF"/>
          <w:lang w:eastAsia="es-ES"/>
        </w:rPr>
      </w:pPr>
      <w:r w:rsidRPr="007E36DF">
        <w:rPr>
          <w:rFonts w:eastAsia="Times New Roman"/>
          <w:i/>
          <w:color w:val="000000"/>
          <w:shd w:val="clear" w:color="auto" w:fill="FFFFFF"/>
          <w:lang w:eastAsia="es-ES"/>
        </w:rPr>
        <w:t xml:space="preserve">Los actos proferidos antes de la celebración del contrato, con ocasión de la actividad contractual, serán demandables mediante las acciones de nulidad y de nulidad y restablecimiento del derecho, según el caso, dentro de los treinta (30) días siguientes a su comunicación, notificación o publicación. La interposición de estas acciones no interrumpirá el proceso licitatorio, ni la celebración y ejecución del contrato. Una vez celebrado éste, la ilegalidad de los actos previos solamente podrá invocarse como fundamento de nulidad absoluta del contrato.  El Ministerio Público o cualquier tercero que acredite un interés directo podrá pedir que se declare su nulidad absoluta. El juez administrativo </w:t>
      </w:r>
      <w:r w:rsidRPr="007E36DF">
        <w:rPr>
          <w:rFonts w:eastAsia="Times New Roman"/>
          <w:i/>
          <w:color w:val="000000"/>
          <w:shd w:val="clear" w:color="auto" w:fill="FFFFFF"/>
          <w:lang w:eastAsia="es-ES"/>
        </w:rPr>
        <w:lastRenderedPageBreak/>
        <w:t>queda facultado para declararla de oficio cuando esté plenamente demostrada en el proceso. En todo caso, dicha declaración sólo podrá hacerse siempre que en él intervengan las partes contratantes o sus causahabientes.</w:t>
      </w:r>
    </w:p>
    <w:p w:rsidR="00E507A6" w:rsidRPr="007E36DF" w:rsidRDefault="00E507A6" w:rsidP="00E507A6">
      <w:pPr>
        <w:ind w:left="567" w:right="618"/>
        <w:jc w:val="both"/>
        <w:rPr>
          <w:i/>
        </w:rPr>
      </w:pPr>
      <w:r w:rsidRPr="007E36DF">
        <w:rPr>
          <w:rFonts w:eastAsia="Times New Roman"/>
          <w:i/>
          <w:color w:val="000000"/>
          <w:shd w:val="clear" w:color="auto" w:fill="FFFFFF"/>
          <w:lang w:eastAsia="es-ES"/>
        </w:rPr>
        <w:t>En los procesos ejecutivos derivados de condenas impuestas por la jurisdicción contencioso administrativa se aplicará la regulación del proceso ejecutivo singular de mayor cuantía contenida en el Código de Procedimiento Civil.</w:t>
      </w:r>
      <w:r w:rsidRPr="007E36DF">
        <w:rPr>
          <w:i/>
        </w:rPr>
        <w:t>”</w:t>
      </w:r>
    </w:p>
    <w:p w:rsidR="00E507A6" w:rsidRPr="007E36DF" w:rsidRDefault="00E507A6" w:rsidP="00E507A6">
      <w:pPr>
        <w:widowControl w:val="0"/>
        <w:spacing w:line="360" w:lineRule="auto"/>
        <w:jc w:val="both"/>
        <w:rPr>
          <w:lang w:eastAsia="es-CO"/>
        </w:rPr>
      </w:pPr>
    </w:p>
    <w:p w:rsidR="00E507A6" w:rsidRPr="007E36DF" w:rsidRDefault="00E507A6" w:rsidP="00E507A6">
      <w:pPr>
        <w:widowControl w:val="0"/>
        <w:spacing w:line="360" w:lineRule="auto"/>
        <w:jc w:val="both"/>
        <w:rPr>
          <w:lang w:val="es-ES_tradnl" w:eastAsia="es-CO"/>
        </w:rPr>
      </w:pPr>
      <w:r w:rsidRPr="007E36DF">
        <w:rPr>
          <w:lang w:eastAsia="es-CO"/>
        </w:rPr>
        <w:t>En este orden de ideas, la Sala advierte que la autoridad judicial demandada no hizo una interpretación arbitraria de la norma citada, pues la acción contractual es un medio judicial para resolver controversias contractuales y no para declarar relaciones laborales de hecho. A estos efectos, esta Sala, en sentencia de 9 de febrero de 2017 (M.P. María Elizabeth García González), ya tuvo la oportunidad de resolver un caso análogo con base en los siguientes fundamentos</w:t>
      </w:r>
      <w:r w:rsidRPr="007E36DF">
        <w:rPr>
          <w:rFonts w:eastAsia="Times New Roman"/>
          <w:bCs/>
          <w:vertAlign w:val="superscript"/>
          <w:lang w:val="es-ES_tradnl" w:eastAsia="es-ES"/>
        </w:rPr>
        <w:footnoteReference w:id="24"/>
      </w:r>
      <w:r w:rsidRPr="007E36DF">
        <w:rPr>
          <w:lang w:val="es-ES_tradnl" w:eastAsia="es-CO"/>
        </w:rPr>
        <w:t>:</w:t>
      </w:r>
    </w:p>
    <w:p w:rsidR="00E507A6" w:rsidRPr="007E36DF" w:rsidRDefault="00E507A6" w:rsidP="00E507A6">
      <w:pPr>
        <w:widowControl w:val="0"/>
        <w:spacing w:line="360" w:lineRule="auto"/>
        <w:jc w:val="both"/>
        <w:rPr>
          <w:lang w:val="es-ES_tradnl" w:eastAsia="es-CO"/>
        </w:rPr>
      </w:pPr>
    </w:p>
    <w:p w:rsidR="00E507A6" w:rsidRPr="007E36DF" w:rsidRDefault="00E507A6" w:rsidP="00E507A6">
      <w:pPr>
        <w:pStyle w:val="Textoindependiente2"/>
        <w:widowControl w:val="0"/>
        <w:spacing w:line="240" w:lineRule="auto"/>
        <w:ind w:left="567" w:right="618"/>
        <w:jc w:val="both"/>
        <w:rPr>
          <w:rFonts w:ascii="Arial" w:hAnsi="Arial" w:cs="Arial"/>
          <w:bCs/>
          <w:i/>
          <w:sz w:val="24"/>
          <w:szCs w:val="24"/>
          <w:lang w:val="es-ES_tradnl"/>
        </w:rPr>
      </w:pPr>
      <w:r w:rsidRPr="007E36DF">
        <w:rPr>
          <w:rFonts w:ascii="Arial" w:eastAsia="Times New Roman" w:hAnsi="Arial" w:cs="Arial"/>
          <w:bCs/>
          <w:i/>
          <w:sz w:val="24"/>
          <w:szCs w:val="24"/>
          <w:lang w:val="es-ES_tradnl" w:eastAsia="es-ES"/>
        </w:rPr>
        <w:t>“</w:t>
      </w:r>
      <w:r w:rsidRPr="007E36DF">
        <w:rPr>
          <w:rFonts w:ascii="Arial" w:hAnsi="Arial" w:cs="Arial"/>
          <w:bCs/>
          <w:i/>
          <w:sz w:val="24"/>
          <w:szCs w:val="24"/>
          <w:lang w:val="es-ES_tradnl"/>
        </w:rPr>
        <w:t>En conclusión y de conformidad con lo sostenido por las Secciones Tercera y Segunda del Consejo de Estado, el medio de control adecuado en tratándose de asuntos que versen sobre la aplicación del principio de la realidad sobre las formas en una relación laboral con la Administración es la de nulidad y restablecimiento del derecho.</w:t>
      </w:r>
    </w:p>
    <w:p w:rsidR="00E507A6" w:rsidRPr="007E36DF" w:rsidRDefault="00E507A6" w:rsidP="00E507A6">
      <w:pPr>
        <w:widowControl w:val="0"/>
        <w:ind w:left="567" w:right="618"/>
        <w:jc w:val="both"/>
        <w:rPr>
          <w:rFonts w:eastAsia="Times New Roman"/>
          <w:b/>
          <w:bCs/>
          <w:i/>
          <w:u w:val="single"/>
          <w:lang w:val="es-ES_tradnl" w:eastAsia="es-ES"/>
        </w:rPr>
      </w:pPr>
      <w:r w:rsidRPr="007E36DF">
        <w:rPr>
          <w:rFonts w:eastAsia="Times New Roman"/>
          <w:b/>
          <w:bCs/>
          <w:i/>
          <w:u w:val="single"/>
          <w:lang w:val="es-ES_tradnl" w:eastAsia="es-ES"/>
        </w:rPr>
        <w:t>Tesis de la Sala en acciones de tutela contra fallos inhibitorios, por indebida escogencia de la acción en materia de contrato realidad.</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widowControl w:val="0"/>
        <w:ind w:left="567" w:right="618"/>
        <w:jc w:val="both"/>
        <w:rPr>
          <w:rFonts w:eastAsia="Times New Roman"/>
          <w:i/>
          <w:lang w:eastAsia="es-ES"/>
        </w:rPr>
      </w:pPr>
      <w:r w:rsidRPr="007E36DF">
        <w:rPr>
          <w:rFonts w:eastAsia="Times New Roman"/>
          <w:bCs/>
          <w:i/>
          <w:lang w:val="es-ES_tradnl" w:eastAsia="es-ES"/>
        </w:rPr>
        <w:t xml:space="preserve">Mediante fallo de 14 de abril de 2016 (Expediente núm. 2016-00141-00, </w:t>
      </w:r>
      <w:r w:rsidR="00DF2FEF" w:rsidRPr="007E36DF">
        <w:rPr>
          <w:rFonts w:eastAsia="Times New Roman"/>
          <w:bCs/>
          <w:i/>
          <w:lang w:val="es-ES_tradnl" w:eastAsia="es-ES"/>
        </w:rPr>
        <w:t>[C.P.]</w:t>
      </w:r>
      <w:r w:rsidRPr="007E36DF">
        <w:rPr>
          <w:rFonts w:eastAsia="Times New Roman"/>
          <w:bCs/>
          <w:i/>
          <w:lang w:val="es-ES_tradnl" w:eastAsia="es-ES"/>
        </w:rPr>
        <w:t>: María Elizabeth García González), recogido en fallo de 12 de mayo del mismo año</w:t>
      </w:r>
      <w:r w:rsidRPr="007E36DF">
        <w:rPr>
          <w:rFonts w:eastAsia="Times New Roman"/>
          <w:bCs/>
          <w:i/>
          <w:vertAlign w:val="superscript"/>
          <w:lang w:val="es-ES_tradnl" w:eastAsia="es-ES"/>
        </w:rPr>
        <w:footnoteReference w:id="25"/>
      </w:r>
      <w:r w:rsidRPr="007E36DF">
        <w:rPr>
          <w:rFonts w:eastAsia="Times New Roman"/>
          <w:bCs/>
          <w:i/>
          <w:lang w:val="es-ES_tradnl" w:eastAsia="es-ES"/>
        </w:rPr>
        <w:t xml:space="preserve">, la Sala, al resolver las acciones de tutela promovidas por escoltas que laboraron al servicio del extinto </w:t>
      </w:r>
      <w:r w:rsidRPr="007E36DF">
        <w:rPr>
          <w:rFonts w:eastAsia="Times New Roman"/>
          <w:b/>
          <w:bCs/>
          <w:i/>
          <w:lang w:val="es-ES_tradnl" w:eastAsia="es-ES"/>
        </w:rPr>
        <w:t>DEPARTAMENTO ADMINISTRATIVO DE SEGURIDAD -DAS-,</w:t>
      </w:r>
      <w:r w:rsidRPr="007E36DF">
        <w:rPr>
          <w:rFonts w:eastAsia="Times New Roman"/>
          <w:bCs/>
          <w:i/>
          <w:lang w:val="es-ES_tradnl" w:eastAsia="es-ES"/>
        </w:rPr>
        <w:t xml:space="preserve"> contra las sentencias inhibitorias del </w:t>
      </w:r>
      <w:r w:rsidRPr="007E36DF">
        <w:rPr>
          <w:rFonts w:eastAsia="Times New Roman"/>
          <w:b/>
          <w:bCs/>
          <w:i/>
          <w:lang w:val="es-ES_tradnl" w:eastAsia="es-ES"/>
        </w:rPr>
        <w:t xml:space="preserve">TRIBUNAL ADMINISTRATIVO DEL HUILA, </w:t>
      </w:r>
      <w:r w:rsidRPr="007E36DF">
        <w:rPr>
          <w:rFonts w:eastAsia="Times New Roman"/>
          <w:bCs/>
          <w:i/>
          <w:lang w:val="es-ES_tradnl" w:eastAsia="es-ES"/>
        </w:rPr>
        <w:t xml:space="preserve">fundamentadas en idéntico raciocinio al que se examina en el sub lite, resolvió no conceder el amparo solicitado, en consideración a que en dichos casos no le era posible al Tribunal accionado proferir un fallo de fondo, debido a que el objeto de las pretensiones de los demandantes no correspondía a la acción de controversias contractuales promovida y tampoco era procedente interpretar la acción como de nulidad y restablecimiento del derecho, bajo el principio </w:t>
      </w:r>
      <w:r w:rsidRPr="007E36DF">
        <w:rPr>
          <w:rFonts w:eastAsia="Times New Roman"/>
          <w:i/>
          <w:lang w:eastAsia="es-ES"/>
        </w:rPr>
        <w:t xml:space="preserve">iura novit curia, por cuanto no se provocó el pronunciamiento de la Administración que diera lugar a examinar la legalidad del acto administrativo obtenido. </w:t>
      </w:r>
    </w:p>
    <w:p w:rsidR="00E507A6" w:rsidRPr="007E36DF" w:rsidRDefault="00E507A6" w:rsidP="00E507A6">
      <w:pPr>
        <w:widowControl w:val="0"/>
        <w:ind w:left="567" w:right="618"/>
        <w:jc w:val="both"/>
        <w:rPr>
          <w:rFonts w:eastAsia="Times New Roman"/>
          <w:i/>
          <w:lang w:eastAsia="es-ES"/>
        </w:rPr>
      </w:pPr>
    </w:p>
    <w:p w:rsidR="00E507A6" w:rsidRPr="007E36DF" w:rsidRDefault="00E507A6" w:rsidP="00E507A6">
      <w:pPr>
        <w:widowControl w:val="0"/>
        <w:ind w:left="567" w:right="618"/>
        <w:jc w:val="both"/>
        <w:rPr>
          <w:rFonts w:eastAsia="Times New Roman"/>
          <w:i/>
          <w:lang w:eastAsia="es-ES"/>
        </w:rPr>
      </w:pPr>
      <w:r w:rsidRPr="007E36DF">
        <w:rPr>
          <w:rFonts w:eastAsia="Times New Roman"/>
          <w:i/>
          <w:lang w:eastAsia="es-ES"/>
        </w:rPr>
        <w:t>En tales casos, la Sala indicó:</w:t>
      </w:r>
    </w:p>
    <w:p w:rsidR="00E507A6" w:rsidRPr="007E36DF" w:rsidRDefault="00E507A6" w:rsidP="00E507A6">
      <w:pPr>
        <w:ind w:left="567" w:right="618"/>
        <w:jc w:val="both"/>
        <w:rPr>
          <w:rFonts w:eastAsia="Times New Roman"/>
          <w:i/>
          <w:lang w:eastAsia="es-ES"/>
        </w:rPr>
      </w:pPr>
      <w:r w:rsidRPr="007E36DF">
        <w:rPr>
          <w:rFonts w:eastAsia="Times New Roman"/>
          <w:i/>
          <w:lang w:eastAsia="es-ES"/>
        </w:rPr>
        <w:t>«Es claro entonces, que aún cuando la acción de controversias contractuales permite gran variedad de pretensiones, con ocasión de las relaciones contractuales con el Estado, ninguna de ellas, de conformidad con lo dispuesto en el artículo 87 del C.C.A</w:t>
      </w:r>
      <w:r w:rsidRPr="007E36DF">
        <w:rPr>
          <w:rFonts w:eastAsia="Times New Roman"/>
          <w:b/>
          <w:i/>
          <w:lang w:eastAsia="es-ES"/>
        </w:rPr>
        <w:t xml:space="preserve">., se dirige a obtener la </w:t>
      </w:r>
      <w:r w:rsidRPr="007E36DF">
        <w:rPr>
          <w:rFonts w:eastAsia="Times New Roman"/>
          <w:b/>
          <w:i/>
          <w:lang w:eastAsia="es-ES"/>
        </w:rPr>
        <w:lastRenderedPageBreak/>
        <w:t>declaratoria de existencia de una relación laboral y el reconocimiento y pago de las prestaciones económicas que se deriven de la misma</w:t>
      </w:r>
      <w:r w:rsidRPr="007E36DF">
        <w:rPr>
          <w:rFonts w:eastAsia="Times New Roman"/>
          <w:i/>
          <w:lang w:eastAsia="es-ES"/>
        </w:rPr>
        <w:t>.</w:t>
      </w:r>
    </w:p>
    <w:p w:rsidR="00E507A6" w:rsidRPr="007E36DF" w:rsidRDefault="00E507A6" w:rsidP="00E507A6">
      <w:pPr>
        <w:ind w:left="567" w:right="618"/>
        <w:jc w:val="both"/>
        <w:rPr>
          <w:rFonts w:eastAsia="Times New Roman"/>
          <w:i/>
          <w:lang w:eastAsia="es-ES"/>
        </w:rPr>
      </w:pPr>
    </w:p>
    <w:p w:rsidR="00E507A6" w:rsidRPr="007E36DF" w:rsidRDefault="00E507A6" w:rsidP="00E507A6">
      <w:pPr>
        <w:ind w:left="567" w:right="618"/>
        <w:jc w:val="both"/>
        <w:rPr>
          <w:rFonts w:eastAsia="Times New Roman"/>
          <w:i/>
          <w:lang w:eastAsia="es-ES"/>
        </w:rPr>
      </w:pPr>
      <w:r w:rsidRPr="007E36DF">
        <w:rPr>
          <w:rFonts w:eastAsia="Times New Roman"/>
          <w:i/>
          <w:lang w:eastAsia="es-ES"/>
        </w:rPr>
        <w:t xml:space="preserve">Por lo tanto, en el asunto que ocupa la atención de la Sala, no </w:t>
      </w:r>
      <w:r w:rsidRPr="007E36DF">
        <w:rPr>
          <w:rFonts w:eastAsia="Times New Roman"/>
          <w:b/>
          <w:i/>
          <w:u w:val="single"/>
          <w:lang w:eastAsia="es-ES"/>
        </w:rPr>
        <w:t>le era posible al Tribunal demandado proferir un fallo de fondo si se tiene en cuenta que el objeto de las pretensiones del actor no correspondía a la acción de controversias contractuales que ejerció</w:t>
      </w:r>
      <w:r w:rsidRPr="007E36DF">
        <w:rPr>
          <w:rFonts w:eastAsia="Times New Roman"/>
          <w:i/>
          <w:lang w:eastAsia="es-ES"/>
        </w:rPr>
        <w:t>.</w:t>
      </w:r>
    </w:p>
    <w:p w:rsidR="00E507A6" w:rsidRPr="007E36DF" w:rsidRDefault="00E507A6" w:rsidP="00E507A6">
      <w:pPr>
        <w:ind w:left="567" w:right="618"/>
        <w:jc w:val="both"/>
        <w:rPr>
          <w:rFonts w:eastAsia="Times New Roman"/>
          <w:i/>
          <w:lang w:eastAsia="es-ES"/>
        </w:rPr>
      </w:pPr>
    </w:p>
    <w:p w:rsidR="00E507A6" w:rsidRPr="007E36DF" w:rsidRDefault="00E507A6" w:rsidP="00E507A6">
      <w:pPr>
        <w:ind w:left="567" w:right="618"/>
        <w:jc w:val="both"/>
        <w:rPr>
          <w:rFonts w:eastAsia="Times New Roman"/>
          <w:i/>
          <w:lang w:eastAsia="es-ES"/>
        </w:rPr>
      </w:pPr>
      <w:r w:rsidRPr="007E36DF">
        <w:rPr>
          <w:rFonts w:eastAsia="Times New Roman"/>
          <w:i/>
          <w:lang w:eastAsia="es-ES"/>
        </w:rPr>
        <w:t>Ahora bien, la Sala estima que en virtud del principio iura novit curia y en aras de garantizar la prevalencia del derecho sustancial sobre el formal, el operador jurídico tiene el deber de adecuar el trámite que se ha impartido en forma incorrecta a un proceso, por indebida escogencia de la acción, si los hechos, las pretensiones y pruebas aportadas al mismo permiten adoptar una decisión de fondo en contraposición a la inhibición, y no como lo sostuvo el Tribunal Administrativo del Huila en su sentencia, al señalar que: “no procede, por ejemplo, modificar o reformar la acción escogida por el actor, de tal manera que si fuere indebidamente escogida la acción, lo jurídico es declararlo así mediante la figura de la excepción de inepta demanda…”.</w:t>
      </w:r>
    </w:p>
    <w:p w:rsidR="00E507A6" w:rsidRPr="007E36DF" w:rsidRDefault="00E507A6" w:rsidP="00E507A6">
      <w:pPr>
        <w:ind w:left="567" w:right="618"/>
        <w:jc w:val="both"/>
        <w:rPr>
          <w:rFonts w:eastAsia="Times New Roman"/>
          <w:i/>
          <w:lang w:eastAsia="es-ES"/>
        </w:rPr>
      </w:pPr>
    </w:p>
    <w:p w:rsidR="00E507A6" w:rsidRPr="007E36DF" w:rsidRDefault="00E507A6" w:rsidP="00E507A6">
      <w:pPr>
        <w:ind w:left="567" w:right="618"/>
        <w:jc w:val="both"/>
        <w:rPr>
          <w:rFonts w:eastAsia="Times New Roman"/>
          <w:i/>
          <w:lang w:val="es-ES_tradnl" w:eastAsia="es-ES"/>
        </w:rPr>
      </w:pPr>
      <w:r w:rsidRPr="007E36DF">
        <w:rPr>
          <w:rFonts w:eastAsia="Times New Roman"/>
          <w:b/>
          <w:i/>
          <w:lang w:eastAsia="es-ES"/>
        </w:rPr>
        <w:t xml:space="preserve">Sin embargo, tal afirmación errada del Tribunal demandado no es suficiente para concluir que se vulneraron los derechos fundamentales del actor, pues aún </w:t>
      </w:r>
      <w:r w:rsidRPr="007E36DF">
        <w:rPr>
          <w:rFonts w:eastAsia="Times New Roman"/>
          <w:i/>
          <w:lang w:eastAsia="es-ES"/>
        </w:rPr>
        <w:t xml:space="preserve">cuando se aceptara, en gracia de discusión, que el litigio fue resuelto como si se tratara de una acción de nulidad y restablecimiento del derecho, </w:t>
      </w:r>
      <w:r w:rsidRPr="007E36DF">
        <w:rPr>
          <w:rFonts w:eastAsia="Times New Roman"/>
          <w:b/>
          <w:i/>
          <w:u w:val="single"/>
          <w:lang w:eastAsia="es-ES"/>
        </w:rPr>
        <w:t>tampoco habría sido posible un fallo de fondo por carencia de acto administrativo cuya legalidad pudiera ser evaluada</w:t>
      </w:r>
      <w:r w:rsidRPr="007E36DF">
        <w:rPr>
          <w:rFonts w:eastAsia="Times New Roman"/>
          <w:b/>
          <w:i/>
          <w:lang w:eastAsia="es-ES"/>
        </w:rPr>
        <w:t>,</w:t>
      </w:r>
      <w:r w:rsidRPr="007E36DF">
        <w:rPr>
          <w:rFonts w:eastAsia="Times New Roman"/>
          <w:i/>
          <w:lang w:eastAsia="es-ES"/>
        </w:rPr>
        <w:t xml:space="preserve"> como lo advirtió la sentencia acusada. En consecuencia, no se vislumbra la vulneración alegada por el demandante, lo cual conduce a denegar la solicitud de amparo.»</w:t>
      </w:r>
      <w:r w:rsidRPr="007E36DF">
        <w:rPr>
          <w:rFonts w:eastAsia="Times New Roman"/>
          <w:i/>
          <w:vertAlign w:val="superscript"/>
          <w:lang w:eastAsia="es-ES"/>
        </w:rPr>
        <w:footnoteReference w:id="26"/>
      </w:r>
      <w:r w:rsidRPr="007E36DF">
        <w:rPr>
          <w:rFonts w:eastAsia="Times New Roman"/>
          <w:i/>
          <w:lang w:val="es-ES_tradnl" w:eastAsia="es-ES"/>
        </w:rPr>
        <w:t xml:space="preserve"> (Resaltado fuera del texto original).</w:t>
      </w:r>
    </w:p>
    <w:p w:rsidR="00E507A6" w:rsidRPr="007E36DF" w:rsidRDefault="00E507A6" w:rsidP="00E507A6">
      <w:pPr>
        <w:ind w:left="567" w:right="618"/>
        <w:jc w:val="both"/>
        <w:rPr>
          <w:rFonts w:eastAsia="Times New Roman"/>
          <w:i/>
          <w:lang w:val="es-ES_tradnl" w:eastAsia="es-ES"/>
        </w:rPr>
      </w:pPr>
    </w:p>
    <w:p w:rsidR="00E507A6" w:rsidRPr="007E36DF" w:rsidRDefault="00E507A6" w:rsidP="00E507A6">
      <w:pPr>
        <w:ind w:left="567" w:right="618"/>
        <w:jc w:val="both"/>
        <w:rPr>
          <w:rFonts w:eastAsia="Times New Roman"/>
          <w:i/>
          <w:lang w:val="es-ES_tradnl" w:eastAsia="es-ES"/>
        </w:rPr>
      </w:pPr>
      <w:r w:rsidRPr="007E36DF">
        <w:rPr>
          <w:rFonts w:eastAsia="Times New Roman"/>
          <w:i/>
          <w:lang w:val="es-ES_tradnl" w:eastAsia="es-ES"/>
        </w:rPr>
        <w:t xml:space="preserve">«Al revisar el caso concreto, la Sala considera que el Tribunal Administrativo del Huila no incurrió en este defecto alegado, </w:t>
      </w:r>
      <w:r w:rsidRPr="007E36DF">
        <w:rPr>
          <w:rFonts w:eastAsia="Times New Roman"/>
          <w:b/>
          <w:i/>
          <w:lang w:val="es-ES_tradnl" w:eastAsia="es-ES"/>
        </w:rPr>
        <w:t>ya que las pretensiones del demandante no se enmarcaban en la acción contractual ni en la de nulidad y restablecimiento del derecho,</w:t>
      </w:r>
      <w:r w:rsidRPr="007E36DF">
        <w:rPr>
          <w:rFonts w:eastAsia="Times New Roman"/>
          <w:i/>
          <w:lang w:val="es-ES_tradnl" w:eastAsia="es-ES"/>
        </w:rPr>
        <w:t xml:space="preserve"> esto es, haber sustentado las pretensiones de la nulidad, ya hubiese sido relativa o absoluta del contrato en las causales establecidas por el ordenamiento jurídico o haber demandado un acto administrativo.</w:t>
      </w:r>
    </w:p>
    <w:p w:rsidR="00E507A6" w:rsidRPr="007E36DF" w:rsidRDefault="00E507A6" w:rsidP="00E507A6">
      <w:pPr>
        <w:ind w:left="567" w:right="618"/>
        <w:jc w:val="both"/>
        <w:rPr>
          <w:rFonts w:eastAsia="Times New Roman"/>
          <w:i/>
          <w:lang w:val="es-ES_tradnl" w:eastAsia="es-ES"/>
        </w:rPr>
      </w:pPr>
    </w:p>
    <w:p w:rsidR="00E507A6" w:rsidRPr="007E36DF" w:rsidRDefault="00E507A6" w:rsidP="00E507A6">
      <w:pPr>
        <w:ind w:left="567" w:right="618"/>
        <w:jc w:val="both"/>
        <w:rPr>
          <w:rFonts w:eastAsia="Times New Roman"/>
          <w:i/>
          <w:lang w:val="es-ES_tradnl" w:eastAsia="es-ES"/>
        </w:rPr>
      </w:pPr>
      <w:r w:rsidRPr="007E36DF">
        <w:rPr>
          <w:rFonts w:eastAsia="Times New Roman"/>
          <w:i/>
          <w:lang w:val="es-ES_tradnl" w:eastAsia="es-ES"/>
        </w:rPr>
        <w:t xml:space="preserve">Bajo el anterior contexto, considera la Sala tampoco se configura el defecto procedimental por exceso ritual manifiesto, ya que el Tribunal accionado, previo a resolver de fondo el litigio propuesto, examinó la existencia de los presupuestos de derecho de acción, encontrándose con </w:t>
      </w:r>
      <w:r w:rsidRPr="007E36DF">
        <w:rPr>
          <w:rFonts w:eastAsia="Times New Roman"/>
          <w:b/>
          <w:i/>
          <w:u w:val="single"/>
          <w:lang w:val="es-ES_tradnl" w:eastAsia="es-ES"/>
        </w:rPr>
        <w:t>la imposibilidad de adecuar el caso al procedimiento de la acción contractual por no haberse sustentado la nulidad del contrato en las causales establecidas por el ordenamiento jurídico y, en el impedimento de adecuar las pretensiones a la acción de nulidad y restablecimiento del derecho, toda vez que no se estaba demandando un acto administrativo, circunstancias que lo llevaron a inhibirse de resolver de fondo</w:t>
      </w:r>
      <w:r w:rsidRPr="007E36DF">
        <w:rPr>
          <w:rFonts w:eastAsia="Times New Roman"/>
          <w:i/>
          <w:lang w:val="es-ES_tradnl" w:eastAsia="es-ES"/>
        </w:rPr>
        <w:t>.</w:t>
      </w:r>
      <w:r w:rsidRPr="007E36DF">
        <w:rPr>
          <w:rFonts w:eastAsia="Times New Roman"/>
          <w:i/>
          <w:lang w:eastAsia="es-ES"/>
        </w:rPr>
        <w:t>»</w:t>
      </w:r>
      <w:r w:rsidRPr="007E36DF">
        <w:rPr>
          <w:rFonts w:eastAsia="Times New Roman"/>
          <w:i/>
          <w:vertAlign w:val="superscript"/>
          <w:lang w:eastAsia="es-ES"/>
        </w:rPr>
        <w:footnoteReference w:id="27"/>
      </w:r>
      <w:r w:rsidRPr="007E36DF">
        <w:rPr>
          <w:rFonts w:eastAsia="Times New Roman"/>
          <w:i/>
          <w:lang w:val="es-ES_tradnl" w:eastAsia="es-ES"/>
        </w:rPr>
        <w:t xml:space="preserve"> (Resaltado fuera del texto original).</w:t>
      </w:r>
    </w:p>
    <w:p w:rsidR="00E507A6" w:rsidRPr="007E36DF" w:rsidRDefault="00E507A6" w:rsidP="00E507A6">
      <w:pPr>
        <w:ind w:left="567" w:right="618"/>
        <w:jc w:val="both"/>
        <w:rPr>
          <w:rFonts w:eastAsia="Times New Roman"/>
          <w:i/>
          <w:lang w:val="es-ES_tradnl" w:eastAsia="es-ES"/>
        </w:rPr>
      </w:pPr>
    </w:p>
    <w:p w:rsidR="00E507A6" w:rsidRPr="007E36DF" w:rsidRDefault="00E507A6" w:rsidP="00E507A6">
      <w:pPr>
        <w:widowControl w:val="0"/>
        <w:ind w:left="567" w:right="618"/>
        <w:jc w:val="both"/>
        <w:rPr>
          <w:rFonts w:eastAsia="Times New Roman"/>
          <w:bCs/>
          <w:i/>
          <w:lang w:val="es-ES_tradnl" w:eastAsia="es-ES"/>
        </w:rPr>
      </w:pPr>
      <w:r w:rsidRPr="007E36DF">
        <w:rPr>
          <w:rFonts w:eastAsia="Times New Roman"/>
          <w:bCs/>
          <w:i/>
          <w:lang w:val="es-ES_tradnl" w:eastAsia="es-ES"/>
        </w:rPr>
        <w:t xml:space="preserve">De otra parte, la Sección Cuarta de la Corporación fundamentó la decisión de no conceder la tutela en similares casos, argumentando que: </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ind w:left="567" w:right="618"/>
        <w:jc w:val="both"/>
        <w:rPr>
          <w:rFonts w:eastAsia="Times New Roman"/>
          <w:i/>
          <w:lang w:val="es-ES_tradnl" w:eastAsia="es-ES"/>
        </w:rPr>
      </w:pPr>
      <w:r w:rsidRPr="007E36DF">
        <w:rPr>
          <w:rFonts w:eastAsia="Times New Roman"/>
          <w:i/>
          <w:lang w:val="es-ES_tradnl" w:eastAsia="es-ES"/>
        </w:rPr>
        <w:t>«(…) el accionante en el escrito de demanda señaló que interponía la demanda por medio de la acción de controversias contractuales. Igualmente, entre las pretensiones principales solicitó… se condene a LA NACIÓN – DEPARTAMENTO ADMINISTRATIVO DE SEGURIDAD – DAS – a efectuar el reconocimiento y pago, a favor del señor NELSON FERNANDO IRIARTE VERGARA, de las sumas correspondientes a la totalidad de las prestaciones sociales a que tiene derecho…»</w:t>
      </w:r>
    </w:p>
    <w:p w:rsidR="00E507A6" w:rsidRPr="007E36DF" w:rsidRDefault="00E507A6" w:rsidP="00E507A6">
      <w:pPr>
        <w:ind w:left="567" w:right="618"/>
        <w:jc w:val="both"/>
        <w:rPr>
          <w:rFonts w:eastAsia="Times New Roman"/>
          <w:i/>
          <w:lang w:val="es-ES_tradnl" w:eastAsia="es-ES"/>
        </w:rPr>
      </w:pPr>
    </w:p>
    <w:p w:rsidR="00E507A6" w:rsidRPr="007E36DF" w:rsidRDefault="00E507A6" w:rsidP="00E507A6">
      <w:pPr>
        <w:ind w:left="567" w:right="618"/>
        <w:jc w:val="both"/>
        <w:rPr>
          <w:rFonts w:eastAsia="Times New Roman"/>
          <w:i/>
          <w:lang w:val="es-ES_tradnl" w:eastAsia="es-ES"/>
        </w:rPr>
      </w:pPr>
      <w:r w:rsidRPr="007E36DF">
        <w:rPr>
          <w:rFonts w:eastAsia="Times New Roman"/>
          <w:i/>
          <w:lang w:val="es-ES_tradnl" w:eastAsia="es-ES"/>
        </w:rPr>
        <w:t xml:space="preserve">«Así las cosas, concluye la Sala que, tal como lo previó la autoridad judicial accionada, el actor pretendió la declaración de una relación laboral y como consecuencia requirió que se ordenara el pago de las prestaciones sociales derivadas de aquella, </w:t>
      </w:r>
      <w:r w:rsidRPr="007E36DF">
        <w:rPr>
          <w:rFonts w:eastAsia="Times New Roman"/>
          <w:b/>
          <w:i/>
          <w:u w:val="single"/>
          <w:lang w:val="es-ES_tradnl" w:eastAsia="es-ES"/>
        </w:rPr>
        <w:t>no obstante dichas pretensiones no pueden ser discutidas por medio de la acción de controversias contractuales</w:t>
      </w:r>
      <w:r w:rsidRPr="007E36DF">
        <w:rPr>
          <w:rFonts w:eastAsia="Times New Roman"/>
          <w:i/>
          <w:lang w:val="es-ES_tradnl" w:eastAsia="es-ES"/>
        </w:rPr>
        <w:t xml:space="preserve">, </w:t>
      </w:r>
      <w:r w:rsidRPr="007E36DF">
        <w:rPr>
          <w:rFonts w:eastAsia="Times New Roman"/>
          <w:b/>
          <w:i/>
          <w:lang w:val="es-ES_tradnl" w:eastAsia="es-ES"/>
        </w:rPr>
        <w:t>sino por medio de la acción de nulidad y restablecimiento del derecho</w:t>
      </w:r>
      <w:r w:rsidRPr="007E36DF">
        <w:rPr>
          <w:rFonts w:eastAsia="Times New Roman"/>
          <w:i/>
          <w:lang w:val="es-ES_tradnl" w:eastAsia="es-ES"/>
        </w:rPr>
        <w:t xml:space="preserve">, toda vez que la litis en este caso se centra en </w:t>
      </w:r>
      <w:r w:rsidRPr="007E36DF">
        <w:rPr>
          <w:rFonts w:eastAsia="Times New Roman"/>
          <w:b/>
          <w:i/>
          <w:lang w:val="es-ES_tradnl" w:eastAsia="es-ES"/>
        </w:rPr>
        <w:t>la existencia o no de una relación laboral</w:t>
      </w:r>
      <w:r w:rsidRPr="007E36DF">
        <w:rPr>
          <w:rFonts w:eastAsia="Times New Roman"/>
          <w:i/>
          <w:lang w:val="es-ES_tradnl" w:eastAsia="es-ES"/>
        </w:rPr>
        <w:t xml:space="preserve">, pues no existe certeza sobre su existencia. Además, acorde con lo anotado por el actor en la demanda, no se discute sobre disensos derivados de la ejecución del contrato de prestación de servicios suscrito por las partes o la controversia respecto alguna de sus cláusulas, situación en la que es procedente la acción de controversias contractuales. </w:t>
      </w:r>
    </w:p>
    <w:p w:rsidR="00E507A6" w:rsidRPr="007E36DF" w:rsidRDefault="00E507A6" w:rsidP="00E507A6">
      <w:pPr>
        <w:ind w:left="567" w:right="618"/>
        <w:jc w:val="both"/>
        <w:rPr>
          <w:rFonts w:eastAsia="Times New Roman"/>
          <w:i/>
          <w:lang w:val="es-ES_tradnl" w:eastAsia="es-ES"/>
        </w:rPr>
      </w:pPr>
    </w:p>
    <w:p w:rsidR="00E507A6" w:rsidRPr="007E36DF" w:rsidRDefault="00E507A6" w:rsidP="00E507A6">
      <w:pPr>
        <w:ind w:left="567" w:right="618"/>
        <w:jc w:val="both"/>
        <w:rPr>
          <w:rFonts w:eastAsia="Times New Roman"/>
          <w:bCs/>
          <w:i/>
          <w:lang w:eastAsia="es-ES"/>
        </w:rPr>
      </w:pPr>
      <w:r w:rsidRPr="007E36DF">
        <w:rPr>
          <w:rFonts w:eastAsia="Times New Roman"/>
          <w:i/>
          <w:lang w:val="es-ES_tradnl" w:eastAsia="es-ES"/>
        </w:rPr>
        <w:t xml:space="preserve">Por ende, como primera medida, el accionante debió acudir a la vía gubernativa para solicitar el pago de las acreencias laborales y en caso de desacuerdo con la decisión de la Administración interponer </w:t>
      </w:r>
      <w:r w:rsidRPr="007E36DF">
        <w:rPr>
          <w:rFonts w:eastAsia="Times New Roman"/>
          <w:b/>
          <w:i/>
          <w:u w:val="single"/>
          <w:lang w:val="es-ES_tradnl" w:eastAsia="es-ES"/>
        </w:rPr>
        <w:t>la acción de nulidad y restablecimiento del derecho ante la Jurisdicción Contencioso Administrativa</w:t>
      </w:r>
      <w:r w:rsidRPr="007E36DF">
        <w:rPr>
          <w:rFonts w:eastAsia="Times New Roman"/>
          <w:i/>
          <w:lang w:val="es-ES_tradnl" w:eastAsia="es-ES"/>
        </w:rPr>
        <w:t>.»</w:t>
      </w:r>
      <w:r w:rsidRPr="007E36DF">
        <w:rPr>
          <w:rFonts w:eastAsia="Times New Roman"/>
          <w:i/>
          <w:vertAlign w:val="superscript"/>
          <w:lang w:val="es-ES_tradnl" w:eastAsia="es-ES"/>
        </w:rPr>
        <w:footnoteReference w:id="28"/>
      </w:r>
      <w:r w:rsidRPr="007E36DF">
        <w:rPr>
          <w:rFonts w:eastAsia="Times New Roman"/>
          <w:i/>
          <w:lang w:val="es-ES_tradnl" w:eastAsia="es-ES"/>
        </w:rPr>
        <w:t xml:space="preserve"> </w:t>
      </w:r>
      <w:r w:rsidRPr="007E36DF">
        <w:rPr>
          <w:rFonts w:eastAsia="Times New Roman"/>
          <w:bCs/>
          <w:i/>
          <w:lang w:eastAsia="es-ES"/>
        </w:rPr>
        <w:t>(Resaltado fuera del texto original).</w:t>
      </w:r>
    </w:p>
    <w:p w:rsidR="00E507A6" w:rsidRPr="007E36DF" w:rsidRDefault="00E507A6" w:rsidP="00E507A6">
      <w:pPr>
        <w:ind w:left="567" w:right="618"/>
        <w:jc w:val="both"/>
        <w:rPr>
          <w:rFonts w:eastAsia="Times New Roman"/>
          <w:i/>
          <w:lang w:val="es-ES_tradnl" w:eastAsia="es-ES"/>
        </w:rPr>
      </w:pPr>
    </w:p>
    <w:p w:rsidR="00E507A6" w:rsidRPr="007E36DF" w:rsidRDefault="00E507A6" w:rsidP="00E507A6">
      <w:pPr>
        <w:widowControl w:val="0"/>
        <w:ind w:left="567" w:right="618"/>
        <w:jc w:val="both"/>
        <w:rPr>
          <w:rFonts w:eastAsia="Times New Roman"/>
          <w:bCs/>
          <w:i/>
          <w:lang w:val="es-ES_tradnl" w:eastAsia="es-ES"/>
        </w:rPr>
      </w:pPr>
      <w:r w:rsidRPr="007E36DF">
        <w:rPr>
          <w:rFonts w:eastAsia="Times New Roman"/>
          <w:bCs/>
          <w:i/>
          <w:lang w:val="es-ES_tradnl" w:eastAsia="es-ES"/>
        </w:rPr>
        <w:t xml:space="preserve">Es de resaltar que en el fallo de tutela proferido el 10 de marzo de 2016 (Expediente núm. 2016-00149, </w:t>
      </w:r>
      <w:r w:rsidR="00DF2FEF" w:rsidRPr="007E36DF">
        <w:rPr>
          <w:rFonts w:eastAsia="Times New Roman"/>
          <w:bCs/>
          <w:i/>
          <w:lang w:val="es-ES_tradnl" w:eastAsia="es-ES"/>
        </w:rPr>
        <w:t>[C.P.]</w:t>
      </w:r>
      <w:r w:rsidRPr="007E36DF">
        <w:rPr>
          <w:rFonts w:eastAsia="Times New Roman"/>
          <w:bCs/>
          <w:i/>
          <w:lang w:val="es-ES_tradnl" w:eastAsia="es-ES"/>
        </w:rPr>
        <w:t xml:space="preserve">: doctor Gabriel Valbuena Hernández), si bien es cierto se concedió la tutela y se ordenó al </w:t>
      </w:r>
      <w:r w:rsidRPr="007E36DF">
        <w:rPr>
          <w:rFonts w:eastAsia="Times New Roman"/>
          <w:b/>
          <w:bCs/>
          <w:i/>
          <w:lang w:val="es-ES_tradnl" w:eastAsia="es-ES"/>
        </w:rPr>
        <w:t xml:space="preserve">TRIBUNAL ADMINISTRATIVO DEL HUILA </w:t>
      </w:r>
      <w:r w:rsidRPr="007E36DF">
        <w:rPr>
          <w:rFonts w:eastAsia="Times New Roman"/>
          <w:bCs/>
          <w:i/>
          <w:lang w:val="es-ES_tradnl" w:eastAsia="es-ES"/>
        </w:rPr>
        <w:t>que dejara sin efecto la decisión inhibitoria y procediera al estudio de fondo de una controversia idéntica a la del sub lite, tal antecedente no resulta aplicable en el caso concreto, como acertadamente lo indicó el Tribunal en la sentencia cuestionada, pues en ese proceso la decisión del Juez Constitucional obedeció a que la Administración de Justicia ejercitó una conducta de manera intempestiva que defraudó la expectativa generada en el demandante, al haber inadmitido la acción de controversias contractuales y, posteriormente, haber tenido como subsanado los defectos advertidos.</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widowControl w:val="0"/>
        <w:ind w:left="567" w:right="618"/>
        <w:jc w:val="both"/>
        <w:rPr>
          <w:rFonts w:eastAsia="Times New Roman"/>
          <w:bCs/>
          <w:i/>
          <w:lang w:val="es-ES_tradnl" w:eastAsia="es-ES"/>
        </w:rPr>
      </w:pPr>
      <w:r w:rsidRPr="007E36DF">
        <w:rPr>
          <w:rFonts w:eastAsia="Times New Roman"/>
          <w:bCs/>
          <w:i/>
          <w:lang w:val="es-ES_tradnl" w:eastAsia="es-ES"/>
        </w:rPr>
        <w:t xml:space="preserve">En este orden de ideas, la Sala concluye que en el caso sub examine el Tribunal accionado no incurrió en defecto procedimental al proferir decisión inhibitoria, pues tal y como lo precisó la Sala en la Jurisprudencia analizada, no era posible una decisión distinta si se tiene en cuenta que el objeto de las pretensiones del actor no correspondía a la acción de controversias contractuales, aunado al hecho de que </w:t>
      </w:r>
      <w:r w:rsidRPr="007E36DF">
        <w:rPr>
          <w:rFonts w:eastAsia="Times New Roman"/>
          <w:bCs/>
          <w:i/>
          <w:lang w:val="es-ES_tradnl" w:eastAsia="es-ES"/>
        </w:rPr>
        <w:lastRenderedPageBreak/>
        <w:t xml:space="preserve">tampoco acudió a la Administración a provocar un pronunciamiento susceptible del medio de control de nulidad y restablecimiento del derecho, que era lo que legalmente correspondía. </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ind w:left="567" w:right="618"/>
        <w:jc w:val="both"/>
        <w:rPr>
          <w:rFonts w:eastAsia="Times New Roman"/>
          <w:bCs/>
          <w:i/>
          <w:lang w:val="es-MX" w:eastAsia="es-ES"/>
        </w:rPr>
      </w:pPr>
      <w:r w:rsidRPr="007E36DF">
        <w:rPr>
          <w:rFonts w:eastAsia="Times New Roman"/>
          <w:bCs/>
          <w:i/>
          <w:lang w:eastAsia="es-ES"/>
        </w:rPr>
        <w:t xml:space="preserve">Recuérdese que según lo señalado por la Jurisprudencia Constitucional, puede el fallador inhibirse de desatar de fondo la controversia alegando un impedimento de la ley procesal, solo cuando ello resulte </w:t>
      </w:r>
      <w:r w:rsidRPr="007E36DF">
        <w:rPr>
          <w:rFonts w:eastAsia="Times New Roman"/>
          <w:b/>
          <w:bCs/>
          <w:i/>
          <w:lang w:eastAsia="es-ES"/>
        </w:rPr>
        <w:t>absolutamente indispensable</w:t>
      </w:r>
      <w:r w:rsidRPr="007E36DF">
        <w:rPr>
          <w:rFonts w:eastAsia="Times New Roman"/>
          <w:bCs/>
          <w:i/>
          <w:lang w:eastAsia="es-ES"/>
        </w:rPr>
        <w:t xml:space="preserve">, lo que </w:t>
      </w:r>
      <w:r w:rsidRPr="007E36DF">
        <w:rPr>
          <w:rFonts w:eastAsia="Times New Roman"/>
          <w:bCs/>
          <w:i/>
          <w:lang w:val="es-MX" w:eastAsia="es-ES"/>
        </w:rPr>
        <w:t>significa que el Juez debe, antes de proferir sentencia inhibitoria, agotar todas las alternativas que le otorga el ordenamiento jurídico.</w:t>
      </w:r>
    </w:p>
    <w:p w:rsidR="00E507A6" w:rsidRPr="007E36DF" w:rsidRDefault="00E507A6" w:rsidP="00E507A6">
      <w:pPr>
        <w:ind w:left="567" w:right="618"/>
        <w:jc w:val="both"/>
        <w:rPr>
          <w:rFonts w:eastAsia="Times New Roman"/>
          <w:bCs/>
          <w:i/>
          <w:lang w:eastAsia="es-ES"/>
        </w:rPr>
      </w:pPr>
    </w:p>
    <w:p w:rsidR="00E507A6" w:rsidRPr="007E36DF" w:rsidRDefault="00E507A6" w:rsidP="00E507A6">
      <w:pPr>
        <w:widowControl w:val="0"/>
        <w:ind w:left="567" w:right="618"/>
        <w:jc w:val="both"/>
        <w:rPr>
          <w:rFonts w:eastAsia="Times New Roman"/>
          <w:bCs/>
          <w:i/>
          <w:lang w:val="es-ES_tradnl" w:eastAsia="es-ES"/>
        </w:rPr>
      </w:pPr>
      <w:r w:rsidRPr="007E36DF">
        <w:rPr>
          <w:rFonts w:eastAsia="Times New Roman"/>
          <w:bCs/>
          <w:i/>
          <w:lang w:val="es-ES_tradnl" w:eastAsia="es-ES"/>
        </w:rPr>
        <w:t>Sin embargo, como ya se indicó, en el caso bajo estudio no le era posible al fallador adoptar decisión distinta a la sentencia inhibitoria.</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widowControl w:val="0"/>
        <w:ind w:left="567" w:right="618"/>
        <w:jc w:val="both"/>
        <w:rPr>
          <w:rFonts w:eastAsia="Times New Roman"/>
          <w:bCs/>
          <w:i/>
          <w:lang w:val="es-ES_tradnl" w:eastAsia="es-ES"/>
        </w:rPr>
      </w:pPr>
      <w:r w:rsidRPr="007E36DF">
        <w:rPr>
          <w:rFonts w:eastAsia="Times New Roman"/>
          <w:bCs/>
          <w:i/>
          <w:lang w:val="es-ES_tradnl" w:eastAsia="es-ES"/>
        </w:rPr>
        <w:t xml:space="preserve">De otra parte, tampoco se vislumbra que el argumento sobre la improcedencia de la acción de controversias contractuales genere un defecto sustantivo de la sentencia, pues según quedó demostrado, las pretensiones de la demanda no podían ser discutidas por medio de dicha acción, sino de la de nulidad y restablecimiento del derecho, frente a la cual, se reitera, tampoco se procuró el pronunciamiento de la entidad que pudiera ser demandado, de ahí que no estaba obligado el a quo a adecuar la acción. </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widowControl w:val="0"/>
        <w:ind w:left="567" w:right="618"/>
        <w:jc w:val="both"/>
        <w:rPr>
          <w:rFonts w:eastAsia="Times New Roman"/>
          <w:bCs/>
          <w:i/>
          <w:lang w:val="es-ES_tradnl" w:eastAsia="es-ES"/>
        </w:rPr>
      </w:pPr>
      <w:r w:rsidRPr="007E36DF">
        <w:rPr>
          <w:rFonts w:eastAsia="Times New Roman"/>
          <w:bCs/>
          <w:i/>
          <w:lang w:val="es-ES_tradnl" w:eastAsia="es-ES"/>
        </w:rPr>
        <w:t>Y en igual sentido, no se advierte la violación de la Constitución en lo concerniente al desconocimiento del principio de la primacía de la realidad sobre las formas, pues de la lectura del fallo examinado se evidencia que, en razón de la decisión inhibitoria, la cual, se reitera, resultó acertada, el Tribunal no abordó el fondo de la controversia.</w:t>
      </w:r>
    </w:p>
    <w:p w:rsidR="00E507A6" w:rsidRPr="007E36DF" w:rsidRDefault="00E507A6" w:rsidP="00E507A6">
      <w:pPr>
        <w:widowControl w:val="0"/>
        <w:ind w:left="567" w:right="618"/>
        <w:jc w:val="both"/>
        <w:rPr>
          <w:rFonts w:eastAsia="Times New Roman"/>
          <w:bCs/>
          <w:i/>
          <w:lang w:val="es-ES_tradnl" w:eastAsia="es-ES"/>
        </w:rPr>
      </w:pPr>
    </w:p>
    <w:p w:rsidR="00E507A6" w:rsidRPr="007E36DF" w:rsidRDefault="00E507A6" w:rsidP="00E507A6">
      <w:pPr>
        <w:widowControl w:val="0"/>
        <w:ind w:left="567" w:right="618"/>
        <w:jc w:val="both"/>
        <w:rPr>
          <w:lang w:eastAsia="es-CO"/>
        </w:rPr>
      </w:pPr>
      <w:r w:rsidRPr="007E36DF">
        <w:rPr>
          <w:rFonts w:eastAsia="Times New Roman"/>
          <w:bCs/>
          <w:i/>
          <w:lang w:val="es-ES_tradnl" w:eastAsia="es-ES"/>
        </w:rPr>
        <w:t>Por las anteriores razones, la Sala denegará el amparo solicitado, como en efecto lo dispondrá en la parte resolutiva de la presente providencia.”</w:t>
      </w:r>
      <w:r w:rsidRPr="007E36DF">
        <w:rPr>
          <w:rStyle w:val="Refdenotaalpie"/>
          <w:rFonts w:eastAsia="Times New Roman" w:cs="Arial"/>
          <w:bCs/>
          <w:i/>
          <w:lang w:val="es-ES_tradnl" w:eastAsia="es-ES"/>
        </w:rPr>
        <w:footnoteReference w:id="29"/>
      </w:r>
    </w:p>
    <w:p w:rsidR="00E507A6" w:rsidRPr="007E36DF" w:rsidRDefault="00E507A6" w:rsidP="00E507A6">
      <w:pPr>
        <w:spacing w:line="360" w:lineRule="auto"/>
        <w:jc w:val="both"/>
        <w:rPr>
          <w:b/>
        </w:rPr>
      </w:pPr>
    </w:p>
    <w:p w:rsidR="00E507A6" w:rsidRPr="007E36DF" w:rsidRDefault="00E507A6" w:rsidP="00E507A6">
      <w:pPr>
        <w:widowControl w:val="0"/>
        <w:spacing w:line="360" w:lineRule="auto"/>
        <w:jc w:val="both"/>
      </w:pPr>
      <w:r w:rsidRPr="007E36DF">
        <w:t xml:space="preserve">Precisamente, era la acción de nulidad y restablecimiento del derecho la que debía haber ejercido el actor para solicitar el reconocimiento del contrato realidad y no la acción de controversias contractuales, pues como se expuso, una y otra tienen como por objeto finalidades diferentes. </w:t>
      </w:r>
    </w:p>
    <w:p w:rsidR="00E507A6" w:rsidRPr="007E36DF" w:rsidRDefault="00E507A6" w:rsidP="00E507A6">
      <w:pPr>
        <w:widowControl w:val="0"/>
        <w:spacing w:line="360" w:lineRule="auto"/>
        <w:jc w:val="both"/>
        <w:rPr>
          <w:rFonts w:eastAsia="Times New Roman"/>
          <w:b/>
          <w:lang w:eastAsia="es-ES"/>
        </w:rPr>
      </w:pPr>
    </w:p>
    <w:p w:rsidR="00E507A6" w:rsidRPr="007E36DF" w:rsidRDefault="00E507A6" w:rsidP="00E507A6">
      <w:pPr>
        <w:tabs>
          <w:tab w:val="center" w:pos="4252"/>
          <w:tab w:val="right" w:pos="8504"/>
        </w:tabs>
        <w:spacing w:line="360" w:lineRule="auto"/>
        <w:ind w:right="-34"/>
        <w:jc w:val="both"/>
        <w:rPr>
          <w:rFonts w:eastAsia="Times New Roman"/>
          <w:lang w:eastAsia="es-ES"/>
        </w:rPr>
      </w:pPr>
      <w:r w:rsidRPr="007E36DF">
        <w:rPr>
          <w:rFonts w:eastAsia="Times New Roman"/>
          <w:lang w:eastAsia="es-ES"/>
        </w:rPr>
        <w:t xml:space="preserve">La anterior interpretación no constituye un exceso ritual manifiesto, pues para el Tribunal  </w:t>
      </w:r>
      <w:r w:rsidRPr="007E36DF">
        <w:rPr>
          <w:rFonts w:eastAsia="Times New Roman"/>
          <w:bCs/>
          <w:lang w:val="es-ES_tradnl" w:eastAsia="es-ES"/>
        </w:rPr>
        <w:t>no era posible proferir una decisión distinta si se tiene en cuenta que el objeto de las pretensiones del actor no correspondía a la acción de controversias contractuales, aunado al hecho de que tampoco acudió a la administración para provocar un pronunciamiento susceptible del medio de control de nulidad y restablecimiento del derecho, que era lo que legalmente correspondía.</w:t>
      </w:r>
    </w:p>
    <w:p w:rsidR="00E507A6" w:rsidRPr="007E36DF" w:rsidRDefault="00E507A6" w:rsidP="00E507A6">
      <w:pPr>
        <w:tabs>
          <w:tab w:val="center" w:pos="4252"/>
          <w:tab w:val="right" w:pos="8504"/>
        </w:tabs>
        <w:ind w:right="-34"/>
        <w:jc w:val="both"/>
        <w:rPr>
          <w:rFonts w:eastAsia="Times New Roman"/>
          <w:lang w:eastAsia="es-ES"/>
        </w:rPr>
      </w:pPr>
    </w:p>
    <w:p w:rsidR="00E507A6" w:rsidRPr="007E36DF" w:rsidRDefault="00E507A6" w:rsidP="00E507A6">
      <w:pPr>
        <w:tabs>
          <w:tab w:val="center" w:pos="4252"/>
          <w:tab w:val="right" w:pos="8504"/>
        </w:tabs>
        <w:spacing w:line="360" w:lineRule="auto"/>
        <w:ind w:right="-34"/>
        <w:jc w:val="both"/>
        <w:rPr>
          <w:rFonts w:eastAsia="Times New Roman"/>
          <w:lang w:eastAsia="es-ES"/>
        </w:rPr>
      </w:pPr>
      <w:r w:rsidRPr="007E36DF">
        <w:rPr>
          <w:rFonts w:eastAsia="Times New Roman"/>
          <w:lang w:eastAsia="es-ES"/>
        </w:rPr>
        <w:lastRenderedPageBreak/>
        <w:t>La primacía del derecho sustancial, si bien obliga a evitar el exceso de ritual manifiesto, no conlleva una derogatoria de la obligación para las partes de cumplir sus conductas procesales, como la debida escogencia de la acción, con estricta sujeción a los requisitos y dentro de la oportunidad legal debida.</w:t>
      </w:r>
    </w:p>
    <w:p w:rsidR="00E507A6" w:rsidRPr="007E36DF" w:rsidRDefault="00E507A6" w:rsidP="00E507A6">
      <w:pPr>
        <w:tabs>
          <w:tab w:val="center" w:pos="4252"/>
          <w:tab w:val="right" w:pos="8504"/>
        </w:tabs>
        <w:ind w:right="-34"/>
        <w:jc w:val="both"/>
        <w:rPr>
          <w:rFonts w:eastAsia="Times New Roman"/>
          <w:lang w:eastAsia="es-ES"/>
        </w:rPr>
      </w:pPr>
    </w:p>
    <w:p w:rsidR="00E507A6" w:rsidRPr="007E36DF" w:rsidRDefault="00E507A6" w:rsidP="00E507A6">
      <w:pPr>
        <w:spacing w:line="360" w:lineRule="auto"/>
        <w:jc w:val="both"/>
        <w:rPr>
          <w:rFonts w:eastAsia="Times New Roman"/>
          <w:lang w:eastAsia="es-ES"/>
        </w:rPr>
      </w:pPr>
      <w:r w:rsidRPr="007E36DF">
        <w:rPr>
          <w:rFonts w:eastAsia="Times New Roman"/>
          <w:lang w:eastAsia="es-ES"/>
        </w:rPr>
        <w:t xml:space="preserve">Por último, es menester poner de presente que aunque en el caso de marras el actor afirma que se desconoció el precedente judicial sentado en el fallo de la Sección Segunda del Consejo de Estado de </w:t>
      </w:r>
      <w:r w:rsidRPr="007E36DF">
        <w:rPr>
          <w:iCs/>
        </w:rPr>
        <w:t xml:space="preserve">19 de Julio de 2007 (M.P. </w:t>
      </w:r>
      <w:r w:rsidRPr="007E36DF">
        <w:rPr>
          <w:rFonts w:eastAsia="Times New Roman"/>
          <w:lang w:eastAsia="es-ES"/>
        </w:rPr>
        <w:t>Alejandro Ordoñez Maldonado), en el que se afirma que es posible reconocer la existencia de un contrato realidad a través de la acción contractual</w:t>
      </w:r>
      <w:r w:rsidRPr="007E36DF">
        <w:rPr>
          <w:rStyle w:val="Refdenotaalpie"/>
          <w:rFonts w:eastAsia="Times New Roman" w:cs="Arial"/>
          <w:lang w:eastAsia="es-ES"/>
        </w:rPr>
        <w:footnoteReference w:id="30"/>
      </w:r>
      <w:r w:rsidRPr="007E36DF">
        <w:rPr>
          <w:rFonts w:eastAsia="Times New Roman"/>
          <w:lang w:eastAsia="es-ES"/>
        </w:rPr>
        <w:t>, lo cierto es que tal tesis no fue pacífica entonces, pues existían posturas contrarias que consideraban improcedente buscar la legalización de una relación laboral de facto a través de la acción contractual. Así lo hizo saber la Sección Tercera del Consejo de Estado en sentencia de 23 de junio de 2010 (M.P. Gladys Agudelo Ordoñez):</w:t>
      </w:r>
    </w:p>
    <w:p w:rsidR="00E507A6" w:rsidRPr="007E36DF" w:rsidRDefault="00E507A6" w:rsidP="00E507A6">
      <w:pPr>
        <w:spacing w:line="360" w:lineRule="auto"/>
        <w:jc w:val="both"/>
        <w:rPr>
          <w:rFonts w:eastAsia="Times New Roman"/>
          <w:lang w:eastAsia="es-ES"/>
        </w:rPr>
      </w:pPr>
    </w:p>
    <w:p w:rsidR="00E507A6" w:rsidRPr="007E36DF" w:rsidRDefault="00E507A6" w:rsidP="00E507A6">
      <w:pPr>
        <w:tabs>
          <w:tab w:val="left" w:pos="6946"/>
          <w:tab w:val="left" w:pos="7371"/>
          <w:tab w:val="left" w:pos="7655"/>
          <w:tab w:val="left" w:pos="7938"/>
        </w:tabs>
        <w:ind w:left="567" w:right="618"/>
        <w:jc w:val="both"/>
        <w:rPr>
          <w:i/>
          <w:color w:val="000000"/>
          <w:shd w:val="clear" w:color="auto" w:fill="FFFFFF"/>
        </w:rPr>
      </w:pPr>
      <w:r w:rsidRPr="007E36DF">
        <w:rPr>
          <w:i/>
          <w:color w:val="000000"/>
          <w:shd w:val="clear" w:color="auto" w:fill="FFFFFF"/>
        </w:rPr>
        <w:t xml:space="preserve">“Debe recordarse que la procedencia de una u otra acción y su elección por parte del demandante, tienen relación con el debido proceso del posible demandado, de manera que no puede entenderse que la indebida escogencia de la acción es un simple defecto formal de la demanda. En otra oportunidad, se estimó que la acción de reparación directa impetrada por el demandante mediante la cual pretendía la declaración de responsabilidad del Estado, por la indebida liquidación de prestaciones sociales, las cuales fueron reconocidas mediante acto administrativo, no era la indicada, sino que lo procedente en ese caso era instaurar la acción de nulidad y restablecimiento del derecho. Se dijo en dicha ocasión que frente a esa manifestación de la Administración, la cual produjo un efecto jurídico, que se presume legal, no puede ser atacada en ejercicio de la acción de reparación directa. La falta de impugnación del acto es lo que conduce a señalar que la vía escogida por el actor fue inadecuada, evidenciándose por tanto una acción indebida, pues el Código Contencioso Administrativo indica claramente que a cada conducta administrativa procede una vía propia de acción, dejando claro que las acciones no son de escogencia alternativa de quienes reclaman judicialmente, de manera que la acción utilizada en la </w:t>
      </w:r>
      <w:r w:rsidRPr="007E36DF">
        <w:rPr>
          <w:i/>
          <w:color w:val="000000"/>
          <w:shd w:val="clear" w:color="auto" w:fill="FFFFFF"/>
        </w:rPr>
        <w:lastRenderedPageBreak/>
        <w:t>formulación de la demanda no tenía correspondencia con la causa jurídica.”</w:t>
      </w:r>
      <w:r w:rsidRPr="007E36DF">
        <w:rPr>
          <w:bCs/>
          <w:vertAlign w:val="superscript"/>
        </w:rPr>
        <w:footnoteReference w:id="31"/>
      </w:r>
    </w:p>
    <w:p w:rsidR="00E507A6" w:rsidRPr="007E36DF" w:rsidRDefault="00E507A6" w:rsidP="00E507A6">
      <w:pPr>
        <w:tabs>
          <w:tab w:val="left" w:pos="6946"/>
          <w:tab w:val="left" w:pos="7371"/>
          <w:tab w:val="left" w:pos="7655"/>
          <w:tab w:val="left" w:pos="7938"/>
        </w:tabs>
        <w:spacing w:line="360" w:lineRule="auto"/>
        <w:ind w:left="567" w:right="618"/>
        <w:jc w:val="both"/>
        <w:rPr>
          <w:rStyle w:val="apple-converted-space"/>
          <w:i/>
          <w:color w:val="000000"/>
          <w:shd w:val="clear" w:color="auto" w:fill="FFFFFF"/>
        </w:rPr>
      </w:pPr>
    </w:p>
    <w:p w:rsidR="00E507A6" w:rsidRPr="007E36DF" w:rsidRDefault="00E507A6" w:rsidP="00E507A6">
      <w:pPr>
        <w:tabs>
          <w:tab w:val="left" w:pos="6946"/>
          <w:tab w:val="left" w:pos="7371"/>
          <w:tab w:val="left" w:pos="7655"/>
        </w:tabs>
        <w:spacing w:line="360" w:lineRule="auto"/>
        <w:ind w:right="51"/>
        <w:jc w:val="both"/>
        <w:rPr>
          <w:rFonts w:eastAsia="Times New Roman"/>
          <w:lang w:eastAsia="es-ES"/>
        </w:rPr>
      </w:pPr>
      <w:r w:rsidRPr="007E36DF">
        <w:rPr>
          <w:rFonts w:eastAsia="Times New Roman"/>
          <w:lang w:eastAsia="es-ES"/>
        </w:rPr>
        <w:t>Teniendo claro que la postura referida como precedente por el accionante no era una tesis unificada y pacífica, mal podría concluirse que este era un precedente que debía acoger el Tribunal accionado.</w:t>
      </w:r>
    </w:p>
    <w:p w:rsidR="00E507A6" w:rsidRPr="007E36DF" w:rsidRDefault="00E507A6" w:rsidP="00E507A6">
      <w:pPr>
        <w:spacing w:line="360" w:lineRule="auto"/>
        <w:jc w:val="both"/>
        <w:rPr>
          <w:rFonts w:eastAsia="Times New Roman"/>
          <w:lang w:eastAsia="es-ES"/>
        </w:rPr>
      </w:pPr>
    </w:p>
    <w:p w:rsidR="00E507A6" w:rsidRPr="007E36DF" w:rsidRDefault="00E507A6" w:rsidP="00E507A6">
      <w:pPr>
        <w:spacing w:line="360" w:lineRule="auto"/>
        <w:jc w:val="both"/>
        <w:rPr>
          <w:rFonts w:eastAsia="Times New Roman"/>
          <w:lang w:eastAsia="es-ES"/>
        </w:rPr>
      </w:pPr>
      <w:r w:rsidRPr="007E36DF">
        <w:rPr>
          <w:rFonts w:eastAsia="Times New Roman"/>
          <w:lang w:eastAsia="es-ES"/>
        </w:rPr>
        <w:t>Además, aunque el accionante discute el desconocimiento de los precedentes sentados en las sentencia de</w:t>
      </w:r>
      <w:r w:rsidRPr="007E36DF">
        <w:t xml:space="preserve"> 25 de febrero de 2016</w:t>
      </w:r>
      <w:r w:rsidRPr="007E36DF">
        <w:rPr>
          <w:rStyle w:val="Refdenotaalpie"/>
          <w:rFonts w:cs="Arial"/>
        </w:rPr>
        <w:footnoteReference w:id="32"/>
      </w:r>
      <w:r w:rsidRPr="007E36DF">
        <w:t xml:space="preserve"> y de 10 de marzo de 2016</w:t>
      </w:r>
      <w:r w:rsidRPr="007E36DF">
        <w:rPr>
          <w:rStyle w:val="Refdenotaalpie"/>
          <w:rFonts w:cs="Arial"/>
        </w:rPr>
        <w:footnoteReference w:id="33"/>
      </w:r>
      <w:r w:rsidRPr="007E36DF">
        <w:rPr>
          <w:rFonts w:eastAsia="Times New Roman"/>
          <w:lang w:eastAsia="es-ES"/>
        </w:rPr>
        <w:t>, dictadas ambas por la Sección Segunda, Subsección A, del Consejo de Estado, lo cierto es que tal argumento carece de validez para atacar la decisión que se reprocha, pues dichos fallos se profirieron con posterioridad a la sentencia controvertida, de 19 de noviembre de 2015.</w:t>
      </w:r>
    </w:p>
    <w:p w:rsidR="00E507A6" w:rsidRPr="007E36DF" w:rsidRDefault="00E507A6" w:rsidP="00E507A6">
      <w:pPr>
        <w:spacing w:line="360" w:lineRule="auto"/>
        <w:jc w:val="both"/>
        <w:rPr>
          <w:rFonts w:eastAsia="Times New Roman"/>
          <w:lang w:eastAsia="es-ES"/>
        </w:rPr>
      </w:pPr>
    </w:p>
    <w:p w:rsidR="00E507A6" w:rsidRPr="007E36DF" w:rsidRDefault="00E507A6" w:rsidP="00E507A6">
      <w:pPr>
        <w:widowControl w:val="0"/>
        <w:spacing w:line="360" w:lineRule="auto"/>
        <w:jc w:val="both"/>
      </w:pPr>
      <w:r w:rsidRPr="007E36DF">
        <w:rPr>
          <w:rFonts w:eastAsia="Times New Roman"/>
          <w:lang w:eastAsia="es-ES"/>
        </w:rPr>
        <w:t xml:space="preserve">En este orden de ideas, la Sala confirmará la sentencia proferida el </w:t>
      </w:r>
      <w:r w:rsidRPr="007E36DF">
        <w:t>16 de agosto de 2016 por la Sección Quinta del Consejo de Estado, que negó el amparo invocado, al constatar que el Tribunal Administrativo del Huila no incurrió en los defectos sustantivo, procedimental y en desconocimiento del precedente judicial, al proferir la sentencia de 19 de noviembre de 2015.</w:t>
      </w:r>
    </w:p>
    <w:p w:rsidR="00E507A6" w:rsidRPr="007E36DF" w:rsidRDefault="00E507A6" w:rsidP="00E507A6">
      <w:pPr>
        <w:widowControl w:val="0"/>
        <w:spacing w:line="360" w:lineRule="auto"/>
        <w:jc w:val="both"/>
      </w:pPr>
    </w:p>
    <w:p w:rsidR="00E507A6" w:rsidRPr="007E36DF" w:rsidRDefault="00E507A6" w:rsidP="00E507A6">
      <w:pPr>
        <w:shd w:val="clear" w:color="auto" w:fill="FFFFFF"/>
        <w:spacing w:line="360" w:lineRule="auto"/>
        <w:jc w:val="both"/>
        <w:rPr>
          <w:rFonts w:eastAsia="Times New Roman"/>
          <w:lang w:eastAsia="es-ES"/>
        </w:rPr>
      </w:pPr>
      <w:r w:rsidRPr="007E36DF">
        <w:rPr>
          <w:rFonts w:eastAsia="Times New Roman"/>
          <w:bCs/>
          <w:color w:val="000000"/>
          <w:lang w:eastAsia="es-ES"/>
        </w:rPr>
        <w:t>En mérito de lo expuesto, la Sala negará el amparo de los derechos fundamentales del derecho fundamental de debido proceso deprecado por el actor y en consecuencia no acogerá las pretensiones de la acción de tutela.</w:t>
      </w:r>
    </w:p>
    <w:p w:rsidR="00E507A6" w:rsidRPr="007E36DF" w:rsidRDefault="00E507A6" w:rsidP="00E507A6">
      <w:pPr>
        <w:shd w:val="clear" w:color="auto" w:fill="FFFFFF"/>
        <w:spacing w:line="360" w:lineRule="auto"/>
        <w:jc w:val="both"/>
        <w:rPr>
          <w:rFonts w:eastAsia="Times New Roman"/>
          <w:lang w:eastAsia="es-ES"/>
        </w:rPr>
      </w:pPr>
    </w:p>
    <w:p w:rsidR="00E507A6" w:rsidRPr="007E36DF" w:rsidRDefault="00E507A6" w:rsidP="00E507A6">
      <w:pPr>
        <w:widowControl w:val="0"/>
        <w:spacing w:line="360" w:lineRule="auto"/>
        <w:ind w:right="51"/>
        <w:jc w:val="both"/>
        <w:rPr>
          <w:rFonts w:eastAsia="Times New Roman"/>
          <w:lang w:eastAsia="es-ES"/>
        </w:rPr>
      </w:pPr>
      <w:r w:rsidRPr="007E36DF">
        <w:rPr>
          <w:rFonts w:eastAsia="Times New Roman"/>
          <w:lang w:eastAsia="es-ES"/>
        </w:rPr>
        <w:t>El Consejo de Estado, Sala de lo Contencioso Administrativo, Sección Primera, administrando justicia en nombre de la República y por autoridad de la Ley,</w:t>
      </w:r>
    </w:p>
    <w:p w:rsidR="00E507A6" w:rsidRPr="007E36DF" w:rsidRDefault="00E507A6" w:rsidP="00E507A6">
      <w:pPr>
        <w:spacing w:line="360" w:lineRule="auto"/>
        <w:jc w:val="both"/>
        <w:rPr>
          <w:rFonts w:eastAsia="Times New Roman"/>
          <w:lang w:eastAsia="es-ES"/>
        </w:rPr>
      </w:pPr>
    </w:p>
    <w:p w:rsidR="00E507A6" w:rsidRPr="007E36DF" w:rsidRDefault="00E507A6" w:rsidP="00E507A6">
      <w:pPr>
        <w:widowControl w:val="0"/>
        <w:tabs>
          <w:tab w:val="left" w:pos="3939"/>
          <w:tab w:val="left" w:pos="4248"/>
          <w:tab w:val="left" w:pos="4956"/>
          <w:tab w:val="left" w:pos="5664"/>
          <w:tab w:val="left" w:pos="6372"/>
          <w:tab w:val="left" w:pos="7080"/>
          <w:tab w:val="left" w:pos="7788"/>
          <w:tab w:val="left" w:pos="8496"/>
        </w:tabs>
        <w:spacing w:line="360" w:lineRule="auto"/>
        <w:jc w:val="center"/>
        <w:rPr>
          <w:rFonts w:eastAsia="ヒラギノ角ゴ Pro W3"/>
          <w:b/>
          <w:color w:val="000000"/>
          <w:lang w:val="es-ES_tradnl" w:eastAsia="es-CO"/>
        </w:rPr>
      </w:pPr>
      <w:r w:rsidRPr="007E36DF">
        <w:rPr>
          <w:rFonts w:eastAsia="ヒラギノ角ゴ Pro W3"/>
          <w:b/>
          <w:color w:val="000000"/>
          <w:lang w:val="es-ES_tradnl" w:eastAsia="es-CO"/>
        </w:rPr>
        <w:t>F A L L A:</w:t>
      </w:r>
    </w:p>
    <w:p w:rsidR="00E507A6" w:rsidRPr="007E36DF" w:rsidRDefault="00E507A6" w:rsidP="00E507A6">
      <w:pPr>
        <w:widowControl w:val="0"/>
        <w:tabs>
          <w:tab w:val="left" w:pos="3939"/>
          <w:tab w:val="left" w:pos="4248"/>
          <w:tab w:val="left" w:pos="4956"/>
          <w:tab w:val="left" w:pos="5664"/>
          <w:tab w:val="left" w:pos="6372"/>
          <w:tab w:val="left" w:pos="7080"/>
          <w:tab w:val="left" w:pos="7788"/>
          <w:tab w:val="left" w:pos="8496"/>
        </w:tabs>
        <w:spacing w:line="360" w:lineRule="auto"/>
        <w:jc w:val="both"/>
        <w:rPr>
          <w:rFonts w:eastAsia="ヒラギノ角ゴ Pro W3"/>
          <w:color w:val="000000"/>
          <w:lang w:val="es-ES_tradnl" w:eastAsia="es-CO"/>
        </w:rPr>
      </w:pPr>
    </w:p>
    <w:p w:rsidR="00E507A6" w:rsidRPr="007E36DF" w:rsidRDefault="00E507A6" w:rsidP="00E507A6">
      <w:pPr>
        <w:widowControl w:val="0"/>
        <w:spacing w:line="360" w:lineRule="auto"/>
        <w:jc w:val="both"/>
        <w:rPr>
          <w:color w:val="000000"/>
          <w:lang w:val="es-ES_tradnl" w:eastAsia="es-CO"/>
        </w:rPr>
      </w:pPr>
      <w:r w:rsidRPr="007E36DF">
        <w:rPr>
          <w:rFonts w:eastAsia="Times New Roman"/>
          <w:lang w:eastAsia="es-ES"/>
        </w:rPr>
        <w:t>PRIMERO:</w:t>
      </w:r>
      <w:r w:rsidRPr="007E36DF">
        <w:rPr>
          <w:rFonts w:eastAsia="Times New Roman"/>
          <w:b/>
          <w:lang w:eastAsia="es-ES"/>
        </w:rPr>
        <w:t xml:space="preserve"> CONFIRMAR</w:t>
      </w:r>
      <w:r w:rsidRPr="007E36DF">
        <w:rPr>
          <w:b/>
          <w:color w:val="000000"/>
          <w:lang w:val="es-ES_tradnl" w:eastAsia="es-CO"/>
        </w:rPr>
        <w:t xml:space="preserve"> </w:t>
      </w:r>
      <w:r w:rsidRPr="007E36DF">
        <w:t>el fallo de tutela proferido el 16 de agosto de 2016 por la Sección Quinta del Consejo de Estado, que negó el amparo invocado</w:t>
      </w:r>
      <w:r w:rsidRPr="007E36DF">
        <w:rPr>
          <w:color w:val="000000"/>
          <w:lang w:val="es-ES_tradnl" w:eastAsia="es-CO"/>
        </w:rPr>
        <w:t>, por las razones expuestas en la parte motiva de esta sentencia.</w:t>
      </w:r>
    </w:p>
    <w:p w:rsidR="00E507A6" w:rsidRPr="007E36DF" w:rsidRDefault="00E507A6" w:rsidP="00E507A6">
      <w:pPr>
        <w:widowControl w:val="0"/>
        <w:tabs>
          <w:tab w:val="left" w:pos="3939"/>
          <w:tab w:val="left" w:pos="4248"/>
          <w:tab w:val="left" w:pos="4956"/>
          <w:tab w:val="left" w:pos="5664"/>
          <w:tab w:val="left" w:pos="6372"/>
          <w:tab w:val="left" w:pos="7080"/>
          <w:tab w:val="left" w:pos="7788"/>
          <w:tab w:val="left" w:pos="8496"/>
        </w:tabs>
        <w:spacing w:line="360" w:lineRule="auto"/>
        <w:jc w:val="both"/>
        <w:rPr>
          <w:color w:val="000000"/>
          <w:lang w:val="es-ES_tradnl" w:eastAsia="es-CO"/>
        </w:rPr>
      </w:pPr>
    </w:p>
    <w:p w:rsidR="00E507A6" w:rsidRPr="007E36DF" w:rsidRDefault="00E507A6" w:rsidP="00E507A6">
      <w:pPr>
        <w:pBdr>
          <w:top w:val="nil"/>
          <w:left w:val="nil"/>
          <w:bottom w:val="nil"/>
          <w:right w:val="nil"/>
          <w:between w:val="nil"/>
          <w:bar w:val="nil"/>
        </w:pBdr>
        <w:suppressAutoHyphens/>
        <w:spacing w:line="360" w:lineRule="auto"/>
        <w:jc w:val="both"/>
        <w:rPr>
          <w:rFonts w:eastAsia="Arial Unicode MS"/>
          <w:color w:val="000000"/>
          <w:u w:color="000000"/>
          <w:bdr w:val="nil"/>
          <w:lang w:val="es-ES_tradnl" w:eastAsia="es-CO"/>
        </w:rPr>
      </w:pPr>
      <w:r w:rsidRPr="007E36DF">
        <w:rPr>
          <w:color w:val="000000"/>
          <w:lang w:val="es-ES_tradnl" w:eastAsia="es-CO"/>
        </w:rPr>
        <w:lastRenderedPageBreak/>
        <w:t xml:space="preserve">SEGUNDO: </w:t>
      </w:r>
      <w:r w:rsidRPr="007E36DF">
        <w:rPr>
          <w:rFonts w:eastAsia="Arial Unicode MS"/>
          <w:color w:val="000000"/>
          <w:u w:color="000000"/>
          <w:bdr w:val="nil"/>
          <w:lang w:val="es-ES_tradnl" w:eastAsia="es-CO"/>
        </w:rPr>
        <w:t xml:space="preserve">Si no fuere impugnada la sentencia conforme lo señala el artículo 31 del Decreto Ley nro. 2591 de 1991, </w:t>
      </w:r>
      <w:r w:rsidRPr="007E36DF">
        <w:rPr>
          <w:rFonts w:eastAsia="Arial Unicode MS"/>
          <w:b/>
          <w:bCs/>
          <w:color w:val="000000"/>
          <w:u w:color="000000"/>
          <w:bdr w:val="nil"/>
          <w:lang w:val="es-ES_tradnl" w:eastAsia="es-CO"/>
        </w:rPr>
        <w:t>REMÍTASE</w:t>
      </w:r>
      <w:r w:rsidRPr="007E36DF">
        <w:rPr>
          <w:rFonts w:eastAsia="Arial Unicode MS"/>
          <w:color w:val="000000"/>
          <w:u w:color="000000"/>
          <w:bdr w:val="nil"/>
          <w:lang w:val="es-ES_tradnl" w:eastAsia="es-CO"/>
        </w:rPr>
        <w:t xml:space="preserve"> el expediente a la Corte Constitucional para su eventual revisión, dentro de los diez (10) días siguientes a la ejecutoria de esta providencia.</w:t>
      </w:r>
    </w:p>
    <w:p w:rsidR="00E507A6" w:rsidRPr="007E36DF" w:rsidRDefault="00E507A6" w:rsidP="00E507A6">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pPr>
    </w:p>
    <w:p w:rsidR="00E507A6" w:rsidRPr="007E36DF" w:rsidRDefault="00E507A6" w:rsidP="00E507A6">
      <w:pPr>
        <w:pBdr>
          <w:top w:val="nil"/>
          <w:left w:val="nil"/>
          <w:bottom w:val="nil"/>
          <w:right w:val="nil"/>
          <w:between w:val="nil"/>
          <w:bar w:val="nil"/>
        </w:pBdr>
        <w:suppressAutoHyphens/>
        <w:spacing w:line="360" w:lineRule="auto"/>
        <w:jc w:val="both"/>
        <w:rPr>
          <w:rFonts w:eastAsia="Arial Unicode MS"/>
          <w:b/>
          <w:bCs/>
          <w:color w:val="000000"/>
          <w:u w:color="000000"/>
          <w:bdr w:val="nil"/>
          <w:lang w:val="es-ES_tradnl" w:eastAsia="es-CO"/>
        </w:rPr>
      </w:pPr>
      <w:r w:rsidRPr="007E36DF">
        <w:rPr>
          <w:rFonts w:eastAsia="Arial Unicode MS"/>
          <w:b/>
          <w:bCs/>
          <w:color w:val="000000"/>
          <w:u w:color="000000"/>
          <w:bdr w:val="nil"/>
          <w:lang w:val="es-ES_tradnl" w:eastAsia="es-CO"/>
        </w:rPr>
        <w:t>CÓPIESE, NOTIFÍQUESE, COMUNÍQUESE Y CÚMPLASE,</w:t>
      </w:r>
    </w:p>
    <w:p w:rsidR="00E507A6" w:rsidRPr="007E36DF" w:rsidRDefault="00E507A6" w:rsidP="00E507A6">
      <w:pPr>
        <w:pBdr>
          <w:top w:val="nil"/>
          <w:left w:val="nil"/>
          <w:bottom w:val="nil"/>
          <w:right w:val="nil"/>
          <w:between w:val="nil"/>
          <w:bar w:val="nil"/>
        </w:pBdr>
        <w:suppressAutoHyphens/>
        <w:spacing w:line="360" w:lineRule="auto"/>
        <w:jc w:val="both"/>
        <w:rPr>
          <w:rFonts w:eastAsia="Arial Unicode MS"/>
          <w:color w:val="000000"/>
          <w:spacing w:val="-2"/>
          <w:u w:color="000000"/>
          <w:bdr w:val="nil"/>
          <w:shd w:val="clear" w:color="auto" w:fill="FFFF00"/>
          <w:lang w:val="es-ES_tradnl" w:eastAsia="es-CO"/>
        </w:rPr>
      </w:pPr>
    </w:p>
    <w:p w:rsidR="00E507A6" w:rsidRPr="007E36DF" w:rsidRDefault="00E507A6" w:rsidP="00E507A6">
      <w:pPr>
        <w:pBdr>
          <w:top w:val="nil"/>
          <w:left w:val="nil"/>
          <w:bottom w:val="nil"/>
          <w:right w:val="nil"/>
          <w:between w:val="nil"/>
          <w:bar w:val="nil"/>
        </w:pBdr>
        <w:spacing w:line="360" w:lineRule="auto"/>
        <w:jc w:val="both"/>
        <w:rPr>
          <w:rFonts w:eastAsia="Arial Unicode MS"/>
          <w:color w:val="000000"/>
          <w:u w:color="000000"/>
          <w:bdr w:val="nil"/>
          <w:lang w:val="es-ES_tradnl" w:eastAsia="es-CO"/>
        </w:rPr>
      </w:pPr>
      <w:r w:rsidRPr="007E36DF">
        <w:rPr>
          <w:rFonts w:eastAsia="Arial Unicode MS"/>
          <w:color w:val="000000"/>
          <w:u w:color="000000"/>
          <w:bdr w:val="nil"/>
          <w:lang w:val="es-ES_tradnl" w:eastAsia="es-CO"/>
        </w:rPr>
        <w:t>Se deja constancia que la anterior providencia fue leída, discutida y aprobada por la Sala en la sesión de la fecha.</w:t>
      </w:r>
    </w:p>
    <w:p w:rsidR="00E507A6" w:rsidRPr="007E36DF" w:rsidRDefault="00E507A6" w:rsidP="00E507A6">
      <w:pPr>
        <w:overflowPunct w:val="0"/>
        <w:autoSpaceDE w:val="0"/>
        <w:autoSpaceDN w:val="0"/>
        <w:adjustRightInd w:val="0"/>
        <w:jc w:val="both"/>
        <w:textAlignment w:val="baseline"/>
        <w:rPr>
          <w:rFonts w:eastAsia="Times New Roman"/>
          <w:spacing w:val="-12"/>
          <w:lang w:val="es-ES_tradnl" w:eastAsia="es-ES"/>
        </w:rPr>
      </w:pPr>
    </w:p>
    <w:p w:rsidR="00E507A6" w:rsidRPr="007E36DF" w:rsidRDefault="00E507A6" w:rsidP="00E507A6">
      <w:pPr>
        <w:overflowPunct w:val="0"/>
        <w:autoSpaceDE w:val="0"/>
        <w:autoSpaceDN w:val="0"/>
        <w:adjustRightInd w:val="0"/>
        <w:jc w:val="both"/>
        <w:textAlignment w:val="baseline"/>
        <w:rPr>
          <w:rFonts w:eastAsia="Times New Roman"/>
          <w:spacing w:val="-12"/>
          <w:lang w:eastAsia="es-ES"/>
        </w:rPr>
      </w:pPr>
    </w:p>
    <w:p w:rsidR="00E507A6" w:rsidRPr="007E36DF" w:rsidRDefault="00E507A6" w:rsidP="00E507A6">
      <w:pPr>
        <w:overflowPunct w:val="0"/>
        <w:autoSpaceDE w:val="0"/>
        <w:autoSpaceDN w:val="0"/>
        <w:adjustRightInd w:val="0"/>
        <w:jc w:val="both"/>
        <w:textAlignment w:val="baseline"/>
        <w:rPr>
          <w:rFonts w:eastAsia="Times New Roman"/>
          <w:spacing w:val="-12"/>
          <w:lang w:eastAsia="es-ES"/>
        </w:rPr>
      </w:pPr>
    </w:p>
    <w:p w:rsidR="00E507A6" w:rsidRPr="007E36DF" w:rsidRDefault="00E507A6" w:rsidP="00E507A6">
      <w:pPr>
        <w:overflowPunct w:val="0"/>
        <w:autoSpaceDE w:val="0"/>
        <w:autoSpaceDN w:val="0"/>
        <w:adjustRightInd w:val="0"/>
        <w:jc w:val="center"/>
        <w:textAlignment w:val="baseline"/>
        <w:rPr>
          <w:rFonts w:eastAsia="Times New Roman"/>
          <w:b/>
          <w:lang w:eastAsia="es-ES"/>
        </w:rPr>
      </w:pPr>
      <w:r w:rsidRPr="007E36DF">
        <w:rPr>
          <w:rFonts w:eastAsia="Times New Roman"/>
          <w:b/>
          <w:lang w:eastAsia="es-ES"/>
        </w:rPr>
        <w:t>ROBERTO AUGUSTO SERRATO VALDÉS</w:t>
      </w:r>
    </w:p>
    <w:p w:rsidR="00E507A6" w:rsidRPr="007E36DF" w:rsidRDefault="00E507A6" w:rsidP="00787E8F">
      <w:pPr>
        <w:overflowPunct w:val="0"/>
        <w:autoSpaceDE w:val="0"/>
        <w:autoSpaceDN w:val="0"/>
        <w:adjustRightInd w:val="0"/>
        <w:jc w:val="center"/>
        <w:textAlignment w:val="baseline"/>
        <w:rPr>
          <w:rFonts w:eastAsia="Times New Roman"/>
          <w:b/>
          <w:lang w:eastAsia="es-ES"/>
        </w:rPr>
      </w:pPr>
      <w:r w:rsidRPr="007E36DF">
        <w:rPr>
          <w:rFonts w:eastAsia="Times New Roman"/>
          <w:b/>
          <w:lang w:eastAsia="es-ES"/>
        </w:rPr>
        <w:t>Presidente</w:t>
      </w:r>
    </w:p>
    <w:p w:rsidR="00E507A6" w:rsidRPr="007E36DF" w:rsidRDefault="00E507A6" w:rsidP="00787E8F">
      <w:pPr>
        <w:overflowPunct w:val="0"/>
        <w:autoSpaceDE w:val="0"/>
        <w:autoSpaceDN w:val="0"/>
        <w:adjustRightInd w:val="0"/>
        <w:jc w:val="center"/>
        <w:textAlignment w:val="baseline"/>
        <w:rPr>
          <w:rFonts w:eastAsia="Times New Roman"/>
          <w:b/>
          <w:lang w:eastAsia="es-ES"/>
        </w:rPr>
      </w:pPr>
    </w:p>
    <w:p w:rsidR="00E507A6" w:rsidRPr="007E36DF" w:rsidRDefault="00E507A6" w:rsidP="00787E8F">
      <w:pPr>
        <w:tabs>
          <w:tab w:val="left" w:pos="6111"/>
        </w:tabs>
        <w:overflowPunct w:val="0"/>
        <w:autoSpaceDE w:val="0"/>
        <w:autoSpaceDN w:val="0"/>
        <w:adjustRightInd w:val="0"/>
        <w:jc w:val="center"/>
        <w:textAlignment w:val="baseline"/>
        <w:rPr>
          <w:rFonts w:eastAsia="Times New Roman"/>
          <w:b/>
          <w:lang w:eastAsia="es-ES"/>
        </w:rPr>
      </w:pPr>
    </w:p>
    <w:p w:rsidR="00787E8F" w:rsidRPr="007E36DF" w:rsidRDefault="00E507A6" w:rsidP="00787E8F">
      <w:pPr>
        <w:overflowPunct w:val="0"/>
        <w:autoSpaceDE w:val="0"/>
        <w:autoSpaceDN w:val="0"/>
        <w:adjustRightInd w:val="0"/>
        <w:jc w:val="center"/>
        <w:textAlignment w:val="baseline"/>
        <w:rPr>
          <w:rFonts w:eastAsia="Times New Roman"/>
          <w:b/>
          <w:lang w:eastAsia="es-ES"/>
        </w:rPr>
      </w:pPr>
      <w:r w:rsidRPr="007E36DF">
        <w:rPr>
          <w:rFonts w:eastAsia="Times New Roman"/>
          <w:b/>
          <w:lang w:eastAsia="es-ES"/>
        </w:rPr>
        <w:t>MARÍA ELIZABETH GARCÍA GONZÁLEZ</w:t>
      </w:r>
    </w:p>
    <w:p w:rsidR="00787E8F" w:rsidRPr="007E36DF" w:rsidRDefault="00787E8F" w:rsidP="00787E8F">
      <w:pPr>
        <w:overflowPunct w:val="0"/>
        <w:autoSpaceDE w:val="0"/>
        <w:autoSpaceDN w:val="0"/>
        <w:adjustRightInd w:val="0"/>
        <w:jc w:val="center"/>
        <w:textAlignment w:val="baseline"/>
        <w:rPr>
          <w:rFonts w:eastAsia="Times New Roman"/>
          <w:b/>
          <w:lang w:eastAsia="es-ES"/>
        </w:rPr>
      </w:pPr>
    </w:p>
    <w:p w:rsidR="00787E8F" w:rsidRPr="007E36DF" w:rsidRDefault="00787E8F" w:rsidP="00787E8F">
      <w:pPr>
        <w:overflowPunct w:val="0"/>
        <w:autoSpaceDE w:val="0"/>
        <w:autoSpaceDN w:val="0"/>
        <w:adjustRightInd w:val="0"/>
        <w:jc w:val="center"/>
        <w:textAlignment w:val="baseline"/>
        <w:rPr>
          <w:rFonts w:eastAsia="Times New Roman"/>
          <w:b/>
          <w:lang w:eastAsia="es-ES"/>
        </w:rPr>
      </w:pPr>
    </w:p>
    <w:p w:rsidR="003809E5" w:rsidRPr="00DB2F10" w:rsidRDefault="00E507A6" w:rsidP="00787E8F">
      <w:pPr>
        <w:overflowPunct w:val="0"/>
        <w:autoSpaceDE w:val="0"/>
        <w:autoSpaceDN w:val="0"/>
        <w:adjustRightInd w:val="0"/>
        <w:jc w:val="center"/>
        <w:textAlignment w:val="baseline"/>
        <w:rPr>
          <w:b/>
        </w:rPr>
      </w:pPr>
      <w:r w:rsidRPr="007E36DF">
        <w:rPr>
          <w:rFonts w:eastAsia="Times New Roman"/>
          <w:b/>
          <w:lang w:eastAsia="es-ES"/>
        </w:rPr>
        <w:t>HERNANDO SÁNCHEZ SÁNCHEZ</w:t>
      </w:r>
    </w:p>
    <w:sectPr w:rsidR="003809E5" w:rsidRPr="00DB2F10" w:rsidSect="00967DB7">
      <w:pgSz w:w="12242" w:h="18722"/>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46C0" w:rsidRDefault="005646C0" w:rsidP="00E507A6">
      <w:r>
        <w:separator/>
      </w:r>
    </w:p>
  </w:endnote>
  <w:endnote w:type="continuationSeparator" w:id="0">
    <w:p w:rsidR="005646C0" w:rsidRDefault="005646C0" w:rsidP="00E50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ヒラギノ角ゴ Pro W3">
    <w:altName w:val="MS Gothic"/>
    <w:charset w:val="00"/>
    <w:family w:val="roman"/>
    <w:pitch w:val="default"/>
  </w:font>
  <w:font w:name="?????? Pro W3">
    <w:altName w:val="MS Gothic"/>
    <w:panose1 w:val="00000000000000000000"/>
    <w:charset w:val="80"/>
    <w:family w:val="auto"/>
    <w:notTrueType/>
    <w:pitch w:val="variable"/>
    <w:sig w:usb0="00000000" w:usb1="08070000" w:usb2="00000010" w:usb3="00000000" w:csb0="0002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46C0" w:rsidRDefault="005646C0" w:rsidP="00E507A6">
      <w:r>
        <w:separator/>
      </w:r>
    </w:p>
  </w:footnote>
  <w:footnote w:type="continuationSeparator" w:id="0">
    <w:p w:rsidR="005646C0" w:rsidRDefault="005646C0" w:rsidP="00E507A6">
      <w:r>
        <w:continuationSeparator/>
      </w:r>
    </w:p>
  </w:footnote>
  <w:footnote w:id="1">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Consejo de Estado, Sección Segunda Subsección A, M.P William Hernández Gómez, 25 de febrero de 2016, Rad  </w:t>
      </w:r>
      <w:r w:rsidRPr="007A5282">
        <w:rPr>
          <w:rFonts w:cs="Arial"/>
          <w:lang w:val="es-ES"/>
        </w:rPr>
        <w:t>11001-03-15-000-2016-00140-00</w:t>
      </w:r>
      <w:r w:rsidRPr="007A5282">
        <w:rPr>
          <w:rFonts w:cs="Arial"/>
        </w:rPr>
        <w:t>.</w:t>
      </w:r>
    </w:p>
  </w:footnote>
  <w:footnote w:id="2">
    <w:p w:rsidR="00E507A6" w:rsidRPr="007A5282" w:rsidRDefault="00E507A6" w:rsidP="00B4608B">
      <w:pPr>
        <w:autoSpaceDE w:val="0"/>
        <w:autoSpaceDN w:val="0"/>
        <w:adjustRightInd w:val="0"/>
        <w:jc w:val="both"/>
        <w:rPr>
          <w:sz w:val="20"/>
          <w:szCs w:val="20"/>
        </w:rPr>
      </w:pPr>
      <w:r w:rsidRPr="007A5282">
        <w:rPr>
          <w:rStyle w:val="Refdenotaalpie"/>
          <w:rFonts w:cs="Arial"/>
          <w:sz w:val="20"/>
          <w:szCs w:val="20"/>
        </w:rPr>
        <w:footnoteRef/>
      </w:r>
      <w:r w:rsidRPr="007A5282">
        <w:rPr>
          <w:bCs/>
          <w:sz w:val="20"/>
          <w:szCs w:val="20"/>
        </w:rPr>
        <w:t xml:space="preserve">Consejo de Estado, Sección Segunda – Subsección A, M.P. Gabriel Valbuena Hernández, 10 de marzo de 2016, Rad. </w:t>
      </w:r>
      <w:r w:rsidRPr="007A5282">
        <w:rPr>
          <w:rFonts w:eastAsia="Times New Roman"/>
          <w:sz w:val="20"/>
          <w:szCs w:val="20"/>
          <w:lang w:eastAsia="es-ES"/>
        </w:rPr>
        <w:t>11001-03-15-000-2016-00149-00.</w:t>
      </w:r>
    </w:p>
  </w:footnote>
  <w:footnote w:id="3">
    <w:p w:rsidR="00E507A6" w:rsidRPr="007A5282" w:rsidRDefault="00E507A6" w:rsidP="00B4608B">
      <w:pPr>
        <w:pStyle w:val="Puesto"/>
        <w:spacing w:line="240" w:lineRule="auto"/>
        <w:jc w:val="both"/>
        <w:rPr>
          <w:rFonts w:cs="Arial"/>
          <w:b w:val="0"/>
          <w:bCs/>
          <w:iCs/>
          <w:sz w:val="20"/>
        </w:rPr>
      </w:pPr>
      <w:r w:rsidRPr="007A5282">
        <w:rPr>
          <w:rStyle w:val="Refdenotaalpie"/>
          <w:rFonts w:cs="Arial"/>
          <w:b w:val="0"/>
          <w:sz w:val="20"/>
        </w:rPr>
        <w:footnoteRef/>
      </w:r>
      <w:r w:rsidRPr="007A5282">
        <w:rPr>
          <w:rFonts w:cs="Arial"/>
          <w:b w:val="0"/>
          <w:iCs/>
          <w:sz w:val="20"/>
        </w:rPr>
        <w:t xml:space="preserve"> Consejo de Estado, </w:t>
      </w:r>
      <w:r w:rsidRPr="007A5282">
        <w:rPr>
          <w:rFonts w:cs="Arial"/>
          <w:b w:val="0"/>
          <w:sz w:val="20"/>
        </w:rPr>
        <w:t xml:space="preserve">Sección Segunda, Subsección “B”. </w:t>
      </w:r>
      <w:r w:rsidR="00DF2FEF" w:rsidRPr="007A5282">
        <w:rPr>
          <w:rFonts w:cs="Arial"/>
          <w:b w:val="0"/>
          <w:bCs/>
          <w:sz w:val="20"/>
        </w:rPr>
        <w:t>C</w:t>
      </w:r>
      <w:r w:rsidR="00DF2FEF">
        <w:rPr>
          <w:rFonts w:cs="Arial"/>
          <w:b w:val="0"/>
          <w:bCs/>
          <w:sz w:val="20"/>
        </w:rPr>
        <w:t>.</w:t>
      </w:r>
      <w:r w:rsidR="00DF2FEF" w:rsidRPr="007A5282">
        <w:rPr>
          <w:rFonts w:cs="Arial"/>
          <w:b w:val="0"/>
          <w:bCs/>
          <w:sz w:val="20"/>
        </w:rPr>
        <w:t xml:space="preserve"> P</w:t>
      </w:r>
      <w:r w:rsidR="00DF2FEF">
        <w:rPr>
          <w:rFonts w:cs="Arial"/>
          <w:b w:val="0"/>
          <w:bCs/>
          <w:sz w:val="20"/>
        </w:rPr>
        <w:t>.</w:t>
      </w:r>
      <w:r w:rsidRPr="007A5282">
        <w:rPr>
          <w:rFonts w:cs="Arial"/>
          <w:b w:val="0"/>
          <w:bCs/>
          <w:sz w:val="20"/>
        </w:rPr>
        <w:t xml:space="preserve">: Alejandro Ordóñez Maldonado. Sentencia del </w:t>
      </w:r>
      <w:r w:rsidRPr="007A5282">
        <w:rPr>
          <w:rFonts w:cs="Arial"/>
          <w:b w:val="0"/>
          <w:iCs/>
          <w:sz w:val="20"/>
        </w:rPr>
        <w:t xml:space="preserve">19 De Julio de 2007. Radicación Número: 25000-23-25-000-2002-06813-01(6813-05). </w:t>
      </w:r>
    </w:p>
  </w:footnote>
  <w:footnote w:id="4">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w:t>
      </w:r>
      <w:r w:rsidRPr="007A5282">
        <w:rPr>
          <w:rFonts w:cs="Arial"/>
          <w:lang w:val="es-CO"/>
        </w:rPr>
        <w:t>Consejo de Estado, Sección Quinta, AC 2016-00145, 26 de mayo de 2016, M.P. Rocío Araujo Oñate</w:t>
      </w:r>
    </w:p>
  </w:footnote>
  <w:footnote w:id="5">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Consejo de Estado, Sección Segunda Subsección A, M.P William Hernández Gómez, 25 de febrero de 2016, Rad  </w:t>
      </w:r>
      <w:r w:rsidRPr="007A5282">
        <w:rPr>
          <w:rFonts w:cs="Arial"/>
          <w:lang w:val="es-ES"/>
        </w:rPr>
        <w:t>11001-03-15-000-2016-00140-00</w:t>
      </w:r>
      <w:r w:rsidRPr="007A5282">
        <w:rPr>
          <w:rFonts w:cs="Arial"/>
        </w:rPr>
        <w:t>.</w:t>
      </w:r>
    </w:p>
  </w:footnote>
  <w:footnote w:id="6">
    <w:p w:rsidR="00E507A6" w:rsidRPr="007A5282" w:rsidRDefault="00E507A6" w:rsidP="00B4608B">
      <w:pPr>
        <w:autoSpaceDE w:val="0"/>
        <w:autoSpaceDN w:val="0"/>
        <w:adjustRightInd w:val="0"/>
        <w:jc w:val="both"/>
        <w:rPr>
          <w:sz w:val="20"/>
          <w:szCs w:val="20"/>
        </w:rPr>
      </w:pPr>
      <w:r w:rsidRPr="007A5282">
        <w:rPr>
          <w:rStyle w:val="Refdenotaalpie"/>
          <w:rFonts w:cs="Arial"/>
          <w:sz w:val="20"/>
          <w:szCs w:val="20"/>
        </w:rPr>
        <w:footnoteRef/>
      </w:r>
      <w:r w:rsidRPr="007A5282">
        <w:rPr>
          <w:bCs/>
          <w:sz w:val="20"/>
          <w:szCs w:val="20"/>
        </w:rPr>
        <w:t xml:space="preserve">Consejo de Estado, Sección Segunda – Subsección A, M.P. Gabriel Valbuena Hernández, 10 de marzo de 2016, Rad. </w:t>
      </w:r>
      <w:r w:rsidRPr="007A5282">
        <w:rPr>
          <w:rFonts w:eastAsia="Times New Roman"/>
          <w:sz w:val="20"/>
          <w:szCs w:val="20"/>
          <w:lang w:eastAsia="es-ES"/>
        </w:rPr>
        <w:t>11001-03-15-000-2016-00149-00.</w:t>
      </w:r>
    </w:p>
  </w:footnote>
  <w:footnote w:id="7">
    <w:p w:rsidR="00E507A6" w:rsidRPr="007A5282" w:rsidRDefault="00E507A6" w:rsidP="00B4608B">
      <w:pPr>
        <w:pStyle w:val="Puesto"/>
        <w:spacing w:line="240" w:lineRule="auto"/>
        <w:jc w:val="both"/>
        <w:rPr>
          <w:rFonts w:cs="Arial"/>
          <w:b w:val="0"/>
          <w:bCs/>
          <w:iCs/>
          <w:sz w:val="20"/>
        </w:rPr>
      </w:pPr>
      <w:r w:rsidRPr="007A5282">
        <w:rPr>
          <w:rStyle w:val="Refdenotaalpie"/>
          <w:rFonts w:cs="Arial"/>
          <w:b w:val="0"/>
          <w:sz w:val="20"/>
        </w:rPr>
        <w:footnoteRef/>
      </w:r>
      <w:r w:rsidRPr="007A5282">
        <w:rPr>
          <w:rFonts w:cs="Arial"/>
          <w:b w:val="0"/>
          <w:iCs/>
          <w:sz w:val="20"/>
        </w:rPr>
        <w:t xml:space="preserve"> Consejo de Estado, </w:t>
      </w:r>
      <w:r w:rsidRPr="007A5282">
        <w:rPr>
          <w:rFonts w:cs="Arial"/>
          <w:b w:val="0"/>
          <w:sz w:val="20"/>
        </w:rPr>
        <w:t xml:space="preserve">Sección Segunda, Subsección “B”. </w:t>
      </w:r>
      <w:r w:rsidR="00DF2FEF" w:rsidRPr="007A5282">
        <w:rPr>
          <w:rFonts w:cs="Arial"/>
          <w:b w:val="0"/>
          <w:bCs/>
          <w:sz w:val="20"/>
        </w:rPr>
        <w:t>C</w:t>
      </w:r>
      <w:r w:rsidR="00DF2FEF">
        <w:rPr>
          <w:rFonts w:cs="Arial"/>
          <w:b w:val="0"/>
          <w:bCs/>
          <w:sz w:val="20"/>
        </w:rPr>
        <w:t>.</w:t>
      </w:r>
      <w:r w:rsidR="00DF2FEF" w:rsidRPr="007A5282">
        <w:rPr>
          <w:rFonts w:cs="Arial"/>
          <w:b w:val="0"/>
          <w:bCs/>
          <w:sz w:val="20"/>
        </w:rPr>
        <w:t xml:space="preserve"> P</w:t>
      </w:r>
      <w:r w:rsidR="00DF2FEF">
        <w:rPr>
          <w:rFonts w:cs="Arial"/>
          <w:b w:val="0"/>
          <w:bCs/>
          <w:sz w:val="20"/>
        </w:rPr>
        <w:t>.</w:t>
      </w:r>
      <w:r w:rsidRPr="007A5282">
        <w:rPr>
          <w:rFonts w:cs="Arial"/>
          <w:b w:val="0"/>
          <w:bCs/>
          <w:sz w:val="20"/>
        </w:rPr>
        <w:t xml:space="preserve">: Alejandro Ordóñez Maldonado. Sentencia del </w:t>
      </w:r>
      <w:r w:rsidRPr="007A5282">
        <w:rPr>
          <w:rFonts w:cs="Arial"/>
          <w:b w:val="0"/>
          <w:iCs/>
          <w:sz w:val="20"/>
        </w:rPr>
        <w:t xml:space="preserve">19 De Julio de 2007. Radicación Número: 25000-23-25-000-2002-06813-01(6813-05). </w:t>
      </w:r>
    </w:p>
  </w:footnote>
  <w:footnote w:id="8">
    <w:p w:rsidR="00E507A6" w:rsidRPr="007A5282" w:rsidRDefault="00E507A6" w:rsidP="00B4608B">
      <w:pPr>
        <w:pStyle w:val="Textonotapie"/>
        <w:jc w:val="both"/>
        <w:rPr>
          <w:rFonts w:cs="Arial"/>
        </w:rPr>
      </w:pPr>
      <w:r w:rsidRPr="007A5282">
        <w:rPr>
          <w:rStyle w:val="textonavy"/>
          <w:rFonts w:eastAsia="Arial" w:cs="Arial"/>
        </w:rPr>
        <w:footnoteRef/>
      </w:r>
      <w:r w:rsidRPr="007A5282">
        <w:rPr>
          <w:rStyle w:val="textonavy"/>
          <w:rFonts w:cs="Arial"/>
        </w:rPr>
        <w:t xml:space="preserve"> Corte Constitucional. Sentencia de 3 de septiembre de 2009, Rad.: T-619, Magistrado Ponente: Dr. Jorge Iván Palacio Palacio.</w:t>
      </w:r>
    </w:p>
  </w:footnote>
  <w:footnote w:id="9">
    <w:p w:rsidR="00E507A6" w:rsidRPr="007A5282" w:rsidRDefault="00E507A6" w:rsidP="00B4608B">
      <w:pPr>
        <w:pStyle w:val="Textonotapie"/>
        <w:jc w:val="both"/>
        <w:rPr>
          <w:rStyle w:val="textonavy"/>
          <w:rFonts w:cs="Arial"/>
        </w:rPr>
      </w:pPr>
      <w:r w:rsidRPr="007A5282">
        <w:rPr>
          <w:rStyle w:val="textonavy"/>
          <w:rFonts w:eastAsia="Arial" w:cs="Arial"/>
        </w:rPr>
        <w:footnoteRef/>
      </w:r>
      <w:r w:rsidRPr="007A5282">
        <w:rPr>
          <w:rStyle w:val="textonavy"/>
          <w:rFonts w:cs="Arial"/>
        </w:rPr>
        <w:t xml:space="preserve"> Corte Constitucional. Sentencia T- 225 del 23 de marzo de 2010, Magistrado Ponente: Dr. Mauricio González Cuervo.</w:t>
      </w:r>
    </w:p>
  </w:footnote>
  <w:footnote w:id="10">
    <w:p w:rsidR="00E507A6" w:rsidRPr="007A5282" w:rsidRDefault="00E507A6" w:rsidP="00B4608B">
      <w:pPr>
        <w:pStyle w:val="Textonotapie"/>
        <w:jc w:val="both"/>
        <w:rPr>
          <w:rFonts w:cs="Arial"/>
        </w:rPr>
      </w:pPr>
      <w:r w:rsidRPr="007A5282">
        <w:rPr>
          <w:rStyle w:val="Refdenotaalpie"/>
          <w:rFonts w:eastAsia="ヒラギノ角ゴ Pro W3" w:cs="Arial"/>
        </w:rPr>
        <w:footnoteRef/>
      </w:r>
      <w:r w:rsidRPr="007A5282">
        <w:rPr>
          <w:rFonts w:cs="Arial"/>
        </w:rPr>
        <w:t xml:space="preserve"> Sentencia del cinco (5) de agosto de 2014, Consejero Ponente: Jorge Octavio Ramírez Ramírez, Radicado No. 11001-03-15-000-2012-02201-01, Demandante: ALPINA PRODUCTOS ALIMENTICIOS S.A., Demandado: Consejo de Estado – Sección Primera. En dicho pronunciamiento, en lo pertinente, se sostuvo: </w:t>
      </w:r>
      <w:r w:rsidRPr="007A5282">
        <w:rPr>
          <w:rFonts w:cs="Arial"/>
          <w:i/>
        </w:rPr>
        <w:t>“Anótese que el término o plazo de inmediatez no es único. Eso explica que las diversas secciones del Consejo de Estado hayan fijado pautas diferentes sobre este aspecto.</w:t>
      </w:r>
    </w:p>
    <w:p w:rsidR="00E507A6" w:rsidRPr="007A5282" w:rsidRDefault="00E507A6" w:rsidP="00B4608B">
      <w:pPr>
        <w:pStyle w:val="Textonotapie"/>
        <w:jc w:val="both"/>
        <w:rPr>
          <w:rFonts w:cs="Arial"/>
          <w:i/>
        </w:rPr>
      </w:pPr>
      <w:r w:rsidRPr="007A5282">
        <w:rPr>
          <w:rFonts w:cs="Arial"/>
          <w:i/>
        </w:rPr>
        <w:t>Por eso, la Sala Plena, como regla general, acoge un plazo de seis meses, contados a partir de la notificación o ejecutoria de la sentencia, según el caso, para determinar si la acción de tutela contra providencias judiciales se ejerce oportunamente. Se ha estimado como aceptable ese plazo, teniendo en cuenta la naturaleza del acto jurisdiccional, los plazos previstos en la ley para la interposición de los recursos ordinarios y extraordinarios contra las mismas, el derecho a la tutela judicial efectiva y la necesidad de que las situaciones jurídicas resueltas logren certeza y estabilidad. La regla general del plazo de seis meses se acoge, además, teniendo en cuenta: i) que el plazo ha sido considerado como razonable por la jurisprudencia de la Corte Constitucional y; (ii) se trata de una decisión judicial adoptada en un proceso jurisdiccional.”</w:t>
      </w:r>
    </w:p>
  </w:footnote>
  <w:footnote w:id="11">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Consejo de Estado, Sección Segunda Subsección A, M.P William Hernández Gómez, 25 de febrero de 2016, Rad  </w:t>
      </w:r>
      <w:r w:rsidRPr="007A5282">
        <w:rPr>
          <w:rFonts w:cs="Arial"/>
          <w:lang w:val="es-ES"/>
        </w:rPr>
        <w:t>11001-03-15-000-2016-00140-00</w:t>
      </w:r>
      <w:r w:rsidRPr="007A5282">
        <w:rPr>
          <w:rFonts w:cs="Arial"/>
        </w:rPr>
        <w:t>.</w:t>
      </w:r>
    </w:p>
  </w:footnote>
  <w:footnote w:id="12">
    <w:p w:rsidR="00E507A6" w:rsidRPr="007A5282" w:rsidRDefault="00E507A6" w:rsidP="00B4608B">
      <w:pPr>
        <w:autoSpaceDE w:val="0"/>
        <w:autoSpaceDN w:val="0"/>
        <w:adjustRightInd w:val="0"/>
        <w:jc w:val="both"/>
        <w:rPr>
          <w:sz w:val="20"/>
          <w:szCs w:val="20"/>
        </w:rPr>
      </w:pPr>
      <w:r w:rsidRPr="007A5282">
        <w:rPr>
          <w:rStyle w:val="Refdenotaalpie"/>
          <w:rFonts w:cs="Arial"/>
          <w:sz w:val="20"/>
          <w:szCs w:val="20"/>
        </w:rPr>
        <w:footnoteRef/>
      </w:r>
      <w:r w:rsidRPr="007A5282">
        <w:rPr>
          <w:bCs/>
          <w:sz w:val="20"/>
          <w:szCs w:val="20"/>
        </w:rPr>
        <w:t xml:space="preserve">Consejo de Estado, Sección Segunda – Subsección A, M.P. Gabriel Valbuena Hernández, 10 de marzo de 2016, Rad. </w:t>
      </w:r>
      <w:r w:rsidRPr="007A5282">
        <w:rPr>
          <w:rFonts w:eastAsia="Times New Roman"/>
          <w:sz w:val="20"/>
          <w:szCs w:val="20"/>
          <w:lang w:eastAsia="es-ES"/>
        </w:rPr>
        <w:t>11001-03-15-000-2016-00149-00.</w:t>
      </w:r>
    </w:p>
  </w:footnote>
  <w:footnote w:id="13">
    <w:p w:rsidR="00E507A6" w:rsidRPr="007A5282" w:rsidRDefault="00E507A6" w:rsidP="00B4608B">
      <w:pPr>
        <w:pStyle w:val="Puesto"/>
        <w:spacing w:line="240" w:lineRule="auto"/>
        <w:jc w:val="both"/>
        <w:rPr>
          <w:rFonts w:cs="Arial"/>
          <w:b w:val="0"/>
          <w:bCs/>
          <w:iCs/>
          <w:sz w:val="20"/>
        </w:rPr>
      </w:pPr>
      <w:r w:rsidRPr="007A5282">
        <w:rPr>
          <w:rStyle w:val="Refdenotaalpie"/>
          <w:rFonts w:cs="Arial"/>
          <w:b w:val="0"/>
          <w:sz w:val="20"/>
        </w:rPr>
        <w:footnoteRef/>
      </w:r>
      <w:r w:rsidRPr="007A5282">
        <w:rPr>
          <w:rFonts w:cs="Arial"/>
          <w:b w:val="0"/>
          <w:iCs/>
          <w:sz w:val="20"/>
        </w:rPr>
        <w:t xml:space="preserve"> Consejo de Estado, </w:t>
      </w:r>
      <w:r w:rsidRPr="007A5282">
        <w:rPr>
          <w:rFonts w:cs="Arial"/>
          <w:b w:val="0"/>
          <w:sz w:val="20"/>
        </w:rPr>
        <w:t xml:space="preserve">Sección Segunda, Subsección “B”. </w:t>
      </w:r>
      <w:r w:rsidRPr="007A5282">
        <w:rPr>
          <w:rFonts w:cs="Arial"/>
          <w:b w:val="0"/>
          <w:bCs/>
          <w:sz w:val="20"/>
        </w:rPr>
        <w:t xml:space="preserve">Consejero Ponente: Alejandro Ordóñez Maldonado. Sentencia del </w:t>
      </w:r>
      <w:r w:rsidRPr="007A5282">
        <w:rPr>
          <w:rFonts w:cs="Arial"/>
          <w:b w:val="0"/>
          <w:iCs/>
          <w:sz w:val="20"/>
        </w:rPr>
        <w:t xml:space="preserve">19 De Julio de 2007. Radicación Número: 25000-23-25-000-2002-06813-01(6813-05). </w:t>
      </w:r>
    </w:p>
  </w:footnote>
  <w:footnote w:id="14">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w:t>
      </w:r>
      <w:r w:rsidRPr="007A5282">
        <w:rPr>
          <w:rFonts w:cs="Arial"/>
          <w:color w:val="000000"/>
          <w:shd w:val="clear" w:color="auto" w:fill="FFFFFF"/>
        </w:rPr>
        <w:t>Sentencia T-1022 de 2010.</w:t>
      </w:r>
    </w:p>
  </w:footnote>
  <w:footnote w:id="15">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lang w:val="es-CO"/>
        </w:rPr>
        <w:t xml:space="preserve">  </w:t>
      </w:r>
      <w:r w:rsidRPr="007A5282">
        <w:rPr>
          <w:rFonts w:cs="Arial"/>
          <w:color w:val="000000"/>
          <w:shd w:val="clear" w:color="auto" w:fill="FFFFFF"/>
        </w:rPr>
        <w:t>Sentencia T-272 de 2005.</w:t>
      </w:r>
    </w:p>
  </w:footnote>
  <w:footnote w:id="16">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lang w:val="es-CO"/>
        </w:rPr>
        <w:t xml:space="preserve">  </w:t>
      </w:r>
      <w:r w:rsidRPr="007A5282">
        <w:rPr>
          <w:rFonts w:cs="Arial"/>
          <w:color w:val="000000"/>
          <w:shd w:val="clear" w:color="auto" w:fill="FFFFFF"/>
        </w:rPr>
        <w:t>Sentencia</w:t>
      </w:r>
      <w:r w:rsidRPr="007A5282">
        <w:rPr>
          <w:rStyle w:val="apple-converted-space"/>
          <w:rFonts w:cs="Arial"/>
          <w:color w:val="000000"/>
          <w:shd w:val="clear" w:color="auto" w:fill="FFFFFF"/>
        </w:rPr>
        <w:t> </w:t>
      </w:r>
      <w:r w:rsidRPr="007A5282">
        <w:rPr>
          <w:rFonts w:cs="Arial"/>
          <w:color w:val="000000"/>
          <w:shd w:val="clear" w:color="auto" w:fill="FFFFFF"/>
        </w:rPr>
        <w:t>T-807 de 2004.</w:t>
      </w:r>
    </w:p>
  </w:footnote>
  <w:footnote w:id="17">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Sentencia T-551 de 2010.</w:t>
      </w:r>
    </w:p>
  </w:footnote>
  <w:footnote w:id="18">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lang w:val="es-CO"/>
        </w:rPr>
        <w:t xml:space="preserve">  </w:t>
      </w:r>
      <w:r w:rsidRPr="007A5282">
        <w:rPr>
          <w:rFonts w:cs="Arial"/>
          <w:color w:val="000000"/>
          <w:shd w:val="clear" w:color="auto" w:fill="FFFFFF"/>
        </w:rPr>
        <w:t>Sentencia T-743 de 2008.</w:t>
      </w:r>
    </w:p>
  </w:footnote>
  <w:footnote w:id="19">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w:t>
      </w:r>
      <w:r w:rsidRPr="007A5282">
        <w:rPr>
          <w:rFonts w:cs="Arial"/>
          <w:color w:val="000000"/>
          <w:shd w:val="clear" w:color="auto" w:fill="FFFFFF"/>
        </w:rPr>
        <w:t>Sentencia T-212 de 2002.</w:t>
      </w:r>
    </w:p>
  </w:footnote>
  <w:footnote w:id="20">
    <w:p w:rsidR="00E507A6" w:rsidRPr="007A5282" w:rsidRDefault="00E507A6" w:rsidP="00B4608B">
      <w:pPr>
        <w:ind w:right="51"/>
        <w:jc w:val="both"/>
        <w:rPr>
          <w:sz w:val="20"/>
          <w:szCs w:val="20"/>
        </w:rPr>
      </w:pPr>
      <w:r w:rsidRPr="007A5282">
        <w:rPr>
          <w:sz w:val="20"/>
          <w:szCs w:val="20"/>
        </w:rPr>
        <w:t>Corte Constitucional, expediente T-3106156 Acción de Tutela instaurada por Jairo Alfonso Manrique Bocanegra contra el Tribunal Superior del Distrito Judicial de Ibagué, Sala Civil - Familia. Magistrado Ponente Humberto Antonio Sierra Porto</w:t>
      </w:r>
    </w:p>
  </w:footnote>
  <w:footnote w:id="21">
    <w:p w:rsidR="00E507A6" w:rsidRPr="007A5282" w:rsidRDefault="00E507A6" w:rsidP="00B4608B">
      <w:pPr>
        <w:pStyle w:val="Textonotapie"/>
        <w:jc w:val="both"/>
        <w:rPr>
          <w:rFonts w:cs="Arial"/>
          <w:lang w:val="es-ES"/>
        </w:rPr>
      </w:pPr>
      <w:r w:rsidRPr="007A5282">
        <w:rPr>
          <w:rStyle w:val="Refdenotaalpie"/>
          <w:rFonts w:cs="Arial"/>
        </w:rPr>
        <w:footnoteRef/>
      </w:r>
      <w:r w:rsidRPr="007A5282">
        <w:rPr>
          <w:rFonts w:cs="Arial"/>
        </w:rPr>
        <w:t xml:space="preserve"> </w:t>
      </w:r>
      <w:r w:rsidRPr="007A5282">
        <w:rPr>
          <w:rFonts w:cs="Arial"/>
          <w:i/>
        </w:rPr>
        <w:t xml:space="preserve">Cfr. </w:t>
      </w:r>
      <w:r w:rsidRPr="007A5282">
        <w:rPr>
          <w:rFonts w:cs="Arial"/>
        </w:rPr>
        <w:t>Corte Constitucional, sentencia T-993/03 (M.P. Clara Inés Vargas Hernández).</w:t>
      </w:r>
    </w:p>
  </w:footnote>
  <w:footnote w:id="22">
    <w:p w:rsidR="00E507A6" w:rsidRPr="007A5282" w:rsidRDefault="00E507A6" w:rsidP="00B4608B">
      <w:pPr>
        <w:pStyle w:val="Textoindependiente"/>
        <w:spacing w:after="0" w:line="240" w:lineRule="auto"/>
        <w:jc w:val="both"/>
        <w:rPr>
          <w:rFonts w:ascii="Arial" w:hAnsi="Arial" w:cs="Arial"/>
          <w:sz w:val="20"/>
          <w:szCs w:val="20"/>
        </w:rPr>
      </w:pPr>
      <w:r w:rsidRPr="007A5282">
        <w:rPr>
          <w:rStyle w:val="Refdenotaalpie"/>
          <w:rFonts w:ascii="Arial" w:hAnsi="Arial" w:cs="Arial"/>
          <w:sz w:val="20"/>
          <w:szCs w:val="20"/>
        </w:rPr>
        <w:footnoteRef/>
      </w:r>
      <w:r w:rsidRPr="007A5282">
        <w:rPr>
          <w:rFonts w:ascii="Arial" w:hAnsi="Arial" w:cs="Arial"/>
          <w:sz w:val="20"/>
          <w:szCs w:val="20"/>
        </w:rPr>
        <w:t xml:space="preserve"> Sentencia T-457 de 2008.</w:t>
      </w:r>
    </w:p>
  </w:footnote>
  <w:footnote w:id="23">
    <w:p w:rsidR="00E507A6" w:rsidRPr="007A5282" w:rsidRDefault="00E507A6" w:rsidP="00B4608B">
      <w:pPr>
        <w:pStyle w:val="Textonotapie"/>
        <w:jc w:val="both"/>
        <w:rPr>
          <w:rFonts w:cs="Arial"/>
        </w:rPr>
      </w:pPr>
      <w:r w:rsidRPr="007A5282">
        <w:rPr>
          <w:rStyle w:val="Refdenotaalpie"/>
          <w:rFonts w:cs="Arial"/>
        </w:rPr>
        <w:footnoteRef/>
      </w:r>
      <w:r w:rsidRPr="007A5282">
        <w:rPr>
          <w:rFonts w:cs="Arial"/>
        </w:rPr>
        <w:t xml:space="preserve"> Sentencia T-292 de 2006.</w:t>
      </w:r>
    </w:p>
  </w:footnote>
  <w:footnote w:id="24">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w:t>
      </w:r>
      <w:r w:rsidRPr="007A5282">
        <w:rPr>
          <w:rFonts w:cs="Arial"/>
          <w:lang w:val="es-CO"/>
        </w:rPr>
        <w:t>Consejo de Estado, Sección Primera, M.P. María Elizabeth García González, 9 de febrero de 2017, radicado AC 11001-03-15-000-2016-03756-00, accionante Jacob Hernández, accionada Tribunal Administrativo del Huila.</w:t>
      </w:r>
    </w:p>
  </w:footnote>
  <w:footnote w:id="25">
    <w:p w:rsidR="00E507A6" w:rsidRPr="0059381F" w:rsidRDefault="00E507A6" w:rsidP="00B4608B">
      <w:pPr>
        <w:pStyle w:val="Textonotapie"/>
        <w:jc w:val="both"/>
        <w:rPr>
          <w:lang w:val="es-CO"/>
        </w:rPr>
      </w:pPr>
      <w:r>
        <w:rPr>
          <w:rStyle w:val="Refdenotaalpie"/>
        </w:rPr>
        <w:footnoteRef/>
      </w:r>
      <w:r>
        <w:t xml:space="preserve"> </w:t>
      </w:r>
      <w:r>
        <w:rPr>
          <w:lang w:val="es-CO"/>
        </w:rPr>
        <w:t xml:space="preserve">Expediente núm. 2016-00139-01, Consejera ponente: doctora María Claudia Rojas Lasso. </w:t>
      </w:r>
    </w:p>
  </w:footnote>
  <w:footnote w:id="26">
    <w:p w:rsidR="00E507A6" w:rsidRPr="00895DB5" w:rsidRDefault="00E507A6" w:rsidP="00B4608B">
      <w:pPr>
        <w:pStyle w:val="Textonotapie"/>
        <w:jc w:val="both"/>
        <w:rPr>
          <w:lang w:val="es-CO"/>
        </w:rPr>
      </w:pPr>
      <w:r>
        <w:rPr>
          <w:rStyle w:val="Refdenotaalpie"/>
        </w:rPr>
        <w:footnoteRef/>
      </w:r>
      <w:r>
        <w:t xml:space="preserve"> Expediente núm. 2016-00141-00.</w:t>
      </w:r>
    </w:p>
  </w:footnote>
  <w:footnote w:id="27">
    <w:p w:rsidR="00E507A6" w:rsidRPr="00895DB5" w:rsidRDefault="00E507A6" w:rsidP="00B4608B">
      <w:pPr>
        <w:pStyle w:val="Textonotapie"/>
        <w:jc w:val="both"/>
        <w:rPr>
          <w:lang w:val="es-CO"/>
        </w:rPr>
      </w:pPr>
      <w:r>
        <w:rPr>
          <w:rStyle w:val="Refdenotaalpie"/>
        </w:rPr>
        <w:footnoteRef/>
      </w:r>
      <w:r>
        <w:t xml:space="preserve"> Expediente núm. 2016-00139-01.</w:t>
      </w:r>
    </w:p>
  </w:footnote>
  <w:footnote w:id="28">
    <w:p w:rsidR="00E507A6" w:rsidRPr="00F92C47" w:rsidRDefault="00E507A6" w:rsidP="00B4608B">
      <w:pPr>
        <w:pStyle w:val="Textonotapie"/>
        <w:jc w:val="both"/>
        <w:rPr>
          <w:lang w:val="es-CO"/>
        </w:rPr>
      </w:pPr>
      <w:r w:rsidRPr="00F92C47">
        <w:rPr>
          <w:rStyle w:val="Refdenotaalpie"/>
        </w:rPr>
        <w:footnoteRef/>
      </w:r>
      <w:r w:rsidRPr="00F92C47">
        <w:t xml:space="preserve"> </w:t>
      </w:r>
      <w:r>
        <w:t xml:space="preserve">Fallo de </w:t>
      </w:r>
      <w:r w:rsidRPr="006F7A8A">
        <w:t>7 de abril de 2016</w:t>
      </w:r>
      <w:r>
        <w:t xml:space="preserve">, </w:t>
      </w:r>
      <w:r w:rsidRPr="00F92C47">
        <w:rPr>
          <w:lang w:val="es-CO"/>
        </w:rPr>
        <w:t>Expediente núm. 2016-00145, Consejera ponente: Martha Teresa Briceño de Valencia.</w:t>
      </w:r>
    </w:p>
  </w:footnote>
  <w:footnote w:id="29">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w:t>
      </w:r>
      <w:r w:rsidRPr="007A5282">
        <w:rPr>
          <w:rFonts w:cs="Arial"/>
          <w:lang w:val="es-CO"/>
        </w:rPr>
        <w:t>Consejo de Estado, Sección Primera, M.P. María Elizabeth García González, 9 de febrero de 2017, radicado AC 11001-03-15-000-2016-03756-00, accionante Jacob Hernández, accionada Tribunal Administrativo del Huila.</w:t>
      </w:r>
    </w:p>
  </w:footnote>
  <w:footnote w:id="30">
    <w:p w:rsidR="00E507A6" w:rsidRPr="00C439AE" w:rsidRDefault="00E507A6" w:rsidP="00B4608B">
      <w:pPr>
        <w:ind w:right="51"/>
        <w:jc w:val="both"/>
        <w:rPr>
          <w:rFonts w:eastAsia="Times New Roman"/>
          <w:sz w:val="20"/>
          <w:szCs w:val="20"/>
          <w:lang w:eastAsia="es-ES"/>
        </w:rPr>
      </w:pPr>
      <w:r w:rsidRPr="00C439AE">
        <w:rPr>
          <w:rStyle w:val="Refdenotaalpie"/>
          <w:rFonts w:cs="Arial"/>
          <w:sz w:val="20"/>
          <w:szCs w:val="20"/>
        </w:rPr>
        <w:footnoteRef/>
      </w:r>
      <w:r w:rsidRPr="00C439AE">
        <w:rPr>
          <w:sz w:val="20"/>
          <w:szCs w:val="20"/>
        </w:rPr>
        <w:t xml:space="preserve"> Dice la sentencia </w:t>
      </w:r>
      <w:r w:rsidRPr="00C439AE">
        <w:rPr>
          <w:bCs/>
          <w:sz w:val="20"/>
          <w:szCs w:val="20"/>
        </w:rPr>
        <w:t xml:space="preserve">del </w:t>
      </w:r>
      <w:r w:rsidRPr="00C439AE">
        <w:rPr>
          <w:iCs/>
          <w:sz w:val="20"/>
          <w:szCs w:val="20"/>
        </w:rPr>
        <w:t xml:space="preserve">19 De Julio de 2007. Radicación Número: 25000-23-25-000-2002-06813-01(6813-05): </w:t>
      </w:r>
      <w:r w:rsidRPr="00C439AE">
        <w:rPr>
          <w:sz w:val="20"/>
          <w:szCs w:val="20"/>
        </w:rPr>
        <w:t xml:space="preserve"> </w:t>
      </w:r>
      <w:r w:rsidRPr="00C439AE">
        <w:rPr>
          <w:rFonts w:eastAsia="Times New Roman"/>
          <w:sz w:val="20"/>
          <w:szCs w:val="20"/>
          <w:lang w:eastAsia="es-ES"/>
        </w:rPr>
        <w:t>“En consecuencia, la Sala estima que la pretensión del acto que dio por terminado el contrato de prestación de servicios era factible a través de la acción contractual que se contempla en el artículo 87 del Código Contencioso Administrativo y no mediante la pretendida nulidad y restablecimiento del derecho prevista en el artículo 85 ibídem.</w:t>
      </w:r>
    </w:p>
    <w:p w:rsidR="00E507A6" w:rsidRPr="00C439AE" w:rsidRDefault="00E507A6" w:rsidP="00B4608B">
      <w:pPr>
        <w:pStyle w:val="Textonotapie"/>
        <w:ind w:right="51"/>
        <w:jc w:val="both"/>
        <w:rPr>
          <w:rFonts w:cs="Arial"/>
        </w:rPr>
      </w:pPr>
      <w:r w:rsidRPr="00C439AE">
        <w:rPr>
          <w:rFonts w:cs="Arial"/>
        </w:rPr>
        <w:t>De otro lado y sin perjuicio de lo anterior, se precisa que si bien es cierto el reconocimiento de derechos laborales simulados a través de contratos de prestación de servicios es factible a través de la acción contractual que se contempla en el artículo 87 del Código Contencioso Administrativo formulando el petitum de nulidad del contrato de prestación de servicios o en ejercicio de la acción de nulidad y restablecimiento del derecho, a elección del demandante, para la segunda opción, es necesario agotar previamente la vía gubernativa a tenor del artículo 135 del mismo Código, con la finalidad de obtener un pronunciamiento expreso o presunto, presupuesto para acudir a la jurisdicción.”</w:t>
      </w:r>
    </w:p>
  </w:footnote>
  <w:footnote w:id="31">
    <w:p w:rsidR="00E507A6" w:rsidRPr="007A5282" w:rsidRDefault="00E507A6" w:rsidP="00B4608B">
      <w:pPr>
        <w:pStyle w:val="Textonotapie"/>
        <w:jc w:val="both"/>
        <w:rPr>
          <w:rFonts w:cs="Arial"/>
          <w:lang w:val="es-ES"/>
        </w:rPr>
      </w:pPr>
      <w:r w:rsidRPr="007A5282">
        <w:rPr>
          <w:rStyle w:val="Refdenotaalpie"/>
          <w:rFonts w:cs="Arial"/>
        </w:rPr>
        <w:footnoteRef/>
      </w:r>
      <w:r w:rsidRPr="007A5282">
        <w:rPr>
          <w:rFonts w:cs="Arial"/>
        </w:rPr>
        <w:t xml:space="preserve"> Consejo de Estado, Sala de lo Contencioso Administrativo, Sección Tercera, sentencia del 23 de junio de 2010, expediente 18319 C.P. Gladys Agudelo Ordoñez.</w:t>
      </w:r>
    </w:p>
  </w:footnote>
  <w:footnote w:id="32">
    <w:p w:rsidR="00E507A6" w:rsidRPr="007A5282" w:rsidRDefault="00E507A6" w:rsidP="00B4608B">
      <w:pPr>
        <w:pStyle w:val="Textonotapie"/>
        <w:jc w:val="both"/>
        <w:rPr>
          <w:rFonts w:cs="Arial"/>
          <w:lang w:val="es-CO"/>
        </w:rPr>
      </w:pPr>
      <w:r w:rsidRPr="007A5282">
        <w:rPr>
          <w:rStyle w:val="Refdenotaalpie"/>
          <w:rFonts w:cs="Arial"/>
        </w:rPr>
        <w:footnoteRef/>
      </w:r>
      <w:r w:rsidRPr="007A5282">
        <w:rPr>
          <w:rFonts w:cs="Arial"/>
        </w:rPr>
        <w:t xml:space="preserve"> Consejo de Estado, Sección Segunda Subsección A, M.P William Hernández Gómez, 25 de febrero de 2016, Rad  </w:t>
      </w:r>
      <w:r w:rsidRPr="007A5282">
        <w:rPr>
          <w:rFonts w:cs="Arial"/>
          <w:lang w:val="es-ES"/>
        </w:rPr>
        <w:t>11001-03-15-000-2016-00140-00</w:t>
      </w:r>
      <w:r w:rsidRPr="007A5282">
        <w:rPr>
          <w:rFonts w:cs="Arial"/>
        </w:rPr>
        <w:t>.</w:t>
      </w:r>
    </w:p>
  </w:footnote>
  <w:footnote w:id="33">
    <w:p w:rsidR="00E507A6" w:rsidRPr="007A5282" w:rsidRDefault="00E507A6" w:rsidP="00B4608B">
      <w:pPr>
        <w:autoSpaceDE w:val="0"/>
        <w:autoSpaceDN w:val="0"/>
        <w:adjustRightInd w:val="0"/>
        <w:jc w:val="both"/>
        <w:rPr>
          <w:sz w:val="20"/>
          <w:szCs w:val="20"/>
        </w:rPr>
      </w:pPr>
      <w:r w:rsidRPr="007A5282">
        <w:rPr>
          <w:rStyle w:val="Refdenotaalpie"/>
          <w:rFonts w:cs="Arial"/>
          <w:sz w:val="20"/>
          <w:szCs w:val="20"/>
        </w:rPr>
        <w:footnoteRef/>
      </w:r>
      <w:r w:rsidRPr="007A5282">
        <w:rPr>
          <w:bCs/>
          <w:sz w:val="20"/>
          <w:szCs w:val="20"/>
        </w:rPr>
        <w:t xml:space="preserve">Consejo de Estado, Sección Segunda – Subsección A, M.P. Gabriel Valbuena Hernández, 10 de marzo de 2016, Rad. </w:t>
      </w:r>
      <w:r w:rsidRPr="007A5282">
        <w:rPr>
          <w:rFonts w:eastAsia="Times New Roman"/>
          <w:sz w:val="20"/>
          <w:szCs w:val="20"/>
          <w:lang w:eastAsia="es-ES"/>
        </w:rPr>
        <w:t>11001-03-15-000-2016-00149-00.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BA109C"/>
    <w:multiLevelType w:val="hybridMultilevel"/>
    <w:tmpl w:val="23B2BB70"/>
    <w:lvl w:ilvl="0" w:tplc="077450A4">
      <w:start w:val="2"/>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6F8E"/>
    <w:rsid w:val="00010454"/>
    <w:rsid w:val="00012BB4"/>
    <w:rsid w:val="000358A0"/>
    <w:rsid w:val="0008033E"/>
    <w:rsid w:val="00090209"/>
    <w:rsid w:val="002012E3"/>
    <w:rsid w:val="00202D1D"/>
    <w:rsid w:val="00207E0B"/>
    <w:rsid w:val="00302876"/>
    <w:rsid w:val="00316702"/>
    <w:rsid w:val="00363450"/>
    <w:rsid w:val="003809E5"/>
    <w:rsid w:val="00390534"/>
    <w:rsid w:val="003C73E8"/>
    <w:rsid w:val="003D631A"/>
    <w:rsid w:val="003E19DF"/>
    <w:rsid w:val="00416034"/>
    <w:rsid w:val="00482568"/>
    <w:rsid w:val="005309AA"/>
    <w:rsid w:val="005553C5"/>
    <w:rsid w:val="005646C0"/>
    <w:rsid w:val="005C1B79"/>
    <w:rsid w:val="0061124B"/>
    <w:rsid w:val="00623AC1"/>
    <w:rsid w:val="00625E41"/>
    <w:rsid w:val="00644984"/>
    <w:rsid w:val="00696F2D"/>
    <w:rsid w:val="006B52F4"/>
    <w:rsid w:val="00730A46"/>
    <w:rsid w:val="007700F5"/>
    <w:rsid w:val="00782DAC"/>
    <w:rsid w:val="00787E8F"/>
    <w:rsid w:val="007B3780"/>
    <w:rsid w:val="007E36DF"/>
    <w:rsid w:val="00801977"/>
    <w:rsid w:val="00841CC4"/>
    <w:rsid w:val="00876380"/>
    <w:rsid w:val="00880EA5"/>
    <w:rsid w:val="008D7E19"/>
    <w:rsid w:val="009432EC"/>
    <w:rsid w:val="00967DB7"/>
    <w:rsid w:val="009F306C"/>
    <w:rsid w:val="00A3728A"/>
    <w:rsid w:val="00A65B2B"/>
    <w:rsid w:val="00B05DFD"/>
    <w:rsid w:val="00B219C3"/>
    <w:rsid w:val="00B4608B"/>
    <w:rsid w:val="00BB4BEB"/>
    <w:rsid w:val="00BD0305"/>
    <w:rsid w:val="00BE31B2"/>
    <w:rsid w:val="00C43066"/>
    <w:rsid w:val="00C84182"/>
    <w:rsid w:val="00C96F8E"/>
    <w:rsid w:val="00C97AB5"/>
    <w:rsid w:val="00CD6342"/>
    <w:rsid w:val="00D53CFE"/>
    <w:rsid w:val="00D6201A"/>
    <w:rsid w:val="00DB2F10"/>
    <w:rsid w:val="00DF2FEF"/>
    <w:rsid w:val="00E26F65"/>
    <w:rsid w:val="00E27F51"/>
    <w:rsid w:val="00E507A6"/>
    <w:rsid w:val="00E70237"/>
    <w:rsid w:val="00E75598"/>
    <w:rsid w:val="00E8478D"/>
    <w:rsid w:val="00F033E2"/>
    <w:rsid w:val="00F239A6"/>
    <w:rsid w:val="00F97885"/>
    <w:rsid w:val="00FB0876"/>
    <w:rsid w:val="00FC5AB0"/>
    <w:rsid w:val="00FF0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E0444"/>
  <w15:chartTrackingRefBased/>
  <w15:docId w15:val="{020DD5D3-EAC3-4692-878B-CAA160063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US" w:eastAsia="en-US" w:bidi="ar-SA"/>
      </w:rPr>
    </w:rPrDefault>
    <w:pPrDefault/>
  </w:docDefaults>
  <w:latentStyles w:defLockedState="0" w:defUIPriority="99" w:defSemiHidden="0" w:defUnhideWhenUsed="0" w:defQFormat="0" w:count="377">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val="es-CO"/>
    </w:rPr>
  </w:style>
  <w:style w:type="paragraph" w:styleId="Ttulo1">
    <w:name w:val="heading 1"/>
    <w:basedOn w:val="Normal"/>
    <w:next w:val="Normal"/>
    <w:link w:val="Ttulo1Car"/>
    <w:uiPriority w:val="99"/>
    <w:qFormat/>
    <w:rsid w:val="00E507A6"/>
    <w:pPr>
      <w:keepNext/>
      <w:tabs>
        <w:tab w:val="center" w:pos="4266"/>
      </w:tabs>
      <w:suppressAutoHyphens/>
      <w:spacing w:line="480" w:lineRule="auto"/>
      <w:jc w:val="center"/>
      <w:outlineLvl w:val="0"/>
    </w:pPr>
    <w:rPr>
      <w:rFonts w:ascii="Courier New" w:eastAsia="Times New Roman" w:hAnsi="Courier New" w:cs="Times New Roman"/>
      <w:b/>
      <w:spacing w:val="-3"/>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rsid w:val="00E507A6"/>
    <w:rPr>
      <w:rFonts w:ascii="Courier New" w:eastAsia="Times New Roman" w:hAnsi="Courier New" w:cs="Times New Roman"/>
      <w:b/>
      <w:spacing w:val="-3"/>
      <w:sz w:val="24"/>
      <w:szCs w:val="24"/>
      <w:lang w:val="es-ES" w:eastAsia="es-ES"/>
    </w:rPr>
  </w:style>
  <w:style w:type="paragraph" w:styleId="Textonotapie">
    <w:name w:val="footnote text"/>
    <w:aliases w:val="Footnote Text Char Char Char Char Char,Footnote Text Char Char Char Char,Footnote reference,FA Fu,texto de nota al pie,Footnote Text Char Char Char,Footnote Text Char,Footnote Text Char Char Char Char Char Char Char Cha,Texto nota pie Ca"/>
    <w:basedOn w:val="Normal"/>
    <w:link w:val="TextonotapieCar"/>
    <w:uiPriority w:val="99"/>
    <w:qFormat/>
    <w:rsid w:val="00E507A6"/>
    <w:pPr>
      <w:overflowPunct w:val="0"/>
      <w:autoSpaceDE w:val="0"/>
      <w:autoSpaceDN w:val="0"/>
      <w:adjustRightInd w:val="0"/>
    </w:pPr>
    <w:rPr>
      <w:rFonts w:eastAsia="Times New Roman" w:cs="Times New Roman"/>
      <w:sz w:val="20"/>
      <w:szCs w:val="20"/>
      <w:lang w:val="es-ES_tradnl"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ar,Texto nota pie Ca Car"/>
    <w:link w:val="Textonotapie"/>
    <w:uiPriority w:val="99"/>
    <w:rsid w:val="00E507A6"/>
    <w:rPr>
      <w:rFonts w:eastAsia="Times New Roman" w:cs="Times New Roman"/>
      <w:lang w:val="es-ES_tradnl" w:eastAsia="es-ES"/>
    </w:rPr>
  </w:style>
  <w:style w:type="character" w:styleId="Refdenotaalpie">
    <w:name w:val="footnote reference"/>
    <w:aliases w:val="Texto de nota al pie,referencia nota al pie,Ref. de nota al pie 2,Texto nota pie Car1 Car,Texto nota pie Car2 Car Car,Texto nota pie Car1 Car Car Car,Footnote reference Car Car Car Car,FA Fu Car Car Car Car,FA Fu Car1 Car Car,BVI fnr"/>
    <w:uiPriority w:val="99"/>
    <w:qFormat/>
    <w:rsid w:val="00E507A6"/>
    <w:rPr>
      <w:rFonts w:cs="Times New Roman"/>
      <w:vertAlign w:val="superscript"/>
    </w:rPr>
  </w:style>
  <w:style w:type="paragraph" w:styleId="Sangra2detindependiente">
    <w:name w:val="Body Text Indent 2"/>
    <w:basedOn w:val="Normal"/>
    <w:link w:val="Sangra2detindependienteCar"/>
    <w:uiPriority w:val="99"/>
    <w:rsid w:val="00E507A6"/>
    <w:pPr>
      <w:spacing w:after="120" w:line="480" w:lineRule="auto"/>
      <w:ind w:left="283"/>
    </w:pPr>
    <w:rPr>
      <w:rFonts w:ascii="Times New Roman" w:eastAsia="Times New Roman" w:hAnsi="Times New Roman" w:cs="Times New Roman"/>
      <w:lang w:val="es-ES" w:eastAsia="es-ES"/>
    </w:rPr>
  </w:style>
  <w:style w:type="character" w:customStyle="1" w:styleId="Sangra2detindependienteCar">
    <w:name w:val="Sangría 2 de t. independiente Car"/>
    <w:link w:val="Sangra2detindependiente"/>
    <w:uiPriority w:val="99"/>
    <w:rsid w:val="00E507A6"/>
    <w:rPr>
      <w:rFonts w:ascii="Times New Roman" w:eastAsia="Times New Roman" w:hAnsi="Times New Roman" w:cs="Times New Roman"/>
      <w:sz w:val="24"/>
      <w:szCs w:val="24"/>
      <w:lang w:val="es-ES" w:eastAsia="es-ES"/>
    </w:rPr>
  </w:style>
  <w:style w:type="character" w:customStyle="1" w:styleId="apple-converted-space">
    <w:name w:val="apple-converted-space"/>
    <w:rsid w:val="00E507A6"/>
  </w:style>
  <w:style w:type="paragraph" w:customStyle="1" w:styleId="Puesto">
    <w:name w:val="Puesto"/>
    <w:basedOn w:val="Normal"/>
    <w:link w:val="PuestoCar"/>
    <w:qFormat/>
    <w:rsid w:val="00E507A6"/>
    <w:pPr>
      <w:overflowPunct w:val="0"/>
      <w:autoSpaceDE w:val="0"/>
      <w:autoSpaceDN w:val="0"/>
      <w:adjustRightInd w:val="0"/>
      <w:spacing w:line="360" w:lineRule="auto"/>
      <w:jc w:val="center"/>
      <w:textAlignment w:val="baseline"/>
    </w:pPr>
    <w:rPr>
      <w:rFonts w:eastAsia="Times New Roman" w:cs="Times New Roman"/>
      <w:b/>
      <w:sz w:val="28"/>
      <w:szCs w:val="20"/>
      <w:lang w:val="es-ES_tradnl" w:eastAsia="es-ES"/>
    </w:rPr>
  </w:style>
  <w:style w:type="character" w:customStyle="1" w:styleId="PuestoCar">
    <w:name w:val="Puesto Car"/>
    <w:link w:val="Puesto"/>
    <w:rsid w:val="00E507A6"/>
    <w:rPr>
      <w:rFonts w:eastAsia="Times New Roman" w:cs="Times New Roman"/>
      <w:b/>
      <w:sz w:val="28"/>
      <w:lang w:val="es-ES_tradnl" w:eastAsia="es-ES"/>
    </w:rPr>
  </w:style>
  <w:style w:type="character" w:customStyle="1" w:styleId="textonavy">
    <w:name w:val="texto_navy"/>
    <w:rsid w:val="00E507A6"/>
  </w:style>
  <w:style w:type="paragraph" w:styleId="Textoindependiente">
    <w:name w:val="Body Text"/>
    <w:basedOn w:val="Normal"/>
    <w:link w:val="TextoindependienteCar"/>
    <w:uiPriority w:val="99"/>
    <w:semiHidden/>
    <w:unhideWhenUsed/>
    <w:rsid w:val="00E507A6"/>
    <w:pPr>
      <w:spacing w:after="120" w:line="259" w:lineRule="auto"/>
    </w:pPr>
    <w:rPr>
      <w:rFonts w:ascii="Calibri" w:hAnsi="Calibri" w:cs="Times New Roman"/>
      <w:sz w:val="22"/>
      <w:szCs w:val="22"/>
      <w:lang w:val="es-ES"/>
    </w:rPr>
  </w:style>
  <w:style w:type="character" w:customStyle="1" w:styleId="TextoindependienteCar">
    <w:name w:val="Texto independiente Car"/>
    <w:link w:val="Textoindependiente"/>
    <w:uiPriority w:val="99"/>
    <w:semiHidden/>
    <w:rsid w:val="00E507A6"/>
    <w:rPr>
      <w:rFonts w:ascii="Calibri" w:hAnsi="Calibri" w:cs="Times New Roman"/>
      <w:sz w:val="22"/>
      <w:szCs w:val="22"/>
      <w:lang w:val="es-ES" w:eastAsia="en-US"/>
    </w:rPr>
  </w:style>
  <w:style w:type="paragraph" w:styleId="Textoindependiente2">
    <w:name w:val="Body Text 2"/>
    <w:basedOn w:val="Normal"/>
    <w:link w:val="Textoindependiente2Car"/>
    <w:uiPriority w:val="99"/>
    <w:semiHidden/>
    <w:unhideWhenUsed/>
    <w:rsid w:val="00E507A6"/>
    <w:pPr>
      <w:spacing w:after="120" w:line="480" w:lineRule="auto"/>
    </w:pPr>
    <w:rPr>
      <w:rFonts w:ascii="Calibri" w:hAnsi="Calibri" w:cs="Times New Roman"/>
      <w:sz w:val="22"/>
      <w:szCs w:val="22"/>
      <w:lang w:val="es-ES"/>
    </w:rPr>
  </w:style>
  <w:style w:type="character" w:customStyle="1" w:styleId="Textoindependiente2Car">
    <w:name w:val="Texto independiente 2 Car"/>
    <w:link w:val="Textoindependiente2"/>
    <w:uiPriority w:val="99"/>
    <w:semiHidden/>
    <w:rsid w:val="00E507A6"/>
    <w:rPr>
      <w:rFonts w:ascii="Calibri" w:hAnsi="Calibri" w:cs="Times New Roman"/>
      <w:sz w:val="22"/>
      <w:szCs w:val="22"/>
      <w:lang w:val="es-ES" w:eastAsia="en-US"/>
    </w:rPr>
  </w:style>
  <w:style w:type="paragraph" w:styleId="Textodeglobo">
    <w:name w:val="Balloon Text"/>
    <w:basedOn w:val="Normal"/>
    <w:link w:val="TextodegloboCar"/>
    <w:uiPriority w:val="99"/>
    <w:semiHidden/>
    <w:unhideWhenUsed/>
    <w:rsid w:val="00DF2FEF"/>
    <w:rPr>
      <w:rFonts w:ascii="Segoe UI" w:hAnsi="Segoe UI" w:cs="Segoe UI"/>
      <w:sz w:val="18"/>
      <w:szCs w:val="18"/>
    </w:rPr>
  </w:style>
  <w:style w:type="character" w:customStyle="1" w:styleId="TextodegloboCar">
    <w:name w:val="Texto de globo Car"/>
    <w:link w:val="Textodeglobo"/>
    <w:uiPriority w:val="99"/>
    <w:semiHidden/>
    <w:rsid w:val="00DF2FEF"/>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68D3DC-3B07-4B09-90EC-D605C871D77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CBA4323-BA97-490A-A957-80426AA121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47FC54-0B4E-4497-99D6-BDBC3FAC72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6714</Words>
  <Characters>36927</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SHARAH LILIANA AGUIRRE LEMUS</dc:creator>
  <cp:keywords/>
  <cp:lastModifiedBy>Alejandro Raul Sarmiento Cantillo</cp:lastModifiedBy>
  <cp:revision>3</cp:revision>
  <dcterms:created xsi:type="dcterms:W3CDTF">2020-06-15T00:09:00Z</dcterms:created>
  <dcterms:modified xsi:type="dcterms:W3CDTF">2020-06-26T19:51:00Z</dcterms:modified>
</cp:coreProperties>
</file>