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F13CB7" w14:textId="77777777" w:rsidR="005A4B48" w:rsidRPr="00B04D88" w:rsidRDefault="00E83FBD" w:rsidP="005A75A6">
      <w:pPr>
        <w:jc w:val="both"/>
        <w:rPr>
          <w:rFonts w:ascii="Arial" w:hAnsi="Arial" w:cs="Arial"/>
          <w:b/>
          <w:lang w:val="es-ES"/>
        </w:rPr>
      </w:pPr>
      <w:r>
        <w:rPr>
          <w:rFonts w:ascii="Arial" w:hAnsi="Arial" w:cs="Arial"/>
          <w:b/>
          <w:lang w:val="es-ES"/>
        </w:rPr>
        <w:t>ACCIÓN DE TUTELA – Contra providencia judicial –</w:t>
      </w:r>
      <w:r w:rsidR="005A4B48" w:rsidRPr="005A75A6">
        <w:rPr>
          <w:rFonts w:ascii="Arial" w:hAnsi="Arial" w:cs="Arial"/>
          <w:b/>
          <w:lang w:val="es-ES"/>
        </w:rPr>
        <w:t xml:space="preserve"> </w:t>
      </w:r>
      <w:r w:rsidR="005A4B48" w:rsidRPr="00B04D88">
        <w:rPr>
          <w:rFonts w:ascii="Arial" w:hAnsi="Arial" w:cs="Arial"/>
          <w:b/>
          <w:lang w:val="es-ES"/>
        </w:rPr>
        <w:t xml:space="preserve">Finalidad </w:t>
      </w:r>
    </w:p>
    <w:p w14:paraId="63B2E62F" w14:textId="77777777" w:rsidR="005A4B48" w:rsidRPr="005A75A6" w:rsidRDefault="005A4B48" w:rsidP="005A75A6">
      <w:pPr>
        <w:jc w:val="both"/>
        <w:rPr>
          <w:rFonts w:ascii="Arial" w:hAnsi="Arial" w:cs="Arial"/>
          <w:lang w:val="es-ES"/>
        </w:rPr>
      </w:pPr>
    </w:p>
    <w:p w14:paraId="613591A2" w14:textId="77777777" w:rsidR="005A4B48" w:rsidRPr="005A75A6" w:rsidRDefault="005A4B48" w:rsidP="005A75A6">
      <w:pPr>
        <w:jc w:val="both"/>
        <w:rPr>
          <w:rFonts w:ascii="Arial" w:hAnsi="Arial" w:cs="Arial"/>
          <w:lang w:val="es-ES"/>
        </w:rPr>
      </w:pPr>
      <w:r w:rsidRPr="005A75A6">
        <w:rPr>
          <w:rFonts w:ascii="Arial" w:hAnsi="Arial" w:cs="Arial"/>
          <w:lang w:val="es-ES"/>
        </w:rPr>
        <w:t>La acción de tutela es un mecanismo judicial cuyo objeto es la protección de los derechos fundamentales amenazados o vulnerados por la acción u omisión de cualquier autoridad pública o por un particular, en el último caso, cuando así lo permita expresamente la ley.</w:t>
      </w:r>
      <w:r w:rsidRPr="005A75A6">
        <w:rPr>
          <w:rFonts w:ascii="Arial" w:hAnsi="Arial" w:cs="Arial"/>
        </w:rPr>
        <w:t xml:space="preserve"> (…) </w:t>
      </w:r>
      <w:r w:rsidRPr="005A75A6">
        <w:rPr>
          <w:rFonts w:ascii="Arial" w:hAnsi="Arial" w:cs="Arial"/>
          <w:lang w:val="es-ES"/>
        </w:rPr>
        <w:t xml:space="preserve">La tutela no puede convertirse en la instancia adicional de los procesos judiciales, pues los principios de seguridad jurídica y de coherencia del ordenamiento jurídico no permiten la revisión permanente y a perpetuidad de las decisiones de los jueces y, por tanto, no puede admitirse, sin mayores excepciones, la procedencia de la tutela contra providencias judiciales. </w:t>
      </w:r>
    </w:p>
    <w:p w14:paraId="5F20D7A8" w14:textId="77777777" w:rsidR="005A4B48" w:rsidRPr="005A75A6" w:rsidRDefault="005A4B48" w:rsidP="005A75A6">
      <w:pPr>
        <w:jc w:val="both"/>
        <w:rPr>
          <w:rFonts w:ascii="Arial" w:hAnsi="Arial" w:cs="Arial"/>
          <w:lang w:val="es-ES"/>
        </w:rPr>
      </w:pPr>
    </w:p>
    <w:p w14:paraId="09FE1FC7" w14:textId="77777777" w:rsidR="005A4B48" w:rsidRPr="00B04D88" w:rsidRDefault="00E83FBD" w:rsidP="005A75A6">
      <w:pPr>
        <w:jc w:val="both"/>
        <w:rPr>
          <w:rFonts w:ascii="Arial" w:hAnsi="Arial" w:cs="Arial"/>
          <w:b/>
          <w:lang w:val="es-ES"/>
        </w:rPr>
      </w:pPr>
      <w:r>
        <w:rPr>
          <w:rFonts w:ascii="Arial" w:hAnsi="Arial" w:cs="Arial"/>
          <w:b/>
          <w:lang w:val="es-ES"/>
        </w:rPr>
        <w:t>ACCIÓN DE TUTELA – Contra providencia judicial –</w:t>
      </w:r>
      <w:r w:rsidRPr="005A75A6">
        <w:rPr>
          <w:rFonts w:ascii="Arial" w:hAnsi="Arial" w:cs="Arial"/>
          <w:b/>
          <w:lang w:val="es-ES"/>
        </w:rPr>
        <w:t xml:space="preserve"> </w:t>
      </w:r>
      <w:r w:rsidR="005A4B48" w:rsidRPr="00B04D88">
        <w:rPr>
          <w:rFonts w:ascii="Arial" w:hAnsi="Arial" w:cs="Arial"/>
          <w:b/>
          <w:lang w:val="es-ES"/>
        </w:rPr>
        <w:t>Procedencia</w:t>
      </w:r>
    </w:p>
    <w:p w14:paraId="7515BD4D" w14:textId="77777777" w:rsidR="005A4B48" w:rsidRPr="005A75A6" w:rsidRDefault="005A4B48" w:rsidP="005A75A6">
      <w:pPr>
        <w:jc w:val="both"/>
        <w:rPr>
          <w:rFonts w:ascii="Arial" w:hAnsi="Arial" w:cs="Arial"/>
          <w:lang w:val="es-ES"/>
        </w:rPr>
      </w:pPr>
    </w:p>
    <w:p w14:paraId="5E0C3306" w14:textId="77777777" w:rsidR="005A4B48" w:rsidRPr="005A75A6" w:rsidRDefault="005A4B48" w:rsidP="005A75A6">
      <w:pPr>
        <w:jc w:val="both"/>
        <w:rPr>
          <w:rFonts w:ascii="Arial" w:hAnsi="Arial" w:cs="Arial"/>
          <w:lang w:val="es-ES"/>
        </w:rPr>
      </w:pPr>
      <w:r w:rsidRPr="005A75A6">
        <w:rPr>
          <w:rFonts w:ascii="Arial" w:hAnsi="Arial" w:cs="Arial"/>
          <w:lang w:val="es-ES"/>
        </w:rPr>
        <w:t xml:space="preserve"> La tutela procede cuando el interesado no dispone de otro medio de defensa, salvo que se utilice como mecanismo transitorio para evitar un perjuicio irremediable. En todo caso, el otro mecanismo de defensa debe ser eficaz para proteger el derecho fundamental vulnerado o amenazado, pues, de lo contrario, el juez de tutela deberá examinar si existe perjuicio irremediable y, de existir, concederá el amparo impetrado como mecanismo transitorio, siempre que esté plenamente acreditada la razón para conceder la tutela.</w:t>
      </w:r>
    </w:p>
    <w:p w14:paraId="150E575B" w14:textId="77777777" w:rsidR="005A4B48" w:rsidRPr="005A75A6" w:rsidRDefault="005A4B48" w:rsidP="005A75A6">
      <w:pPr>
        <w:jc w:val="both"/>
        <w:rPr>
          <w:rFonts w:ascii="Arial" w:hAnsi="Arial" w:cs="Arial"/>
          <w:lang w:val="es-ES"/>
        </w:rPr>
      </w:pPr>
      <w:r w:rsidRPr="005A75A6">
        <w:rPr>
          <w:rFonts w:ascii="Arial" w:hAnsi="Arial" w:cs="Arial"/>
          <w:lang w:val="es-ES"/>
        </w:rPr>
        <w:t xml:space="preserve">   </w:t>
      </w:r>
    </w:p>
    <w:p w14:paraId="623A004B" w14:textId="77777777" w:rsidR="005A4B48" w:rsidRPr="005A75A6" w:rsidRDefault="00E83FBD" w:rsidP="005A75A6">
      <w:pPr>
        <w:jc w:val="both"/>
        <w:rPr>
          <w:rFonts w:ascii="Arial" w:hAnsi="Arial" w:cs="Arial"/>
          <w:lang w:val="es-ES"/>
        </w:rPr>
      </w:pPr>
      <w:r>
        <w:rPr>
          <w:rFonts w:ascii="Arial" w:hAnsi="Arial" w:cs="Arial"/>
          <w:b/>
          <w:lang w:val="es-ES"/>
        </w:rPr>
        <w:t>ACCIÓN DE TUTELA – Contra providencia judicial –</w:t>
      </w:r>
      <w:r w:rsidRPr="005A75A6">
        <w:rPr>
          <w:rFonts w:ascii="Arial" w:hAnsi="Arial" w:cs="Arial"/>
          <w:b/>
          <w:lang w:val="es-ES"/>
        </w:rPr>
        <w:t xml:space="preserve"> </w:t>
      </w:r>
      <w:r w:rsidR="005A4B48" w:rsidRPr="00B04D88">
        <w:rPr>
          <w:rFonts w:ascii="Arial" w:hAnsi="Arial" w:cs="Arial"/>
          <w:b/>
          <w:lang w:val="es-ES"/>
        </w:rPr>
        <w:t xml:space="preserve">Requisitos de procedencia </w:t>
      </w:r>
    </w:p>
    <w:p w14:paraId="662A2CF6" w14:textId="77777777" w:rsidR="005A4B48" w:rsidRPr="005A75A6" w:rsidRDefault="005A4B48" w:rsidP="005A75A6">
      <w:pPr>
        <w:jc w:val="both"/>
        <w:rPr>
          <w:rFonts w:ascii="Arial" w:hAnsi="Arial" w:cs="Arial"/>
          <w:lang w:val="es-ES"/>
        </w:rPr>
      </w:pPr>
    </w:p>
    <w:p w14:paraId="7B0BD2E6" w14:textId="77777777" w:rsidR="005A4B48" w:rsidRPr="005A75A6" w:rsidRDefault="005A4B48" w:rsidP="005A75A6">
      <w:pPr>
        <w:jc w:val="both"/>
        <w:rPr>
          <w:rFonts w:ascii="Arial" w:hAnsi="Arial" w:cs="Arial"/>
          <w:lang w:val="es-ES"/>
        </w:rPr>
      </w:pPr>
      <w:r w:rsidRPr="005A75A6">
        <w:rPr>
          <w:rFonts w:ascii="Arial" w:hAnsi="Arial" w:cs="Arial"/>
          <w:lang w:val="es-ES"/>
        </w:rPr>
        <w:t>Para tal efecto, el juez de tutela debe verificar el cumplimiento de los requisitos generales (procesales o de procedibilidad) que fijó la Corte Constitucional, en la sentencia C-590 de 2005. Esto es, la relevancia constitucional, el agotamiento de los medios ordinarios de defensa, la inmediatez y que no se esté cuestionando una sentencia de tutela. Además, debe examinar si el demandante identificó y sustentó la causal específica de procedibilidad y expuso las razones que sustentan la violación o amenaza de los derechos fundamentales.</w:t>
      </w:r>
    </w:p>
    <w:p w14:paraId="0FA6B339" w14:textId="77777777" w:rsidR="005A4B48" w:rsidRPr="005A75A6" w:rsidRDefault="005A4B48" w:rsidP="005A75A6">
      <w:pPr>
        <w:jc w:val="both"/>
        <w:rPr>
          <w:rFonts w:ascii="Arial" w:hAnsi="Arial" w:cs="Arial"/>
          <w:lang w:val="es-ES"/>
        </w:rPr>
      </w:pPr>
    </w:p>
    <w:p w14:paraId="09365A51" w14:textId="77777777" w:rsidR="005A4B48" w:rsidRPr="00E83FBD" w:rsidRDefault="00E83FBD" w:rsidP="00E83FBD">
      <w:r>
        <w:rPr>
          <w:rFonts w:ascii="Arial" w:hAnsi="Arial" w:cs="Arial"/>
          <w:b/>
          <w:lang w:val="es-ES"/>
        </w:rPr>
        <w:t>ACCIÓN DE TUTELA – Contra providencia judicial –</w:t>
      </w:r>
      <w:r w:rsidRPr="005A75A6">
        <w:rPr>
          <w:rFonts w:ascii="Arial" w:hAnsi="Arial" w:cs="Arial"/>
          <w:b/>
          <w:lang w:val="es-ES"/>
        </w:rPr>
        <w:t xml:space="preserve"> </w:t>
      </w:r>
      <w:r w:rsidR="005A4B48" w:rsidRPr="00B04D88">
        <w:rPr>
          <w:rFonts w:ascii="Arial" w:hAnsi="Arial" w:cs="Arial"/>
          <w:b/>
          <w:lang w:val="es-ES"/>
        </w:rPr>
        <w:t>Causales especificas</w:t>
      </w:r>
      <w:r w:rsidR="005A4B48" w:rsidRPr="005A75A6">
        <w:rPr>
          <w:rFonts w:ascii="Arial" w:hAnsi="Arial" w:cs="Arial"/>
          <w:lang w:val="es-ES"/>
        </w:rPr>
        <w:t xml:space="preserve">  </w:t>
      </w:r>
    </w:p>
    <w:p w14:paraId="05338948" w14:textId="77777777" w:rsidR="005A4B48" w:rsidRPr="005A75A6" w:rsidRDefault="005A4B48" w:rsidP="005A75A6">
      <w:pPr>
        <w:jc w:val="both"/>
        <w:rPr>
          <w:rFonts w:ascii="Arial" w:hAnsi="Arial" w:cs="Arial"/>
          <w:lang w:val="es-ES"/>
        </w:rPr>
      </w:pPr>
    </w:p>
    <w:p w14:paraId="252636F2" w14:textId="77777777" w:rsidR="005A4B48" w:rsidRPr="005A75A6" w:rsidRDefault="005A4B48" w:rsidP="005A75A6">
      <w:pPr>
        <w:jc w:val="both"/>
        <w:rPr>
          <w:rFonts w:ascii="Arial" w:hAnsi="Arial" w:cs="Arial"/>
          <w:lang w:val="es-ES"/>
        </w:rPr>
      </w:pPr>
      <w:r w:rsidRPr="005A75A6">
        <w:rPr>
          <w:rFonts w:ascii="Arial" w:hAnsi="Arial" w:cs="Arial"/>
          <w:lang w:val="es-ES"/>
        </w:rPr>
        <w:t>Una vez la acción de tutela supere el estudio de las causales procesales, el juez puede conceder la protección, siempre que advierta la presencia de alguno de los siguientes defectos o vicios de fondo, que miran más hacia la prosperidad de la tutela: (i) defecto sustantivo; (ii) defecto fáctico; (iii) defecto procedimental absoluto; (iv) defecto orgánico; (v) error inducido; (vi) decisión sin motivación; (vii) desconocimiento del precedente, y (viii) violación directa de la Constitución.</w:t>
      </w:r>
    </w:p>
    <w:p w14:paraId="4616A6B3" w14:textId="77777777" w:rsidR="005A4B48" w:rsidRPr="005A75A6" w:rsidRDefault="005A4B48" w:rsidP="005A75A6">
      <w:pPr>
        <w:jc w:val="both"/>
        <w:rPr>
          <w:rFonts w:ascii="Arial" w:hAnsi="Arial" w:cs="Arial"/>
          <w:lang w:val="es-ES"/>
        </w:rPr>
      </w:pPr>
    </w:p>
    <w:p w14:paraId="6E05F120" w14:textId="006AEC23" w:rsidR="00CD3EE2" w:rsidRPr="00B04D88" w:rsidRDefault="00FD47F0" w:rsidP="005A75A6">
      <w:pPr>
        <w:jc w:val="both"/>
        <w:rPr>
          <w:rFonts w:ascii="Arial" w:hAnsi="Arial" w:cs="Arial"/>
          <w:b/>
          <w:lang w:val="es-ES"/>
        </w:rPr>
      </w:pPr>
      <w:r w:rsidRPr="005A75A6">
        <w:rPr>
          <w:rFonts w:ascii="Arial" w:hAnsi="Arial" w:cs="Arial"/>
          <w:b/>
          <w:lang w:val="es-ES"/>
        </w:rPr>
        <w:t>IND</w:t>
      </w:r>
      <w:r w:rsidR="005A4B48" w:rsidRPr="005A75A6">
        <w:rPr>
          <w:rFonts w:ascii="Arial" w:hAnsi="Arial" w:cs="Arial"/>
          <w:b/>
          <w:lang w:val="es-ES"/>
        </w:rPr>
        <w:t>EBIDA ESCOGENCIA DE LA ACCIÓN</w:t>
      </w:r>
      <w:r w:rsidR="00E83FBD">
        <w:rPr>
          <w:rFonts w:ascii="Arial" w:hAnsi="Arial" w:cs="Arial"/>
          <w:b/>
          <w:lang w:val="es-ES"/>
        </w:rPr>
        <w:t xml:space="preserve"> – Acción </w:t>
      </w:r>
      <w:r w:rsidR="00CF48EB">
        <w:rPr>
          <w:rFonts w:ascii="Arial" w:hAnsi="Arial" w:cs="Arial"/>
          <w:b/>
          <w:lang w:val="es-ES"/>
        </w:rPr>
        <w:t>p</w:t>
      </w:r>
      <w:r w:rsidR="00E83FBD">
        <w:rPr>
          <w:rFonts w:ascii="Arial" w:hAnsi="Arial" w:cs="Arial"/>
          <w:b/>
          <w:lang w:val="es-ES"/>
        </w:rPr>
        <w:t>rocedente – Nulidad y restablecimiento del derecho</w:t>
      </w:r>
    </w:p>
    <w:p w14:paraId="75003921" w14:textId="77777777" w:rsidR="00FD47F0" w:rsidRPr="005A75A6" w:rsidRDefault="00CD3EE2" w:rsidP="005A75A6">
      <w:pPr>
        <w:jc w:val="both"/>
        <w:rPr>
          <w:rFonts w:ascii="Arial" w:hAnsi="Arial" w:cs="Arial"/>
          <w:lang w:val="es-ES"/>
        </w:rPr>
      </w:pPr>
      <w:r w:rsidRPr="005A75A6">
        <w:rPr>
          <w:rFonts w:ascii="Arial" w:hAnsi="Arial" w:cs="Arial"/>
          <w:b/>
          <w:lang w:val="es-ES"/>
        </w:rPr>
        <w:t xml:space="preserve"> </w:t>
      </w:r>
    </w:p>
    <w:p w14:paraId="249CA565" w14:textId="77777777" w:rsidR="006D4AD0" w:rsidRPr="005A75A6" w:rsidRDefault="005A4B48" w:rsidP="005A75A6">
      <w:pPr>
        <w:jc w:val="both"/>
        <w:rPr>
          <w:rFonts w:ascii="Arial" w:hAnsi="Arial" w:cs="Arial"/>
          <w:lang w:val="es-ES_tradnl"/>
        </w:rPr>
      </w:pPr>
      <w:r w:rsidRPr="005A75A6">
        <w:rPr>
          <w:rFonts w:ascii="Arial" w:hAnsi="Arial" w:cs="Arial"/>
          <w:lang w:val="es-ES_tradnl"/>
        </w:rPr>
        <w:t>No cabe duda de que los conflictos originados en la falta de reconocimiento y pago de prestaciones sociales causadas en desarrollo de una relación de trabajo encubierta por la administración, mediante contratos u órdenes de prestación de servicios, pertenecen al ámbito del derecho laboral administrativo. Lo procedente en esos casos es que el interesado agote la vía gubernativa y luego ejerza la acción de nulidad y restablecimiento del derecho contra el acto —expreso o ficto— administrativo negativo, a fin de obtener el restablecimiento del derecho violado y/o la indemnización de perjuicios correspondiente. En contraste, los litigios que se resuelven a través de la acción contractual (ahora medio de control de controversias contractuales) se originan en tres grandes escenarios: (i) la celebración del contrato, (ii) la ejecución (incluida la liquidación) y (iii) los actos administrativos contractuales, esto es, los actos unilaterales que dicta la administración con ocasión del contrato. Empero, ninguno de los escenarios referidos se presenta en este caso.</w:t>
      </w:r>
      <w:r w:rsidR="00CD3EE2" w:rsidRPr="005A75A6">
        <w:rPr>
          <w:rFonts w:ascii="Arial" w:hAnsi="Arial" w:cs="Arial"/>
          <w:lang w:val="es-ES_tradnl"/>
        </w:rPr>
        <w:t xml:space="preserve"> </w:t>
      </w:r>
      <w:r w:rsidRPr="005A75A6">
        <w:rPr>
          <w:rFonts w:ascii="Arial" w:hAnsi="Arial" w:cs="Arial"/>
          <w:lang w:val="es-ES_tradnl"/>
        </w:rPr>
        <w:t>Justamente por lo anterior, resulta extraño que el actor haya optado por ejercer la acción contractual, a pesar de que todas las sentencias del Consejo de Estado (Sección Segunda) que citó, se dictaron en procesos de nulidad y restabl</w:t>
      </w:r>
      <w:r w:rsidR="00CD3EE2" w:rsidRPr="005A75A6">
        <w:rPr>
          <w:rFonts w:ascii="Arial" w:hAnsi="Arial" w:cs="Arial"/>
          <w:lang w:val="es-ES_tradnl"/>
        </w:rPr>
        <w:t>ecimiento del derecho promovido</w:t>
      </w:r>
      <w:r w:rsidRPr="005A75A6">
        <w:rPr>
          <w:rFonts w:ascii="Arial" w:hAnsi="Arial" w:cs="Arial"/>
          <w:lang w:val="es-ES_tradnl"/>
        </w:rPr>
        <w:t xml:space="preserve"> para reclamar el reconocimiento y pago de emolumentos derivados del contrato realidad.</w:t>
      </w:r>
    </w:p>
    <w:p w14:paraId="2881D7A7" w14:textId="77777777" w:rsidR="001A4AFA" w:rsidRPr="005A75A6" w:rsidRDefault="001A4AFA" w:rsidP="005A75A6">
      <w:pPr>
        <w:jc w:val="both"/>
        <w:rPr>
          <w:rFonts w:ascii="Arial" w:hAnsi="Arial" w:cs="Arial"/>
          <w:lang w:val="es-ES_tradnl"/>
        </w:rPr>
      </w:pPr>
    </w:p>
    <w:p w14:paraId="183AF1D8" w14:textId="77777777" w:rsidR="00B04D88" w:rsidRPr="005A75A6" w:rsidRDefault="00B04D88" w:rsidP="005A75A6">
      <w:pPr>
        <w:jc w:val="both"/>
        <w:rPr>
          <w:rFonts w:ascii="Arial" w:hAnsi="Arial" w:cs="Arial"/>
          <w:lang w:val="es-ES_tradnl"/>
        </w:rPr>
      </w:pPr>
    </w:p>
    <w:p w14:paraId="285CAC95" w14:textId="77777777" w:rsidR="008E4DCF" w:rsidRPr="005A75A6" w:rsidRDefault="008E4DCF" w:rsidP="005A75A6">
      <w:pPr>
        <w:jc w:val="both"/>
        <w:rPr>
          <w:rFonts w:ascii="Arial" w:hAnsi="Arial" w:cs="Arial"/>
          <w:b/>
        </w:rPr>
      </w:pPr>
    </w:p>
    <w:p w14:paraId="0655A40D" w14:textId="77777777" w:rsidR="00CF3927" w:rsidRPr="005A75A6" w:rsidRDefault="00CF3927" w:rsidP="00354EE0">
      <w:pPr>
        <w:jc w:val="center"/>
        <w:rPr>
          <w:rFonts w:ascii="Arial" w:hAnsi="Arial" w:cs="Arial"/>
          <w:b/>
          <w:sz w:val="24"/>
          <w:szCs w:val="24"/>
        </w:rPr>
      </w:pPr>
      <w:r w:rsidRPr="005A75A6">
        <w:rPr>
          <w:rFonts w:ascii="Arial" w:hAnsi="Arial" w:cs="Arial"/>
          <w:b/>
          <w:sz w:val="24"/>
          <w:szCs w:val="24"/>
        </w:rPr>
        <w:lastRenderedPageBreak/>
        <w:t>CONSEJO DE ESTADO</w:t>
      </w:r>
    </w:p>
    <w:p w14:paraId="1E834AFC" w14:textId="77777777" w:rsidR="00354EE0" w:rsidRPr="005A75A6" w:rsidRDefault="00354EE0" w:rsidP="00354EE0">
      <w:pPr>
        <w:jc w:val="center"/>
        <w:rPr>
          <w:rFonts w:ascii="Arial" w:hAnsi="Arial" w:cs="Arial"/>
          <w:b/>
          <w:sz w:val="24"/>
          <w:szCs w:val="24"/>
        </w:rPr>
      </w:pPr>
    </w:p>
    <w:p w14:paraId="2DE06B3B" w14:textId="77777777" w:rsidR="00CF3927" w:rsidRPr="005A75A6" w:rsidRDefault="00CF3927" w:rsidP="00354EE0">
      <w:pPr>
        <w:jc w:val="center"/>
        <w:rPr>
          <w:rFonts w:ascii="Arial" w:hAnsi="Arial" w:cs="Arial"/>
          <w:b/>
          <w:sz w:val="24"/>
          <w:szCs w:val="24"/>
        </w:rPr>
      </w:pPr>
      <w:r w:rsidRPr="005A75A6">
        <w:rPr>
          <w:rFonts w:ascii="Arial" w:hAnsi="Arial" w:cs="Arial"/>
          <w:b/>
          <w:sz w:val="24"/>
          <w:szCs w:val="24"/>
        </w:rPr>
        <w:t>SALA DE LO CONTENCIOSO ADMINISTRATIVO</w:t>
      </w:r>
    </w:p>
    <w:p w14:paraId="157E8D6E" w14:textId="77777777" w:rsidR="00354EE0" w:rsidRPr="005A75A6" w:rsidRDefault="00354EE0" w:rsidP="00354EE0">
      <w:pPr>
        <w:jc w:val="center"/>
        <w:rPr>
          <w:rFonts w:ascii="Arial" w:hAnsi="Arial" w:cs="Arial"/>
          <w:b/>
          <w:sz w:val="24"/>
          <w:szCs w:val="24"/>
        </w:rPr>
      </w:pPr>
    </w:p>
    <w:p w14:paraId="33046404" w14:textId="77777777" w:rsidR="00CF3927" w:rsidRPr="005A75A6" w:rsidRDefault="00CF3927" w:rsidP="00354EE0">
      <w:pPr>
        <w:jc w:val="center"/>
        <w:rPr>
          <w:rFonts w:ascii="Arial" w:hAnsi="Arial" w:cs="Arial"/>
          <w:b/>
          <w:sz w:val="24"/>
          <w:szCs w:val="24"/>
        </w:rPr>
      </w:pPr>
      <w:r w:rsidRPr="005A75A6">
        <w:rPr>
          <w:rFonts w:ascii="Arial" w:hAnsi="Arial" w:cs="Arial"/>
          <w:b/>
          <w:sz w:val="24"/>
          <w:szCs w:val="24"/>
        </w:rPr>
        <w:t>SECCIÓN CUARTA</w:t>
      </w:r>
    </w:p>
    <w:p w14:paraId="4A7DC9FD" w14:textId="77777777" w:rsidR="00CF3927" w:rsidRPr="005A75A6" w:rsidRDefault="00CF3927" w:rsidP="00354EE0">
      <w:pPr>
        <w:jc w:val="center"/>
        <w:rPr>
          <w:rFonts w:ascii="Arial" w:hAnsi="Arial" w:cs="Arial"/>
          <w:b/>
          <w:sz w:val="24"/>
          <w:szCs w:val="24"/>
        </w:rPr>
      </w:pPr>
    </w:p>
    <w:p w14:paraId="56BAD543" w14:textId="77777777" w:rsidR="00CF3927" w:rsidRPr="005A75A6" w:rsidRDefault="00354EE0" w:rsidP="00354EE0">
      <w:pPr>
        <w:jc w:val="center"/>
        <w:rPr>
          <w:rFonts w:ascii="Arial" w:hAnsi="Arial" w:cs="Arial"/>
          <w:b/>
          <w:bCs/>
          <w:sz w:val="24"/>
          <w:szCs w:val="24"/>
        </w:rPr>
      </w:pPr>
      <w:r w:rsidRPr="005A75A6">
        <w:rPr>
          <w:rFonts w:ascii="Arial" w:hAnsi="Arial" w:cs="Arial"/>
          <w:b/>
          <w:bCs/>
          <w:sz w:val="24"/>
          <w:szCs w:val="24"/>
        </w:rPr>
        <w:t>Consejer</w:t>
      </w:r>
      <w:r w:rsidR="00DE2447" w:rsidRPr="005A75A6">
        <w:rPr>
          <w:rFonts w:ascii="Arial" w:hAnsi="Arial" w:cs="Arial"/>
          <w:b/>
          <w:bCs/>
          <w:sz w:val="24"/>
          <w:szCs w:val="24"/>
        </w:rPr>
        <w:t>a ponente</w:t>
      </w:r>
      <w:r w:rsidRPr="005A75A6">
        <w:rPr>
          <w:rFonts w:ascii="Arial" w:hAnsi="Arial" w:cs="Arial"/>
          <w:b/>
          <w:bCs/>
          <w:sz w:val="24"/>
          <w:szCs w:val="24"/>
        </w:rPr>
        <w:t>:</w:t>
      </w:r>
      <w:r w:rsidR="00F24FB0" w:rsidRPr="005A75A6">
        <w:rPr>
          <w:rFonts w:ascii="Arial" w:hAnsi="Arial" w:cs="Arial"/>
          <w:b/>
          <w:bCs/>
          <w:sz w:val="24"/>
          <w:szCs w:val="24"/>
        </w:rPr>
        <w:t xml:space="preserve"> </w:t>
      </w:r>
      <w:r w:rsidR="00DE2447" w:rsidRPr="005A75A6">
        <w:rPr>
          <w:rFonts w:ascii="Arial" w:hAnsi="Arial" w:cs="Arial"/>
          <w:b/>
          <w:bCs/>
          <w:sz w:val="24"/>
          <w:szCs w:val="24"/>
        </w:rPr>
        <w:t>STELLA JEANNETTE CARVAJAL BASTO</w:t>
      </w:r>
      <w:r w:rsidRPr="005A75A6">
        <w:rPr>
          <w:rFonts w:ascii="Arial" w:hAnsi="Arial" w:cs="Arial"/>
          <w:b/>
          <w:bCs/>
          <w:sz w:val="24"/>
          <w:szCs w:val="24"/>
        </w:rPr>
        <w:t xml:space="preserve"> (E)</w:t>
      </w:r>
    </w:p>
    <w:p w14:paraId="589449D3" w14:textId="77777777" w:rsidR="00CF3927" w:rsidRPr="005A75A6" w:rsidRDefault="00CF3927" w:rsidP="00354EE0">
      <w:pPr>
        <w:jc w:val="center"/>
        <w:rPr>
          <w:rFonts w:ascii="Arial" w:hAnsi="Arial" w:cs="Arial"/>
          <w:b/>
          <w:sz w:val="24"/>
          <w:szCs w:val="24"/>
        </w:rPr>
      </w:pPr>
    </w:p>
    <w:p w14:paraId="4BE0FF5D" w14:textId="77777777" w:rsidR="00CF3927" w:rsidRPr="005A75A6" w:rsidRDefault="00CF3927" w:rsidP="00354EE0">
      <w:pPr>
        <w:jc w:val="both"/>
        <w:rPr>
          <w:rFonts w:ascii="Arial" w:hAnsi="Arial" w:cs="Arial"/>
          <w:sz w:val="24"/>
          <w:szCs w:val="24"/>
        </w:rPr>
      </w:pPr>
      <w:r w:rsidRPr="005A75A6">
        <w:rPr>
          <w:rFonts w:ascii="Arial" w:hAnsi="Arial" w:cs="Arial"/>
          <w:sz w:val="24"/>
          <w:szCs w:val="24"/>
        </w:rPr>
        <w:t xml:space="preserve">Bogotá, </w:t>
      </w:r>
      <w:r w:rsidR="00354EE0" w:rsidRPr="005A75A6">
        <w:rPr>
          <w:rFonts w:ascii="Arial" w:hAnsi="Arial" w:cs="Arial"/>
          <w:sz w:val="24"/>
          <w:szCs w:val="24"/>
        </w:rPr>
        <w:t>D.C., treinta (</w:t>
      </w:r>
      <w:r w:rsidR="003F1344" w:rsidRPr="005A75A6">
        <w:rPr>
          <w:rFonts w:ascii="Arial" w:hAnsi="Arial" w:cs="Arial"/>
          <w:sz w:val="24"/>
          <w:szCs w:val="24"/>
        </w:rPr>
        <w:t>3</w:t>
      </w:r>
      <w:r w:rsidR="00BA5DC3" w:rsidRPr="005A75A6">
        <w:rPr>
          <w:rFonts w:ascii="Arial" w:hAnsi="Arial" w:cs="Arial"/>
          <w:sz w:val="24"/>
          <w:szCs w:val="24"/>
        </w:rPr>
        <w:t>0</w:t>
      </w:r>
      <w:r w:rsidR="00354EE0" w:rsidRPr="005A75A6">
        <w:rPr>
          <w:rFonts w:ascii="Arial" w:hAnsi="Arial" w:cs="Arial"/>
          <w:sz w:val="24"/>
          <w:szCs w:val="24"/>
        </w:rPr>
        <w:t>)</w:t>
      </w:r>
      <w:r w:rsidR="003F1344" w:rsidRPr="005A75A6">
        <w:rPr>
          <w:rFonts w:ascii="Arial" w:hAnsi="Arial" w:cs="Arial"/>
          <w:sz w:val="24"/>
          <w:szCs w:val="24"/>
        </w:rPr>
        <w:t xml:space="preserve"> de agosto </w:t>
      </w:r>
      <w:r w:rsidR="004208ED" w:rsidRPr="005A75A6">
        <w:rPr>
          <w:rFonts w:ascii="Arial" w:hAnsi="Arial" w:cs="Arial"/>
          <w:sz w:val="24"/>
          <w:szCs w:val="24"/>
        </w:rPr>
        <w:t xml:space="preserve">de </w:t>
      </w:r>
      <w:r w:rsidR="00354EE0" w:rsidRPr="005A75A6">
        <w:rPr>
          <w:rFonts w:ascii="Arial" w:hAnsi="Arial" w:cs="Arial"/>
          <w:sz w:val="24"/>
          <w:szCs w:val="24"/>
        </w:rPr>
        <w:t>dos mil diecisiete (</w:t>
      </w:r>
      <w:r w:rsidR="004208ED" w:rsidRPr="005A75A6">
        <w:rPr>
          <w:rFonts w:ascii="Arial" w:hAnsi="Arial" w:cs="Arial"/>
          <w:sz w:val="24"/>
          <w:szCs w:val="24"/>
        </w:rPr>
        <w:t>2017</w:t>
      </w:r>
      <w:r w:rsidR="00354EE0" w:rsidRPr="005A75A6">
        <w:rPr>
          <w:rFonts w:ascii="Arial" w:hAnsi="Arial" w:cs="Arial"/>
          <w:sz w:val="24"/>
          <w:szCs w:val="24"/>
        </w:rPr>
        <w:t>)</w:t>
      </w:r>
    </w:p>
    <w:p w14:paraId="11B17937" w14:textId="77777777" w:rsidR="00CF3927" w:rsidRPr="005A75A6" w:rsidRDefault="00CF3927" w:rsidP="00354EE0">
      <w:pPr>
        <w:jc w:val="both"/>
        <w:rPr>
          <w:rFonts w:ascii="Arial" w:hAnsi="Arial" w:cs="Arial"/>
          <w:b/>
          <w:bCs/>
          <w:sz w:val="24"/>
          <w:szCs w:val="24"/>
          <w:lang w:val="es-ES"/>
        </w:rPr>
      </w:pPr>
    </w:p>
    <w:p w14:paraId="6083F212" w14:textId="77777777" w:rsidR="00CF3927" w:rsidRPr="005A75A6" w:rsidRDefault="00354EE0" w:rsidP="00354EE0">
      <w:pPr>
        <w:jc w:val="both"/>
        <w:rPr>
          <w:rFonts w:ascii="Arial" w:hAnsi="Arial" w:cs="Arial"/>
          <w:b/>
          <w:sz w:val="24"/>
          <w:szCs w:val="24"/>
        </w:rPr>
      </w:pPr>
      <w:r w:rsidRPr="005A75A6">
        <w:rPr>
          <w:rFonts w:ascii="Arial" w:hAnsi="Arial" w:cs="Arial"/>
          <w:b/>
          <w:bCs/>
          <w:sz w:val="24"/>
          <w:szCs w:val="24"/>
        </w:rPr>
        <w:t>Radicación número:</w:t>
      </w:r>
      <w:r w:rsidR="00CF3927" w:rsidRPr="005A75A6">
        <w:rPr>
          <w:rFonts w:ascii="Arial" w:hAnsi="Arial" w:cs="Arial"/>
          <w:b/>
          <w:bCs/>
          <w:sz w:val="24"/>
          <w:szCs w:val="24"/>
        </w:rPr>
        <w:t xml:space="preserve"> 11001</w:t>
      </w:r>
      <w:r w:rsidR="00CF3927" w:rsidRPr="005A75A6">
        <w:rPr>
          <w:rFonts w:ascii="Arial" w:hAnsi="Arial" w:cs="Arial"/>
          <w:b/>
          <w:sz w:val="24"/>
          <w:szCs w:val="24"/>
        </w:rPr>
        <w:t>-03-15-000-2016-</w:t>
      </w:r>
      <w:r w:rsidR="00F24FB0" w:rsidRPr="005A75A6">
        <w:rPr>
          <w:rFonts w:ascii="Arial" w:hAnsi="Arial" w:cs="Arial"/>
          <w:b/>
          <w:sz w:val="24"/>
          <w:szCs w:val="24"/>
        </w:rPr>
        <w:t>03754</w:t>
      </w:r>
      <w:r w:rsidR="00CF3927" w:rsidRPr="005A75A6">
        <w:rPr>
          <w:rFonts w:ascii="Arial" w:hAnsi="Arial" w:cs="Arial"/>
          <w:b/>
          <w:sz w:val="24"/>
          <w:szCs w:val="24"/>
        </w:rPr>
        <w:t>-01</w:t>
      </w:r>
      <w:r w:rsidRPr="005A75A6">
        <w:rPr>
          <w:rFonts w:ascii="Arial" w:hAnsi="Arial" w:cs="Arial"/>
          <w:b/>
          <w:sz w:val="24"/>
          <w:szCs w:val="24"/>
        </w:rPr>
        <w:t>(AC)</w:t>
      </w:r>
    </w:p>
    <w:p w14:paraId="40EA7421" w14:textId="77777777" w:rsidR="00354EE0" w:rsidRPr="005A75A6" w:rsidRDefault="00354EE0" w:rsidP="00354EE0">
      <w:pPr>
        <w:jc w:val="both"/>
        <w:rPr>
          <w:rFonts w:ascii="Arial" w:hAnsi="Arial" w:cs="Arial"/>
          <w:b/>
          <w:bCs/>
          <w:sz w:val="24"/>
          <w:szCs w:val="24"/>
        </w:rPr>
      </w:pPr>
    </w:p>
    <w:p w14:paraId="7D75FCC9" w14:textId="77777777" w:rsidR="00CF3927" w:rsidRPr="005A75A6" w:rsidRDefault="00354EE0" w:rsidP="00354EE0">
      <w:pPr>
        <w:jc w:val="both"/>
        <w:rPr>
          <w:rFonts w:ascii="Arial" w:hAnsi="Arial" w:cs="Arial"/>
          <w:b/>
          <w:sz w:val="24"/>
          <w:szCs w:val="24"/>
        </w:rPr>
      </w:pPr>
      <w:r w:rsidRPr="005A75A6">
        <w:rPr>
          <w:rFonts w:ascii="Arial" w:hAnsi="Arial" w:cs="Arial"/>
          <w:b/>
          <w:bCs/>
          <w:sz w:val="24"/>
          <w:szCs w:val="24"/>
        </w:rPr>
        <w:t>Actor</w:t>
      </w:r>
      <w:r w:rsidR="00CF3927" w:rsidRPr="005A75A6">
        <w:rPr>
          <w:rFonts w:ascii="Arial" w:hAnsi="Arial" w:cs="Arial"/>
          <w:b/>
          <w:bCs/>
          <w:sz w:val="24"/>
          <w:szCs w:val="24"/>
        </w:rPr>
        <w:t xml:space="preserve">: </w:t>
      </w:r>
      <w:r w:rsidRPr="005A75A6">
        <w:rPr>
          <w:rFonts w:ascii="Arial" w:hAnsi="Arial" w:cs="Arial"/>
          <w:b/>
          <w:sz w:val="24"/>
          <w:szCs w:val="24"/>
        </w:rPr>
        <w:t>CARLOS ANTONIO ARIAS TOVAR</w:t>
      </w:r>
    </w:p>
    <w:p w14:paraId="326FB351" w14:textId="77777777" w:rsidR="00354EE0" w:rsidRPr="005A75A6" w:rsidRDefault="00354EE0" w:rsidP="00354EE0">
      <w:pPr>
        <w:jc w:val="both"/>
        <w:rPr>
          <w:rFonts w:ascii="Arial" w:hAnsi="Arial" w:cs="Arial"/>
          <w:b/>
          <w:sz w:val="24"/>
          <w:szCs w:val="24"/>
        </w:rPr>
      </w:pPr>
    </w:p>
    <w:p w14:paraId="023EED7E" w14:textId="77777777" w:rsidR="00CF3927" w:rsidRPr="005A75A6" w:rsidRDefault="00CF3927" w:rsidP="00354EE0">
      <w:pPr>
        <w:jc w:val="both"/>
        <w:rPr>
          <w:rFonts w:ascii="Arial" w:hAnsi="Arial" w:cs="Arial"/>
          <w:b/>
          <w:bCs/>
          <w:sz w:val="24"/>
          <w:szCs w:val="24"/>
        </w:rPr>
      </w:pPr>
      <w:r w:rsidRPr="005A75A6">
        <w:rPr>
          <w:rFonts w:ascii="Arial" w:hAnsi="Arial" w:cs="Arial"/>
          <w:b/>
          <w:bCs/>
          <w:sz w:val="24"/>
          <w:szCs w:val="24"/>
        </w:rPr>
        <w:t xml:space="preserve">Demandado: </w:t>
      </w:r>
      <w:r w:rsidR="00354EE0" w:rsidRPr="005A75A6">
        <w:rPr>
          <w:rFonts w:ascii="Arial" w:hAnsi="Arial" w:cs="Arial"/>
          <w:b/>
          <w:bCs/>
          <w:sz w:val="24"/>
          <w:szCs w:val="24"/>
        </w:rPr>
        <w:t>TRIBUNAL ADMINISTRATIVO DEL HUILA, SALA SEGUNDA DE DECISIÓN ESCRITURAL</w:t>
      </w:r>
    </w:p>
    <w:p w14:paraId="43299DB1" w14:textId="77777777" w:rsidR="00CF3927" w:rsidRPr="005A75A6" w:rsidRDefault="00CF3927" w:rsidP="00354EE0">
      <w:pPr>
        <w:jc w:val="both"/>
        <w:rPr>
          <w:rFonts w:ascii="Arial" w:hAnsi="Arial" w:cs="Arial"/>
          <w:bCs/>
          <w:sz w:val="24"/>
          <w:szCs w:val="24"/>
        </w:rPr>
      </w:pPr>
    </w:p>
    <w:p w14:paraId="2E935B82" w14:textId="77777777" w:rsidR="00CF3927" w:rsidRPr="005A75A6" w:rsidRDefault="00CF3927" w:rsidP="00354EE0">
      <w:pPr>
        <w:jc w:val="both"/>
        <w:rPr>
          <w:rFonts w:ascii="Arial" w:hAnsi="Arial" w:cs="Arial"/>
          <w:sz w:val="24"/>
          <w:szCs w:val="24"/>
        </w:rPr>
      </w:pPr>
    </w:p>
    <w:p w14:paraId="662A4A4A" w14:textId="77777777" w:rsidR="00354EE0" w:rsidRPr="005A75A6" w:rsidRDefault="00354EE0" w:rsidP="00354EE0">
      <w:pPr>
        <w:jc w:val="both"/>
        <w:rPr>
          <w:rFonts w:ascii="Arial" w:hAnsi="Arial" w:cs="Arial"/>
          <w:sz w:val="24"/>
          <w:szCs w:val="24"/>
        </w:rPr>
      </w:pPr>
    </w:p>
    <w:p w14:paraId="7F70DE55" w14:textId="77777777" w:rsidR="00CF3927" w:rsidRPr="005A75A6" w:rsidRDefault="00CF3927" w:rsidP="00CF3927">
      <w:pPr>
        <w:spacing w:line="360" w:lineRule="auto"/>
        <w:ind w:right="51"/>
        <w:jc w:val="both"/>
        <w:rPr>
          <w:rFonts w:ascii="Arial" w:hAnsi="Arial" w:cs="Arial"/>
          <w:bCs/>
          <w:sz w:val="24"/>
          <w:szCs w:val="24"/>
          <w:lang w:val="es-ES"/>
        </w:rPr>
      </w:pPr>
      <w:r w:rsidRPr="005A75A6">
        <w:rPr>
          <w:rFonts w:ascii="Arial" w:hAnsi="Arial" w:cs="Arial"/>
          <w:sz w:val="24"/>
          <w:szCs w:val="24"/>
        </w:rPr>
        <w:t>La Sala decide la impugnación</w:t>
      </w:r>
      <w:r w:rsidR="00F24FB0" w:rsidRPr="005A75A6">
        <w:rPr>
          <w:rFonts w:ascii="Arial" w:hAnsi="Arial" w:cs="Arial"/>
          <w:sz w:val="24"/>
          <w:szCs w:val="24"/>
        </w:rPr>
        <w:t xml:space="preserve"> interpuesta por el actor c</w:t>
      </w:r>
      <w:r w:rsidRPr="005A75A6">
        <w:rPr>
          <w:rFonts w:ascii="Arial" w:hAnsi="Arial" w:cs="Arial"/>
          <w:sz w:val="24"/>
          <w:szCs w:val="24"/>
        </w:rPr>
        <w:t xml:space="preserve">ontra la sentencia del </w:t>
      </w:r>
      <w:r w:rsidR="00F24FB0" w:rsidRPr="005A75A6">
        <w:rPr>
          <w:rFonts w:ascii="Arial" w:hAnsi="Arial" w:cs="Arial"/>
          <w:sz w:val="24"/>
          <w:szCs w:val="24"/>
        </w:rPr>
        <w:t xml:space="preserve">15 </w:t>
      </w:r>
      <w:r w:rsidR="00640FAA" w:rsidRPr="005A75A6">
        <w:rPr>
          <w:rFonts w:ascii="Arial" w:hAnsi="Arial" w:cs="Arial"/>
          <w:sz w:val="24"/>
          <w:szCs w:val="24"/>
        </w:rPr>
        <w:t>d</w:t>
      </w:r>
      <w:r w:rsidR="00F24FB0" w:rsidRPr="005A75A6">
        <w:rPr>
          <w:rFonts w:ascii="Arial" w:hAnsi="Arial" w:cs="Arial"/>
          <w:sz w:val="24"/>
          <w:szCs w:val="24"/>
        </w:rPr>
        <w:t>e febrero de 2017</w:t>
      </w:r>
      <w:r w:rsidRPr="005A75A6">
        <w:rPr>
          <w:rFonts w:ascii="Arial" w:hAnsi="Arial" w:cs="Arial"/>
          <w:sz w:val="24"/>
          <w:szCs w:val="24"/>
        </w:rPr>
        <w:t>, dictada por el Consejo de Estado, Sección Segunda, Subsección B, que denegó el amparo pedido.</w:t>
      </w:r>
    </w:p>
    <w:p w14:paraId="280E60D6" w14:textId="77777777" w:rsidR="00CF3927" w:rsidRPr="005A75A6" w:rsidRDefault="00CF3927" w:rsidP="00CF3927">
      <w:pPr>
        <w:pStyle w:val="Sangradetextonormal"/>
        <w:widowControl w:val="0"/>
        <w:spacing w:line="240" w:lineRule="auto"/>
        <w:rPr>
          <w:sz w:val="24"/>
          <w:szCs w:val="24"/>
        </w:rPr>
      </w:pPr>
    </w:p>
    <w:p w14:paraId="4AA5B241" w14:textId="77777777" w:rsidR="00CF3927" w:rsidRPr="005A75A6" w:rsidRDefault="00CF3927" w:rsidP="00724E32">
      <w:pPr>
        <w:pStyle w:val="Sangradetextonormal"/>
        <w:widowControl w:val="0"/>
        <w:numPr>
          <w:ilvl w:val="0"/>
          <w:numId w:val="6"/>
        </w:numPr>
        <w:jc w:val="center"/>
        <w:rPr>
          <w:sz w:val="24"/>
          <w:szCs w:val="24"/>
        </w:rPr>
      </w:pPr>
      <w:r w:rsidRPr="005A75A6">
        <w:rPr>
          <w:sz w:val="24"/>
          <w:szCs w:val="24"/>
        </w:rPr>
        <w:t>ANTECEDENTES</w:t>
      </w:r>
    </w:p>
    <w:p w14:paraId="51B45083" w14:textId="77777777" w:rsidR="00CF3927" w:rsidRPr="005A75A6" w:rsidRDefault="00CF3927" w:rsidP="00CF3927">
      <w:pPr>
        <w:pStyle w:val="Sangradetextonormal"/>
        <w:widowControl w:val="0"/>
        <w:jc w:val="center"/>
        <w:rPr>
          <w:sz w:val="24"/>
          <w:szCs w:val="24"/>
        </w:rPr>
      </w:pPr>
    </w:p>
    <w:p w14:paraId="0D8196D2" w14:textId="77777777" w:rsidR="00CF3927" w:rsidRPr="005A75A6" w:rsidRDefault="00CF3927" w:rsidP="00CF3927">
      <w:pPr>
        <w:widowControl w:val="0"/>
        <w:numPr>
          <w:ilvl w:val="0"/>
          <w:numId w:val="1"/>
        </w:numPr>
        <w:spacing w:line="360" w:lineRule="auto"/>
        <w:rPr>
          <w:rFonts w:ascii="Arial" w:hAnsi="Arial" w:cs="Arial"/>
          <w:b/>
          <w:sz w:val="24"/>
          <w:szCs w:val="24"/>
          <w:lang w:val="es-ES"/>
        </w:rPr>
      </w:pPr>
      <w:r w:rsidRPr="005A75A6">
        <w:rPr>
          <w:rFonts w:ascii="Arial" w:hAnsi="Arial" w:cs="Arial"/>
          <w:b/>
          <w:sz w:val="24"/>
          <w:szCs w:val="24"/>
          <w:lang w:val="es-ES"/>
        </w:rPr>
        <w:t xml:space="preserve">Pretensiones </w:t>
      </w:r>
    </w:p>
    <w:p w14:paraId="3F83B8FA" w14:textId="77777777" w:rsidR="00CF3927" w:rsidRPr="005A75A6" w:rsidRDefault="00CF3927" w:rsidP="00CF3927">
      <w:pPr>
        <w:widowControl w:val="0"/>
        <w:spacing w:line="360" w:lineRule="auto"/>
        <w:ind w:left="360"/>
        <w:rPr>
          <w:rFonts w:ascii="Arial" w:hAnsi="Arial" w:cs="Arial"/>
          <w:sz w:val="24"/>
          <w:szCs w:val="24"/>
          <w:lang w:val="es-ES_tradnl"/>
        </w:rPr>
      </w:pPr>
    </w:p>
    <w:p w14:paraId="3B5C1B9F" w14:textId="77777777" w:rsidR="00CF3927" w:rsidRPr="005A75A6" w:rsidRDefault="00724E32" w:rsidP="00CF3927">
      <w:pPr>
        <w:spacing w:line="360" w:lineRule="auto"/>
        <w:ind w:right="51"/>
        <w:jc w:val="both"/>
        <w:rPr>
          <w:rFonts w:ascii="Arial" w:hAnsi="Arial" w:cs="Arial"/>
          <w:bCs/>
          <w:sz w:val="24"/>
          <w:szCs w:val="24"/>
          <w:lang w:val="es-ES"/>
        </w:rPr>
      </w:pPr>
      <w:r w:rsidRPr="005A75A6">
        <w:rPr>
          <w:rFonts w:ascii="Arial" w:hAnsi="Arial" w:cs="Arial"/>
          <w:sz w:val="24"/>
          <w:szCs w:val="24"/>
        </w:rPr>
        <w:t>El</w:t>
      </w:r>
      <w:r w:rsidR="00CF3927" w:rsidRPr="005A75A6">
        <w:rPr>
          <w:rFonts w:ascii="Arial" w:hAnsi="Arial" w:cs="Arial"/>
          <w:sz w:val="24"/>
          <w:szCs w:val="24"/>
        </w:rPr>
        <w:t xml:space="preserve"> </w:t>
      </w:r>
      <w:r w:rsidR="00F24FB0" w:rsidRPr="005A75A6">
        <w:rPr>
          <w:rFonts w:ascii="Arial" w:hAnsi="Arial" w:cs="Arial"/>
          <w:sz w:val="24"/>
          <w:szCs w:val="24"/>
        </w:rPr>
        <w:t>señor Carlos Antonio Arias Tovar</w:t>
      </w:r>
      <w:r w:rsidR="00CF3927" w:rsidRPr="005A75A6">
        <w:rPr>
          <w:rFonts w:ascii="Arial" w:hAnsi="Arial" w:cs="Arial"/>
          <w:sz w:val="24"/>
          <w:szCs w:val="24"/>
        </w:rPr>
        <w:t xml:space="preserve">, mediante apoderada judicial, </w:t>
      </w:r>
      <w:r w:rsidR="00CF3927" w:rsidRPr="005A75A6">
        <w:rPr>
          <w:rFonts w:ascii="Arial" w:hAnsi="Arial" w:cs="Arial"/>
          <w:sz w:val="24"/>
          <w:szCs w:val="24"/>
          <w:lang w:val="es-ES"/>
        </w:rPr>
        <w:t xml:space="preserve">presentó acción de tutela contra </w:t>
      </w:r>
      <w:r w:rsidR="00CF3927" w:rsidRPr="005A75A6">
        <w:rPr>
          <w:rFonts w:ascii="Arial" w:hAnsi="Arial" w:cs="Arial"/>
          <w:sz w:val="24"/>
          <w:szCs w:val="24"/>
        </w:rPr>
        <w:t xml:space="preserve">la sentencia del </w:t>
      </w:r>
      <w:r w:rsidR="00A86799" w:rsidRPr="005A75A6">
        <w:rPr>
          <w:rFonts w:ascii="Arial" w:hAnsi="Arial" w:cs="Arial"/>
          <w:sz w:val="24"/>
          <w:szCs w:val="24"/>
        </w:rPr>
        <w:t>17 de agosto de 2016</w:t>
      </w:r>
      <w:r w:rsidR="00CF3927" w:rsidRPr="005A75A6">
        <w:rPr>
          <w:rFonts w:ascii="Arial" w:hAnsi="Arial" w:cs="Arial"/>
          <w:sz w:val="24"/>
          <w:szCs w:val="24"/>
        </w:rPr>
        <w:t xml:space="preserve">, proferida por </w:t>
      </w:r>
      <w:r w:rsidRPr="005A75A6">
        <w:rPr>
          <w:rFonts w:ascii="Arial" w:hAnsi="Arial" w:cs="Arial"/>
          <w:sz w:val="24"/>
          <w:szCs w:val="24"/>
        </w:rPr>
        <w:t xml:space="preserve">el </w:t>
      </w:r>
      <w:r w:rsidR="00CF3927" w:rsidRPr="005A75A6">
        <w:rPr>
          <w:rFonts w:ascii="Arial" w:hAnsi="Arial" w:cs="Arial"/>
          <w:sz w:val="24"/>
          <w:szCs w:val="24"/>
        </w:rPr>
        <w:t>Tribunal Administrativo de</w:t>
      </w:r>
      <w:r w:rsidRPr="005A75A6">
        <w:rPr>
          <w:rFonts w:ascii="Arial" w:hAnsi="Arial" w:cs="Arial"/>
          <w:sz w:val="24"/>
          <w:szCs w:val="24"/>
        </w:rPr>
        <w:t>l Huila</w:t>
      </w:r>
      <w:r w:rsidR="00CF3927" w:rsidRPr="005A75A6">
        <w:rPr>
          <w:rFonts w:ascii="Arial" w:hAnsi="Arial" w:cs="Arial"/>
          <w:sz w:val="24"/>
          <w:szCs w:val="24"/>
        </w:rPr>
        <w:t xml:space="preserve">, </w:t>
      </w:r>
      <w:r w:rsidR="00846ABD" w:rsidRPr="005A75A6">
        <w:rPr>
          <w:rFonts w:ascii="Arial" w:hAnsi="Arial" w:cs="Arial"/>
          <w:sz w:val="24"/>
          <w:szCs w:val="24"/>
        </w:rPr>
        <w:t xml:space="preserve">Sala Segunda de Decisión Escritural, </w:t>
      </w:r>
      <w:r w:rsidR="00CF3927" w:rsidRPr="005A75A6">
        <w:rPr>
          <w:rFonts w:ascii="Arial" w:hAnsi="Arial" w:cs="Arial"/>
          <w:sz w:val="24"/>
          <w:szCs w:val="24"/>
        </w:rPr>
        <w:t xml:space="preserve">por cuanto estimó </w:t>
      </w:r>
      <w:r w:rsidR="00CF3927" w:rsidRPr="005A75A6">
        <w:rPr>
          <w:rFonts w:ascii="Arial" w:hAnsi="Arial" w:cs="Arial"/>
          <w:sz w:val="24"/>
          <w:szCs w:val="24"/>
          <w:lang w:val="es-ES"/>
        </w:rPr>
        <w:t xml:space="preserve">vulnerado </w:t>
      </w:r>
      <w:r w:rsidRPr="005A75A6">
        <w:rPr>
          <w:rFonts w:ascii="Arial" w:hAnsi="Arial" w:cs="Arial"/>
          <w:sz w:val="24"/>
          <w:szCs w:val="24"/>
          <w:lang w:val="es-ES"/>
        </w:rPr>
        <w:t xml:space="preserve">el </w:t>
      </w:r>
      <w:r w:rsidR="00CF3927" w:rsidRPr="005A75A6">
        <w:rPr>
          <w:rFonts w:ascii="Arial" w:hAnsi="Arial" w:cs="Arial"/>
          <w:sz w:val="24"/>
          <w:szCs w:val="24"/>
          <w:lang w:val="es-ES"/>
        </w:rPr>
        <w:t>derecho fundamental</w:t>
      </w:r>
      <w:r w:rsidRPr="005A75A6">
        <w:rPr>
          <w:rFonts w:ascii="Arial" w:hAnsi="Arial" w:cs="Arial"/>
          <w:sz w:val="24"/>
          <w:szCs w:val="24"/>
          <w:lang w:val="es-ES"/>
        </w:rPr>
        <w:t xml:space="preserve"> al</w:t>
      </w:r>
      <w:r w:rsidR="00CF3927" w:rsidRPr="005A75A6">
        <w:rPr>
          <w:rFonts w:ascii="Arial" w:hAnsi="Arial" w:cs="Arial"/>
          <w:sz w:val="24"/>
          <w:szCs w:val="24"/>
          <w:lang w:val="es-ES"/>
        </w:rPr>
        <w:t xml:space="preserve"> debido proceso. En consecuencia, formuló las siguientes pretensiones:</w:t>
      </w:r>
    </w:p>
    <w:p w14:paraId="579C8391" w14:textId="77777777" w:rsidR="00CF3927" w:rsidRPr="005A75A6" w:rsidRDefault="00CF3927" w:rsidP="00CF3927">
      <w:pPr>
        <w:spacing w:line="360" w:lineRule="auto"/>
        <w:ind w:right="51"/>
        <w:jc w:val="both"/>
        <w:rPr>
          <w:rFonts w:ascii="Arial" w:hAnsi="Arial" w:cs="Arial"/>
          <w:sz w:val="24"/>
          <w:szCs w:val="24"/>
          <w:lang w:val="es-ES"/>
        </w:rPr>
      </w:pPr>
    </w:p>
    <w:p w14:paraId="2A704597" w14:textId="77777777" w:rsidR="00CF3927" w:rsidRPr="005A75A6" w:rsidRDefault="00685572" w:rsidP="00CF3927">
      <w:pPr>
        <w:ind w:left="567" w:right="51"/>
        <w:jc w:val="both"/>
        <w:rPr>
          <w:rFonts w:ascii="Arial" w:hAnsi="Arial" w:cs="Arial"/>
          <w:sz w:val="24"/>
          <w:szCs w:val="24"/>
          <w:lang w:val="es-ES"/>
        </w:rPr>
      </w:pPr>
      <w:r w:rsidRPr="005A75A6">
        <w:rPr>
          <w:rFonts w:ascii="Arial" w:hAnsi="Arial" w:cs="Arial"/>
          <w:sz w:val="24"/>
          <w:szCs w:val="24"/>
          <w:lang w:val="es-ES"/>
        </w:rPr>
        <w:t>PRIMERA: que se tutelen los derechos fundamentales conculcados a mi mandante, principalmente al Debido Proceso, que fueran vulnerados por el TRIBUNAL ADMINISTRATIVO DEL HUILA SALA SEGUNDA DE DECISIÓN ESCRITURAL, y se declare la configuración de las causales de Procedibilidad defecto sustantivo por interpretación errónea o irrazonable, defecto procedimental por exceso ritual manifiesto y violación directa de la constitución.</w:t>
      </w:r>
    </w:p>
    <w:p w14:paraId="302A8B9F" w14:textId="77777777" w:rsidR="00846ABD" w:rsidRPr="005A75A6" w:rsidRDefault="00846ABD" w:rsidP="00CF3927">
      <w:pPr>
        <w:ind w:left="567" w:right="51"/>
        <w:jc w:val="both"/>
        <w:rPr>
          <w:rFonts w:ascii="Arial" w:hAnsi="Arial" w:cs="Arial"/>
          <w:sz w:val="24"/>
          <w:szCs w:val="24"/>
          <w:lang w:val="es-ES"/>
        </w:rPr>
      </w:pPr>
    </w:p>
    <w:p w14:paraId="6B3B1D77" w14:textId="77777777" w:rsidR="00DE2447" w:rsidRPr="005A75A6" w:rsidRDefault="00685572" w:rsidP="00CF3927">
      <w:pPr>
        <w:ind w:left="567" w:right="51"/>
        <w:jc w:val="both"/>
        <w:rPr>
          <w:rFonts w:ascii="Arial" w:hAnsi="Arial" w:cs="Arial"/>
          <w:sz w:val="24"/>
          <w:szCs w:val="24"/>
          <w:lang w:val="es-ES"/>
        </w:rPr>
      </w:pPr>
      <w:r w:rsidRPr="005A75A6">
        <w:rPr>
          <w:rFonts w:ascii="Arial" w:hAnsi="Arial" w:cs="Arial"/>
          <w:sz w:val="24"/>
          <w:szCs w:val="24"/>
          <w:lang w:val="es-ES"/>
        </w:rPr>
        <w:t>SEGUNDA: Conforme a lo anterior se ordene al TRIBUNAL ADMINISTRATIVO DEL HUILA para que profiera una decisión de fondo con relación a los recursos interpuestos por las partes dentr</w:t>
      </w:r>
      <w:r w:rsidR="00846ABD" w:rsidRPr="005A75A6">
        <w:rPr>
          <w:rFonts w:ascii="Arial" w:hAnsi="Arial" w:cs="Arial"/>
          <w:sz w:val="24"/>
          <w:szCs w:val="24"/>
          <w:lang w:val="es-ES"/>
        </w:rPr>
        <w:t>o del proceso 41-001-33-31-004-2011-00118</w:t>
      </w:r>
      <w:r w:rsidRPr="005A75A6">
        <w:rPr>
          <w:rFonts w:ascii="Arial" w:hAnsi="Arial" w:cs="Arial"/>
          <w:sz w:val="24"/>
          <w:szCs w:val="24"/>
          <w:lang w:val="es-ES"/>
        </w:rPr>
        <w:t>-00 y d</w:t>
      </w:r>
      <w:r w:rsidR="00070696" w:rsidRPr="005A75A6">
        <w:rPr>
          <w:rFonts w:ascii="Arial" w:hAnsi="Arial" w:cs="Arial"/>
          <w:sz w:val="24"/>
          <w:szCs w:val="24"/>
          <w:lang w:val="es-ES"/>
        </w:rPr>
        <w:t>é</w:t>
      </w:r>
      <w:r w:rsidRPr="005A75A6">
        <w:rPr>
          <w:rFonts w:ascii="Arial" w:hAnsi="Arial" w:cs="Arial"/>
          <w:sz w:val="24"/>
          <w:szCs w:val="24"/>
          <w:lang w:val="es-ES"/>
        </w:rPr>
        <w:t xml:space="preserve"> por superados los cuestionamientos relacionados con la presente acción de tutela</w:t>
      </w:r>
      <w:r w:rsidR="00CF3927" w:rsidRPr="005A75A6">
        <w:rPr>
          <w:rStyle w:val="Refdenotaalpie"/>
          <w:rFonts w:ascii="Arial" w:hAnsi="Arial" w:cs="Arial"/>
          <w:sz w:val="24"/>
          <w:szCs w:val="24"/>
          <w:lang w:val="es-ES"/>
        </w:rPr>
        <w:footnoteReference w:id="1"/>
      </w:r>
      <w:r w:rsidR="00CF3927" w:rsidRPr="005A75A6">
        <w:rPr>
          <w:rFonts w:ascii="Arial" w:hAnsi="Arial" w:cs="Arial"/>
          <w:sz w:val="24"/>
          <w:szCs w:val="24"/>
          <w:lang w:val="es-ES"/>
        </w:rPr>
        <w:t xml:space="preserve">. </w:t>
      </w:r>
    </w:p>
    <w:p w14:paraId="55E63BBD" w14:textId="77777777" w:rsidR="00CF3927" w:rsidRPr="005A75A6" w:rsidRDefault="00CF3927" w:rsidP="00CF3927">
      <w:pPr>
        <w:ind w:left="567" w:right="51"/>
        <w:jc w:val="both"/>
        <w:rPr>
          <w:rFonts w:ascii="Arial" w:hAnsi="Arial" w:cs="Arial"/>
          <w:sz w:val="24"/>
          <w:szCs w:val="24"/>
          <w:lang w:val="es-ES"/>
        </w:rPr>
      </w:pPr>
    </w:p>
    <w:p w14:paraId="7C8EB5DF" w14:textId="77777777" w:rsidR="00CF3927" w:rsidRPr="005A75A6" w:rsidRDefault="00CF3927" w:rsidP="00CF3927">
      <w:pPr>
        <w:ind w:left="567" w:right="51"/>
        <w:jc w:val="both"/>
        <w:rPr>
          <w:rFonts w:ascii="Arial" w:hAnsi="Arial" w:cs="Arial"/>
          <w:sz w:val="24"/>
          <w:szCs w:val="24"/>
          <w:lang w:val="es-ES"/>
        </w:rPr>
      </w:pPr>
    </w:p>
    <w:p w14:paraId="09E421A7" w14:textId="77777777" w:rsidR="00CF3927" w:rsidRPr="005A75A6" w:rsidRDefault="00CF3927" w:rsidP="00CF3927">
      <w:pPr>
        <w:pStyle w:val="Textoindependiente2"/>
        <w:widowControl w:val="0"/>
        <w:numPr>
          <w:ilvl w:val="0"/>
          <w:numId w:val="1"/>
        </w:numPr>
        <w:spacing w:after="0" w:line="240" w:lineRule="auto"/>
        <w:jc w:val="both"/>
        <w:rPr>
          <w:rFonts w:ascii="Arial" w:hAnsi="Arial" w:cs="Arial"/>
          <w:b/>
        </w:rPr>
      </w:pPr>
      <w:r w:rsidRPr="005A75A6">
        <w:rPr>
          <w:rFonts w:ascii="Arial" w:hAnsi="Arial" w:cs="Arial"/>
          <w:b/>
        </w:rPr>
        <w:t>Hechos</w:t>
      </w:r>
    </w:p>
    <w:p w14:paraId="0FEBBE0A" w14:textId="77777777" w:rsidR="00CF3927" w:rsidRPr="005A75A6" w:rsidRDefault="00CF3927" w:rsidP="00CF3927">
      <w:pPr>
        <w:pStyle w:val="Textoindependiente2"/>
        <w:widowControl w:val="0"/>
        <w:spacing w:after="0" w:line="360" w:lineRule="auto"/>
        <w:ind w:left="708"/>
        <w:jc w:val="both"/>
        <w:rPr>
          <w:rFonts w:ascii="Arial" w:hAnsi="Arial" w:cs="Arial"/>
        </w:rPr>
      </w:pPr>
    </w:p>
    <w:p w14:paraId="61E64C37" w14:textId="77777777" w:rsidR="00CF3927" w:rsidRPr="005A75A6" w:rsidRDefault="00CF3927" w:rsidP="00CF3927">
      <w:pPr>
        <w:pStyle w:val="Textoindependiente2"/>
        <w:widowControl w:val="0"/>
        <w:spacing w:after="0" w:line="360" w:lineRule="auto"/>
        <w:jc w:val="both"/>
        <w:rPr>
          <w:rFonts w:ascii="Arial" w:hAnsi="Arial" w:cs="Arial"/>
        </w:rPr>
      </w:pPr>
      <w:r w:rsidRPr="005A75A6">
        <w:rPr>
          <w:rFonts w:ascii="Arial" w:hAnsi="Arial" w:cs="Arial"/>
        </w:rPr>
        <w:t>Del expediente, la Sala destaca la siguiente información:</w:t>
      </w:r>
    </w:p>
    <w:p w14:paraId="5B06B7DD" w14:textId="77777777" w:rsidR="00852779" w:rsidRPr="005A75A6" w:rsidRDefault="00852779" w:rsidP="00CF3927">
      <w:pPr>
        <w:pStyle w:val="Textoindependiente2"/>
        <w:widowControl w:val="0"/>
        <w:spacing w:after="0" w:line="360" w:lineRule="auto"/>
        <w:jc w:val="both"/>
        <w:rPr>
          <w:rFonts w:ascii="Arial" w:hAnsi="Arial" w:cs="Arial"/>
        </w:rPr>
      </w:pPr>
    </w:p>
    <w:p w14:paraId="2BC889FB" w14:textId="77777777" w:rsidR="00FB5602" w:rsidRPr="005A75A6" w:rsidRDefault="00240AD5" w:rsidP="00CF3927">
      <w:pPr>
        <w:pStyle w:val="Textoindependiente2"/>
        <w:widowControl w:val="0"/>
        <w:spacing w:after="0" w:line="360" w:lineRule="auto"/>
        <w:jc w:val="both"/>
        <w:rPr>
          <w:rFonts w:ascii="Arial" w:hAnsi="Arial" w:cs="Arial"/>
        </w:rPr>
      </w:pPr>
      <w:r w:rsidRPr="005A75A6">
        <w:rPr>
          <w:rFonts w:ascii="Arial" w:hAnsi="Arial" w:cs="Arial"/>
        </w:rPr>
        <w:t xml:space="preserve">Que </w:t>
      </w:r>
      <w:r w:rsidR="00DE2FEF" w:rsidRPr="005A75A6">
        <w:rPr>
          <w:rFonts w:ascii="Arial" w:hAnsi="Arial" w:cs="Arial"/>
        </w:rPr>
        <w:t xml:space="preserve">Carlos Antonio Arias Tovar </w:t>
      </w:r>
      <w:r w:rsidR="00DC4A67" w:rsidRPr="005A75A6">
        <w:rPr>
          <w:rFonts w:ascii="Arial" w:hAnsi="Arial" w:cs="Arial"/>
        </w:rPr>
        <w:t>estuvo vinculado</w:t>
      </w:r>
      <w:r w:rsidRPr="005A75A6">
        <w:rPr>
          <w:rFonts w:ascii="Arial" w:hAnsi="Arial" w:cs="Arial"/>
        </w:rPr>
        <w:t xml:space="preserve"> al DAS </w:t>
      </w:r>
      <w:r w:rsidR="00DC4A67" w:rsidRPr="005A75A6">
        <w:rPr>
          <w:rFonts w:ascii="Arial" w:hAnsi="Arial" w:cs="Arial"/>
        </w:rPr>
        <w:t>mediante sucesivos contratos de prestación de servicios</w:t>
      </w:r>
      <w:r w:rsidR="00D94EFA" w:rsidRPr="005A75A6">
        <w:rPr>
          <w:rFonts w:ascii="Arial" w:hAnsi="Arial" w:cs="Arial"/>
        </w:rPr>
        <w:t xml:space="preserve">, entre el </w:t>
      </w:r>
      <w:r w:rsidR="00EA6332" w:rsidRPr="005A75A6">
        <w:rPr>
          <w:rFonts w:ascii="Arial" w:hAnsi="Arial" w:cs="Arial"/>
        </w:rPr>
        <w:t>4 de agosto de 2003 y el 25 de marzo de 2009</w:t>
      </w:r>
      <w:r w:rsidR="00C93173" w:rsidRPr="005A75A6">
        <w:rPr>
          <w:rFonts w:ascii="Arial" w:hAnsi="Arial" w:cs="Arial"/>
        </w:rPr>
        <w:t>.</w:t>
      </w:r>
    </w:p>
    <w:p w14:paraId="47621CDA" w14:textId="77777777" w:rsidR="00FB5602" w:rsidRPr="005A75A6" w:rsidRDefault="00FB5602" w:rsidP="00CF3927">
      <w:pPr>
        <w:pStyle w:val="Textoindependiente2"/>
        <w:widowControl w:val="0"/>
        <w:spacing w:after="0" w:line="360" w:lineRule="auto"/>
        <w:jc w:val="both"/>
        <w:rPr>
          <w:rFonts w:ascii="Arial" w:hAnsi="Arial" w:cs="Arial"/>
        </w:rPr>
      </w:pPr>
    </w:p>
    <w:p w14:paraId="19F9B9A7" w14:textId="77777777" w:rsidR="00852779" w:rsidRPr="005A75A6" w:rsidRDefault="00FB5602" w:rsidP="00CF3927">
      <w:pPr>
        <w:pStyle w:val="Textoindependiente2"/>
        <w:widowControl w:val="0"/>
        <w:spacing w:after="0" w:line="360" w:lineRule="auto"/>
        <w:jc w:val="both"/>
        <w:rPr>
          <w:rFonts w:ascii="Arial" w:hAnsi="Arial" w:cs="Arial"/>
        </w:rPr>
      </w:pPr>
      <w:r w:rsidRPr="005A75A6">
        <w:rPr>
          <w:rFonts w:ascii="Arial" w:hAnsi="Arial" w:cs="Arial"/>
        </w:rPr>
        <w:t xml:space="preserve">Que el señor </w:t>
      </w:r>
      <w:r w:rsidR="00EA6332" w:rsidRPr="005A75A6">
        <w:rPr>
          <w:rFonts w:ascii="Arial" w:hAnsi="Arial" w:cs="Arial"/>
        </w:rPr>
        <w:t>Arias Tovar</w:t>
      </w:r>
      <w:r w:rsidRPr="005A75A6">
        <w:rPr>
          <w:rFonts w:ascii="Arial" w:hAnsi="Arial" w:cs="Arial"/>
        </w:rPr>
        <w:t xml:space="preserve"> </w:t>
      </w:r>
      <w:r w:rsidR="00875227" w:rsidRPr="005A75A6">
        <w:rPr>
          <w:rFonts w:ascii="Arial" w:hAnsi="Arial" w:cs="Arial"/>
        </w:rPr>
        <w:t>prest</w:t>
      </w:r>
      <w:r w:rsidR="00B6170F" w:rsidRPr="005A75A6">
        <w:rPr>
          <w:rFonts w:ascii="Arial" w:hAnsi="Arial" w:cs="Arial"/>
        </w:rPr>
        <w:t>ó</w:t>
      </w:r>
      <w:r w:rsidR="00875227" w:rsidRPr="005A75A6">
        <w:rPr>
          <w:rFonts w:ascii="Arial" w:hAnsi="Arial" w:cs="Arial"/>
        </w:rPr>
        <w:t xml:space="preserve"> los servicios de manera personal, bajo continuada subordinación y dependencia y </w:t>
      </w:r>
      <w:r w:rsidR="00B6170F" w:rsidRPr="005A75A6">
        <w:rPr>
          <w:rFonts w:ascii="Arial" w:hAnsi="Arial" w:cs="Arial"/>
        </w:rPr>
        <w:t xml:space="preserve">recibió una remuneración </w:t>
      </w:r>
      <w:r w:rsidR="00511688" w:rsidRPr="005A75A6">
        <w:rPr>
          <w:rFonts w:ascii="Arial" w:hAnsi="Arial" w:cs="Arial"/>
        </w:rPr>
        <w:t xml:space="preserve">por </w:t>
      </w:r>
      <w:r w:rsidR="00155FCE" w:rsidRPr="005A75A6">
        <w:rPr>
          <w:rFonts w:ascii="Arial" w:hAnsi="Arial" w:cs="Arial"/>
        </w:rPr>
        <w:t>las labores realizadas</w:t>
      </w:r>
      <w:r w:rsidR="00504A8E" w:rsidRPr="005A75A6">
        <w:rPr>
          <w:rFonts w:ascii="Arial" w:hAnsi="Arial" w:cs="Arial"/>
        </w:rPr>
        <w:t>,</w:t>
      </w:r>
      <w:r w:rsidR="00E478DA" w:rsidRPr="005A75A6">
        <w:rPr>
          <w:rFonts w:ascii="Arial" w:hAnsi="Arial" w:cs="Arial"/>
        </w:rPr>
        <w:t xml:space="preserve"> por lo que se configuró el </w:t>
      </w:r>
      <w:r w:rsidR="00FD3E1C" w:rsidRPr="005A75A6">
        <w:rPr>
          <w:rFonts w:ascii="Arial" w:hAnsi="Arial" w:cs="Arial"/>
        </w:rPr>
        <w:t>contrato realidad.</w:t>
      </w:r>
      <w:r w:rsidR="00D7332C" w:rsidRPr="005A75A6">
        <w:rPr>
          <w:rFonts w:ascii="Arial" w:hAnsi="Arial" w:cs="Arial"/>
        </w:rPr>
        <w:t xml:space="preserve"> </w:t>
      </w:r>
      <w:r w:rsidR="00B6170F" w:rsidRPr="005A75A6">
        <w:rPr>
          <w:rFonts w:ascii="Arial" w:hAnsi="Arial" w:cs="Arial"/>
        </w:rPr>
        <w:t xml:space="preserve"> </w:t>
      </w:r>
      <w:r w:rsidR="00DC4A67" w:rsidRPr="005A75A6">
        <w:rPr>
          <w:rFonts w:ascii="Arial" w:hAnsi="Arial" w:cs="Arial"/>
        </w:rPr>
        <w:t xml:space="preserve"> </w:t>
      </w:r>
      <w:r w:rsidR="00240AD5" w:rsidRPr="005A75A6">
        <w:rPr>
          <w:rFonts w:ascii="Arial" w:hAnsi="Arial" w:cs="Arial"/>
        </w:rPr>
        <w:t xml:space="preserve"> </w:t>
      </w:r>
    </w:p>
    <w:p w14:paraId="1C540912" w14:textId="77777777" w:rsidR="00852779" w:rsidRPr="005A75A6" w:rsidRDefault="00852779" w:rsidP="00CF3927">
      <w:pPr>
        <w:pStyle w:val="Textoindependiente2"/>
        <w:widowControl w:val="0"/>
        <w:spacing w:after="0" w:line="360" w:lineRule="auto"/>
        <w:jc w:val="both"/>
        <w:rPr>
          <w:rFonts w:ascii="Arial" w:hAnsi="Arial" w:cs="Arial"/>
        </w:rPr>
      </w:pPr>
    </w:p>
    <w:p w14:paraId="5EECC35D" w14:textId="77777777" w:rsidR="009D311D" w:rsidRPr="005A75A6" w:rsidRDefault="009D311D" w:rsidP="009D311D">
      <w:pPr>
        <w:pStyle w:val="Textoindependiente2"/>
        <w:widowControl w:val="0"/>
        <w:spacing w:after="0" w:line="360" w:lineRule="auto"/>
        <w:jc w:val="both"/>
        <w:rPr>
          <w:rFonts w:ascii="Arial" w:hAnsi="Arial" w:cs="Arial"/>
        </w:rPr>
      </w:pPr>
      <w:r w:rsidRPr="005A75A6">
        <w:rPr>
          <w:rFonts w:ascii="Arial" w:hAnsi="Arial" w:cs="Arial"/>
        </w:rPr>
        <w:t xml:space="preserve">Que, en ejercicio de la acción de controversias contractuales, el demandante solicitó </w:t>
      </w:r>
      <w:r w:rsidRPr="005A75A6">
        <w:rPr>
          <w:rFonts w:ascii="Arial" w:hAnsi="Arial" w:cs="Arial"/>
          <w:b/>
        </w:rPr>
        <w:t xml:space="preserve">(i) </w:t>
      </w:r>
      <w:r w:rsidRPr="005A75A6">
        <w:rPr>
          <w:rFonts w:ascii="Arial" w:hAnsi="Arial" w:cs="Arial"/>
        </w:rPr>
        <w:t xml:space="preserve">que se declarara la existencia del contrato de trabajo, desde el 4 de agosto de 2003 hasta el 25 de marzo de 2009, con fundamento en los contratos de prestación de servicios celebrados con el DAS, y </w:t>
      </w:r>
      <w:r w:rsidRPr="005A75A6">
        <w:rPr>
          <w:rFonts w:ascii="Arial" w:hAnsi="Arial" w:cs="Arial"/>
          <w:b/>
        </w:rPr>
        <w:t xml:space="preserve">(ii) </w:t>
      </w:r>
      <w:r w:rsidRPr="005A75A6">
        <w:rPr>
          <w:rFonts w:ascii="Arial" w:hAnsi="Arial" w:cs="Arial"/>
        </w:rPr>
        <w:t xml:space="preserve">que, a título de indemnización, solicitó que se condenara al DAS a reconocer y pagar las prestaciones sociales dejadas de devengar durante el tiempo en que se mantuvo vigente la relación laboral. </w:t>
      </w:r>
    </w:p>
    <w:p w14:paraId="3C0FC018" w14:textId="77777777" w:rsidR="009D311D" w:rsidRPr="005A75A6" w:rsidRDefault="009D311D" w:rsidP="00CF3927">
      <w:pPr>
        <w:pStyle w:val="Textoindependiente2"/>
        <w:widowControl w:val="0"/>
        <w:spacing w:after="0" w:line="360" w:lineRule="auto"/>
        <w:jc w:val="both"/>
        <w:rPr>
          <w:rFonts w:ascii="Arial" w:hAnsi="Arial" w:cs="Arial"/>
        </w:rPr>
      </w:pPr>
    </w:p>
    <w:p w14:paraId="4349357B" w14:textId="77777777" w:rsidR="00CF353A" w:rsidRPr="005A75A6" w:rsidRDefault="00153EDA" w:rsidP="00CF3927">
      <w:pPr>
        <w:pStyle w:val="Textoindependiente2"/>
        <w:widowControl w:val="0"/>
        <w:spacing w:after="0" w:line="360" w:lineRule="auto"/>
        <w:jc w:val="both"/>
        <w:rPr>
          <w:rFonts w:ascii="Arial" w:hAnsi="Arial" w:cs="Arial"/>
        </w:rPr>
      </w:pPr>
      <w:r w:rsidRPr="005A75A6">
        <w:rPr>
          <w:rFonts w:ascii="Arial" w:hAnsi="Arial" w:cs="Arial"/>
        </w:rPr>
        <w:t xml:space="preserve">Que el conocimiento del asunto correspondió al Juzgado </w:t>
      </w:r>
      <w:r w:rsidR="00EA6332" w:rsidRPr="005A75A6">
        <w:rPr>
          <w:rFonts w:ascii="Arial" w:hAnsi="Arial" w:cs="Arial"/>
        </w:rPr>
        <w:t>Quinto Administrativo de Descongestión de Neiva</w:t>
      </w:r>
      <w:r w:rsidR="00E633EA" w:rsidRPr="005A75A6">
        <w:rPr>
          <w:rFonts w:ascii="Arial" w:hAnsi="Arial" w:cs="Arial"/>
        </w:rPr>
        <w:t>, quien</w:t>
      </w:r>
      <w:r w:rsidR="00EA6332" w:rsidRPr="005A75A6">
        <w:rPr>
          <w:rFonts w:ascii="Arial" w:hAnsi="Arial" w:cs="Arial"/>
        </w:rPr>
        <w:t xml:space="preserve">, por sentencia del 31 de julio de 2014, </w:t>
      </w:r>
      <w:r w:rsidR="000C4955" w:rsidRPr="005A75A6">
        <w:rPr>
          <w:rFonts w:ascii="Arial" w:hAnsi="Arial" w:cs="Arial"/>
        </w:rPr>
        <w:t>accedió a</w:t>
      </w:r>
      <w:r w:rsidR="00A11D9A" w:rsidRPr="005A75A6">
        <w:rPr>
          <w:rFonts w:ascii="Arial" w:hAnsi="Arial" w:cs="Arial"/>
        </w:rPr>
        <w:t xml:space="preserve"> las pretensiones de la demanda</w:t>
      </w:r>
      <w:r w:rsidR="00E633EA" w:rsidRPr="005A75A6">
        <w:rPr>
          <w:rFonts w:ascii="Arial" w:hAnsi="Arial" w:cs="Arial"/>
        </w:rPr>
        <w:t xml:space="preserve"> y, en consecuencia:</w:t>
      </w:r>
      <w:r w:rsidR="00B954D3" w:rsidRPr="005A75A6">
        <w:rPr>
          <w:rFonts w:ascii="Arial" w:hAnsi="Arial" w:cs="Arial"/>
        </w:rPr>
        <w:t xml:space="preserve"> </w:t>
      </w:r>
      <w:r w:rsidR="00B954D3" w:rsidRPr="005A75A6">
        <w:rPr>
          <w:rFonts w:ascii="Arial" w:hAnsi="Arial" w:cs="Arial"/>
          <w:b/>
        </w:rPr>
        <w:t xml:space="preserve">(i) </w:t>
      </w:r>
      <w:r w:rsidR="00B954D3" w:rsidRPr="005A75A6">
        <w:rPr>
          <w:rFonts w:ascii="Arial" w:hAnsi="Arial" w:cs="Arial"/>
        </w:rPr>
        <w:t>declaró</w:t>
      </w:r>
      <w:r w:rsidR="007A69A3" w:rsidRPr="005A75A6">
        <w:rPr>
          <w:rFonts w:ascii="Arial" w:hAnsi="Arial" w:cs="Arial"/>
        </w:rPr>
        <w:t>, por una parte,</w:t>
      </w:r>
      <w:r w:rsidR="00B954D3" w:rsidRPr="005A75A6">
        <w:rPr>
          <w:rFonts w:ascii="Arial" w:hAnsi="Arial" w:cs="Arial"/>
        </w:rPr>
        <w:t xml:space="preserve"> la nulidad de los contratos de prestación de servicios suscritos entre el señor </w:t>
      </w:r>
      <w:r w:rsidR="00BE5A4E" w:rsidRPr="005A75A6">
        <w:rPr>
          <w:rFonts w:ascii="Arial" w:hAnsi="Arial" w:cs="Arial"/>
        </w:rPr>
        <w:t>Arias Tovar</w:t>
      </w:r>
      <w:r w:rsidR="00B954D3" w:rsidRPr="005A75A6">
        <w:rPr>
          <w:rFonts w:ascii="Arial" w:hAnsi="Arial" w:cs="Arial"/>
        </w:rPr>
        <w:t xml:space="preserve"> y el DAS y</w:t>
      </w:r>
      <w:r w:rsidR="007A69A3" w:rsidRPr="005A75A6">
        <w:rPr>
          <w:rFonts w:ascii="Arial" w:hAnsi="Arial" w:cs="Arial"/>
        </w:rPr>
        <w:t>, por otra,</w:t>
      </w:r>
      <w:r w:rsidR="00B954D3" w:rsidRPr="005A75A6">
        <w:rPr>
          <w:rFonts w:ascii="Arial" w:hAnsi="Arial" w:cs="Arial"/>
        </w:rPr>
        <w:t xml:space="preserve"> la existencia del contrato de trabajo entre las partes</w:t>
      </w:r>
      <w:r w:rsidR="00C46C1D" w:rsidRPr="005A75A6">
        <w:rPr>
          <w:rFonts w:ascii="Arial" w:hAnsi="Arial" w:cs="Arial"/>
        </w:rPr>
        <w:t xml:space="preserve">, y </w:t>
      </w:r>
      <w:r w:rsidR="00C46C1D" w:rsidRPr="005A75A6">
        <w:rPr>
          <w:rFonts w:ascii="Arial" w:hAnsi="Arial" w:cs="Arial"/>
          <w:b/>
        </w:rPr>
        <w:t xml:space="preserve">(ii) </w:t>
      </w:r>
      <w:r w:rsidR="00C46C1D" w:rsidRPr="005A75A6">
        <w:rPr>
          <w:rFonts w:ascii="Arial" w:hAnsi="Arial" w:cs="Arial"/>
        </w:rPr>
        <w:t>condenó al DAS a pagarle los emolumentos laborales dejados de percibir.</w:t>
      </w:r>
      <w:r w:rsidR="00B954D3" w:rsidRPr="005A75A6">
        <w:rPr>
          <w:rFonts w:ascii="Arial" w:hAnsi="Arial" w:cs="Arial"/>
        </w:rPr>
        <w:t xml:space="preserve"> </w:t>
      </w:r>
      <w:r w:rsidR="00A11D9A" w:rsidRPr="005A75A6">
        <w:rPr>
          <w:rFonts w:ascii="Arial" w:hAnsi="Arial" w:cs="Arial"/>
        </w:rPr>
        <w:t xml:space="preserve"> </w:t>
      </w:r>
    </w:p>
    <w:p w14:paraId="6A958493" w14:textId="77777777" w:rsidR="00CF353A" w:rsidRPr="005A75A6" w:rsidRDefault="00CF353A" w:rsidP="00CF3927">
      <w:pPr>
        <w:pStyle w:val="Textoindependiente2"/>
        <w:widowControl w:val="0"/>
        <w:spacing w:after="0" w:line="360" w:lineRule="auto"/>
        <w:jc w:val="both"/>
        <w:rPr>
          <w:rFonts w:ascii="Arial" w:hAnsi="Arial" w:cs="Arial"/>
        </w:rPr>
      </w:pPr>
    </w:p>
    <w:p w14:paraId="050BF3E4" w14:textId="77777777" w:rsidR="00492AB3" w:rsidRPr="005A75A6" w:rsidRDefault="00492AB3" w:rsidP="00492AB3">
      <w:pPr>
        <w:pStyle w:val="Textoindependiente2"/>
        <w:widowControl w:val="0"/>
        <w:spacing w:after="0" w:line="360" w:lineRule="auto"/>
        <w:jc w:val="both"/>
        <w:rPr>
          <w:rFonts w:ascii="Arial" w:hAnsi="Arial" w:cs="Arial"/>
        </w:rPr>
      </w:pPr>
      <w:r w:rsidRPr="005A75A6">
        <w:rPr>
          <w:rFonts w:ascii="Arial" w:hAnsi="Arial" w:cs="Arial"/>
        </w:rPr>
        <w:t>Básicamente, el juzgado halló probados los elementos del contrato de trabajo: la prestación personal del servicio, la remuneración y la continuada subordinación o dependencia, y concluyó que entre el DAS y el actor existió una auténtica relación laboral, que estaba encubierta bajo la figura de los contratos de prestación de servicios.</w:t>
      </w:r>
    </w:p>
    <w:p w14:paraId="3698284D" w14:textId="77777777" w:rsidR="000C605E" w:rsidRPr="005A75A6" w:rsidRDefault="000C605E" w:rsidP="00CF3927">
      <w:pPr>
        <w:pStyle w:val="Textoindependiente2"/>
        <w:widowControl w:val="0"/>
        <w:spacing w:after="0" w:line="360" w:lineRule="auto"/>
        <w:jc w:val="both"/>
        <w:rPr>
          <w:rFonts w:ascii="Arial" w:hAnsi="Arial" w:cs="Arial"/>
        </w:rPr>
      </w:pPr>
    </w:p>
    <w:p w14:paraId="064EEDD7" w14:textId="77777777" w:rsidR="00E055C2" w:rsidRPr="005A75A6" w:rsidRDefault="000C605E" w:rsidP="00CF3927">
      <w:pPr>
        <w:pStyle w:val="Textoindependiente2"/>
        <w:widowControl w:val="0"/>
        <w:spacing w:after="0" w:line="360" w:lineRule="auto"/>
        <w:jc w:val="both"/>
        <w:rPr>
          <w:rFonts w:ascii="Arial" w:hAnsi="Arial" w:cs="Arial"/>
        </w:rPr>
      </w:pPr>
      <w:r w:rsidRPr="005A75A6">
        <w:rPr>
          <w:rFonts w:ascii="Arial" w:hAnsi="Arial" w:cs="Arial"/>
        </w:rPr>
        <w:t xml:space="preserve">Que, inconforme con esa decisión, </w:t>
      </w:r>
      <w:r w:rsidR="00C70F53" w:rsidRPr="005A75A6">
        <w:rPr>
          <w:rFonts w:ascii="Arial" w:hAnsi="Arial" w:cs="Arial"/>
        </w:rPr>
        <w:t xml:space="preserve">el </w:t>
      </w:r>
      <w:r w:rsidR="009F24D5" w:rsidRPr="005A75A6">
        <w:rPr>
          <w:rFonts w:ascii="Arial" w:hAnsi="Arial" w:cs="Arial"/>
        </w:rPr>
        <w:t xml:space="preserve">DAS interpuso recurso de apelación y, mediante sentencia del </w:t>
      </w:r>
      <w:r w:rsidR="00BE5A4E" w:rsidRPr="005A75A6">
        <w:rPr>
          <w:rFonts w:ascii="Arial" w:hAnsi="Arial" w:cs="Arial"/>
        </w:rPr>
        <w:t>17 de agosto de 2016</w:t>
      </w:r>
      <w:r w:rsidR="008018E6" w:rsidRPr="005A75A6">
        <w:rPr>
          <w:rFonts w:ascii="Arial" w:hAnsi="Arial" w:cs="Arial"/>
        </w:rPr>
        <w:t>, el Tribunal Administrativo del Huila</w:t>
      </w:r>
      <w:r w:rsidR="00BE5A4E" w:rsidRPr="005A75A6">
        <w:rPr>
          <w:rFonts w:ascii="Arial" w:hAnsi="Arial" w:cs="Arial"/>
        </w:rPr>
        <w:t>, Sala Segunda de Decisión Escritural,</w:t>
      </w:r>
      <w:r w:rsidR="008018E6" w:rsidRPr="005A75A6">
        <w:rPr>
          <w:rFonts w:ascii="Arial" w:hAnsi="Arial" w:cs="Arial"/>
        </w:rPr>
        <w:t xml:space="preserve"> la revocó y, en su lugar, </w:t>
      </w:r>
      <w:r w:rsidR="00711067" w:rsidRPr="005A75A6">
        <w:rPr>
          <w:rFonts w:ascii="Arial" w:hAnsi="Arial" w:cs="Arial"/>
        </w:rPr>
        <w:t xml:space="preserve">declaró probadas de oficio las excepciones de indebida escogencia de la acción e indebida acumulación de pretensiones </w:t>
      </w:r>
      <w:r w:rsidR="00572712" w:rsidRPr="005A75A6">
        <w:rPr>
          <w:rFonts w:ascii="Arial" w:hAnsi="Arial" w:cs="Arial"/>
        </w:rPr>
        <w:t xml:space="preserve">y se inhibió de emitir </w:t>
      </w:r>
      <w:r w:rsidR="00ED796B" w:rsidRPr="005A75A6">
        <w:rPr>
          <w:rFonts w:ascii="Arial" w:hAnsi="Arial" w:cs="Arial"/>
        </w:rPr>
        <w:t>decisión</w:t>
      </w:r>
      <w:r w:rsidR="00572712" w:rsidRPr="005A75A6">
        <w:rPr>
          <w:rFonts w:ascii="Arial" w:hAnsi="Arial" w:cs="Arial"/>
        </w:rPr>
        <w:t xml:space="preserve"> de fondo.</w:t>
      </w:r>
      <w:r w:rsidR="00FB57DD" w:rsidRPr="005A75A6">
        <w:rPr>
          <w:rFonts w:ascii="Arial" w:hAnsi="Arial" w:cs="Arial"/>
        </w:rPr>
        <w:t xml:space="preserve"> </w:t>
      </w:r>
    </w:p>
    <w:p w14:paraId="1D06F8BF" w14:textId="77777777" w:rsidR="00E472E0" w:rsidRPr="005A75A6" w:rsidRDefault="00E472E0" w:rsidP="00CF3927">
      <w:pPr>
        <w:pStyle w:val="Textoindependiente2"/>
        <w:widowControl w:val="0"/>
        <w:spacing w:after="0" w:line="360" w:lineRule="auto"/>
        <w:jc w:val="both"/>
        <w:rPr>
          <w:rFonts w:ascii="Arial" w:hAnsi="Arial" w:cs="Arial"/>
        </w:rPr>
      </w:pPr>
    </w:p>
    <w:p w14:paraId="2F816E3C" w14:textId="77777777" w:rsidR="00E32B75" w:rsidRPr="005A75A6" w:rsidRDefault="00E32B75" w:rsidP="00E32B75">
      <w:pPr>
        <w:pStyle w:val="Textoindependiente2"/>
        <w:widowControl w:val="0"/>
        <w:spacing w:after="0" w:line="360" w:lineRule="auto"/>
        <w:jc w:val="both"/>
        <w:rPr>
          <w:rFonts w:ascii="Arial" w:hAnsi="Arial" w:cs="Arial"/>
        </w:rPr>
      </w:pPr>
      <w:r w:rsidRPr="005A75A6">
        <w:rPr>
          <w:rFonts w:ascii="Arial" w:hAnsi="Arial" w:cs="Arial"/>
        </w:rPr>
        <w:t xml:space="preserve">En concreto, el tribunal señaló que la jurisprudencia del Consejo de Estado establece que si bien el demandante puede elegir entre la acción contractual y la de nulidad y restablecimiento del derecho, para reclamar judicialmente el reconocimiento y pago de las acreencias laborales surgidas del contrato realidad, era necesario que las pretensiones de la demanda se adecuaran a la acción que ejerció. Que, en el </w:t>
      </w:r>
      <w:r w:rsidRPr="005A75A6">
        <w:rPr>
          <w:rFonts w:ascii="Arial" w:hAnsi="Arial" w:cs="Arial"/>
          <w:i/>
        </w:rPr>
        <w:t xml:space="preserve">sub lite, </w:t>
      </w:r>
      <w:r w:rsidRPr="005A75A6">
        <w:rPr>
          <w:rFonts w:ascii="Arial" w:hAnsi="Arial" w:cs="Arial"/>
        </w:rPr>
        <w:t>advertía que el actor eligió interponer la acción contractual, pero su argumentación se refería a una acción de nulidad y restablecimiento del derecho y, por lo tanto, debió obtener un pronunciamiento previo de la administración (acto administrativo).</w:t>
      </w:r>
    </w:p>
    <w:p w14:paraId="136ECC24" w14:textId="77777777" w:rsidR="00E32B75" w:rsidRPr="005A75A6" w:rsidRDefault="00E32B75" w:rsidP="00E32B75">
      <w:pPr>
        <w:pStyle w:val="Textoindependiente2"/>
        <w:widowControl w:val="0"/>
        <w:spacing w:after="0" w:line="360" w:lineRule="auto"/>
        <w:jc w:val="both"/>
        <w:rPr>
          <w:rFonts w:ascii="Arial" w:hAnsi="Arial" w:cs="Arial"/>
        </w:rPr>
      </w:pPr>
    </w:p>
    <w:p w14:paraId="1C9A3A7A" w14:textId="77777777" w:rsidR="00E32B75" w:rsidRPr="005A75A6" w:rsidRDefault="00E32B75" w:rsidP="00E32B75">
      <w:pPr>
        <w:pStyle w:val="Textoindependiente2"/>
        <w:widowControl w:val="0"/>
        <w:spacing w:after="0" w:line="360" w:lineRule="auto"/>
        <w:jc w:val="both"/>
        <w:rPr>
          <w:rFonts w:ascii="Arial" w:hAnsi="Arial" w:cs="Arial"/>
        </w:rPr>
      </w:pPr>
      <w:r w:rsidRPr="005A75A6">
        <w:rPr>
          <w:rFonts w:ascii="Arial" w:hAnsi="Arial" w:cs="Arial"/>
        </w:rPr>
        <w:t>Que, además, conforme con lo establecido en el artículo 97, numeral 7, del Código de Procedimiento Civil, las pretensiones de declaratoria de la existencia del contrato de trabajo y de declaratoria de los contratos de prestación de servicios resultan excluyentes y, por ende, no podían acumularse.</w:t>
      </w:r>
    </w:p>
    <w:p w14:paraId="63C2130A" w14:textId="77777777" w:rsidR="00852779" w:rsidRPr="005A75A6" w:rsidRDefault="00852779" w:rsidP="00E32B75">
      <w:pPr>
        <w:pStyle w:val="Textoindependiente2"/>
        <w:widowControl w:val="0"/>
        <w:spacing w:after="0"/>
        <w:jc w:val="both"/>
        <w:rPr>
          <w:rFonts w:ascii="Arial" w:hAnsi="Arial" w:cs="Arial"/>
        </w:rPr>
      </w:pPr>
    </w:p>
    <w:p w14:paraId="276153BB" w14:textId="77777777" w:rsidR="00CF3927" w:rsidRPr="005A75A6" w:rsidRDefault="00CF3927" w:rsidP="00CF3927">
      <w:pPr>
        <w:pStyle w:val="Textoindependiente2"/>
        <w:widowControl w:val="0"/>
        <w:numPr>
          <w:ilvl w:val="0"/>
          <w:numId w:val="1"/>
        </w:numPr>
        <w:spacing w:after="0" w:line="240" w:lineRule="auto"/>
        <w:jc w:val="both"/>
        <w:rPr>
          <w:rFonts w:ascii="Arial" w:hAnsi="Arial" w:cs="Arial"/>
          <w:b/>
        </w:rPr>
      </w:pPr>
      <w:r w:rsidRPr="005A75A6">
        <w:rPr>
          <w:rFonts w:ascii="Arial" w:hAnsi="Arial" w:cs="Arial"/>
          <w:b/>
        </w:rPr>
        <w:t>Argumentos de la tutela</w:t>
      </w:r>
    </w:p>
    <w:p w14:paraId="5BD5F264" w14:textId="77777777" w:rsidR="00CF3927" w:rsidRPr="005A75A6" w:rsidRDefault="00CF3927" w:rsidP="00CF3927">
      <w:pPr>
        <w:pStyle w:val="Textoindependiente2"/>
        <w:widowControl w:val="0"/>
        <w:spacing w:after="0" w:line="360" w:lineRule="auto"/>
        <w:jc w:val="both"/>
        <w:rPr>
          <w:rFonts w:ascii="Arial" w:hAnsi="Arial" w:cs="Arial"/>
        </w:rPr>
      </w:pPr>
    </w:p>
    <w:p w14:paraId="39C0CEC7" w14:textId="77777777" w:rsidR="009C7E8F" w:rsidRPr="005A75A6" w:rsidRDefault="003608A9" w:rsidP="00BE73C4">
      <w:pPr>
        <w:pStyle w:val="Textoindependiente2"/>
        <w:widowControl w:val="0"/>
        <w:spacing w:after="0" w:line="360" w:lineRule="auto"/>
        <w:jc w:val="both"/>
        <w:rPr>
          <w:rFonts w:ascii="Arial" w:hAnsi="Arial" w:cs="Arial"/>
        </w:rPr>
      </w:pPr>
      <w:r w:rsidRPr="005A75A6">
        <w:rPr>
          <w:rFonts w:ascii="Arial" w:hAnsi="Arial" w:cs="Arial"/>
        </w:rPr>
        <w:t xml:space="preserve">En concreto, </w:t>
      </w:r>
      <w:r w:rsidR="005B2C71" w:rsidRPr="005A75A6">
        <w:rPr>
          <w:rFonts w:ascii="Arial" w:hAnsi="Arial" w:cs="Arial"/>
        </w:rPr>
        <w:t>el señor</w:t>
      </w:r>
      <w:r w:rsidR="00CF3927" w:rsidRPr="005A75A6">
        <w:rPr>
          <w:rFonts w:ascii="Arial" w:hAnsi="Arial" w:cs="Arial"/>
        </w:rPr>
        <w:t xml:space="preserve"> </w:t>
      </w:r>
      <w:r w:rsidR="00BE5A4E" w:rsidRPr="005A75A6">
        <w:rPr>
          <w:rFonts w:ascii="Arial" w:hAnsi="Arial" w:cs="Arial"/>
        </w:rPr>
        <w:t>Carlos Antonio Arias Tovar</w:t>
      </w:r>
      <w:r w:rsidRPr="005A75A6">
        <w:rPr>
          <w:rFonts w:ascii="Arial" w:hAnsi="Arial" w:cs="Arial"/>
        </w:rPr>
        <w:t xml:space="preserve"> adujo que la sentencia del </w:t>
      </w:r>
      <w:r w:rsidR="00A26E6C" w:rsidRPr="005A75A6">
        <w:rPr>
          <w:rFonts w:ascii="Arial" w:hAnsi="Arial" w:cs="Arial"/>
        </w:rPr>
        <w:t>17 de agosto de 2016</w:t>
      </w:r>
      <w:r w:rsidRPr="005A75A6">
        <w:rPr>
          <w:rFonts w:ascii="Arial" w:hAnsi="Arial" w:cs="Arial"/>
        </w:rPr>
        <w:t xml:space="preserve">, dictada por </w:t>
      </w:r>
      <w:r w:rsidR="00CF3927" w:rsidRPr="005A75A6">
        <w:rPr>
          <w:rFonts w:ascii="Arial" w:hAnsi="Arial" w:cs="Arial"/>
        </w:rPr>
        <w:t>el Tribunal Administrativo de</w:t>
      </w:r>
      <w:r w:rsidR="0030186F" w:rsidRPr="005A75A6">
        <w:rPr>
          <w:rFonts w:ascii="Arial" w:hAnsi="Arial" w:cs="Arial"/>
        </w:rPr>
        <w:t>l Huila</w:t>
      </w:r>
      <w:r w:rsidRPr="005A75A6">
        <w:rPr>
          <w:rFonts w:ascii="Arial" w:hAnsi="Arial" w:cs="Arial"/>
        </w:rPr>
        <w:t>,</w:t>
      </w:r>
      <w:r w:rsidR="00A26E6C" w:rsidRPr="005A75A6">
        <w:rPr>
          <w:rFonts w:ascii="Arial" w:hAnsi="Arial" w:cs="Arial"/>
        </w:rPr>
        <w:t xml:space="preserve"> Sala Segunda de Decisión Escritural,</w:t>
      </w:r>
      <w:r w:rsidR="005B2C71" w:rsidRPr="005A75A6">
        <w:rPr>
          <w:rFonts w:ascii="Arial" w:hAnsi="Arial" w:cs="Arial"/>
        </w:rPr>
        <w:t xml:space="preserve"> </w:t>
      </w:r>
      <w:r w:rsidR="00D3231A" w:rsidRPr="005A75A6">
        <w:rPr>
          <w:rFonts w:ascii="Arial" w:hAnsi="Arial" w:cs="Arial"/>
        </w:rPr>
        <w:t>incurrió en defecto sustantivo</w:t>
      </w:r>
      <w:r w:rsidR="00286E34" w:rsidRPr="005A75A6">
        <w:rPr>
          <w:rFonts w:ascii="Arial" w:hAnsi="Arial" w:cs="Arial"/>
        </w:rPr>
        <w:t>,</w:t>
      </w:r>
      <w:r w:rsidR="00D3231A" w:rsidRPr="005A75A6">
        <w:rPr>
          <w:rFonts w:ascii="Arial" w:hAnsi="Arial" w:cs="Arial"/>
        </w:rPr>
        <w:t xml:space="preserve"> </w:t>
      </w:r>
      <w:r w:rsidR="00802570" w:rsidRPr="005A75A6">
        <w:rPr>
          <w:rFonts w:ascii="Arial" w:hAnsi="Arial" w:cs="Arial"/>
        </w:rPr>
        <w:t>al concluir que la acción de controversias contractuales</w:t>
      </w:r>
      <w:r w:rsidR="00955D01" w:rsidRPr="005A75A6">
        <w:rPr>
          <w:rFonts w:ascii="Arial" w:hAnsi="Arial" w:cs="Arial"/>
        </w:rPr>
        <w:t>, prevista en el artículo 87 del Decreto 01 de 1984,</w:t>
      </w:r>
      <w:r w:rsidR="00802570" w:rsidRPr="005A75A6">
        <w:rPr>
          <w:rFonts w:ascii="Arial" w:hAnsi="Arial" w:cs="Arial"/>
        </w:rPr>
        <w:t xml:space="preserve"> </w:t>
      </w:r>
      <w:r w:rsidR="0084689D" w:rsidRPr="005A75A6">
        <w:rPr>
          <w:rFonts w:ascii="Arial" w:hAnsi="Arial" w:cs="Arial"/>
        </w:rPr>
        <w:t>no era procedente para solicitar la declaratoria de existencia del contrato realidad y el reconocimiento y pago de los derechos laborales que de allí surgen</w:t>
      </w:r>
      <w:r w:rsidR="008B4995" w:rsidRPr="005A75A6">
        <w:rPr>
          <w:rFonts w:ascii="Arial" w:hAnsi="Arial" w:cs="Arial"/>
        </w:rPr>
        <w:t xml:space="preserve">. </w:t>
      </w:r>
    </w:p>
    <w:p w14:paraId="34C98A13" w14:textId="77777777" w:rsidR="00BE3CE8" w:rsidRPr="005A75A6" w:rsidRDefault="00BE3CE8" w:rsidP="00BE73C4">
      <w:pPr>
        <w:pStyle w:val="Textoindependiente2"/>
        <w:widowControl w:val="0"/>
        <w:spacing w:after="0" w:line="360" w:lineRule="auto"/>
        <w:jc w:val="both"/>
        <w:rPr>
          <w:rFonts w:ascii="Arial" w:hAnsi="Arial" w:cs="Arial"/>
        </w:rPr>
      </w:pPr>
    </w:p>
    <w:p w14:paraId="32C2D651" w14:textId="77777777" w:rsidR="00BE3CE8" w:rsidRPr="005A75A6" w:rsidRDefault="00BE3CE8" w:rsidP="00BE73C4">
      <w:pPr>
        <w:pStyle w:val="Textoindependiente2"/>
        <w:widowControl w:val="0"/>
        <w:spacing w:after="0" w:line="360" w:lineRule="auto"/>
        <w:jc w:val="both"/>
        <w:rPr>
          <w:rFonts w:ascii="Arial" w:hAnsi="Arial" w:cs="Arial"/>
        </w:rPr>
      </w:pPr>
      <w:r w:rsidRPr="005A75A6">
        <w:rPr>
          <w:rFonts w:ascii="Arial" w:hAnsi="Arial" w:cs="Arial"/>
        </w:rPr>
        <w:t xml:space="preserve">Que, </w:t>
      </w:r>
      <w:r w:rsidR="007045E5" w:rsidRPr="005A75A6">
        <w:rPr>
          <w:rFonts w:ascii="Arial" w:hAnsi="Arial" w:cs="Arial"/>
        </w:rPr>
        <w:t xml:space="preserve">además, el tribunal interpretó </w:t>
      </w:r>
      <w:r w:rsidR="00BA0B5D" w:rsidRPr="005A75A6">
        <w:rPr>
          <w:rFonts w:ascii="Arial" w:hAnsi="Arial" w:cs="Arial"/>
        </w:rPr>
        <w:t>indebidamente</w:t>
      </w:r>
      <w:r w:rsidR="007045E5" w:rsidRPr="005A75A6">
        <w:rPr>
          <w:rFonts w:ascii="Arial" w:hAnsi="Arial" w:cs="Arial"/>
        </w:rPr>
        <w:t xml:space="preserve"> </w:t>
      </w:r>
      <w:r w:rsidR="005C3D27" w:rsidRPr="005A75A6">
        <w:rPr>
          <w:rFonts w:ascii="Arial" w:hAnsi="Arial" w:cs="Arial"/>
        </w:rPr>
        <w:t xml:space="preserve">el numeral 2 del artículo 82 del Código Procedimiento Civil, </w:t>
      </w:r>
      <w:r w:rsidR="0030135A" w:rsidRPr="005A75A6">
        <w:rPr>
          <w:rFonts w:ascii="Arial" w:hAnsi="Arial" w:cs="Arial"/>
        </w:rPr>
        <w:t>que establece que en la demanda se pueden</w:t>
      </w:r>
      <w:r w:rsidR="00377A53" w:rsidRPr="005A75A6">
        <w:rPr>
          <w:rFonts w:ascii="Arial" w:hAnsi="Arial" w:cs="Arial"/>
        </w:rPr>
        <w:t xml:space="preserve"> acumular pretensiones que se excluyan entre sí, siempre que se propongan </w:t>
      </w:r>
      <w:r w:rsidR="00374FDC" w:rsidRPr="005A75A6">
        <w:rPr>
          <w:rFonts w:ascii="Arial" w:hAnsi="Arial" w:cs="Arial"/>
        </w:rPr>
        <w:t>como p</w:t>
      </w:r>
      <w:r w:rsidR="0005249A" w:rsidRPr="005A75A6">
        <w:rPr>
          <w:rFonts w:ascii="Arial" w:hAnsi="Arial" w:cs="Arial"/>
        </w:rPr>
        <w:t>rincipales y subsidiarias, como</w:t>
      </w:r>
      <w:r w:rsidR="00E00F06" w:rsidRPr="005A75A6">
        <w:rPr>
          <w:rFonts w:ascii="Arial" w:hAnsi="Arial" w:cs="Arial"/>
        </w:rPr>
        <w:t xml:space="preserve"> se hizo en la reforma de la demanda.</w:t>
      </w:r>
      <w:r w:rsidR="0030135A" w:rsidRPr="005A75A6">
        <w:rPr>
          <w:rFonts w:ascii="Arial" w:hAnsi="Arial" w:cs="Arial"/>
        </w:rPr>
        <w:t xml:space="preserve"> </w:t>
      </w:r>
    </w:p>
    <w:p w14:paraId="77A4ABFA" w14:textId="77777777" w:rsidR="004C72C8" w:rsidRPr="005A75A6" w:rsidRDefault="004C72C8" w:rsidP="00BE73C4">
      <w:pPr>
        <w:pStyle w:val="Textoindependiente2"/>
        <w:widowControl w:val="0"/>
        <w:spacing w:after="0" w:line="360" w:lineRule="auto"/>
        <w:jc w:val="both"/>
        <w:rPr>
          <w:rFonts w:ascii="Arial" w:hAnsi="Arial" w:cs="Arial"/>
        </w:rPr>
      </w:pPr>
    </w:p>
    <w:p w14:paraId="03668BC3" w14:textId="77777777" w:rsidR="00E32B75" w:rsidRPr="005A75A6" w:rsidRDefault="00E32B75" w:rsidP="00E32B75">
      <w:pPr>
        <w:pStyle w:val="Textoindependiente2"/>
        <w:widowControl w:val="0"/>
        <w:spacing w:after="0" w:line="360" w:lineRule="auto"/>
        <w:jc w:val="both"/>
        <w:rPr>
          <w:rFonts w:ascii="Arial" w:hAnsi="Arial" w:cs="Arial"/>
        </w:rPr>
      </w:pPr>
      <w:r w:rsidRPr="005A75A6">
        <w:rPr>
          <w:rFonts w:ascii="Arial" w:hAnsi="Arial" w:cs="Arial"/>
        </w:rPr>
        <w:t>Por último, señaló que la autoridad judicial demandada incurrió en defecto procedimental absoluto, por cuanto concluyó que el actor debió invocar las causales de nulidad previstas en los artículos 44, 45 y 47 de la Ley 80 de 1993 en la demanda de controversias contractuales, pese a que sí se aludió al principio de la primacía de la realidad sobre las forma, que era suficiente para examinar de fondo las pretensiones de la demanda.</w:t>
      </w:r>
    </w:p>
    <w:p w14:paraId="100C67B9" w14:textId="77777777" w:rsidR="00286E34" w:rsidRPr="005A75A6" w:rsidRDefault="00286E34" w:rsidP="00E32B75">
      <w:pPr>
        <w:pStyle w:val="Textoindependiente2"/>
        <w:widowControl w:val="0"/>
        <w:spacing w:after="0" w:line="360" w:lineRule="auto"/>
        <w:jc w:val="both"/>
        <w:rPr>
          <w:rFonts w:ascii="Arial" w:hAnsi="Arial" w:cs="Arial"/>
        </w:rPr>
      </w:pPr>
    </w:p>
    <w:p w14:paraId="46F3DA4E" w14:textId="77777777" w:rsidR="003F6129" w:rsidRPr="005A75A6" w:rsidRDefault="00E32B75" w:rsidP="00E32B75">
      <w:pPr>
        <w:pStyle w:val="Textoindependiente2"/>
        <w:widowControl w:val="0"/>
        <w:numPr>
          <w:ilvl w:val="0"/>
          <w:numId w:val="1"/>
        </w:numPr>
        <w:spacing w:after="0" w:line="360" w:lineRule="auto"/>
        <w:jc w:val="both"/>
        <w:rPr>
          <w:rFonts w:ascii="Arial" w:hAnsi="Arial" w:cs="Arial"/>
          <w:b/>
        </w:rPr>
      </w:pPr>
      <w:r w:rsidRPr="005A75A6">
        <w:rPr>
          <w:rFonts w:ascii="Arial" w:hAnsi="Arial" w:cs="Arial"/>
          <w:b/>
        </w:rPr>
        <w:lastRenderedPageBreak/>
        <w:t xml:space="preserve">Intervención </w:t>
      </w:r>
      <w:r w:rsidR="001C2C5F" w:rsidRPr="005A75A6">
        <w:rPr>
          <w:rFonts w:ascii="Arial" w:hAnsi="Arial" w:cs="Arial"/>
          <w:b/>
        </w:rPr>
        <w:t xml:space="preserve">del </w:t>
      </w:r>
      <w:r w:rsidR="003F6129" w:rsidRPr="005A75A6">
        <w:rPr>
          <w:rFonts w:ascii="Arial" w:hAnsi="Arial" w:cs="Arial"/>
          <w:b/>
        </w:rPr>
        <w:t>Tribunal Administrativo del Huila</w:t>
      </w:r>
      <w:r w:rsidR="00992678" w:rsidRPr="005A75A6">
        <w:rPr>
          <w:rFonts w:ascii="Arial" w:hAnsi="Arial" w:cs="Arial"/>
          <w:b/>
        </w:rPr>
        <w:t>, Sala Segunda de Decisión Escritural</w:t>
      </w:r>
    </w:p>
    <w:p w14:paraId="140AC1B9" w14:textId="77777777" w:rsidR="003F6129" w:rsidRPr="005A75A6" w:rsidRDefault="003F6129" w:rsidP="00CF3927">
      <w:pPr>
        <w:pStyle w:val="Textoindependiente2"/>
        <w:widowControl w:val="0"/>
        <w:spacing w:after="0" w:line="360" w:lineRule="auto"/>
        <w:jc w:val="both"/>
        <w:rPr>
          <w:rFonts w:ascii="Arial" w:hAnsi="Arial" w:cs="Arial"/>
        </w:rPr>
      </w:pPr>
    </w:p>
    <w:p w14:paraId="7BB69272" w14:textId="77777777" w:rsidR="003F6129" w:rsidRPr="005A75A6" w:rsidRDefault="00B9724C" w:rsidP="00CF3927">
      <w:pPr>
        <w:pStyle w:val="Textoindependiente2"/>
        <w:widowControl w:val="0"/>
        <w:spacing w:after="0" w:line="360" w:lineRule="auto"/>
        <w:jc w:val="both"/>
        <w:rPr>
          <w:rFonts w:ascii="Arial" w:hAnsi="Arial" w:cs="Arial"/>
        </w:rPr>
      </w:pPr>
      <w:r w:rsidRPr="005A75A6">
        <w:rPr>
          <w:rFonts w:ascii="Arial" w:hAnsi="Arial" w:cs="Arial"/>
        </w:rPr>
        <w:t>E</w:t>
      </w:r>
      <w:r w:rsidR="00CF3927" w:rsidRPr="005A75A6">
        <w:rPr>
          <w:rFonts w:ascii="Arial" w:hAnsi="Arial" w:cs="Arial"/>
        </w:rPr>
        <w:t>l magistrado ponente del fallo atacado</w:t>
      </w:r>
      <w:r w:rsidR="00CF3927" w:rsidRPr="005A75A6">
        <w:rPr>
          <w:rFonts w:ascii="Arial" w:hAnsi="Arial" w:cs="Arial"/>
          <w:b/>
        </w:rPr>
        <w:t xml:space="preserve"> </w:t>
      </w:r>
      <w:r w:rsidR="003F6129" w:rsidRPr="005A75A6">
        <w:rPr>
          <w:rFonts w:ascii="Arial" w:hAnsi="Arial" w:cs="Arial"/>
        </w:rPr>
        <w:t>rindió el informe solicita</w:t>
      </w:r>
      <w:r w:rsidR="00CF3927" w:rsidRPr="005A75A6">
        <w:rPr>
          <w:rFonts w:ascii="Arial" w:hAnsi="Arial" w:cs="Arial"/>
        </w:rPr>
        <w:t>d</w:t>
      </w:r>
      <w:r w:rsidR="003F6129" w:rsidRPr="005A75A6">
        <w:rPr>
          <w:rFonts w:ascii="Arial" w:hAnsi="Arial" w:cs="Arial"/>
        </w:rPr>
        <w:t>o, en los términos que la Sala resume así:</w:t>
      </w:r>
    </w:p>
    <w:p w14:paraId="261D211E" w14:textId="77777777" w:rsidR="00796DC9" w:rsidRPr="005A75A6" w:rsidRDefault="00796DC9" w:rsidP="00CF3927">
      <w:pPr>
        <w:pStyle w:val="Textoindependiente2"/>
        <w:widowControl w:val="0"/>
        <w:spacing w:after="0" w:line="360" w:lineRule="auto"/>
        <w:jc w:val="both"/>
        <w:rPr>
          <w:rFonts w:ascii="Arial" w:hAnsi="Arial" w:cs="Arial"/>
        </w:rPr>
      </w:pPr>
    </w:p>
    <w:p w14:paraId="468C3F8F" w14:textId="77777777" w:rsidR="00164415" w:rsidRPr="005A75A6" w:rsidRDefault="00DB4BA4" w:rsidP="00CF3927">
      <w:pPr>
        <w:pStyle w:val="Textoindependiente2"/>
        <w:widowControl w:val="0"/>
        <w:spacing w:after="0" w:line="360" w:lineRule="auto"/>
        <w:jc w:val="both"/>
        <w:rPr>
          <w:rFonts w:ascii="Arial" w:hAnsi="Arial" w:cs="Arial"/>
        </w:rPr>
      </w:pPr>
      <w:r w:rsidRPr="005A75A6">
        <w:rPr>
          <w:rFonts w:ascii="Arial" w:hAnsi="Arial" w:cs="Arial"/>
        </w:rPr>
        <w:t xml:space="preserve">Que el tribunal </w:t>
      </w:r>
      <w:r w:rsidR="00AA3435" w:rsidRPr="005A75A6">
        <w:rPr>
          <w:rFonts w:ascii="Arial" w:hAnsi="Arial" w:cs="Arial"/>
        </w:rPr>
        <w:t xml:space="preserve">se fundó en la jurisprudencia </w:t>
      </w:r>
      <w:r w:rsidR="005F4968" w:rsidRPr="005A75A6">
        <w:rPr>
          <w:rFonts w:ascii="Arial" w:hAnsi="Arial" w:cs="Arial"/>
        </w:rPr>
        <w:t>vigente</w:t>
      </w:r>
      <w:r w:rsidR="00AA3435" w:rsidRPr="005A75A6">
        <w:rPr>
          <w:rFonts w:ascii="Arial" w:hAnsi="Arial" w:cs="Arial"/>
        </w:rPr>
        <w:t xml:space="preserve"> para </w:t>
      </w:r>
      <w:r w:rsidR="00510E3D" w:rsidRPr="005A75A6">
        <w:rPr>
          <w:rFonts w:ascii="Arial" w:hAnsi="Arial" w:cs="Arial"/>
        </w:rPr>
        <w:t>dictar la senten</w:t>
      </w:r>
      <w:r w:rsidR="00533BF7" w:rsidRPr="005A75A6">
        <w:rPr>
          <w:rFonts w:ascii="Arial" w:hAnsi="Arial" w:cs="Arial"/>
        </w:rPr>
        <w:t xml:space="preserve">cia del </w:t>
      </w:r>
      <w:r w:rsidR="00640FAA" w:rsidRPr="005A75A6">
        <w:rPr>
          <w:rFonts w:ascii="Arial" w:hAnsi="Arial" w:cs="Arial"/>
        </w:rPr>
        <w:t>17 de agosto de 2016</w:t>
      </w:r>
      <w:r w:rsidR="00533BF7" w:rsidRPr="005A75A6">
        <w:rPr>
          <w:rFonts w:ascii="Arial" w:hAnsi="Arial" w:cs="Arial"/>
        </w:rPr>
        <w:t>, que aquí se cuestiona.</w:t>
      </w:r>
      <w:r w:rsidR="00EE0A2D" w:rsidRPr="005A75A6">
        <w:rPr>
          <w:rFonts w:ascii="Arial" w:hAnsi="Arial" w:cs="Arial"/>
        </w:rPr>
        <w:t xml:space="preserve"> Que, en efecto,</w:t>
      </w:r>
      <w:r w:rsidR="00667FB8" w:rsidRPr="005A75A6">
        <w:rPr>
          <w:rFonts w:ascii="Arial" w:hAnsi="Arial" w:cs="Arial"/>
        </w:rPr>
        <w:t xml:space="preserve"> </w:t>
      </w:r>
      <w:r w:rsidR="0065138D" w:rsidRPr="005A75A6">
        <w:rPr>
          <w:rFonts w:ascii="Arial" w:hAnsi="Arial" w:cs="Arial"/>
        </w:rPr>
        <w:t xml:space="preserve">en diferentes pronunciamientos, </w:t>
      </w:r>
      <w:r w:rsidR="00667FB8" w:rsidRPr="005A75A6">
        <w:rPr>
          <w:rFonts w:ascii="Arial" w:hAnsi="Arial" w:cs="Arial"/>
        </w:rPr>
        <w:t xml:space="preserve">el </w:t>
      </w:r>
      <w:r w:rsidR="0065138D" w:rsidRPr="005A75A6">
        <w:rPr>
          <w:rFonts w:ascii="Arial" w:hAnsi="Arial" w:cs="Arial"/>
        </w:rPr>
        <w:t xml:space="preserve">Consejo de Estado ha determinado que </w:t>
      </w:r>
      <w:r w:rsidR="008C30D5" w:rsidRPr="005A75A6">
        <w:rPr>
          <w:rFonts w:ascii="Arial" w:hAnsi="Arial" w:cs="Arial"/>
        </w:rPr>
        <w:t xml:space="preserve">la acción procedente para reclamar </w:t>
      </w:r>
      <w:r w:rsidR="006E1B57" w:rsidRPr="005A75A6">
        <w:rPr>
          <w:rFonts w:ascii="Arial" w:hAnsi="Arial" w:cs="Arial"/>
        </w:rPr>
        <w:t>el reconocimiento y pago de los emolumentos laborales y prestacionales sur</w:t>
      </w:r>
      <w:r w:rsidR="00D5681B" w:rsidRPr="005A75A6">
        <w:rPr>
          <w:rFonts w:ascii="Arial" w:hAnsi="Arial" w:cs="Arial"/>
        </w:rPr>
        <w:t>gidos del contrato realidad es la acción de nulidad</w:t>
      </w:r>
      <w:r w:rsidR="002B213D" w:rsidRPr="005A75A6">
        <w:rPr>
          <w:rFonts w:ascii="Arial" w:hAnsi="Arial" w:cs="Arial"/>
        </w:rPr>
        <w:t xml:space="preserve"> y restablecimiento del derecho, no la acción de controversias contractuales.</w:t>
      </w:r>
    </w:p>
    <w:p w14:paraId="0D6F2B9E" w14:textId="77777777" w:rsidR="00207B43" w:rsidRPr="005A75A6" w:rsidRDefault="00207B43" w:rsidP="00CF3927">
      <w:pPr>
        <w:pStyle w:val="Textoindependiente2"/>
        <w:widowControl w:val="0"/>
        <w:spacing w:after="0" w:line="360" w:lineRule="auto"/>
        <w:jc w:val="both"/>
        <w:rPr>
          <w:rFonts w:ascii="Arial" w:hAnsi="Arial" w:cs="Arial"/>
        </w:rPr>
      </w:pPr>
    </w:p>
    <w:p w14:paraId="7CE8F7A1" w14:textId="77777777" w:rsidR="00207B43" w:rsidRPr="005A75A6" w:rsidRDefault="005D3FB4" w:rsidP="00CF3927">
      <w:pPr>
        <w:pStyle w:val="Textoindependiente2"/>
        <w:widowControl w:val="0"/>
        <w:spacing w:after="0" w:line="360" w:lineRule="auto"/>
        <w:jc w:val="both"/>
        <w:rPr>
          <w:rFonts w:ascii="Arial" w:hAnsi="Arial" w:cs="Arial"/>
        </w:rPr>
      </w:pPr>
      <w:r w:rsidRPr="005A75A6">
        <w:rPr>
          <w:rFonts w:ascii="Arial" w:hAnsi="Arial" w:cs="Arial"/>
        </w:rPr>
        <w:t xml:space="preserve">Que, </w:t>
      </w:r>
      <w:r w:rsidR="002347DB" w:rsidRPr="005A75A6">
        <w:rPr>
          <w:rFonts w:ascii="Arial" w:hAnsi="Arial" w:cs="Arial"/>
        </w:rPr>
        <w:t xml:space="preserve">contra lo afirmado por el actor, </w:t>
      </w:r>
      <w:r w:rsidR="00F97C59" w:rsidRPr="005A75A6">
        <w:rPr>
          <w:rFonts w:ascii="Arial" w:hAnsi="Arial" w:cs="Arial"/>
        </w:rPr>
        <w:t>«</w:t>
      </w:r>
      <w:r w:rsidR="00F97C59" w:rsidRPr="005A75A6">
        <w:rPr>
          <w:rFonts w:ascii="Arial" w:hAnsi="Arial" w:cs="Arial"/>
          <w:i/>
        </w:rPr>
        <w:t xml:space="preserve">la Sala no aplica de ninguna manera rigor excesivo en detrimento de los derechos fundamentales </w:t>
      </w:r>
      <w:r w:rsidR="00F00C48" w:rsidRPr="005A75A6">
        <w:rPr>
          <w:rFonts w:ascii="Arial" w:hAnsi="Arial" w:cs="Arial"/>
        </w:rPr>
        <w:t>(…)</w:t>
      </w:r>
      <w:r w:rsidR="00F97C59" w:rsidRPr="005A75A6">
        <w:rPr>
          <w:rFonts w:ascii="Arial" w:hAnsi="Arial" w:cs="Arial"/>
          <w:i/>
        </w:rPr>
        <w:t>, pues es necesario recordar que la justicia contencioso administrativa “es rogada” es decir, que solo puede pronunciarse respecto de los hechos y normas que se hayan esgrimido en la demanda, de donde resulta que la precisa y adecuada cita de los fundamentos de derecho y de las normas violadas, vienen a constituir el marco jurídico dentro del cual debe y puede moverse el juzgador</w:t>
      </w:r>
      <w:r w:rsidR="00F97C59" w:rsidRPr="005A75A6">
        <w:rPr>
          <w:rFonts w:ascii="Arial" w:hAnsi="Arial" w:cs="Arial"/>
        </w:rPr>
        <w:t>»</w:t>
      </w:r>
      <w:r w:rsidR="00CF7E47" w:rsidRPr="005A75A6">
        <w:rPr>
          <w:rStyle w:val="Refdenotaalpie"/>
          <w:rFonts w:ascii="Arial" w:hAnsi="Arial" w:cs="Arial"/>
        </w:rPr>
        <w:footnoteReference w:id="2"/>
      </w:r>
      <w:r w:rsidR="00F97C59" w:rsidRPr="005A75A6">
        <w:rPr>
          <w:rFonts w:ascii="Arial" w:hAnsi="Arial" w:cs="Arial"/>
        </w:rPr>
        <w:t>.</w:t>
      </w:r>
      <w:r w:rsidRPr="005A75A6">
        <w:rPr>
          <w:rFonts w:ascii="Arial" w:hAnsi="Arial" w:cs="Arial"/>
        </w:rPr>
        <w:t xml:space="preserve"> </w:t>
      </w:r>
    </w:p>
    <w:p w14:paraId="1070D447" w14:textId="77777777" w:rsidR="00965631" w:rsidRPr="005A75A6" w:rsidRDefault="00965631" w:rsidP="00CF3927">
      <w:pPr>
        <w:pStyle w:val="Textoindependiente2"/>
        <w:widowControl w:val="0"/>
        <w:spacing w:after="0" w:line="360" w:lineRule="auto"/>
        <w:jc w:val="both"/>
        <w:rPr>
          <w:rFonts w:ascii="Arial" w:hAnsi="Arial" w:cs="Arial"/>
        </w:rPr>
      </w:pPr>
    </w:p>
    <w:p w14:paraId="538C53C6" w14:textId="77777777" w:rsidR="0086702A" w:rsidRPr="005A75A6" w:rsidRDefault="00E01BE6" w:rsidP="00CF3927">
      <w:pPr>
        <w:pStyle w:val="Textoindependiente2"/>
        <w:widowControl w:val="0"/>
        <w:spacing w:after="0" w:line="360" w:lineRule="auto"/>
        <w:jc w:val="both"/>
        <w:rPr>
          <w:rFonts w:ascii="Arial" w:hAnsi="Arial" w:cs="Arial"/>
        </w:rPr>
      </w:pPr>
      <w:r w:rsidRPr="005A75A6">
        <w:rPr>
          <w:rFonts w:ascii="Arial" w:hAnsi="Arial" w:cs="Arial"/>
        </w:rPr>
        <w:t>Que</w:t>
      </w:r>
      <w:r w:rsidR="000F1F54" w:rsidRPr="005A75A6">
        <w:rPr>
          <w:rFonts w:ascii="Arial" w:hAnsi="Arial" w:cs="Arial"/>
        </w:rPr>
        <w:t>, en ese contexto,</w:t>
      </w:r>
      <w:r w:rsidR="001E0F01" w:rsidRPr="005A75A6">
        <w:rPr>
          <w:rFonts w:ascii="Arial" w:hAnsi="Arial" w:cs="Arial"/>
        </w:rPr>
        <w:t xml:space="preserve"> el tribunal no podía estudiar</w:t>
      </w:r>
      <w:r w:rsidR="0098580C" w:rsidRPr="005A75A6">
        <w:rPr>
          <w:rFonts w:ascii="Arial" w:hAnsi="Arial" w:cs="Arial"/>
        </w:rPr>
        <w:t xml:space="preserve"> de fondo la demanda de controversias contractuales</w:t>
      </w:r>
      <w:r w:rsidR="001C2C5F" w:rsidRPr="005A75A6">
        <w:rPr>
          <w:rFonts w:ascii="Arial" w:hAnsi="Arial" w:cs="Arial"/>
        </w:rPr>
        <w:t>,</w:t>
      </w:r>
      <w:r w:rsidR="0098580C" w:rsidRPr="005A75A6">
        <w:rPr>
          <w:rFonts w:ascii="Arial" w:hAnsi="Arial" w:cs="Arial"/>
        </w:rPr>
        <w:t xml:space="preserve"> </w:t>
      </w:r>
      <w:r w:rsidR="008E7FAF" w:rsidRPr="005A75A6">
        <w:rPr>
          <w:rFonts w:ascii="Arial" w:hAnsi="Arial" w:cs="Arial"/>
        </w:rPr>
        <w:t xml:space="preserve">porque </w:t>
      </w:r>
      <w:r w:rsidR="00A06703" w:rsidRPr="005A75A6">
        <w:rPr>
          <w:rFonts w:ascii="Arial" w:hAnsi="Arial" w:cs="Arial"/>
        </w:rPr>
        <w:t xml:space="preserve">el demandante no probó los hechos que </w:t>
      </w:r>
      <w:r w:rsidR="008E7FAF" w:rsidRPr="005A75A6">
        <w:rPr>
          <w:rFonts w:ascii="Arial" w:hAnsi="Arial" w:cs="Arial"/>
        </w:rPr>
        <w:t>alegó, formuló pretensiones contradictorias y no explicó el concepto de violaci</w:t>
      </w:r>
      <w:r w:rsidR="0097466C" w:rsidRPr="005A75A6">
        <w:rPr>
          <w:rFonts w:ascii="Arial" w:hAnsi="Arial" w:cs="Arial"/>
        </w:rPr>
        <w:t>ón.</w:t>
      </w:r>
    </w:p>
    <w:p w14:paraId="4976C4AC" w14:textId="77777777" w:rsidR="0086702A" w:rsidRPr="005A75A6" w:rsidRDefault="0086702A" w:rsidP="00CF3927">
      <w:pPr>
        <w:pStyle w:val="Textoindependiente2"/>
        <w:widowControl w:val="0"/>
        <w:spacing w:after="0" w:line="360" w:lineRule="auto"/>
        <w:jc w:val="both"/>
        <w:rPr>
          <w:rFonts w:ascii="Arial" w:hAnsi="Arial" w:cs="Arial"/>
        </w:rPr>
      </w:pPr>
    </w:p>
    <w:p w14:paraId="6C63C9FB" w14:textId="77777777" w:rsidR="00965631" w:rsidRPr="005A75A6" w:rsidRDefault="00DA116E" w:rsidP="00CF3927">
      <w:pPr>
        <w:pStyle w:val="Textoindependiente2"/>
        <w:widowControl w:val="0"/>
        <w:spacing w:after="0" w:line="360" w:lineRule="auto"/>
        <w:jc w:val="both"/>
        <w:rPr>
          <w:rFonts w:ascii="Arial" w:hAnsi="Arial" w:cs="Arial"/>
        </w:rPr>
      </w:pPr>
      <w:r w:rsidRPr="005A75A6">
        <w:rPr>
          <w:rFonts w:ascii="Arial" w:hAnsi="Arial" w:cs="Arial"/>
        </w:rPr>
        <w:t xml:space="preserve">Que, </w:t>
      </w:r>
      <w:r w:rsidR="00465282" w:rsidRPr="005A75A6">
        <w:rPr>
          <w:rFonts w:ascii="Arial" w:hAnsi="Arial" w:cs="Arial"/>
        </w:rPr>
        <w:t>en suma, el fallo atacado no adolece de los defectos sustantivo y procedimental en</w:t>
      </w:r>
      <w:r w:rsidR="009122E4" w:rsidRPr="005A75A6">
        <w:rPr>
          <w:rFonts w:ascii="Arial" w:hAnsi="Arial" w:cs="Arial"/>
        </w:rPr>
        <w:t>dilgados por el actor y, por ende, la tutela debe denegarse.</w:t>
      </w:r>
      <w:r w:rsidR="00697020" w:rsidRPr="005A75A6">
        <w:rPr>
          <w:rFonts w:ascii="Arial" w:hAnsi="Arial" w:cs="Arial"/>
        </w:rPr>
        <w:t xml:space="preserve"> </w:t>
      </w:r>
      <w:r w:rsidR="001E0F01" w:rsidRPr="005A75A6">
        <w:rPr>
          <w:rFonts w:ascii="Arial" w:hAnsi="Arial" w:cs="Arial"/>
        </w:rPr>
        <w:t xml:space="preserve"> </w:t>
      </w:r>
    </w:p>
    <w:p w14:paraId="4B4897AC" w14:textId="77777777" w:rsidR="006C2588" w:rsidRPr="005A75A6" w:rsidRDefault="006C2588" w:rsidP="001C2C5F">
      <w:pPr>
        <w:pStyle w:val="Textoindependiente2"/>
        <w:widowControl w:val="0"/>
        <w:spacing w:after="0"/>
        <w:jc w:val="both"/>
        <w:rPr>
          <w:rFonts w:ascii="Arial" w:hAnsi="Arial" w:cs="Arial"/>
        </w:rPr>
      </w:pPr>
    </w:p>
    <w:p w14:paraId="3AEF7422" w14:textId="77777777" w:rsidR="00992678" w:rsidRPr="005A75A6" w:rsidRDefault="00992678" w:rsidP="00992678">
      <w:pPr>
        <w:pStyle w:val="Textoindependiente2"/>
        <w:widowControl w:val="0"/>
        <w:spacing w:after="0" w:line="360" w:lineRule="auto"/>
        <w:ind w:firstLine="708"/>
        <w:jc w:val="both"/>
        <w:rPr>
          <w:rFonts w:ascii="Arial" w:hAnsi="Arial" w:cs="Arial"/>
          <w:b/>
        </w:rPr>
      </w:pPr>
      <w:r w:rsidRPr="005A75A6">
        <w:rPr>
          <w:rFonts w:ascii="Arial" w:hAnsi="Arial" w:cs="Arial"/>
          <w:b/>
        </w:rPr>
        <w:t>5.</w:t>
      </w:r>
      <w:r w:rsidR="006C2588" w:rsidRPr="005A75A6">
        <w:rPr>
          <w:rFonts w:ascii="Arial" w:hAnsi="Arial" w:cs="Arial"/>
          <w:b/>
        </w:rPr>
        <w:t xml:space="preserve"> </w:t>
      </w:r>
      <w:r w:rsidRPr="005A75A6">
        <w:rPr>
          <w:rFonts w:ascii="Arial" w:hAnsi="Arial" w:cs="Arial"/>
          <w:b/>
        </w:rPr>
        <w:t>Dirección Nacional de Inteligencia (tercero con interés)</w:t>
      </w:r>
    </w:p>
    <w:p w14:paraId="0F46FD3E" w14:textId="77777777" w:rsidR="00992678" w:rsidRPr="005A75A6" w:rsidRDefault="00992678" w:rsidP="00992678">
      <w:pPr>
        <w:pStyle w:val="Textoindependiente2"/>
        <w:widowControl w:val="0"/>
        <w:spacing w:after="0" w:line="360" w:lineRule="auto"/>
        <w:jc w:val="both"/>
        <w:rPr>
          <w:rFonts w:ascii="Arial" w:hAnsi="Arial" w:cs="Arial"/>
          <w:b/>
        </w:rPr>
      </w:pPr>
    </w:p>
    <w:p w14:paraId="316DF28A" w14:textId="77777777" w:rsidR="00992678" w:rsidRPr="005A75A6" w:rsidRDefault="00992678" w:rsidP="00992678">
      <w:pPr>
        <w:pStyle w:val="Textoindependiente2"/>
        <w:widowControl w:val="0"/>
        <w:spacing w:after="0" w:line="360" w:lineRule="auto"/>
        <w:jc w:val="both"/>
        <w:rPr>
          <w:rFonts w:ascii="Arial" w:hAnsi="Arial" w:cs="Arial"/>
        </w:rPr>
      </w:pPr>
      <w:r w:rsidRPr="005A75A6">
        <w:rPr>
          <w:rFonts w:ascii="Arial" w:hAnsi="Arial" w:cs="Arial"/>
        </w:rPr>
        <w:t xml:space="preserve">La jefe de la Oficina Jurídica de la Dirección Nacional de Inteligencia, DNI, señaló que se desvinculara a esa entidad de la tutela, pues no era responsable de la posible amenaza o vulneración del derecho fundamental al debido proceso invocado por el actor. Que, en efecto, los procesos judiciales del DAS se entregaron a las entidades que, conforme con el artículo 3 del Decreto 4057 de 2011, asumieron las funciones </w:t>
      </w:r>
      <w:r w:rsidRPr="005A75A6">
        <w:rPr>
          <w:rFonts w:ascii="Arial" w:hAnsi="Arial" w:cs="Arial"/>
        </w:rPr>
        <w:lastRenderedPageBreak/>
        <w:t>de ese organismo y que, el DNI no ejerce intervención alguna sobre ellos.</w:t>
      </w:r>
    </w:p>
    <w:p w14:paraId="61FE68C1" w14:textId="77777777" w:rsidR="00992678" w:rsidRPr="005A75A6" w:rsidRDefault="00992678" w:rsidP="00992678">
      <w:pPr>
        <w:pStyle w:val="Textoindependiente2"/>
        <w:widowControl w:val="0"/>
        <w:spacing w:after="0" w:line="360" w:lineRule="auto"/>
        <w:jc w:val="both"/>
        <w:rPr>
          <w:rFonts w:ascii="Arial" w:hAnsi="Arial" w:cs="Arial"/>
        </w:rPr>
      </w:pPr>
    </w:p>
    <w:p w14:paraId="78059F08" w14:textId="77777777" w:rsidR="00992678" w:rsidRPr="005A75A6" w:rsidRDefault="00992678" w:rsidP="00992678">
      <w:pPr>
        <w:pStyle w:val="Textoindependiente2"/>
        <w:widowControl w:val="0"/>
        <w:spacing w:after="0" w:line="360" w:lineRule="auto"/>
        <w:jc w:val="both"/>
        <w:rPr>
          <w:rFonts w:ascii="Arial" w:hAnsi="Arial" w:cs="Arial"/>
        </w:rPr>
      </w:pPr>
      <w:r w:rsidRPr="005A75A6">
        <w:rPr>
          <w:rFonts w:ascii="Arial" w:hAnsi="Arial" w:cs="Arial"/>
        </w:rPr>
        <w:t>Que, además, la DNI no intervino en el proceso ordinario que dio lugar a la providencia objeto de tutela, de ahí que no haya ejercido el derecho de contracción con relación a las pretensiones del demandante.</w:t>
      </w:r>
    </w:p>
    <w:p w14:paraId="0AB2FDD4" w14:textId="77777777" w:rsidR="006C2588" w:rsidRPr="005A75A6" w:rsidRDefault="006C2588" w:rsidP="000C4E66">
      <w:pPr>
        <w:pStyle w:val="Textoindependiente2"/>
        <w:widowControl w:val="0"/>
        <w:spacing w:after="0"/>
        <w:jc w:val="both"/>
        <w:rPr>
          <w:rFonts w:ascii="Arial" w:hAnsi="Arial" w:cs="Arial"/>
        </w:rPr>
      </w:pPr>
    </w:p>
    <w:p w14:paraId="0FC074AD" w14:textId="77777777" w:rsidR="00CF3927" w:rsidRPr="005A75A6" w:rsidRDefault="00CF3927" w:rsidP="00CF3927">
      <w:pPr>
        <w:pStyle w:val="Textoindependiente2"/>
        <w:widowControl w:val="0"/>
        <w:numPr>
          <w:ilvl w:val="0"/>
          <w:numId w:val="1"/>
        </w:numPr>
        <w:spacing w:after="0" w:line="360" w:lineRule="auto"/>
        <w:jc w:val="both"/>
        <w:rPr>
          <w:rFonts w:ascii="Arial" w:hAnsi="Arial" w:cs="Arial"/>
          <w:b/>
        </w:rPr>
      </w:pPr>
      <w:r w:rsidRPr="005A75A6">
        <w:rPr>
          <w:rFonts w:ascii="Arial" w:hAnsi="Arial" w:cs="Arial"/>
          <w:b/>
        </w:rPr>
        <w:t>Sentencia impugnada</w:t>
      </w:r>
    </w:p>
    <w:p w14:paraId="6548CF56" w14:textId="77777777" w:rsidR="00CF3927" w:rsidRPr="005A75A6" w:rsidRDefault="00CF3927" w:rsidP="00CF3927">
      <w:pPr>
        <w:pStyle w:val="Textoindependiente2"/>
        <w:widowControl w:val="0"/>
        <w:spacing w:after="0" w:line="360" w:lineRule="auto"/>
        <w:jc w:val="both"/>
        <w:rPr>
          <w:rFonts w:ascii="Arial" w:hAnsi="Arial" w:cs="Arial"/>
        </w:rPr>
      </w:pPr>
    </w:p>
    <w:p w14:paraId="354702D0" w14:textId="77777777" w:rsidR="00FA00B6" w:rsidRPr="005A75A6" w:rsidRDefault="00CF3927" w:rsidP="00CF3927">
      <w:pPr>
        <w:pStyle w:val="Textoindependiente2"/>
        <w:widowControl w:val="0"/>
        <w:spacing w:after="0" w:line="360" w:lineRule="auto"/>
        <w:jc w:val="both"/>
        <w:rPr>
          <w:rFonts w:ascii="Arial" w:hAnsi="Arial" w:cs="Arial"/>
        </w:rPr>
      </w:pPr>
      <w:r w:rsidRPr="005A75A6">
        <w:rPr>
          <w:rFonts w:ascii="Arial" w:hAnsi="Arial" w:cs="Arial"/>
        </w:rPr>
        <w:t xml:space="preserve">El Consejo de Estado, Sección Segunda, Subsección B, mediante sentencia del </w:t>
      </w:r>
      <w:r w:rsidR="00992678" w:rsidRPr="005A75A6">
        <w:rPr>
          <w:rFonts w:ascii="Arial" w:hAnsi="Arial" w:cs="Arial"/>
        </w:rPr>
        <w:t>15 de febrero de 2017</w:t>
      </w:r>
      <w:r w:rsidRPr="005A75A6">
        <w:rPr>
          <w:rFonts w:ascii="Arial" w:hAnsi="Arial" w:cs="Arial"/>
        </w:rPr>
        <w:t>, denegó el amparo pedido. Para el efecto,</w:t>
      </w:r>
      <w:r w:rsidR="00204B84" w:rsidRPr="005A75A6">
        <w:rPr>
          <w:rFonts w:ascii="Arial" w:hAnsi="Arial" w:cs="Arial"/>
        </w:rPr>
        <w:t xml:space="preserve"> luego de hacer un resumen del fallo cuestionado,</w:t>
      </w:r>
      <w:r w:rsidR="002A21B9" w:rsidRPr="005A75A6">
        <w:rPr>
          <w:rFonts w:ascii="Arial" w:hAnsi="Arial" w:cs="Arial"/>
        </w:rPr>
        <w:t xml:space="preserve"> </w:t>
      </w:r>
      <w:r w:rsidR="002839D2" w:rsidRPr="005A75A6">
        <w:rPr>
          <w:rFonts w:ascii="Arial" w:hAnsi="Arial" w:cs="Arial"/>
        </w:rPr>
        <w:t>dijo</w:t>
      </w:r>
      <w:r w:rsidR="002A21B9" w:rsidRPr="005A75A6">
        <w:rPr>
          <w:rFonts w:ascii="Arial" w:hAnsi="Arial" w:cs="Arial"/>
        </w:rPr>
        <w:t xml:space="preserve"> que el Tribunal Administrativo del Huila no incurrió en los defectos </w:t>
      </w:r>
      <w:r w:rsidR="000E43BC" w:rsidRPr="005A75A6">
        <w:rPr>
          <w:rFonts w:ascii="Arial" w:hAnsi="Arial" w:cs="Arial"/>
        </w:rPr>
        <w:t>señalados en la demanda de tutela.</w:t>
      </w:r>
    </w:p>
    <w:p w14:paraId="0043C6F9" w14:textId="77777777" w:rsidR="00992678" w:rsidRPr="005A75A6" w:rsidRDefault="00992678" w:rsidP="00CF3927">
      <w:pPr>
        <w:pStyle w:val="Textoindependiente2"/>
        <w:widowControl w:val="0"/>
        <w:spacing w:after="0" w:line="360" w:lineRule="auto"/>
        <w:jc w:val="both"/>
        <w:rPr>
          <w:rFonts w:ascii="Arial" w:hAnsi="Arial" w:cs="Arial"/>
        </w:rPr>
      </w:pPr>
    </w:p>
    <w:p w14:paraId="4334F707" w14:textId="77777777" w:rsidR="000C4E66" w:rsidRPr="005A75A6" w:rsidRDefault="000C4E66" w:rsidP="000C4E66">
      <w:pPr>
        <w:pStyle w:val="Textoindependiente2"/>
        <w:widowControl w:val="0"/>
        <w:spacing w:after="0" w:line="360" w:lineRule="auto"/>
        <w:jc w:val="both"/>
        <w:rPr>
          <w:rFonts w:ascii="Arial" w:hAnsi="Arial" w:cs="Arial"/>
        </w:rPr>
      </w:pPr>
      <w:r w:rsidRPr="005A75A6">
        <w:rPr>
          <w:rFonts w:ascii="Arial" w:hAnsi="Arial" w:cs="Arial"/>
        </w:rPr>
        <w:t xml:space="preserve">Que, en efecto, el tribunal se basó en la jurisprudencia del Consejo de Estado para concluir que la vía procesal idónea para reclamar el reconocimiento y pago de los derechos laborales y prestacionales surgidos del contrato realidad era la acción de nulidad y restablecimiento del derecho, mas no la de controversias contractuales. </w:t>
      </w:r>
    </w:p>
    <w:p w14:paraId="61F5A6B4" w14:textId="77777777" w:rsidR="000C4E66" w:rsidRPr="005A75A6" w:rsidRDefault="000C4E66" w:rsidP="000C4E66">
      <w:pPr>
        <w:pStyle w:val="Textoindependiente2"/>
        <w:widowControl w:val="0"/>
        <w:spacing w:after="0" w:line="360" w:lineRule="auto"/>
        <w:jc w:val="both"/>
        <w:rPr>
          <w:rFonts w:ascii="Arial" w:hAnsi="Arial" w:cs="Arial"/>
        </w:rPr>
      </w:pPr>
    </w:p>
    <w:p w14:paraId="2809237B" w14:textId="77777777" w:rsidR="000C4E66" w:rsidRPr="005A75A6" w:rsidRDefault="000C4E66" w:rsidP="000C4E66">
      <w:pPr>
        <w:pStyle w:val="Textoindependiente2"/>
        <w:widowControl w:val="0"/>
        <w:spacing w:after="0" w:line="360" w:lineRule="auto"/>
        <w:jc w:val="both"/>
        <w:rPr>
          <w:rFonts w:ascii="Arial" w:hAnsi="Arial" w:cs="Arial"/>
        </w:rPr>
      </w:pPr>
      <w:r w:rsidRPr="005A75A6">
        <w:rPr>
          <w:rFonts w:ascii="Arial" w:hAnsi="Arial" w:cs="Arial"/>
        </w:rPr>
        <w:t>Por otro lado, dijo que se abstenía de pronunciarse respecto de los defectos alegados por  la excepción de indebida acumulación de pretensiones, porque resultaba inane con ocasión a lo considerado respecto a la excepción de indebida escogencia de la acción.</w:t>
      </w:r>
    </w:p>
    <w:p w14:paraId="01A2E23B" w14:textId="77777777" w:rsidR="000C4E66" w:rsidRPr="005A75A6" w:rsidRDefault="000C4E66" w:rsidP="000C4E66">
      <w:pPr>
        <w:pStyle w:val="Textoindependiente2"/>
        <w:widowControl w:val="0"/>
        <w:spacing w:after="0" w:line="360" w:lineRule="auto"/>
        <w:jc w:val="both"/>
        <w:rPr>
          <w:rFonts w:ascii="Arial" w:hAnsi="Arial" w:cs="Arial"/>
        </w:rPr>
      </w:pPr>
    </w:p>
    <w:p w14:paraId="60CD9BEB" w14:textId="77777777" w:rsidR="000C4E66" w:rsidRPr="005A75A6" w:rsidRDefault="000C4E66" w:rsidP="000C4E66">
      <w:pPr>
        <w:pStyle w:val="Textoindependiente2"/>
        <w:widowControl w:val="0"/>
        <w:spacing w:after="0" w:line="360" w:lineRule="auto"/>
        <w:jc w:val="both"/>
        <w:rPr>
          <w:rFonts w:ascii="Arial" w:hAnsi="Arial" w:cs="Arial"/>
        </w:rPr>
      </w:pPr>
      <w:r w:rsidRPr="005A75A6">
        <w:rPr>
          <w:rFonts w:ascii="Arial" w:hAnsi="Arial" w:cs="Arial"/>
        </w:rPr>
        <w:t>Que, en conclusión, la sentencia objeto de tutela no se incurrió en una interpretación absurda o desmesurada de los preceptos que orientan el deber de escoger debidamente la acción.</w:t>
      </w:r>
    </w:p>
    <w:p w14:paraId="4AE35FD6" w14:textId="77777777" w:rsidR="00FA00B6" w:rsidRPr="005A75A6" w:rsidRDefault="00FA00B6" w:rsidP="000C4E66">
      <w:pPr>
        <w:pStyle w:val="Textoindependiente2"/>
        <w:widowControl w:val="0"/>
        <w:spacing w:after="0"/>
        <w:jc w:val="both"/>
        <w:rPr>
          <w:rFonts w:ascii="Arial" w:hAnsi="Arial" w:cs="Arial"/>
        </w:rPr>
      </w:pPr>
    </w:p>
    <w:p w14:paraId="0FE07567" w14:textId="77777777" w:rsidR="00CF3927" w:rsidRPr="005A75A6" w:rsidRDefault="00CF3927" w:rsidP="00CF3927">
      <w:pPr>
        <w:pStyle w:val="Textoindependiente2"/>
        <w:widowControl w:val="0"/>
        <w:numPr>
          <w:ilvl w:val="0"/>
          <w:numId w:val="1"/>
        </w:numPr>
        <w:spacing w:after="0" w:line="360" w:lineRule="auto"/>
        <w:jc w:val="both"/>
        <w:rPr>
          <w:rFonts w:ascii="Arial" w:hAnsi="Arial" w:cs="Arial"/>
          <w:b/>
        </w:rPr>
      </w:pPr>
      <w:r w:rsidRPr="005A75A6">
        <w:rPr>
          <w:rFonts w:ascii="Arial" w:hAnsi="Arial" w:cs="Arial"/>
          <w:b/>
        </w:rPr>
        <w:t>Impugnación</w:t>
      </w:r>
    </w:p>
    <w:p w14:paraId="3104B009" w14:textId="77777777" w:rsidR="00CF3927" w:rsidRPr="005A75A6" w:rsidRDefault="00CF3927" w:rsidP="00CF3927">
      <w:pPr>
        <w:pStyle w:val="Textoindependiente2"/>
        <w:widowControl w:val="0"/>
        <w:spacing w:after="0" w:line="360" w:lineRule="auto"/>
        <w:jc w:val="both"/>
        <w:rPr>
          <w:rFonts w:ascii="Arial" w:hAnsi="Arial" w:cs="Arial"/>
          <w:b/>
        </w:rPr>
      </w:pPr>
    </w:p>
    <w:p w14:paraId="1BE204EA" w14:textId="77777777" w:rsidR="000C4E66" w:rsidRPr="005A75A6" w:rsidRDefault="000C4E66" w:rsidP="000C4E66">
      <w:pPr>
        <w:pStyle w:val="Textoindependiente2"/>
        <w:widowControl w:val="0"/>
        <w:spacing w:after="0" w:line="360" w:lineRule="auto"/>
        <w:jc w:val="both"/>
        <w:rPr>
          <w:rFonts w:ascii="Arial" w:hAnsi="Arial" w:cs="Arial"/>
        </w:rPr>
      </w:pPr>
      <w:r w:rsidRPr="005A75A6">
        <w:rPr>
          <w:rFonts w:ascii="Arial" w:hAnsi="Arial" w:cs="Arial"/>
        </w:rPr>
        <w:t>En la impugnación, el demandante reiteró que, conforme con lo establecido en el artículo 87 del Decreto 01 de 1984, la acción procedente para solicitar la declaratoria de existencia del contrato realidad es la acción de controversias contractuales. Que así lo dispuso la Sección Segunda del Consejo de Estado, en la sentencia del 19 de julio de 2007</w:t>
      </w:r>
      <w:r w:rsidRPr="005A75A6">
        <w:rPr>
          <w:rStyle w:val="Refdenotaalpie"/>
          <w:rFonts w:ascii="Arial" w:hAnsi="Arial" w:cs="Arial"/>
        </w:rPr>
        <w:footnoteReference w:id="3"/>
      </w:r>
      <w:r w:rsidRPr="005A75A6">
        <w:rPr>
          <w:rFonts w:ascii="Arial" w:hAnsi="Arial" w:cs="Arial"/>
        </w:rPr>
        <w:t xml:space="preserve">, en la que admitió que los asuntos relacionados con la aplicación del </w:t>
      </w:r>
      <w:r w:rsidRPr="005A75A6">
        <w:rPr>
          <w:rFonts w:ascii="Arial" w:hAnsi="Arial" w:cs="Arial"/>
        </w:rPr>
        <w:lastRenderedPageBreak/>
        <w:t>principio de realidad sobre las formas se tramitaran a través de la acción contractual.</w:t>
      </w:r>
    </w:p>
    <w:p w14:paraId="48E34EF6" w14:textId="77777777" w:rsidR="00354EE0" w:rsidRPr="005A75A6" w:rsidRDefault="00354EE0" w:rsidP="000C4E66">
      <w:pPr>
        <w:pStyle w:val="Textoindependiente2"/>
        <w:widowControl w:val="0"/>
        <w:spacing w:after="0" w:line="360" w:lineRule="auto"/>
        <w:jc w:val="both"/>
        <w:rPr>
          <w:rFonts w:ascii="Arial" w:hAnsi="Arial" w:cs="Arial"/>
        </w:rPr>
      </w:pPr>
    </w:p>
    <w:p w14:paraId="535917EC" w14:textId="77777777" w:rsidR="000C4E66" w:rsidRPr="005A75A6" w:rsidRDefault="000C4E66" w:rsidP="000C4E66">
      <w:pPr>
        <w:pStyle w:val="Textoindependiente2"/>
        <w:widowControl w:val="0"/>
        <w:spacing w:after="0" w:line="360" w:lineRule="auto"/>
        <w:jc w:val="both"/>
        <w:rPr>
          <w:rFonts w:ascii="Arial" w:hAnsi="Arial" w:cs="Arial"/>
        </w:rPr>
      </w:pPr>
      <w:r w:rsidRPr="005A75A6">
        <w:rPr>
          <w:rFonts w:ascii="Arial" w:hAnsi="Arial" w:cs="Arial"/>
        </w:rPr>
        <w:t>Que en la demanda de controversias contractuales no se hizo ninguna referencia a la nulidad de actos administrativos, pues la pretensión principal buscaba que se declarara la existencia del contrato realidad y las pretensiones subsidiarias están encaminadas a obtener la nulidad de los contratos de prestación de servicios.</w:t>
      </w:r>
    </w:p>
    <w:p w14:paraId="1BF7896F" w14:textId="77777777" w:rsidR="000C4E66" w:rsidRPr="005A75A6" w:rsidRDefault="000C4E66" w:rsidP="000C4E66">
      <w:pPr>
        <w:pStyle w:val="Textoindependiente2"/>
        <w:widowControl w:val="0"/>
        <w:spacing w:after="0" w:line="360" w:lineRule="auto"/>
        <w:jc w:val="both"/>
        <w:rPr>
          <w:rFonts w:ascii="Arial" w:hAnsi="Arial" w:cs="Arial"/>
        </w:rPr>
      </w:pPr>
    </w:p>
    <w:p w14:paraId="026032DB" w14:textId="77777777" w:rsidR="000C4E66" w:rsidRPr="005A75A6" w:rsidRDefault="000C4E66" w:rsidP="000C4E66">
      <w:pPr>
        <w:pStyle w:val="Textoindependiente2"/>
        <w:widowControl w:val="0"/>
        <w:spacing w:after="0" w:line="360" w:lineRule="auto"/>
        <w:jc w:val="both"/>
        <w:rPr>
          <w:rFonts w:ascii="Arial" w:hAnsi="Arial" w:cs="Arial"/>
        </w:rPr>
      </w:pPr>
      <w:r w:rsidRPr="005A75A6">
        <w:rPr>
          <w:rFonts w:ascii="Arial" w:hAnsi="Arial" w:cs="Arial"/>
        </w:rPr>
        <w:t>Que, siendo así, no se entiende por qué el tribunal demandado le da un alcance distinto a lo pretendido por el demandante, al concluir que acumuló indebidamente pretensiones de la acción de controversias contractuales y de la acción de nulidad y restablecimiento del derecho.</w:t>
      </w:r>
    </w:p>
    <w:p w14:paraId="3F8BB2A2" w14:textId="77777777" w:rsidR="000C4E66" w:rsidRPr="005A75A6" w:rsidRDefault="000C4E66" w:rsidP="000C4E66">
      <w:pPr>
        <w:pStyle w:val="Textoindependiente2"/>
        <w:widowControl w:val="0"/>
        <w:spacing w:after="0" w:line="360" w:lineRule="auto"/>
        <w:jc w:val="both"/>
        <w:rPr>
          <w:rFonts w:ascii="Arial" w:hAnsi="Arial" w:cs="Arial"/>
        </w:rPr>
      </w:pPr>
    </w:p>
    <w:p w14:paraId="6D50B7BC" w14:textId="77777777" w:rsidR="000C4E66" w:rsidRPr="005A75A6" w:rsidRDefault="000C4E66" w:rsidP="000C4E66">
      <w:pPr>
        <w:pStyle w:val="Textoindependiente2"/>
        <w:widowControl w:val="0"/>
        <w:spacing w:after="0" w:line="360" w:lineRule="auto"/>
        <w:jc w:val="both"/>
        <w:rPr>
          <w:rFonts w:ascii="Arial" w:hAnsi="Arial" w:cs="Arial"/>
        </w:rPr>
      </w:pPr>
      <w:r w:rsidRPr="005A75A6">
        <w:rPr>
          <w:rFonts w:ascii="Arial" w:hAnsi="Arial" w:cs="Arial"/>
        </w:rPr>
        <w:t>Sostuvo que, en unos casos similares</w:t>
      </w:r>
      <w:r w:rsidRPr="005A75A6">
        <w:rPr>
          <w:rStyle w:val="Refdenotaalpie"/>
          <w:rFonts w:ascii="Arial" w:hAnsi="Arial" w:cs="Arial"/>
        </w:rPr>
        <w:footnoteReference w:id="4"/>
      </w:r>
      <w:r w:rsidRPr="005A75A6">
        <w:rPr>
          <w:rFonts w:ascii="Arial" w:hAnsi="Arial" w:cs="Arial"/>
        </w:rPr>
        <w:t>, la Subsección A de la Sección Segunda de esta</w:t>
      </w:r>
      <w:r w:rsidR="00ED1F8F" w:rsidRPr="005A75A6">
        <w:rPr>
          <w:rFonts w:ascii="Arial" w:hAnsi="Arial" w:cs="Arial"/>
        </w:rPr>
        <w:t xml:space="preserve"> </w:t>
      </w:r>
      <w:r w:rsidRPr="005A75A6">
        <w:rPr>
          <w:rFonts w:ascii="Arial" w:hAnsi="Arial" w:cs="Arial"/>
        </w:rPr>
        <w:t xml:space="preserve">Corporación dejó sin efectos las sentencias dictadas por el Tribunal Administrativo del Huila, que, en sede de alzada, declararon probada de oficio la excepción de inepta demanda porque el actor ejerció la acción de controversias contractuales para solicitar la declaratoria de existencia del contrato realidad. </w:t>
      </w:r>
    </w:p>
    <w:p w14:paraId="4CA591B2" w14:textId="77777777" w:rsidR="000C4E66" w:rsidRPr="005A75A6" w:rsidRDefault="000C4E66" w:rsidP="000C4E66">
      <w:pPr>
        <w:pStyle w:val="Textoindependiente2"/>
        <w:widowControl w:val="0"/>
        <w:spacing w:after="0" w:line="360" w:lineRule="auto"/>
        <w:jc w:val="both"/>
        <w:rPr>
          <w:rFonts w:ascii="Arial" w:hAnsi="Arial" w:cs="Arial"/>
        </w:rPr>
      </w:pPr>
    </w:p>
    <w:p w14:paraId="06D330CF" w14:textId="77777777" w:rsidR="000C4E66" w:rsidRPr="005A75A6" w:rsidRDefault="000C4E66" w:rsidP="000C4E66">
      <w:pPr>
        <w:pStyle w:val="Textoindependiente2"/>
        <w:widowControl w:val="0"/>
        <w:spacing w:after="0" w:line="360" w:lineRule="auto"/>
        <w:jc w:val="both"/>
        <w:rPr>
          <w:rFonts w:ascii="Arial" w:hAnsi="Arial" w:cs="Arial"/>
        </w:rPr>
      </w:pPr>
      <w:r w:rsidRPr="005A75A6">
        <w:rPr>
          <w:rFonts w:ascii="Arial" w:hAnsi="Arial" w:cs="Arial"/>
        </w:rPr>
        <w:t xml:space="preserve">Finalmente, dijo que el Consejo de Estado ha </w:t>
      </w:r>
      <w:r w:rsidR="00F404B5" w:rsidRPr="005A75A6">
        <w:rPr>
          <w:rFonts w:ascii="Arial" w:hAnsi="Arial" w:cs="Arial"/>
        </w:rPr>
        <w:t xml:space="preserve">generado </w:t>
      </w:r>
      <w:r w:rsidRPr="005A75A6">
        <w:rPr>
          <w:rFonts w:ascii="Arial" w:hAnsi="Arial" w:cs="Arial"/>
        </w:rPr>
        <w:t>inseguridad jurídica, pues no existe un criterio unánime frente al tema bajo estudio, lo que ha dado lugar a que en algunos casos se amparen los derechos y, en otros, se denieguen. Que, además, se le generó una expectativa legítima de tener resolución de fondo de su petición, debido al análisis inicial del juzgado de conocimiento.</w:t>
      </w:r>
    </w:p>
    <w:p w14:paraId="6F043230" w14:textId="77777777" w:rsidR="000C4E66" w:rsidRPr="005A75A6" w:rsidRDefault="000C4E66" w:rsidP="000C4E66">
      <w:pPr>
        <w:pStyle w:val="Textoindependiente2"/>
        <w:widowControl w:val="0"/>
        <w:spacing w:after="0"/>
        <w:jc w:val="both"/>
        <w:rPr>
          <w:rFonts w:ascii="Arial" w:hAnsi="Arial" w:cs="Arial"/>
        </w:rPr>
      </w:pPr>
    </w:p>
    <w:p w14:paraId="0F065619" w14:textId="77777777" w:rsidR="0038321D" w:rsidRPr="005A75A6" w:rsidRDefault="0038321D" w:rsidP="0038321D">
      <w:pPr>
        <w:pStyle w:val="Sangradetextonormal"/>
        <w:widowControl w:val="0"/>
        <w:numPr>
          <w:ilvl w:val="0"/>
          <w:numId w:val="6"/>
        </w:numPr>
        <w:jc w:val="center"/>
        <w:rPr>
          <w:sz w:val="24"/>
          <w:szCs w:val="24"/>
        </w:rPr>
      </w:pPr>
      <w:r w:rsidRPr="005A75A6">
        <w:rPr>
          <w:sz w:val="24"/>
          <w:szCs w:val="24"/>
        </w:rPr>
        <w:t>CONSIDERACIONES</w:t>
      </w:r>
    </w:p>
    <w:p w14:paraId="0121BDE6" w14:textId="77777777" w:rsidR="0038321D" w:rsidRPr="005A75A6" w:rsidRDefault="0038321D" w:rsidP="0038321D">
      <w:pPr>
        <w:pStyle w:val="Sangradetextonormal"/>
        <w:rPr>
          <w:b w:val="0"/>
          <w:bCs w:val="0"/>
          <w:sz w:val="24"/>
          <w:szCs w:val="24"/>
          <w:lang w:val="es-CO"/>
        </w:rPr>
      </w:pPr>
    </w:p>
    <w:p w14:paraId="067ED89B" w14:textId="77777777" w:rsidR="0038321D" w:rsidRPr="005A75A6" w:rsidRDefault="0038321D" w:rsidP="0038321D">
      <w:pPr>
        <w:pStyle w:val="Encabezado"/>
        <w:numPr>
          <w:ilvl w:val="0"/>
          <w:numId w:val="4"/>
        </w:numPr>
        <w:tabs>
          <w:tab w:val="clear" w:pos="4419"/>
          <w:tab w:val="center" w:pos="567"/>
        </w:tabs>
        <w:spacing w:line="360" w:lineRule="auto"/>
        <w:ind w:right="51"/>
        <w:jc w:val="both"/>
        <w:rPr>
          <w:rFonts w:ascii="Arial" w:hAnsi="Arial" w:cs="Arial"/>
          <w:b/>
        </w:rPr>
      </w:pPr>
      <w:r w:rsidRPr="005A75A6">
        <w:rPr>
          <w:rFonts w:ascii="Arial" w:hAnsi="Arial" w:cs="Arial"/>
          <w:b/>
        </w:rPr>
        <w:t>De la acción de tutela contra providencias judiciales</w:t>
      </w:r>
    </w:p>
    <w:p w14:paraId="4B4860B1" w14:textId="77777777" w:rsidR="0038321D" w:rsidRPr="005A75A6" w:rsidRDefault="0038321D" w:rsidP="0038321D">
      <w:pPr>
        <w:pStyle w:val="Encabezado"/>
        <w:tabs>
          <w:tab w:val="clear" w:pos="4419"/>
          <w:tab w:val="center" w:pos="567"/>
        </w:tabs>
        <w:spacing w:line="360" w:lineRule="auto"/>
        <w:ind w:right="51"/>
        <w:jc w:val="both"/>
        <w:rPr>
          <w:rFonts w:ascii="Arial" w:hAnsi="Arial" w:cs="Arial"/>
          <w:b/>
        </w:rPr>
      </w:pPr>
    </w:p>
    <w:p w14:paraId="32B235FC"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t>La acción de tutela es un mecanismo judicial cuyo objeto es la protección de los derechos fundamentales amenazados o vulnerados por la acción u omisión de cualquier autoridad pública o por un particular, en el último caso, cuando así lo permita expresamente la ley.</w:t>
      </w:r>
    </w:p>
    <w:p w14:paraId="79CDCA4D"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p>
    <w:p w14:paraId="66D6F04B"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lastRenderedPageBreak/>
        <w:t>La tutela procede cuando el interesado no dispone de otro medio de defensa, salvo que se utilice como mecanismo transitorio para evitar un perjuicio irremediable. En todo caso, el otro mecanismo de defensa debe ser eficaz para proteger el derecho fundamental vulnerado o amenazado, pues, de lo contrario, el juez de tutela deberá examinar si existe perjuicio irremediable y, de existir, concederá el amparo impetrado como mecanismo transitorio, siempre que esté plenamente acreditada la razón para conceder la tutela.</w:t>
      </w:r>
    </w:p>
    <w:p w14:paraId="5ECD650E"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t xml:space="preserve">   </w:t>
      </w:r>
    </w:p>
    <w:p w14:paraId="08AAB4F0"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t>A partir del año 2012</w:t>
      </w:r>
      <w:r w:rsidRPr="005A75A6">
        <w:rPr>
          <w:rStyle w:val="Refdenotaalpie"/>
          <w:rFonts w:ascii="Arial" w:hAnsi="Arial" w:cs="Arial"/>
          <w:color w:val="000000"/>
          <w:sz w:val="24"/>
          <w:szCs w:val="24"/>
        </w:rPr>
        <w:footnoteReference w:id="5"/>
      </w:r>
      <w:r w:rsidRPr="005A75A6">
        <w:rPr>
          <w:rFonts w:ascii="Arial" w:eastAsia="Times New Roman" w:hAnsi="Arial" w:cs="Arial"/>
          <w:color w:val="000000"/>
          <w:sz w:val="24"/>
          <w:szCs w:val="24"/>
          <w:lang w:eastAsia="es-ES"/>
        </w:rPr>
        <w:t>, la Sala Plena de lo Contencioso Administrativo de esta Corporación aceptó la procedencia de la acción de tutela contra providencias judiciales. De hecho, en la sentencia de unificación del 5 de agosto de 2014</w:t>
      </w:r>
      <w:r w:rsidRPr="005A75A6">
        <w:rPr>
          <w:rStyle w:val="Refdenotaalpie"/>
          <w:rFonts w:ascii="Arial" w:hAnsi="Arial" w:cs="Arial"/>
          <w:color w:val="000000"/>
          <w:sz w:val="24"/>
          <w:szCs w:val="24"/>
        </w:rPr>
        <w:footnoteReference w:id="6"/>
      </w:r>
      <w:r w:rsidRPr="005A75A6">
        <w:rPr>
          <w:rFonts w:ascii="Arial" w:eastAsia="Times New Roman" w:hAnsi="Arial" w:cs="Arial"/>
          <w:color w:val="000000"/>
          <w:sz w:val="24"/>
          <w:szCs w:val="24"/>
          <w:lang w:eastAsia="es-ES"/>
        </w:rPr>
        <w:t>, se precisó que la acción de tutela es procedente, incluso, para cuestionar providencias judiciales dictadas por el Consejo de Estado, pues, de conformidad con el artículo 86 de la Constitución Política, ese mecanismo puede ejercerse contra cualquier autoridad pública.</w:t>
      </w:r>
    </w:p>
    <w:p w14:paraId="17EC0F6A"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p>
    <w:p w14:paraId="56182023"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t>Para tal efecto, el juez de tutela debe verificar el cumplimiento de los requisitos generales (procesales o de procedibilidad) que fijó la Corte Constitucional, en la sentencia C-590 de 2005. Esto es, la relevancia constitucional, el agotamiento de los medios ordinarios de defensa, la inmediatez y que no se esté cuestionando una sentencia de tutela. Además, debe examinar si el demandante identificó y sustentó la causal específica de procedibilidad y expuso las razones que sustentan la violación o amenaza de los derechos fundamentales. No son suficientes las simples inconformidades frente a las decisiones tomadas por los jueces de instancia, sino que el interesado debe demostrar que la providencia cuestionada vulneró o dejó en situación de amenaza derechos fundamentales.</w:t>
      </w:r>
    </w:p>
    <w:p w14:paraId="7695B541" w14:textId="77777777" w:rsidR="0038321D" w:rsidRPr="005A75A6" w:rsidRDefault="0038321D" w:rsidP="0038321D">
      <w:pPr>
        <w:shd w:val="clear" w:color="auto" w:fill="FFFFFF"/>
        <w:tabs>
          <w:tab w:val="left" w:pos="1418"/>
        </w:tabs>
        <w:spacing w:line="360" w:lineRule="auto"/>
        <w:jc w:val="both"/>
        <w:rPr>
          <w:rFonts w:ascii="Arial" w:eastAsia="Times New Roman" w:hAnsi="Arial" w:cs="Arial"/>
          <w:color w:val="000000"/>
          <w:sz w:val="24"/>
          <w:szCs w:val="24"/>
          <w:lang w:eastAsia="es-ES"/>
        </w:rPr>
      </w:pPr>
    </w:p>
    <w:p w14:paraId="685776F2" w14:textId="77777777" w:rsidR="0038321D" w:rsidRPr="005A75A6" w:rsidRDefault="0038321D" w:rsidP="0038321D">
      <w:pPr>
        <w:shd w:val="clear" w:color="auto" w:fill="FFFFFF"/>
        <w:tabs>
          <w:tab w:val="left" w:pos="1418"/>
        </w:tabs>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t>Una vez la acción de tutela supere el estudio de las causales procesales, el juez puede conceder la protección, siempre que advierta la presencia de alguno de los siguientes defectos o vicios de fondo, que miran más hacia la prosperidad de la tutela: </w:t>
      </w:r>
      <w:r w:rsidRPr="005A75A6">
        <w:rPr>
          <w:rFonts w:ascii="Arial" w:eastAsia="Times New Roman" w:hAnsi="Arial" w:cs="Arial"/>
          <w:b/>
          <w:color w:val="000000"/>
          <w:sz w:val="24"/>
          <w:szCs w:val="24"/>
          <w:lang w:eastAsia="es-ES"/>
        </w:rPr>
        <w:t xml:space="preserve">(i) </w:t>
      </w:r>
      <w:r w:rsidRPr="005A75A6">
        <w:rPr>
          <w:rFonts w:ascii="Arial" w:eastAsia="Times New Roman" w:hAnsi="Arial" w:cs="Arial"/>
          <w:color w:val="000000"/>
          <w:sz w:val="24"/>
          <w:szCs w:val="24"/>
          <w:lang w:eastAsia="es-ES"/>
        </w:rPr>
        <w:t xml:space="preserve">defecto sustantivo; </w:t>
      </w:r>
      <w:r w:rsidRPr="005A75A6">
        <w:rPr>
          <w:rFonts w:ascii="Arial" w:eastAsia="Times New Roman" w:hAnsi="Arial" w:cs="Arial"/>
          <w:b/>
          <w:color w:val="000000"/>
          <w:sz w:val="24"/>
          <w:szCs w:val="24"/>
          <w:lang w:eastAsia="es-ES"/>
        </w:rPr>
        <w:t>(ii)</w:t>
      </w:r>
      <w:r w:rsidRPr="005A75A6">
        <w:rPr>
          <w:rFonts w:ascii="Arial" w:eastAsia="Times New Roman" w:hAnsi="Arial" w:cs="Arial"/>
          <w:color w:val="000000"/>
          <w:sz w:val="24"/>
          <w:szCs w:val="24"/>
          <w:lang w:eastAsia="es-ES"/>
        </w:rPr>
        <w:t xml:space="preserve"> defecto fáctico; </w:t>
      </w:r>
      <w:r w:rsidRPr="005A75A6">
        <w:rPr>
          <w:rFonts w:ascii="Arial" w:eastAsia="Times New Roman" w:hAnsi="Arial" w:cs="Arial"/>
          <w:b/>
          <w:color w:val="000000"/>
          <w:sz w:val="24"/>
          <w:szCs w:val="24"/>
          <w:lang w:eastAsia="es-ES"/>
        </w:rPr>
        <w:t xml:space="preserve">(iii) </w:t>
      </w:r>
      <w:r w:rsidRPr="005A75A6">
        <w:rPr>
          <w:rFonts w:ascii="Arial" w:eastAsia="Times New Roman" w:hAnsi="Arial" w:cs="Arial"/>
          <w:color w:val="000000"/>
          <w:sz w:val="24"/>
          <w:szCs w:val="24"/>
          <w:lang w:eastAsia="es-ES"/>
        </w:rPr>
        <w:t xml:space="preserve">defecto procedimental absoluto; </w:t>
      </w:r>
      <w:r w:rsidRPr="005A75A6">
        <w:rPr>
          <w:rFonts w:ascii="Arial" w:eastAsia="Times New Roman" w:hAnsi="Arial" w:cs="Arial"/>
          <w:b/>
          <w:color w:val="000000"/>
          <w:sz w:val="24"/>
          <w:szCs w:val="24"/>
          <w:lang w:eastAsia="es-ES"/>
        </w:rPr>
        <w:t xml:space="preserve">(iv) </w:t>
      </w:r>
      <w:r w:rsidRPr="005A75A6">
        <w:rPr>
          <w:rFonts w:ascii="Arial" w:eastAsia="Times New Roman" w:hAnsi="Arial" w:cs="Arial"/>
          <w:color w:val="000000"/>
          <w:sz w:val="24"/>
          <w:szCs w:val="24"/>
          <w:lang w:eastAsia="es-ES"/>
        </w:rPr>
        <w:t xml:space="preserve">defecto orgánico; </w:t>
      </w:r>
      <w:r w:rsidRPr="005A75A6">
        <w:rPr>
          <w:rFonts w:ascii="Arial" w:eastAsia="Times New Roman" w:hAnsi="Arial" w:cs="Arial"/>
          <w:b/>
          <w:color w:val="000000"/>
          <w:sz w:val="24"/>
          <w:szCs w:val="24"/>
          <w:lang w:eastAsia="es-ES"/>
        </w:rPr>
        <w:t xml:space="preserve">(v) </w:t>
      </w:r>
      <w:r w:rsidRPr="005A75A6">
        <w:rPr>
          <w:rFonts w:ascii="Arial" w:eastAsia="Times New Roman" w:hAnsi="Arial" w:cs="Arial"/>
          <w:color w:val="000000"/>
          <w:sz w:val="24"/>
          <w:szCs w:val="24"/>
          <w:lang w:eastAsia="es-ES"/>
        </w:rPr>
        <w:t xml:space="preserve">error inducido; </w:t>
      </w:r>
      <w:r w:rsidRPr="005A75A6">
        <w:rPr>
          <w:rFonts w:ascii="Arial" w:eastAsia="Times New Roman" w:hAnsi="Arial" w:cs="Arial"/>
          <w:b/>
          <w:color w:val="000000"/>
          <w:sz w:val="24"/>
          <w:szCs w:val="24"/>
          <w:lang w:eastAsia="es-ES"/>
        </w:rPr>
        <w:t xml:space="preserve">(vi) </w:t>
      </w:r>
      <w:r w:rsidRPr="005A75A6">
        <w:rPr>
          <w:rFonts w:ascii="Arial" w:eastAsia="Times New Roman" w:hAnsi="Arial" w:cs="Arial"/>
          <w:color w:val="000000"/>
          <w:sz w:val="24"/>
          <w:szCs w:val="24"/>
          <w:lang w:eastAsia="es-ES"/>
        </w:rPr>
        <w:t xml:space="preserve">decisión sin motivación; </w:t>
      </w:r>
      <w:r w:rsidRPr="005A75A6">
        <w:rPr>
          <w:rFonts w:ascii="Arial" w:eastAsia="Times New Roman" w:hAnsi="Arial" w:cs="Arial"/>
          <w:b/>
          <w:color w:val="000000"/>
          <w:sz w:val="24"/>
          <w:szCs w:val="24"/>
          <w:lang w:eastAsia="es-ES"/>
        </w:rPr>
        <w:t xml:space="preserve">(vii) </w:t>
      </w:r>
      <w:r w:rsidRPr="005A75A6">
        <w:rPr>
          <w:rFonts w:ascii="Arial" w:eastAsia="Times New Roman" w:hAnsi="Arial" w:cs="Arial"/>
          <w:color w:val="000000"/>
          <w:sz w:val="24"/>
          <w:szCs w:val="24"/>
          <w:lang w:eastAsia="es-ES"/>
        </w:rPr>
        <w:t xml:space="preserve">desconocimiento del precedente, y </w:t>
      </w:r>
      <w:r w:rsidRPr="005A75A6">
        <w:rPr>
          <w:rFonts w:ascii="Arial" w:eastAsia="Times New Roman" w:hAnsi="Arial" w:cs="Arial"/>
          <w:b/>
          <w:color w:val="000000"/>
          <w:sz w:val="24"/>
          <w:szCs w:val="24"/>
          <w:lang w:eastAsia="es-ES"/>
        </w:rPr>
        <w:t xml:space="preserve">(viii) </w:t>
      </w:r>
      <w:r w:rsidRPr="005A75A6">
        <w:rPr>
          <w:rFonts w:ascii="Arial" w:eastAsia="Times New Roman" w:hAnsi="Arial" w:cs="Arial"/>
          <w:color w:val="000000"/>
          <w:sz w:val="24"/>
          <w:szCs w:val="24"/>
          <w:lang w:eastAsia="es-ES"/>
        </w:rPr>
        <w:t>violación directa de la Constitución.</w:t>
      </w:r>
    </w:p>
    <w:p w14:paraId="7E7B1753"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p>
    <w:p w14:paraId="533ABD31"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lastRenderedPageBreak/>
        <w:t>Las causales específicas que ha decantado la Corte Constitucional (y que han venido aplicando la mayoría de las autoridades judiciales) buscan que la tutela no se convierta en una instancia adicional para que las partes reabran discusiones jurídicas que son propias de los procesos ordinarios o expongan los argumentos que, por negligencia o decisión propia, dejaron de proponer oportunamente.</w:t>
      </w:r>
    </w:p>
    <w:p w14:paraId="0F78EC53"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p>
    <w:p w14:paraId="2D0EF8BB"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t>La tutela no puede convertirse en la instancia adicional de los procesos judiciales, pues los principios de seguridad jurídica y de coherencia del ordenamiento jurídico no permiten la revisión permanente y a perpetuidad de las decisiones de los jueces y, por tanto, no puede admitirse, sin mayores excepciones, la procedencia de la tutela contra providencias judiciales</w:t>
      </w:r>
    </w:p>
    <w:p w14:paraId="3268E9D6" w14:textId="77777777" w:rsidR="0038321D" w:rsidRPr="005A75A6" w:rsidRDefault="0038321D" w:rsidP="00F404B5">
      <w:pPr>
        <w:shd w:val="clear" w:color="auto" w:fill="FFFFFF"/>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t> </w:t>
      </w:r>
    </w:p>
    <w:p w14:paraId="7DDF90A7" w14:textId="77777777" w:rsidR="0038321D" w:rsidRPr="005A75A6" w:rsidRDefault="0038321D" w:rsidP="0038321D">
      <w:pPr>
        <w:shd w:val="clear" w:color="auto" w:fill="FFFFFF"/>
        <w:spacing w:line="360" w:lineRule="auto"/>
        <w:jc w:val="both"/>
        <w:rPr>
          <w:rFonts w:ascii="Arial" w:eastAsia="Times New Roman" w:hAnsi="Arial" w:cs="Arial"/>
          <w:color w:val="000000"/>
          <w:sz w:val="24"/>
          <w:szCs w:val="24"/>
          <w:lang w:eastAsia="es-ES"/>
        </w:rPr>
      </w:pPr>
      <w:r w:rsidRPr="005A75A6">
        <w:rPr>
          <w:rFonts w:ascii="Arial" w:eastAsia="Times New Roman" w:hAnsi="Arial" w:cs="Arial"/>
          <w:color w:val="000000"/>
          <w:sz w:val="24"/>
          <w:szCs w:val="24"/>
          <w:lang w:eastAsia="es-ES"/>
        </w:rPr>
        <w:t>Es de esa manera que se estudia una providencia judicial mediante el mecanismo excepcional de la acción de tutela.</w:t>
      </w:r>
    </w:p>
    <w:p w14:paraId="04BD55AD" w14:textId="77777777" w:rsidR="0038321D" w:rsidRPr="005A75A6" w:rsidRDefault="0038321D" w:rsidP="0038321D">
      <w:pPr>
        <w:pStyle w:val="Sangradetextonormal"/>
        <w:rPr>
          <w:b w:val="0"/>
          <w:bCs w:val="0"/>
          <w:sz w:val="24"/>
          <w:szCs w:val="24"/>
          <w:lang w:val="es-CO"/>
        </w:rPr>
      </w:pPr>
    </w:p>
    <w:p w14:paraId="6E8C7CD3" w14:textId="77777777" w:rsidR="0038321D" w:rsidRPr="005A75A6" w:rsidRDefault="0038321D" w:rsidP="0038321D">
      <w:pPr>
        <w:numPr>
          <w:ilvl w:val="0"/>
          <w:numId w:val="4"/>
        </w:numPr>
        <w:spacing w:line="360" w:lineRule="auto"/>
        <w:ind w:right="51"/>
        <w:jc w:val="both"/>
        <w:rPr>
          <w:rFonts w:ascii="Arial" w:hAnsi="Arial" w:cs="Arial"/>
          <w:b/>
          <w:sz w:val="24"/>
          <w:szCs w:val="24"/>
        </w:rPr>
      </w:pPr>
      <w:r w:rsidRPr="005A75A6">
        <w:rPr>
          <w:rFonts w:ascii="Arial" w:hAnsi="Arial" w:cs="Arial"/>
          <w:b/>
          <w:sz w:val="24"/>
          <w:szCs w:val="24"/>
        </w:rPr>
        <w:t>Problema jurídico</w:t>
      </w:r>
    </w:p>
    <w:p w14:paraId="1E9DA696" w14:textId="77777777" w:rsidR="0038321D" w:rsidRPr="005A75A6" w:rsidRDefault="0038321D" w:rsidP="0038321D">
      <w:pPr>
        <w:ind w:right="51"/>
        <w:jc w:val="both"/>
        <w:rPr>
          <w:rFonts w:ascii="Arial" w:hAnsi="Arial" w:cs="Arial"/>
          <w:sz w:val="24"/>
          <w:szCs w:val="24"/>
        </w:rPr>
      </w:pPr>
    </w:p>
    <w:p w14:paraId="210C8CC1" w14:textId="77777777" w:rsidR="0038321D" w:rsidRPr="005A75A6" w:rsidRDefault="0038321D" w:rsidP="0038321D">
      <w:pPr>
        <w:spacing w:line="360" w:lineRule="auto"/>
        <w:jc w:val="both"/>
        <w:rPr>
          <w:rFonts w:ascii="Arial" w:hAnsi="Arial" w:cs="Arial"/>
          <w:sz w:val="24"/>
          <w:szCs w:val="24"/>
          <w:lang w:eastAsia="es-ES"/>
        </w:rPr>
      </w:pPr>
      <w:r w:rsidRPr="005A75A6">
        <w:rPr>
          <w:rFonts w:ascii="Arial" w:hAnsi="Arial" w:cs="Arial"/>
          <w:bCs/>
          <w:color w:val="000000"/>
          <w:sz w:val="24"/>
          <w:szCs w:val="24"/>
          <w:lang w:val="es-ES"/>
        </w:rPr>
        <w:t>E</w:t>
      </w:r>
      <w:r w:rsidRPr="005A75A6">
        <w:rPr>
          <w:rFonts w:ascii="Arial" w:hAnsi="Arial" w:cs="Arial"/>
          <w:sz w:val="24"/>
          <w:szCs w:val="24"/>
          <w:lang w:eastAsia="es-ES"/>
        </w:rPr>
        <w:t>n los términos de la impugnación, a la Sala le corresponde determinar si el fallo de tutela de primera instancia se ajustó a derecho al denegar el amparo pedido, por considerar que la decisión del tribunal demandado de declarar probada de oficio la excepción de indebida escogencia de la acci</w:t>
      </w:r>
      <w:r w:rsidR="00796A65" w:rsidRPr="005A75A6">
        <w:rPr>
          <w:rFonts w:ascii="Arial" w:hAnsi="Arial" w:cs="Arial"/>
          <w:sz w:val="24"/>
          <w:szCs w:val="24"/>
          <w:lang w:eastAsia="es-ES"/>
        </w:rPr>
        <w:t xml:space="preserve">ón </w:t>
      </w:r>
      <w:r w:rsidRPr="005A75A6">
        <w:rPr>
          <w:rFonts w:ascii="Arial" w:hAnsi="Arial" w:cs="Arial"/>
          <w:sz w:val="24"/>
          <w:szCs w:val="24"/>
          <w:lang w:eastAsia="es-ES"/>
        </w:rPr>
        <w:t>no vulneró los derechos fundamentales invocados por el actor ni incurrió en los defectos endilgados.</w:t>
      </w:r>
    </w:p>
    <w:p w14:paraId="79808DCB" w14:textId="77777777" w:rsidR="0038321D" w:rsidRPr="005A75A6" w:rsidRDefault="0038321D" w:rsidP="0038321D">
      <w:pPr>
        <w:spacing w:line="360" w:lineRule="auto"/>
        <w:jc w:val="both"/>
        <w:rPr>
          <w:rFonts w:ascii="Arial" w:hAnsi="Arial" w:cs="Arial"/>
          <w:bCs/>
          <w:color w:val="000000"/>
          <w:sz w:val="24"/>
          <w:szCs w:val="24"/>
          <w:lang w:val="es-ES"/>
        </w:rPr>
      </w:pPr>
    </w:p>
    <w:p w14:paraId="53CCA21A" w14:textId="77777777" w:rsidR="0038321D" w:rsidRPr="005A75A6" w:rsidRDefault="0038321D" w:rsidP="0038321D">
      <w:pPr>
        <w:numPr>
          <w:ilvl w:val="0"/>
          <w:numId w:val="4"/>
        </w:numPr>
        <w:spacing w:line="360" w:lineRule="auto"/>
        <w:jc w:val="both"/>
        <w:rPr>
          <w:rFonts w:ascii="Arial" w:hAnsi="Arial" w:cs="Arial"/>
          <w:b/>
          <w:sz w:val="24"/>
          <w:szCs w:val="24"/>
        </w:rPr>
      </w:pPr>
      <w:r w:rsidRPr="005A75A6">
        <w:rPr>
          <w:rFonts w:ascii="Arial" w:hAnsi="Arial" w:cs="Arial"/>
          <w:b/>
          <w:sz w:val="24"/>
          <w:szCs w:val="24"/>
        </w:rPr>
        <w:t>Solución del caso</w:t>
      </w:r>
    </w:p>
    <w:p w14:paraId="6C7394F0" w14:textId="77777777" w:rsidR="0038321D" w:rsidRPr="005A75A6" w:rsidRDefault="0038321D" w:rsidP="0038321D">
      <w:pPr>
        <w:spacing w:line="360" w:lineRule="auto"/>
        <w:jc w:val="both"/>
        <w:rPr>
          <w:rFonts w:ascii="Arial" w:hAnsi="Arial" w:cs="Arial"/>
          <w:sz w:val="24"/>
          <w:szCs w:val="24"/>
        </w:rPr>
      </w:pPr>
    </w:p>
    <w:p w14:paraId="29259EB2"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rPr>
        <w:t xml:space="preserve">En orden a dirimir la controversia, conviene referirse a los aspectos más relevantes de la sentencia del </w:t>
      </w:r>
      <w:r w:rsidR="00C22866" w:rsidRPr="005A75A6">
        <w:rPr>
          <w:rFonts w:ascii="Arial" w:hAnsi="Arial" w:cs="Arial"/>
          <w:sz w:val="24"/>
          <w:szCs w:val="24"/>
        </w:rPr>
        <w:t>17 de agosto de 2016</w:t>
      </w:r>
      <w:r w:rsidRPr="005A75A6">
        <w:rPr>
          <w:rFonts w:ascii="Arial" w:hAnsi="Arial" w:cs="Arial"/>
          <w:sz w:val="24"/>
          <w:szCs w:val="24"/>
        </w:rPr>
        <w:t>, que aquí se cuestiona.</w:t>
      </w:r>
    </w:p>
    <w:p w14:paraId="2345CE89" w14:textId="77777777" w:rsidR="0038321D" w:rsidRPr="005A75A6" w:rsidRDefault="0038321D" w:rsidP="0038321D">
      <w:pPr>
        <w:spacing w:line="360" w:lineRule="auto"/>
        <w:jc w:val="both"/>
        <w:rPr>
          <w:rFonts w:ascii="Arial" w:hAnsi="Arial" w:cs="Arial"/>
          <w:sz w:val="24"/>
          <w:szCs w:val="24"/>
        </w:rPr>
      </w:pPr>
    </w:p>
    <w:p w14:paraId="48111644"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rPr>
        <w:t xml:space="preserve">En lo pertinente, el Tribunal Administrativo del Huila, Sala Segunda de Decisión Escritural señaló que el problema jurídico consistía en determinar si Carlos Antonio Arias </w:t>
      </w:r>
      <w:r w:rsidR="00C22866" w:rsidRPr="005A75A6">
        <w:rPr>
          <w:rFonts w:ascii="Arial" w:hAnsi="Arial" w:cs="Arial"/>
          <w:sz w:val="24"/>
          <w:szCs w:val="24"/>
        </w:rPr>
        <w:t xml:space="preserve">Tovar </w:t>
      </w:r>
      <w:r w:rsidRPr="005A75A6">
        <w:rPr>
          <w:rFonts w:ascii="Arial" w:hAnsi="Arial" w:cs="Arial"/>
          <w:sz w:val="24"/>
          <w:szCs w:val="24"/>
        </w:rPr>
        <w:t xml:space="preserve">podía ejercer la acción contractual para obtener el reconocimiento y pago de las prestaciones sociales y otros emolumentos derivados de la supuesta relación laboral que sostuvo con el DAS. Para resolverlo, la autoridad judicial demandada cotejó el contenido de los artículos 85 y 87 del Decreto 01 de 1984 ―que, en su orden, aluden a la acción de nulidad y restablecimiento del derecho y a la acción contractual (hoy de controversias contractuales)— con lo pretendido por el señor Arias Tovar. </w:t>
      </w:r>
      <w:r w:rsidR="003C2E49" w:rsidRPr="005A75A6">
        <w:rPr>
          <w:rFonts w:ascii="Arial" w:hAnsi="Arial" w:cs="Arial"/>
          <w:sz w:val="24"/>
          <w:szCs w:val="24"/>
        </w:rPr>
        <w:t xml:space="preserve">Que sin embargo, como el actor no agoto la vía gubernativa y </w:t>
      </w:r>
      <w:r w:rsidR="003C2E49" w:rsidRPr="005A75A6">
        <w:rPr>
          <w:rFonts w:ascii="Arial" w:hAnsi="Arial" w:cs="Arial"/>
          <w:sz w:val="24"/>
          <w:szCs w:val="24"/>
        </w:rPr>
        <w:lastRenderedPageBreak/>
        <w:t xml:space="preserve">optó por instaurar demanda de controversias contractuales, era menester declarar probada la excepción de indebida escogencia de la acción e inhibirse de decidir de fondo la controversia.  </w:t>
      </w:r>
    </w:p>
    <w:p w14:paraId="529006E5" w14:textId="77777777" w:rsidR="003C2E49" w:rsidRPr="005A75A6" w:rsidRDefault="003C2E49" w:rsidP="003C2E49">
      <w:pPr>
        <w:spacing w:line="360" w:lineRule="auto"/>
        <w:jc w:val="both"/>
        <w:rPr>
          <w:rFonts w:ascii="Arial" w:hAnsi="Arial" w:cs="Arial"/>
          <w:sz w:val="24"/>
          <w:szCs w:val="24"/>
        </w:rPr>
      </w:pPr>
      <w:r w:rsidRPr="005A75A6">
        <w:rPr>
          <w:rFonts w:ascii="Arial" w:hAnsi="Arial" w:cs="Arial"/>
          <w:sz w:val="24"/>
          <w:szCs w:val="24"/>
        </w:rPr>
        <w:t>El tribunal agregó que, en casos similares</w:t>
      </w:r>
      <w:r w:rsidRPr="005A75A6">
        <w:rPr>
          <w:rFonts w:ascii="Arial" w:hAnsi="Arial" w:cs="Arial"/>
          <w:sz w:val="24"/>
          <w:szCs w:val="24"/>
          <w:vertAlign w:val="superscript"/>
        </w:rPr>
        <w:footnoteReference w:id="7"/>
      </w:r>
      <w:r w:rsidRPr="005A75A6">
        <w:rPr>
          <w:rFonts w:ascii="Arial" w:hAnsi="Arial" w:cs="Arial"/>
          <w:sz w:val="24"/>
          <w:szCs w:val="24"/>
        </w:rPr>
        <w:t>, el Consejo de Estado ha dicho que la acción de nulidad y restablecimiento del derecho es la acción procedente para reclamar el pago de las prestaciones sociales a las que tiene derecho una persona en virtud de la relación laboral encubierta mediante contratos u órdenes de prestación de servicios.</w:t>
      </w:r>
    </w:p>
    <w:p w14:paraId="7A655103" w14:textId="77777777" w:rsidR="003C2E49" w:rsidRPr="005A75A6" w:rsidRDefault="003C2E49" w:rsidP="0038321D">
      <w:pPr>
        <w:spacing w:line="360" w:lineRule="auto"/>
        <w:jc w:val="both"/>
        <w:rPr>
          <w:rFonts w:ascii="Arial" w:hAnsi="Arial" w:cs="Arial"/>
          <w:sz w:val="24"/>
          <w:szCs w:val="24"/>
        </w:rPr>
      </w:pPr>
    </w:p>
    <w:p w14:paraId="1BE1C76B" w14:textId="77777777" w:rsidR="003C2E49" w:rsidRPr="005A75A6" w:rsidRDefault="003C2E49" w:rsidP="003C2E49">
      <w:pPr>
        <w:spacing w:line="360" w:lineRule="auto"/>
        <w:jc w:val="both"/>
        <w:rPr>
          <w:rFonts w:ascii="Arial" w:hAnsi="Arial" w:cs="Arial"/>
          <w:sz w:val="24"/>
          <w:szCs w:val="24"/>
        </w:rPr>
      </w:pPr>
      <w:r w:rsidRPr="005A75A6">
        <w:rPr>
          <w:rFonts w:ascii="Arial" w:hAnsi="Arial" w:cs="Arial"/>
          <w:sz w:val="24"/>
          <w:szCs w:val="24"/>
        </w:rPr>
        <w:t xml:space="preserve">Finalmente, dijo que también estaba configurada la excepción de inepta demanda, por cuanto se acumularon indebidamente pretensiones de la acción contractual con las pretensiones propias de la acción de nulidad y restablecimiento del derecho. </w:t>
      </w:r>
    </w:p>
    <w:p w14:paraId="3FAC19EE" w14:textId="77777777" w:rsidR="0038321D" w:rsidRPr="005A75A6" w:rsidRDefault="0038321D" w:rsidP="0038321D">
      <w:pPr>
        <w:spacing w:line="360" w:lineRule="auto"/>
        <w:jc w:val="both"/>
        <w:rPr>
          <w:rFonts w:ascii="Arial" w:hAnsi="Arial" w:cs="Arial"/>
          <w:sz w:val="24"/>
          <w:szCs w:val="24"/>
        </w:rPr>
      </w:pPr>
    </w:p>
    <w:p w14:paraId="486B92EE"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rPr>
        <w:t xml:space="preserve">Con claridad frente al contenido de la sentencia cuestionada, la Sala anticipa confirmará el fallo de tutela de primera instancia, que denegó el amparo pedido por </w:t>
      </w:r>
      <w:r w:rsidR="003C2E49" w:rsidRPr="005A75A6">
        <w:rPr>
          <w:rFonts w:ascii="Arial" w:hAnsi="Arial" w:cs="Arial"/>
          <w:sz w:val="24"/>
          <w:szCs w:val="24"/>
        </w:rPr>
        <w:t>Carlos Antonio Arias Tovar</w:t>
      </w:r>
      <w:r w:rsidRPr="005A75A6">
        <w:rPr>
          <w:rFonts w:ascii="Arial" w:hAnsi="Arial" w:cs="Arial"/>
          <w:sz w:val="24"/>
          <w:szCs w:val="24"/>
        </w:rPr>
        <w:t>.</w:t>
      </w:r>
    </w:p>
    <w:p w14:paraId="61F09BA3" w14:textId="77777777" w:rsidR="0038321D" w:rsidRPr="005A75A6" w:rsidRDefault="0038321D" w:rsidP="0038321D">
      <w:pPr>
        <w:spacing w:line="360" w:lineRule="auto"/>
        <w:jc w:val="both"/>
        <w:rPr>
          <w:rFonts w:ascii="Arial" w:hAnsi="Arial" w:cs="Arial"/>
          <w:sz w:val="24"/>
          <w:szCs w:val="24"/>
          <w:highlight w:val="yellow"/>
        </w:rPr>
      </w:pPr>
    </w:p>
    <w:p w14:paraId="668F9A9F"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rPr>
        <w:t xml:space="preserve">En la solicitud de amparo y en la impugnación, el señor </w:t>
      </w:r>
      <w:r w:rsidR="003C2E49" w:rsidRPr="005A75A6">
        <w:rPr>
          <w:rFonts w:ascii="Arial" w:hAnsi="Arial" w:cs="Arial"/>
          <w:sz w:val="24"/>
          <w:szCs w:val="24"/>
        </w:rPr>
        <w:t>Arias Tovar</w:t>
      </w:r>
      <w:r w:rsidRPr="005A75A6">
        <w:rPr>
          <w:rFonts w:ascii="Arial" w:hAnsi="Arial" w:cs="Arial"/>
          <w:sz w:val="24"/>
          <w:szCs w:val="24"/>
        </w:rPr>
        <w:t xml:space="preserve"> indicó que la acción de controversias contractuales sí es procedente para reclamar el pago de los emolumentos y prestaciones surgidos del contrato realidad. Que, de hecho, conforme con los artículos 87 del Decreto 01 de 1984 y 82 del C. de P.C., la demanda puede contener la pretensión principal de declaratoria de existencia del contrato y, subsidiariamente, se puede solicitar la nulidad de los contratos de prestación de servicios. </w:t>
      </w:r>
    </w:p>
    <w:p w14:paraId="2E2BC0DF" w14:textId="77777777" w:rsidR="0038321D" w:rsidRPr="005A75A6" w:rsidRDefault="0038321D" w:rsidP="0038321D">
      <w:pPr>
        <w:spacing w:line="360" w:lineRule="auto"/>
        <w:jc w:val="both"/>
        <w:rPr>
          <w:rFonts w:ascii="Arial" w:hAnsi="Arial" w:cs="Arial"/>
          <w:sz w:val="24"/>
          <w:szCs w:val="24"/>
        </w:rPr>
      </w:pPr>
    </w:p>
    <w:p w14:paraId="5F92EF32"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rPr>
        <w:t xml:space="preserve">No obstante, como bien lo advirtió el </w:t>
      </w:r>
      <w:r w:rsidRPr="005A75A6">
        <w:rPr>
          <w:rFonts w:ascii="Arial" w:hAnsi="Arial" w:cs="Arial"/>
          <w:i/>
          <w:sz w:val="24"/>
          <w:szCs w:val="24"/>
        </w:rPr>
        <w:t>a quo</w:t>
      </w:r>
      <w:r w:rsidRPr="005A75A6">
        <w:rPr>
          <w:rFonts w:ascii="Arial" w:hAnsi="Arial" w:cs="Arial"/>
          <w:sz w:val="24"/>
          <w:szCs w:val="24"/>
        </w:rPr>
        <w:t xml:space="preserve">, dichos argumentos no se avienen a la línea jurisprudencial del Consejo de Estado, que, en materia de contrato realidad, indica que la vía procesal idónea para solicitar el reconocimiento y pago de los emolumentos originados en una relación laboral </w:t>
      </w:r>
      <w:r w:rsidR="00C22866" w:rsidRPr="005A75A6">
        <w:rPr>
          <w:rFonts w:ascii="Arial" w:hAnsi="Arial" w:cs="Arial"/>
          <w:sz w:val="24"/>
          <w:szCs w:val="24"/>
        </w:rPr>
        <w:t>encubierta</w:t>
      </w:r>
      <w:r w:rsidRPr="005A75A6">
        <w:rPr>
          <w:rFonts w:ascii="Arial" w:hAnsi="Arial" w:cs="Arial"/>
          <w:sz w:val="24"/>
          <w:szCs w:val="24"/>
        </w:rPr>
        <w:t xml:space="preserve"> es la acción de nulidad y restablecimiento del derecho, previo agotamiento de la vía gubernativa. Al respecto, la Sección Segunda de esta Corporación señaló: </w:t>
      </w:r>
    </w:p>
    <w:p w14:paraId="22EF363F" w14:textId="77777777" w:rsidR="0038321D" w:rsidRPr="005A75A6" w:rsidRDefault="0038321D" w:rsidP="0038321D">
      <w:pPr>
        <w:widowControl w:val="0"/>
        <w:tabs>
          <w:tab w:val="left" w:pos="-720"/>
        </w:tabs>
        <w:ind w:left="567"/>
        <w:jc w:val="both"/>
        <w:rPr>
          <w:rFonts w:ascii="Arial" w:hAnsi="Arial" w:cs="Arial"/>
          <w:spacing w:val="-3"/>
          <w:sz w:val="24"/>
          <w:szCs w:val="24"/>
        </w:rPr>
      </w:pPr>
    </w:p>
    <w:p w14:paraId="4E00C3A3" w14:textId="77777777" w:rsidR="0038321D" w:rsidRPr="005A75A6" w:rsidRDefault="0038321D" w:rsidP="0038321D">
      <w:pPr>
        <w:widowControl w:val="0"/>
        <w:tabs>
          <w:tab w:val="left" w:pos="-720"/>
        </w:tabs>
        <w:ind w:left="567"/>
        <w:jc w:val="both"/>
        <w:rPr>
          <w:rFonts w:ascii="Arial" w:hAnsi="Arial" w:cs="Arial"/>
          <w:spacing w:val="-3"/>
          <w:sz w:val="24"/>
          <w:szCs w:val="24"/>
        </w:rPr>
      </w:pPr>
      <w:r w:rsidRPr="005A75A6">
        <w:rPr>
          <w:rFonts w:ascii="Arial" w:hAnsi="Arial" w:cs="Arial"/>
          <w:spacing w:val="-3"/>
          <w:sz w:val="24"/>
          <w:szCs w:val="24"/>
        </w:rPr>
        <w:t>(…)</w:t>
      </w:r>
    </w:p>
    <w:p w14:paraId="0E5E1943" w14:textId="77777777" w:rsidR="0038321D" w:rsidRPr="005A75A6" w:rsidRDefault="0038321D" w:rsidP="0038321D">
      <w:pPr>
        <w:widowControl w:val="0"/>
        <w:tabs>
          <w:tab w:val="left" w:pos="-720"/>
        </w:tabs>
        <w:ind w:left="567"/>
        <w:jc w:val="both"/>
        <w:rPr>
          <w:rFonts w:ascii="Arial" w:hAnsi="Arial" w:cs="Arial"/>
          <w:spacing w:val="-3"/>
          <w:sz w:val="24"/>
          <w:szCs w:val="24"/>
        </w:rPr>
      </w:pPr>
      <w:r w:rsidRPr="005A75A6">
        <w:rPr>
          <w:rFonts w:ascii="Arial" w:hAnsi="Arial" w:cs="Arial"/>
          <w:spacing w:val="-3"/>
          <w:sz w:val="24"/>
          <w:szCs w:val="24"/>
        </w:rPr>
        <w:t xml:space="preserve">Esta Corporación ha precisado en varias oportunidades que las acciones previstas en el Código Contencioso Administrativo no pueden ser ejercidas de </w:t>
      </w:r>
      <w:r w:rsidRPr="005A75A6">
        <w:rPr>
          <w:rFonts w:ascii="Arial" w:hAnsi="Arial" w:cs="Arial"/>
          <w:spacing w:val="-3"/>
          <w:sz w:val="24"/>
          <w:szCs w:val="24"/>
        </w:rPr>
        <w:lastRenderedPageBreak/>
        <w:t xml:space="preserve">manera caprichosa o al arbitrio de los interesados. Cada una de ellas tiene un propósito definido. </w:t>
      </w:r>
    </w:p>
    <w:p w14:paraId="4AFBD909" w14:textId="77777777" w:rsidR="0038321D" w:rsidRPr="005A75A6" w:rsidRDefault="0038321D" w:rsidP="0038321D">
      <w:pPr>
        <w:widowControl w:val="0"/>
        <w:tabs>
          <w:tab w:val="left" w:pos="-720"/>
        </w:tabs>
        <w:ind w:left="567"/>
        <w:jc w:val="both"/>
        <w:rPr>
          <w:rFonts w:ascii="Arial" w:hAnsi="Arial" w:cs="Arial"/>
          <w:spacing w:val="-3"/>
          <w:sz w:val="24"/>
          <w:szCs w:val="24"/>
        </w:rPr>
      </w:pPr>
      <w:r w:rsidRPr="005A75A6">
        <w:rPr>
          <w:rFonts w:ascii="Arial" w:hAnsi="Arial" w:cs="Arial"/>
          <w:spacing w:val="-3"/>
          <w:sz w:val="24"/>
          <w:szCs w:val="24"/>
        </w:rPr>
        <w:t>Mediante el ejercicio de la acción contractual prevista en el artículo 87 del Código Contencioso Administrativo, puede solicitarse la declaración de la existencia o nulidad de los contratos, las declaraciones, condenas o restituciones consecuenciales, su revisión, la declaración de su incumplimiento, entre otros, mas no el restablecimiento del derecho.</w:t>
      </w:r>
    </w:p>
    <w:p w14:paraId="3AC202DD" w14:textId="77777777" w:rsidR="0038321D" w:rsidRPr="005A75A6" w:rsidRDefault="0038321D" w:rsidP="0038321D">
      <w:pPr>
        <w:widowControl w:val="0"/>
        <w:tabs>
          <w:tab w:val="left" w:pos="-720"/>
        </w:tabs>
        <w:ind w:left="567"/>
        <w:jc w:val="both"/>
        <w:rPr>
          <w:rFonts w:ascii="Arial" w:hAnsi="Arial" w:cs="Arial"/>
          <w:spacing w:val="-3"/>
          <w:sz w:val="24"/>
          <w:szCs w:val="24"/>
        </w:rPr>
      </w:pPr>
      <w:r w:rsidRPr="005A75A6">
        <w:rPr>
          <w:rFonts w:ascii="Arial" w:hAnsi="Arial" w:cs="Arial"/>
          <w:spacing w:val="-3"/>
          <w:sz w:val="24"/>
          <w:szCs w:val="24"/>
          <w:u w:val="single"/>
        </w:rPr>
        <w:t>Para el reconocimiento y pago de prestaciones sociales que en sentir del actor, la entidad demandada le adeuda por la relación laboral que alega haber mantenido, el Legislador plasmó en el artículo 85 del Código Contencioso Administrativo, la acción de nulidad y restablecimiento del derecho, exigiendo para su ejercicio, el agotamiento previo de la vía gubernativa</w:t>
      </w:r>
      <w:r w:rsidRPr="005A75A6">
        <w:rPr>
          <w:rStyle w:val="Refdenotaalpie"/>
          <w:rFonts w:ascii="Arial" w:hAnsi="Arial" w:cs="Arial"/>
          <w:spacing w:val="-3"/>
          <w:sz w:val="24"/>
          <w:szCs w:val="24"/>
        </w:rPr>
        <w:footnoteReference w:id="8"/>
      </w:r>
      <w:r w:rsidRPr="005A75A6">
        <w:rPr>
          <w:rFonts w:ascii="Arial" w:hAnsi="Arial" w:cs="Arial"/>
          <w:spacing w:val="-3"/>
          <w:sz w:val="24"/>
          <w:szCs w:val="24"/>
        </w:rPr>
        <w:t xml:space="preserve"> (se destaca).</w:t>
      </w:r>
    </w:p>
    <w:p w14:paraId="3FF4B4E6" w14:textId="77777777" w:rsidR="00354EE0" w:rsidRPr="005A75A6" w:rsidRDefault="00354EE0" w:rsidP="00354EE0">
      <w:pPr>
        <w:widowControl w:val="0"/>
        <w:tabs>
          <w:tab w:val="left" w:pos="-720"/>
        </w:tabs>
        <w:spacing w:line="360" w:lineRule="auto"/>
        <w:ind w:left="567"/>
        <w:jc w:val="both"/>
        <w:rPr>
          <w:rFonts w:ascii="Arial" w:hAnsi="Arial" w:cs="Arial"/>
          <w:spacing w:val="-3"/>
          <w:sz w:val="24"/>
          <w:szCs w:val="24"/>
        </w:rPr>
      </w:pPr>
    </w:p>
    <w:p w14:paraId="29CCA283"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rPr>
        <w:t>Por igual, la Sección Tercera del Consejo de Estado ha precisado que la acción procedente para la satisfacción de los emolumentos causados en virtud del contrato realidad es la de nulidad y restablecimiento del derecho y, bajo ese entendimiento, ha desestimado las pretensiones cuando el interesado reclama esos derechos laborales a través de una vía procesal distinta. Textualmente, en un caso similar, señaló:</w:t>
      </w:r>
    </w:p>
    <w:p w14:paraId="2A8355F4" w14:textId="77777777" w:rsidR="0038321D" w:rsidRPr="005A75A6" w:rsidRDefault="0038321D" w:rsidP="0038321D">
      <w:pPr>
        <w:spacing w:line="360" w:lineRule="auto"/>
        <w:jc w:val="both"/>
        <w:rPr>
          <w:rFonts w:ascii="Arial" w:hAnsi="Arial" w:cs="Arial"/>
          <w:sz w:val="24"/>
          <w:szCs w:val="24"/>
        </w:rPr>
      </w:pPr>
    </w:p>
    <w:p w14:paraId="0B854DBB" w14:textId="77777777" w:rsidR="0038321D" w:rsidRPr="005A75A6" w:rsidRDefault="0038321D" w:rsidP="007A21C2">
      <w:pPr>
        <w:ind w:left="567"/>
        <w:jc w:val="both"/>
        <w:rPr>
          <w:rFonts w:ascii="Arial" w:hAnsi="Arial" w:cs="Arial"/>
          <w:sz w:val="24"/>
          <w:szCs w:val="24"/>
        </w:rPr>
      </w:pPr>
      <w:r w:rsidRPr="005A75A6">
        <w:rPr>
          <w:rFonts w:ascii="Arial" w:hAnsi="Arial" w:cs="Arial"/>
          <w:sz w:val="24"/>
          <w:szCs w:val="24"/>
        </w:rPr>
        <w:t>Ahora bien, interpretando el contenido de la demanda, puede colegirse, en estricto sentido, que lo pretendido realmente por el actor es que se le reconozcan los salarios dejados de percibir y las prestaciones sociales a las que tendría derecho, tal como se le reconoce a quienes desarrollan actividades semejantes, (…) a través de órdenes de prestación de servicios, (…) sin embargo, a juicio de la Sala, la acción formulada por el demandante, con miras a obtener la satisfacción de los derechos alegados y que estarían siendo desconocidos por la Administración, no es la indicada, pues él debió acudir a la Jurisdicción de lo Contencioso Administrativo mediante el ejercicio de la acción de nulidad y restablecimiento del derecho, por ser esta la que procede en situaciones como la anotada, de tal suerte que la Sala confirmará la decisión de primera instancia en cuanto encontró acreditada la excepción de indebida escogencia de la acción (…)</w:t>
      </w:r>
      <w:r w:rsidRPr="005A75A6">
        <w:rPr>
          <w:rStyle w:val="Refdenotaalpie"/>
          <w:rFonts w:ascii="Arial" w:hAnsi="Arial" w:cs="Arial"/>
          <w:sz w:val="24"/>
          <w:szCs w:val="24"/>
        </w:rPr>
        <w:footnoteReference w:id="9"/>
      </w:r>
      <w:r w:rsidRPr="005A75A6">
        <w:rPr>
          <w:rFonts w:ascii="Arial" w:hAnsi="Arial" w:cs="Arial"/>
          <w:sz w:val="24"/>
          <w:szCs w:val="24"/>
        </w:rPr>
        <w:t>.</w:t>
      </w:r>
    </w:p>
    <w:p w14:paraId="1403BB7B" w14:textId="77777777" w:rsidR="0038321D" w:rsidRPr="005A75A6" w:rsidRDefault="0038321D" w:rsidP="0038321D">
      <w:pPr>
        <w:spacing w:line="360" w:lineRule="auto"/>
        <w:jc w:val="both"/>
        <w:rPr>
          <w:rFonts w:ascii="Arial" w:hAnsi="Arial" w:cs="Arial"/>
          <w:sz w:val="24"/>
          <w:szCs w:val="24"/>
        </w:rPr>
      </w:pPr>
    </w:p>
    <w:p w14:paraId="6E3C082A"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lang w:val="es-ES_tradnl"/>
        </w:rPr>
        <w:t>No cabe duda de que los conflictos originados en</w:t>
      </w:r>
      <w:r w:rsidRPr="005A75A6">
        <w:rPr>
          <w:rFonts w:ascii="Arial" w:hAnsi="Arial" w:cs="Arial"/>
          <w:sz w:val="24"/>
          <w:szCs w:val="24"/>
        </w:rPr>
        <w:t xml:space="preserve"> la falta de reconocimiento y pago de prestaciones sociales causadas en desarrollo de una relación de trabajo encubierta por la </w:t>
      </w:r>
      <w:r w:rsidR="007A21C2" w:rsidRPr="005A75A6">
        <w:rPr>
          <w:rFonts w:ascii="Arial" w:hAnsi="Arial" w:cs="Arial"/>
          <w:sz w:val="24"/>
          <w:szCs w:val="24"/>
        </w:rPr>
        <w:t>a</w:t>
      </w:r>
      <w:r w:rsidRPr="005A75A6">
        <w:rPr>
          <w:rFonts w:ascii="Arial" w:hAnsi="Arial" w:cs="Arial"/>
          <w:sz w:val="24"/>
          <w:szCs w:val="24"/>
        </w:rPr>
        <w:t>dministración, mediante contratos u órdenes de prestación de servicios, pertenecen al ámbito del derecho laboral administrativo. Lo procedente en esos casos es que el interesado agote la vía gubernativa y luego ejerza la acción de nulidad y restablecimiento del derecho contra el acto —expreso o ficto— administrativo negativo, a fin de obtener</w:t>
      </w:r>
      <w:r w:rsidRPr="005A75A6">
        <w:rPr>
          <w:rFonts w:ascii="Arial" w:hAnsi="Arial" w:cs="Arial"/>
          <w:color w:val="000000"/>
          <w:sz w:val="24"/>
          <w:szCs w:val="24"/>
          <w:shd w:val="clear" w:color="auto" w:fill="FFFFFF"/>
        </w:rPr>
        <w:t xml:space="preserve"> el restablecimiento del derecho violado y/o la indemnización </w:t>
      </w:r>
      <w:r w:rsidRPr="005A75A6">
        <w:rPr>
          <w:rStyle w:val="Textoennegrita"/>
          <w:rFonts w:ascii="Arial" w:hAnsi="Arial" w:cs="Arial"/>
          <w:b w:val="0"/>
          <w:color w:val="000000"/>
          <w:sz w:val="24"/>
          <w:szCs w:val="24"/>
          <w:shd w:val="clear" w:color="auto" w:fill="FFFFFF"/>
        </w:rPr>
        <w:t>de perjuicios</w:t>
      </w:r>
      <w:r w:rsidRPr="005A75A6">
        <w:rPr>
          <w:rStyle w:val="Textoennegrita"/>
          <w:rFonts w:ascii="Arial" w:hAnsi="Arial" w:cs="Arial"/>
          <w:color w:val="000000"/>
          <w:sz w:val="24"/>
          <w:szCs w:val="24"/>
          <w:shd w:val="clear" w:color="auto" w:fill="FFFFFF"/>
        </w:rPr>
        <w:t> </w:t>
      </w:r>
      <w:r w:rsidRPr="005A75A6">
        <w:rPr>
          <w:rFonts w:ascii="Arial" w:hAnsi="Arial" w:cs="Arial"/>
          <w:color w:val="000000"/>
          <w:sz w:val="24"/>
          <w:szCs w:val="24"/>
          <w:shd w:val="clear" w:color="auto" w:fill="FFFFFF"/>
        </w:rPr>
        <w:t>correspondiente</w:t>
      </w:r>
      <w:r w:rsidRPr="005A75A6">
        <w:rPr>
          <w:rFonts w:ascii="Arial" w:hAnsi="Arial" w:cs="Arial"/>
          <w:sz w:val="24"/>
          <w:szCs w:val="24"/>
        </w:rPr>
        <w:t xml:space="preserve">. </w:t>
      </w:r>
    </w:p>
    <w:p w14:paraId="10123317" w14:textId="77777777" w:rsidR="0038321D" w:rsidRPr="005A75A6" w:rsidRDefault="0038321D" w:rsidP="0038321D">
      <w:pPr>
        <w:spacing w:line="360" w:lineRule="auto"/>
        <w:jc w:val="both"/>
        <w:rPr>
          <w:rFonts w:ascii="Arial" w:hAnsi="Arial" w:cs="Arial"/>
          <w:sz w:val="24"/>
          <w:szCs w:val="24"/>
        </w:rPr>
      </w:pPr>
    </w:p>
    <w:p w14:paraId="253EA856" w14:textId="77777777" w:rsidR="0038321D" w:rsidRPr="005A75A6" w:rsidRDefault="0038321D" w:rsidP="0038321D">
      <w:pPr>
        <w:spacing w:line="360" w:lineRule="auto"/>
        <w:jc w:val="both"/>
        <w:rPr>
          <w:rFonts w:ascii="Arial" w:hAnsi="Arial" w:cs="Arial"/>
          <w:sz w:val="24"/>
          <w:szCs w:val="24"/>
          <w:lang w:val="es-ES_tradnl"/>
        </w:rPr>
      </w:pPr>
      <w:r w:rsidRPr="005A75A6">
        <w:rPr>
          <w:rFonts w:ascii="Arial" w:hAnsi="Arial" w:cs="Arial"/>
          <w:sz w:val="24"/>
          <w:szCs w:val="24"/>
        </w:rPr>
        <w:t xml:space="preserve">En contraste, los litigios que se resuelven a través de </w:t>
      </w:r>
      <w:r w:rsidRPr="005A75A6">
        <w:rPr>
          <w:rFonts w:ascii="Arial" w:hAnsi="Arial" w:cs="Arial"/>
          <w:sz w:val="24"/>
          <w:szCs w:val="24"/>
          <w:lang w:val="es-ES_tradnl"/>
        </w:rPr>
        <w:t xml:space="preserve">la acción contractual (ahora medio de control de controversias contractuales) se originan en tres grandes escenarios: </w:t>
      </w:r>
      <w:r w:rsidRPr="005A75A6">
        <w:rPr>
          <w:rFonts w:ascii="Arial" w:hAnsi="Arial" w:cs="Arial"/>
          <w:b/>
          <w:sz w:val="24"/>
          <w:szCs w:val="24"/>
          <w:lang w:val="es-ES_tradnl"/>
        </w:rPr>
        <w:t xml:space="preserve">(i) </w:t>
      </w:r>
      <w:r w:rsidRPr="005A75A6">
        <w:rPr>
          <w:rFonts w:ascii="Arial" w:hAnsi="Arial" w:cs="Arial"/>
          <w:sz w:val="24"/>
          <w:szCs w:val="24"/>
          <w:lang w:val="es-ES_tradnl"/>
        </w:rPr>
        <w:t xml:space="preserve">la celebración del contrato, </w:t>
      </w:r>
      <w:r w:rsidRPr="005A75A6">
        <w:rPr>
          <w:rFonts w:ascii="Arial" w:hAnsi="Arial" w:cs="Arial"/>
          <w:b/>
          <w:sz w:val="24"/>
          <w:szCs w:val="24"/>
          <w:lang w:val="es-ES_tradnl"/>
        </w:rPr>
        <w:t xml:space="preserve">(ii) </w:t>
      </w:r>
      <w:r w:rsidRPr="005A75A6">
        <w:rPr>
          <w:rFonts w:ascii="Arial" w:hAnsi="Arial" w:cs="Arial"/>
          <w:sz w:val="24"/>
          <w:szCs w:val="24"/>
          <w:lang w:val="es-ES_tradnl"/>
        </w:rPr>
        <w:t xml:space="preserve">la ejecución (incluida la liquidación) y </w:t>
      </w:r>
      <w:r w:rsidRPr="005A75A6">
        <w:rPr>
          <w:rFonts w:ascii="Arial" w:hAnsi="Arial" w:cs="Arial"/>
          <w:b/>
          <w:sz w:val="24"/>
          <w:szCs w:val="24"/>
          <w:lang w:val="es-ES_tradnl"/>
        </w:rPr>
        <w:t xml:space="preserve">(iii) </w:t>
      </w:r>
      <w:r w:rsidRPr="005A75A6">
        <w:rPr>
          <w:rFonts w:ascii="Arial" w:hAnsi="Arial" w:cs="Arial"/>
          <w:sz w:val="24"/>
          <w:szCs w:val="24"/>
          <w:lang w:val="es-ES_tradnl"/>
        </w:rPr>
        <w:t>los actos administrativos contractuales, esto es, los actos unilaterales que dicta la administración con ocasión del contrato. Empero, ninguno de los escenarios referidos se presenta en este caso.</w:t>
      </w:r>
    </w:p>
    <w:p w14:paraId="6FCCC0CF" w14:textId="77777777" w:rsidR="0038321D" w:rsidRPr="005A75A6" w:rsidRDefault="0038321D" w:rsidP="0038321D">
      <w:pPr>
        <w:spacing w:line="360" w:lineRule="auto"/>
        <w:jc w:val="both"/>
        <w:rPr>
          <w:rFonts w:ascii="Arial" w:hAnsi="Arial" w:cs="Arial"/>
          <w:sz w:val="24"/>
          <w:szCs w:val="24"/>
        </w:rPr>
      </w:pPr>
    </w:p>
    <w:p w14:paraId="1D0DAFAD"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rPr>
        <w:t xml:space="preserve">Justamente por lo anterior, resulta </w:t>
      </w:r>
      <w:r w:rsidR="007A21C2" w:rsidRPr="005A75A6">
        <w:rPr>
          <w:rFonts w:ascii="Arial" w:hAnsi="Arial" w:cs="Arial"/>
          <w:sz w:val="24"/>
          <w:szCs w:val="24"/>
        </w:rPr>
        <w:t>extraño</w:t>
      </w:r>
      <w:r w:rsidRPr="005A75A6">
        <w:rPr>
          <w:rFonts w:ascii="Arial" w:hAnsi="Arial" w:cs="Arial"/>
          <w:sz w:val="24"/>
          <w:szCs w:val="24"/>
        </w:rPr>
        <w:t xml:space="preserve"> que el actor haya optado por ejercer la acción contractual, a pesar de que todas las sentencias del Consejo de Estado (Sección Segunda) que citó, se dictaron en procesos de nulidad y restablecimiento del derecho promovidos para reclamar el reconocimiento y pago de emolumentos derivados del contrato realidad. </w:t>
      </w:r>
    </w:p>
    <w:p w14:paraId="311937AC" w14:textId="77777777" w:rsidR="0038321D" w:rsidRPr="005A75A6" w:rsidRDefault="0038321D" w:rsidP="0038321D">
      <w:pPr>
        <w:spacing w:line="360" w:lineRule="auto"/>
        <w:jc w:val="both"/>
        <w:rPr>
          <w:rFonts w:ascii="Arial" w:hAnsi="Arial" w:cs="Arial"/>
          <w:sz w:val="24"/>
          <w:szCs w:val="24"/>
        </w:rPr>
      </w:pPr>
    </w:p>
    <w:p w14:paraId="2F798153" w14:textId="77777777" w:rsidR="0038321D" w:rsidRPr="005A75A6" w:rsidRDefault="00796A65" w:rsidP="0038321D">
      <w:pPr>
        <w:spacing w:line="360" w:lineRule="auto"/>
        <w:jc w:val="both"/>
        <w:rPr>
          <w:rFonts w:ascii="Arial" w:hAnsi="Arial" w:cs="Arial"/>
          <w:sz w:val="24"/>
          <w:szCs w:val="24"/>
        </w:rPr>
      </w:pPr>
      <w:r w:rsidRPr="005A75A6">
        <w:rPr>
          <w:rFonts w:ascii="Arial" w:hAnsi="Arial" w:cs="Arial"/>
          <w:sz w:val="24"/>
          <w:szCs w:val="24"/>
        </w:rPr>
        <w:t>Conviene precisar que, e</w:t>
      </w:r>
      <w:r w:rsidR="0038321D" w:rsidRPr="005A75A6">
        <w:rPr>
          <w:rFonts w:ascii="Arial" w:hAnsi="Arial" w:cs="Arial"/>
          <w:sz w:val="24"/>
          <w:szCs w:val="24"/>
        </w:rPr>
        <w:t>n la demanda</w:t>
      </w:r>
      <w:r w:rsidR="0038321D" w:rsidRPr="005A75A6">
        <w:rPr>
          <w:rStyle w:val="Refdenotaalpie"/>
          <w:rFonts w:ascii="Arial" w:hAnsi="Arial" w:cs="Arial"/>
          <w:sz w:val="24"/>
          <w:szCs w:val="24"/>
        </w:rPr>
        <w:footnoteReference w:id="10"/>
      </w:r>
      <w:r w:rsidR="0038321D" w:rsidRPr="005A75A6">
        <w:rPr>
          <w:rFonts w:ascii="Arial" w:hAnsi="Arial" w:cs="Arial"/>
          <w:sz w:val="24"/>
          <w:szCs w:val="24"/>
        </w:rPr>
        <w:t xml:space="preserve"> de controversias contractuales, el señor </w:t>
      </w:r>
      <w:r w:rsidR="008152DF" w:rsidRPr="005A75A6">
        <w:rPr>
          <w:rFonts w:ascii="Arial" w:hAnsi="Arial" w:cs="Arial"/>
          <w:sz w:val="24"/>
          <w:szCs w:val="24"/>
        </w:rPr>
        <w:t>Arias Tovar</w:t>
      </w:r>
      <w:r w:rsidR="0038321D" w:rsidRPr="005A75A6">
        <w:rPr>
          <w:rFonts w:ascii="Arial" w:hAnsi="Arial" w:cs="Arial"/>
          <w:sz w:val="24"/>
          <w:szCs w:val="24"/>
        </w:rPr>
        <w:t xml:space="preserve"> pidió la nulidad de los contratos de prestación de servicios celebrados con el DAS, sin ofrecer ninguna explicación respecto de las causales de nulidad de los contratos, previstas en la Ley 80 de 1993, al tiempo que solicitó que se declarara la existencia de la relación laboral con el DAS, con fundamento en el principio de primacía de la realidad sobre las formas. </w:t>
      </w:r>
    </w:p>
    <w:p w14:paraId="63631DB3" w14:textId="77777777" w:rsidR="0038321D" w:rsidRPr="005A75A6" w:rsidRDefault="0038321D" w:rsidP="0038321D">
      <w:pPr>
        <w:spacing w:line="360" w:lineRule="auto"/>
        <w:jc w:val="both"/>
        <w:rPr>
          <w:rFonts w:ascii="Arial" w:hAnsi="Arial" w:cs="Arial"/>
          <w:sz w:val="24"/>
          <w:szCs w:val="24"/>
        </w:rPr>
      </w:pPr>
    </w:p>
    <w:p w14:paraId="6C773FFB"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rPr>
        <w:t xml:space="preserve">Es decir, el actor formuló pretensiones propias de la acción contractual (nulidad de los contratos de prestación de servicios) y pretensiones de la acción de nulidad y restablecimiento del derecho de carácter laboral (declaratoria de existencia del contrato realidad y reconocimiento y pago de los emolumentos que de allí se derivan), razón por la que no podían tramitarse bajo una misma cuerda procesal. Si bien </w:t>
      </w:r>
      <w:r w:rsidRPr="005A75A6">
        <w:rPr>
          <w:rFonts w:ascii="Arial" w:hAnsi="Arial" w:cs="Arial"/>
          <w:sz w:val="24"/>
          <w:szCs w:val="24"/>
          <w:lang w:val="es-MX"/>
        </w:rPr>
        <w:t xml:space="preserve">la Ley 1437 de 2011 establece el mismo procedimiento ordinario para tramitar todas las pretensiones, lo cierto es que, </w:t>
      </w:r>
      <w:r w:rsidRPr="005A75A6">
        <w:rPr>
          <w:rFonts w:ascii="Arial" w:hAnsi="Arial" w:cs="Arial"/>
          <w:sz w:val="24"/>
          <w:szCs w:val="24"/>
        </w:rPr>
        <w:t xml:space="preserve">en </w:t>
      </w:r>
      <w:r w:rsidRPr="005A75A6">
        <w:rPr>
          <w:rFonts w:ascii="Arial" w:hAnsi="Arial" w:cs="Arial"/>
          <w:sz w:val="24"/>
          <w:szCs w:val="24"/>
          <w:lang w:val="es-MX"/>
        </w:rPr>
        <w:t>vigencia del Decreto 01 de 1984 (estatuto procesal bajo el cual se tramitó el proceso de controversias contractuales</w:t>
      </w:r>
      <w:r w:rsidRPr="005A75A6">
        <w:rPr>
          <w:rStyle w:val="Refdenotaalpie"/>
          <w:rFonts w:ascii="Arial" w:hAnsi="Arial" w:cs="Arial"/>
          <w:sz w:val="24"/>
          <w:szCs w:val="24"/>
          <w:lang w:val="es-MX"/>
        </w:rPr>
        <w:footnoteReference w:id="11"/>
      </w:r>
      <w:r w:rsidRPr="005A75A6">
        <w:rPr>
          <w:rFonts w:ascii="Arial" w:hAnsi="Arial" w:cs="Arial"/>
          <w:sz w:val="24"/>
          <w:szCs w:val="24"/>
          <w:lang w:val="es-MX"/>
        </w:rPr>
        <w:t>) el control judicial de la administración se ejercía por medio de las acciones judiciales, esto es, por el sistema de que cada acción tiene su pertinente pretens</w:t>
      </w:r>
      <w:r w:rsidR="00354EE0" w:rsidRPr="005A75A6">
        <w:rPr>
          <w:rFonts w:ascii="Arial" w:hAnsi="Arial" w:cs="Arial"/>
          <w:sz w:val="24"/>
          <w:szCs w:val="24"/>
          <w:lang w:val="es-MX"/>
        </w:rPr>
        <w:t>ión.</w:t>
      </w:r>
    </w:p>
    <w:p w14:paraId="35DE65DD" w14:textId="77777777" w:rsidR="0038321D" w:rsidRPr="005A75A6" w:rsidRDefault="0038321D" w:rsidP="0038321D">
      <w:pPr>
        <w:spacing w:line="360" w:lineRule="auto"/>
        <w:jc w:val="both"/>
        <w:rPr>
          <w:rFonts w:ascii="Arial" w:hAnsi="Arial" w:cs="Arial"/>
          <w:sz w:val="24"/>
          <w:szCs w:val="24"/>
        </w:rPr>
      </w:pPr>
    </w:p>
    <w:p w14:paraId="2FF6957F" w14:textId="77777777" w:rsidR="0038321D" w:rsidRPr="005A75A6" w:rsidRDefault="0038321D" w:rsidP="0038321D">
      <w:pPr>
        <w:spacing w:line="360" w:lineRule="auto"/>
        <w:jc w:val="both"/>
        <w:rPr>
          <w:rFonts w:ascii="Arial" w:hAnsi="Arial" w:cs="Arial"/>
          <w:sz w:val="24"/>
          <w:szCs w:val="24"/>
        </w:rPr>
      </w:pPr>
      <w:r w:rsidRPr="005A75A6">
        <w:rPr>
          <w:rFonts w:ascii="Arial" w:hAnsi="Arial" w:cs="Arial"/>
          <w:sz w:val="24"/>
          <w:szCs w:val="24"/>
        </w:rPr>
        <w:t xml:space="preserve">En ese contexto, ningún reproche puede hacer la Sala frente a la sentencia del </w:t>
      </w:r>
      <w:r w:rsidR="00796A65" w:rsidRPr="005A75A6">
        <w:rPr>
          <w:rFonts w:ascii="Arial" w:hAnsi="Arial" w:cs="Arial"/>
          <w:sz w:val="24"/>
          <w:szCs w:val="24"/>
        </w:rPr>
        <w:t>17 de agosto de 2016</w:t>
      </w:r>
      <w:r w:rsidRPr="005A75A6">
        <w:rPr>
          <w:rFonts w:ascii="Arial" w:hAnsi="Arial" w:cs="Arial"/>
          <w:sz w:val="24"/>
          <w:szCs w:val="24"/>
        </w:rPr>
        <w:t xml:space="preserve">, que aquí se cuestiona, de declarar probadas de oficio las </w:t>
      </w:r>
      <w:r w:rsidRPr="005A75A6">
        <w:rPr>
          <w:rFonts w:ascii="Arial" w:hAnsi="Arial" w:cs="Arial"/>
          <w:sz w:val="24"/>
          <w:szCs w:val="24"/>
        </w:rPr>
        <w:lastRenderedPageBreak/>
        <w:t>excepciones de indebida escogencia de la acción y de indebida acumulación de pretensiones.</w:t>
      </w:r>
    </w:p>
    <w:p w14:paraId="21D1E42F" w14:textId="77777777" w:rsidR="0038321D" w:rsidRPr="005A75A6" w:rsidRDefault="0038321D" w:rsidP="0038321D">
      <w:pPr>
        <w:spacing w:line="360" w:lineRule="auto"/>
        <w:jc w:val="both"/>
        <w:rPr>
          <w:rFonts w:ascii="Arial" w:hAnsi="Arial" w:cs="Arial"/>
          <w:sz w:val="24"/>
          <w:szCs w:val="24"/>
        </w:rPr>
      </w:pPr>
    </w:p>
    <w:p w14:paraId="0C2B97A6" w14:textId="77777777" w:rsidR="0038321D" w:rsidRPr="005A75A6" w:rsidRDefault="00E472E0" w:rsidP="0038321D">
      <w:pPr>
        <w:pStyle w:val="Textoindependiente"/>
        <w:rPr>
          <w:bCs/>
          <w:color w:val="000000"/>
          <w:sz w:val="24"/>
        </w:rPr>
      </w:pPr>
      <w:r w:rsidRPr="005A75A6">
        <w:rPr>
          <w:bCs/>
          <w:color w:val="000000"/>
          <w:sz w:val="24"/>
        </w:rPr>
        <w:t xml:space="preserve">Lo anterior es suficiente para </w:t>
      </w:r>
      <w:r w:rsidR="0038321D" w:rsidRPr="005A75A6">
        <w:rPr>
          <w:bCs/>
          <w:color w:val="000000"/>
          <w:sz w:val="24"/>
        </w:rPr>
        <w:t xml:space="preserve">confirmar la sentencia impugnada, que denegó las pretensiones de la tutela interpuesta por </w:t>
      </w:r>
      <w:r w:rsidRPr="005A75A6">
        <w:rPr>
          <w:bCs/>
          <w:color w:val="000000"/>
          <w:sz w:val="24"/>
        </w:rPr>
        <w:t>Carlos Antonio Arias Tovar</w:t>
      </w:r>
      <w:r w:rsidR="0038321D" w:rsidRPr="005A75A6">
        <w:rPr>
          <w:bCs/>
          <w:color w:val="000000"/>
          <w:sz w:val="24"/>
        </w:rPr>
        <w:t>.</w:t>
      </w:r>
    </w:p>
    <w:p w14:paraId="7F657419" w14:textId="77777777" w:rsidR="0038321D" w:rsidRPr="005A75A6" w:rsidRDefault="0038321D" w:rsidP="0038321D">
      <w:pPr>
        <w:pStyle w:val="Textoindependiente"/>
        <w:rPr>
          <w:bCs/>
          <w:color w:val="000000"/>
          <w:sz w:val="24"/>
        </w:rPr>
      </w:pPr>
    </w:p>
    <w:p w14:paraId="7223D725" w14:textId="77777777" w:rsidR="0038321D" w:rsidRPr="005A75A6" w:rsidRDefault="0038321D" w:rsidP="0038321D">
      <w:pPr>
        <w:pStyle w:val="Sangradetextonormal"/>
        <w:tabs>
          <w:tab w:val="left" w:pos="2655"/>
        </w:tabs>
        <w:ind w:right="51"/>
        <w:rPr>
          <w:b w:val="0"/>
          <w:sz w:val="24"/>
          <w:szCs w:val="24"/>
        </w:rPr>
      </w:pPr>
      <w:r w:rsidRPr="005A75A6">
        <w:rPr>
          <w:b w:val="0"/>
          <w:sz w:val="24"/>
          <w:szCs w:val="24"/>
        </w:rPr>
        <w:t>Por lo expuesto, el Consejo de Estado, Sala de lo Contencioso Administrativo, Sección Cuarta, administrando justicia en nombre de la República y por autoridad de la ley,</w:t>
      </w:r>
    </w:p>
    <w:p w14:paraId="64018E37" w14:textId="77777777" w:rsidR="0038321D" w:rsidRPr="005A75A6" w:rsidRDefault="0038321D" w:rsidP="0038321D">
      <w:pPr>
        <w:spacing w:line="360" w:lineRule="auto"/>
        <w:jc w:val="center"/>
        <w:rPr>
          <w:rFonts w:ascii="Arial" w:hAnsi="Arial" w:cs="Arial"/>
          <w:b/>
          <w:bCs/>
          <w:sz w:val="24"/>
          <w:szCs w:val="24"/>
        </w:rPr>
      </w:pPr>
    </w:p>
    <w:p w14:paraId="2AB9C3DA" w14:textId="77777777" w:rsidR="0038321D" w:rsidRPr="005A75A6" w:rsidRDefault="0038321D" w:rsidP="0038321D">
      <w:pPr>
        <w:spacing w:line="360" w:lineRule="auto"/>
        <w:jc w:val="center"/>
        <w:rPr>
          <w:rFonts w:ascii="Arial" w:hAnsi="Arial" w:cs="Arial"/>
          <w:b/>
          <w:bCs/>
          <w:sz w:val="24"/>
          <w:szCs w:val="24"/>
        </w:rPr>
      </w:pPr>
      <w:r w:rsidRPr="005A75A6">
        <w:rPr>
          <w:rFonts w:ascii="Arial" w:hAnsi="Arial" w:cs="Arial"/>
          <w:b/>
          <w:bCs/>
          <w:sz w:val="24"/>
          <w:szCs w:val="24"/>
        </w:rPr>
        <w:t>III. FALLA</w:t>
      </w:r>
    </w:p>
    <w:p w14:paraId="339B3CF1" w14:textId="77777777" w:rsidR="0038321D" w:rsidRPr="005A75A6" w:rsidRDefault="0038321D" w:rsidP="003F1344">
      <w:pPr>
        <w:spacing w:line="360" w:lineRule="auto"/>
        <w:ind w:firstLine="284"/>
        <w:jc w:val="center"/>
        <w:rPr>
          <w:rFonts w:ascii="Arial" w:hAnsi="Arial" w:cs="Arial"/>
          <w:b/>
          <w:bCs/>
          <w:sz w:val="24"/>
          <w:szCs w:val="24"/>
        </w:rPr>
      </w:pPr>
    </w:p>
    <w:p w14:paraId="657DAC9C" w14:textId="77777777" w:rsidR="0038321D" w:rsidRPr="005A75A6" w:rsidRDefault="0038321D" w:rsidP="003F1344">
      <w:pPr>
        <w:pStyle w:val="Textoindependiente3"/>
        <w:widowControl w:val="0"/>
        <w:numPr>
          <w:ilvl w:val="0"/>
          <w:numId w:val="2"/>
        </w:numPr>
        <w:tabs>
          <w:tab w:val="left" w:pos="-57"/>
        </w:tabs>
        <w:spacing w:after="0" w:line="360" w:lineRule="auto"/>
        <w:ind w:left="0" w:firstLine="284"/>
        <w:jc w:val="both"/>
        <w:rPr>
          <w:rFonts w:ascii="Arial" w:eastAsia="Times New Roman" w:hAnsi="Arial" w:cs="Arial"/>
          <w:bCs/>
          <w:sz w:val="24"/>
          <w:szCs w:val="24"/>
          <w:lang w:val="es-ES" w:eastAsia="es-ES"/>
        </w:rPr>
      </w:pPr>
      <w:r w:rsidRPr="005A75A6">
        <w:rPr>
          <w:rFonts w:ascii="Arial" w:eastAsia="Times New Roman" w:hAnsi="Arial" w:cs="Arial"/>
          <w:b/>
          <w:bCs/>
          <w:sz w:val="24"/>
          <w:szCs w:val="24"/>
          <w:lang w:val="es-ES" w:eastAsia="es-ES"/>
        </w:rPr>
        <w:t xml:space="preserve">Confirmar </w:t>
      </w:r>
      <w:r w:rsidRPr="005A75A6">
        <w:rPr>
          <w:rFonts w:ascii="Arial" w:eastAsia="Times New Roman" w:hAnsi="Arial" w:cs="Arial"/>
          <w:bCs/>
          <w:sz w:val="24"/>
          <w:szCs w:val="24"/>
          <w:lang w:val="es-ES" w:eastAsia="es-ES"/>
        </w:rPr>
        <w:t>la sentencia impugnada</w:t>
      </w:r>
      <w:r w:rsidR="00796A65" w:rsidRPr="005A75A6">
        <w:rPr>
          <w:rFonts w:ascii="Arial" w:hAnsi="Arial" w:cs="Arial"/>
          <w:bCs/>
          <w:sz w:val="24"/>
          <w:szCs w:val="24"/>
        </w:rPr>
        <w:t>, por las razones expuestas</w:t>
      </w:r>
      <w:r w:rsidR="007A21C2" w:rsidRPr="005A75A6">
        <w:rPr>
          <w:rFonts w:ascii="Arial" w:hAnsi="Arial" w:cs="Arial"/>
          <w:bCs/>
          <w:sz w:val="24"/>
          <w:szCs w:val="24"/>
        </w:rPr>
        <w:t>.</w:t>
      </w:r>
    </w:p>
    <w:p w14:paraId="2153CC51" w14:textId="77777777" w:rsidR="00AA22F1" w:rsidRPr="005A75A6" w:rsidRDefault="00AA22F1" w:rsidP="00AA22F1">
      <w:pPr>
        <w:pStyle w:val="Textoindependiente3"/>
        <w:widowControl w:val="0"/>
        <w:tabs>
          <w:tab w:val="left" w:pos="-57"/>
        </w:tabs>
        <w:spacing w:after="0" w:line="360" w:lineRule="auto"/>
        <w:ind w:left="284"/>
        <w:jc w:val="both"/>
        <w:rPr>
          <w:rFonts w:ascii="Arial" w:eastAsia="Times New Roman" w:hAnsi="Arial" w:cs="Arial"/>
          <w:bCs/>
          <w:sz w:val="24"/>
          <w:szCs w:val="24"/>
          <w:lang w:val="es-ES" w:eastAsia="es-ES"/>
        </w:rPr>
      </w:pPr>
    </w:p>
    <w:p w14:paraId="26D20BA1" w14:textId="77777777" w:rsidR="0038321D" w:rsidRPr="005A75A6" w:rsidRDefault="0038321D" w:rsidP="003F1344">
      <w:pPr>
        <w:numPr>
          <w:ilvl w:val="0"/>
          <w:numId w:val="2"/>
        </w:numPr>
        <w:tabs>
          <w:tab w:val="clear" w:pos="720"/>
        </w:tabs>
        <w:spacing w:line="360" w:lineRule="auto"/>
        <w:ind w:left="0" w:firstLine="284"/>
        <w:jc w:val="both"/>
        <w:rPr>
          <w:rFonts w:ascii="Arial" w:eastAsia="Times New Roman" w:hAnsi="Arial" w:cs="Arial"/>
          <w:bCs/>
          <w:sz w:val="24"/>
          <w:szCs w:val="24"/>
          <w:lang w:val="es-ES" w:eastAsia="es-ES"/>
        </w:rPr>
      </w:pPr>
      <w:r w:rsidRPr="005A75A6">
        <w:rPr>
          <w:rFonts w:ascii="Arial" w:eastAsia="Times New Roman" w:hAnsi="Arial" w:cs="Arial"/>
          <w:b/>
          <w:bCs/>
          <w:sz w:val="24"/>
          <w:szCs w:val="24"/>
          <w:lang w:val="es-ES" w:eastAsia="es-ES"/>
        </w:rPr>
        <w:t>Enviar</w:t>
      </w:r>
      <w:r w:rsidRPr="005A75A6">
        <w:rPr>
          <w:rFonts w:ascii="Arial" w:eastAsia="Times New Roman" w:hAnsi="Arial" w:cs="Arial"/>
          <w:bCs/>
          <w:sz w:val="24"/>
          <w:szCs w:val="24"/>
          <w:lang w:val="es-ES" w:eastAsia="es-ES"/>
        </w:rPr>
        <w:t xml:space="preserve"> el expediente de tutela a la Corte Constitucional para lo de su cargo</w:t>
      </w:r>
      <w:r w:rsidR="00796A65" w:rsidRPr="005A75A6">
        <w:rPr>
          <w:rFonts w:ascii="Arial" w:eastAsia="Times New Roman" w:hAnsi="Arial" w:cs="Arial"/>
          <w:bCs/>
          <w:sz w:val="24"/>
          <w:szCs w:val="24"/>
          <w:lang w:val="es-ES" w:eastAsia="es-ES"/>
        </w:rPr>
        <w:t xml:space="preserve"> y devolver el expediente en préstamo</w:t>
      </w:r>
      <w:r w:rsidRPr="005A75A6">
        <w:rPr>
          <w:rFonts w:ascii="Arial" w:eastAsia="Times New Roman" w:hAnsi="Arial" w:cs="Arial"/>
          <w:bCs/>
          <w:sz w:val="24"/>
          <w:szCs w:val="24"/>
          <w:lang w:val="es-ES" w:eastAsia="es-ES"/>
        </w:rPr>
        <w:t xml:space="preserve">. </w:t>
      </w:r>
    </w:p>
    <w:p w14:paraId="6314EEE9" w14:textId="77777777" w:rsidR="0038321D" w:rsidRPr="005A75A6" w:rsidRDefault="0038321D" w:rsidP="0038321D">
      <w:pPr>
        <w:spacing w:line="360" w:lineRule="auto"/>
        <w:rPr>
          <w:rFonts w:ascii="Arial" w:eastAsia="Times New Roman" w:hAnsi="Arial" w:cs="Arial"/>
          <w:bCs/>
          <w:sz w:val="24"/>
          <w:szCs w:val="24"/>
          <w:lang w:val="es-ES" w:eastAsia="es-ES"/>
        </w:rPr>
      </w:pPr>
      <w:r w:rsidRPr="005A75A6">
        <w:rPr>
          <w:rFonts w:ascii="Arial" w:eastAsia="Times New Roman" w:hAnsi="Arial" w:cs="Arial"/>
          <w:bCs/>
          <w:sz w:val="24"/>
          <w:szCs w:val="24"/>
          <w:lang w:val="es-ES" w:eastAsia="es-ES"/>
        </w:rPr>
        <w:t>Cópiese, notifíquese y cúmplase.</w:t>
      </w:r>
    </w:p>
    <w:p w14:paraId="351E4F2A" w14:textId="77777777" w:rsidR="007A21C2" w:rsidRPr="005A75A6" w:rsidRDefault="007A21C2" w:rsidP="0038321D">
      <w:pPr>
        <w:spacing w:line="360" w:lineRule="auto"/>
        <w:rPr>
          <w:rFonts w:ascii="Arial" w:eastAsia="Times New Roman" w:hAnsi="Arial" w:cs="Arial"/>
          <w:bCs/>
          <w:sz w:val="24"/>
          <w:szCs w:val="24"/>
          <w:lang w:val="es-ES" w:eastAsia="es-ES"/>
        </w:rPr>
      </w:pPr>
    </w:p>
    <w:p w14:paraId="66CFD506" w14:textId="77777777" w:rsidR="0038321D" w:rsidRPr="005A75A6" w:rsidRDefault="0038321D" w:rsidP="0038321D">
      <w:pPr>
        <w:spacing w:line="360" w:lineRule="auto"/>
        <w:rPr>
          <w:rFonts w:ascii="Arial" w:eastAsia="Times New Roman" w:hAnsi="Arial" w:cs="Arial"/>
          <w:bCs/>
          <w:sz w:val="24"/>
          <w:szCs w:val="24"/>
          <w:lang w:val="es-ES" w:eastAsia="es-ES"/>
        </w:rPr>
      </w:pPr>
      <w:r w:rsidRPr="005A75A6">
        <w:rPr>
          <w:rFonts w:ascii="Arial" w:eastAsia="Times New Roman" w:hAnsi="Arial" w:cs="Arial"/>
          <w:bCs/>
          <w:sz w:val="24"/>
          <w:szCs w:val="24"/>
          <w:lang w:val="es-ES" w:eastAsia="es-ES"/>
        </w:rPr>
        <w:t>La anterior providencia fue discutida y aprobada en sesión de la fecha.</w:t>
      </w:r>
    </w:p>
    <w:p w14:paraId="4E2C2E0E" w14:textId="77777777" w:rsidR="00B0460A" w:rsidRPr="005A75A6" w:rsidRDefault="00B0460A" w:rsidP="00354EE0">
      <w:pPr>
        <w:widowControl w:val="0"/>
        <w:ind w:right="51"/>
        <w:jc w:val="center"/>
        <w:rPr>
          <w:rFonts w:ascii="Arial" w:hAnsi="Arial" w:cs="Arial"/>
          <w:b/>
          <w:sz w:val="24"/>
          <w:szCs w:val="24"/>
        </w:rPr>
      </w:pPr>
    </w:p>
    <w:p w14:paraId="0FEFB7FD" w14:textId="77777777" w:rsidR="00354EE0" w:rsidRPr="005A75A6" w:rsidRDefault="00354EE0" w:rsidP="00354EE0">
      <w:pPr>
        <w:widowControl w:val="0"/>
        <w:ind w:right="51"/>
        <w:jc w:val="center"/>
        <w:rPr>
          <w:rFonts w:ascii="Arial" w:hAnsi="Arial" w:cs="Arial"/>
          <w:b/>
          <w:sz w:val="24"/>
          <w:szCs w:val="24"/>
        </w:rPr>
      </w:pPr>
    </w:p>
    <w:p w14:paraId="7A7223C6" w14:textId="77777777" w:rsidR="00354EE0" w:rsidRPr="005A75A6" w:rsidRDefault="00354EE0" w:rsidP="00354EE0">
      <w:pPr>
        <w:widowControl w:val="0"/>
        <w:ind w:right="51"/>
        <w:jc w:val="center"/>
        <w:rPr>
          <w:rFonts w:ascii="Arial" w:hAnsi="Arial" w:cs="Arial"/>
          <w:b/>
          <w:sz w:val="24"/>
          <w:szCs w:val="24"/>
        </w:rPr>
      </w:pPr>
    </w:p>
    <w:p w14:paraId="07D34BFC" w14:textId="77777777" w:rsidR="00354EE0" w:rsidRPr="005A75A6" w:rsidRDefault="00354EE0" w:rsidP="00354EE0">
      <w:pPr>
        <w:widowControl w:val="0"/>
        <w:ind w:right="51"/>
        <w:jc w:val="center"/>
        <w:rPr>
          <w:rFonts w:ascii="Arial" w:hAnsi="Arial" w:cs="Arial"/>
          <w:b/>
          <w:sz w:val="24"/>
          <w:szCs w:val="24"/>
        </w:rPr>
      </w:pPr>
    </w:p>
    <w:p w14:paraId="5016A922" w14:textId="77777777" w:rsidR="00B0460A" w:rsidRPr="005A75A6" w:rsidRDefault="00B0460A" w:rsidP="00354EE0">
      <w:pPr>
        <w:widowControl w:val="0"/>
        <w:ind w:right="51"/>
        <w:jc w:val="center"/>
        <w:rPr>
          <w:rFonts w:ascii="Arial" w:hAnsi="Arial" w:cs="Arial"/>
          <w:b/>
          <w:sz w:val="24"/>
          <w:szCs w:val="24"/>
        </w:rPr>
      </w:pPr>
    </w:p>
    <w:p w14:paraId="10636C19" w14:textId="77777777" w:rsidR="00B0460A" w:rsidRPr="005A75A6" w:rsidRDefault="00B0460A" w:rsidP="00354EE0">
      <w:pPr>
        <w:widowControl w:val="0"/>
        <w:ind w:right="51"/>
        <w:jc w:val="center"/>
        <w:rPr>
          <w:rFonts w:ascii="Arial" w:hAnsi="Arial" w:cs="Arial"/>
          <w:b/>
          <w:bCs/>
          <w:sz w:val="24"/>
          <w:szCs w:val="24"/>
        </w:rPr>
      </w:pPr>
      <w:r w:rsidRPr="005A75A6">
        <w:rPr>
          <w:rFonts w:ascii="Arial" w:hAnsi="Arial" w:cs="Arial"/>
          <w:b/>
          <w:sz w:val="24"/>
          <w:szCs w:val="24"/>
        </w:rPr>
        <w:t>STELLA JEANNETTE CARVAJAL BASTO</w:t>
      </w:r>
    </w:p>
    <w:p w14:paraId="5136C064" w14:textId="77777777" w:rsidR="00B0460A" w:rsidRPr="005A75A6" w:rsidRDefault="00B0460A" w:rsidP="00354EE0">
      <w:pPr>
        <w:widowControl w:val="0"/>
        <w:ind w:right="51"/>
        <w:jc w:val="center"/>
        <w:outlineLvl w:val="8"/>
        <w:rPr>
          <w:rFonts w:ascii="Arial" w:eastAsia="Times New Roman" w:hAnsi="Arial" w:cs="Arial"/>
          <w:sz w:val="24"/>
          <w:szCs w:val="24"/>
        </w:rPr>
      </w:pPr>
      <w:r w:rsidRPr="005A75A6">
        <w:rPr>
          <w:rFonts w:ascii="Arial" w:eastAsia="Times New Roman" w:hAnsi="Arial" w:cs="Arial"/>
          <w:sz w:val="24"/>
          <w:szCs w:val="24"/>
        </w:rPr>
        <w:t>President</w:t>
      </w:r>
      <w:r w:rsidR="006E4E56" w:rsidRPr="005A75A6">
        <w:rPr>
          <w:rFonts w:ascii="Arial" w:eastAsia="Times New Roman" w:hAnsi="Arial" w:cs="Arial"/>
          <w:sz w:val="24"/>
          <w:szCs w:val="24"/>
        </w:rPr>
        <w:t>a</w:t>
      </w:r>
      <w:r w:rsidRPr="005A75A6">
        <w:rPr>
          <w:rFonts w:ascii="Arial" w:eastAsia="Times New Roman" w:hAnsi="Arial" w:cs="Arial"/>
          <w:sz w:val="24"/>
          <w:szCs w:val="24"/>
        </w:rPr>
        <w:t xml:space="preserve"> de la Sección</w:t>
      </w:r>
    </w:p>
    <w:p w14:paraId="3C7F96D8" w14:textId="77777777" w:rsidR="00B0460A" w:rsidRPr="005A75A6" w:rsidRDefault="00B0460A" w:rsidP="00354EE0">
      <w:pPr>
        <w:widowControl w:val="0"/>
        <w:ind w:right="51"/>
        <w:jc w:val="center"/>
        <w:outlineLvl w:val="8"/>
        <w:rPr>
          <w:rFonts w:ascii="Arial" w:eastAsia="Times New Roman" w:hAnsi="Arial" w:cs="Arial"/>
          <w:b/>
          <w:sz w:val="24"/>
          <w:szCs w:val="24"/>
        </w:rPr>
      </w:pPr>
    </w:p>
    <w:p w14:paraId="05CAA022" w14:textId="77777777" w:rsidR="00B0460A" w:rsidRPr="005A75A6" w:rsidRDefault="00B0460A" w:rsidP="00354EE0">
      <w:pPr>
        <w:widowControl w:val="0"/>
        <w:ind w:right="51"/>
        <w:jc w:val="center"/>
        <w:outlineLvl w:val="8"/>
        <w:rPr>
          <w:rFonts w:ascii="Arial" w:eastAsia="Times New Roman" w:hAnsi="Arial" w:cs="Arial"/>
          <w:b/>
          <w:sz w:val="24"/>
          <w:szCs w:val="24"/>
        </w:rPr>
      </w:pPr>
    </w:p>
    <w:p w14:paraId="496DECA7" w14:textId="77777777" w:rsidR="00B0460A" w:rsidRPr="005A75A6" w:rsidRDefault="00B0460A" w:rsidP="00354EE0">
      <w:pPr>
        <w:widowControl w:val="0"/>
        <w:ind w:right="51"/>
        <w:jc w:val="center"/>
        <w:outlineLvl w:val="8"/>
        <w:rPr>
          <w:rFonts w:ascii="Arial" w:eastAsia="Times New Roman" w:hAnsi="Arial" w:cs="Arial"/>
          <w:b/>
          <w:sz w:val="24"/>
          <w:szCs w:val="24"/>
        </w:rPr>
      </w:pPr>
    </w:p>
    <w:p w14:paraId="191C9445" w14:textId="77777777" w:rsidR="00B0460A" w:rsidRPr="005A75A6" w:rsidRDefault="00B0460A" w:rsidP="00354EE0">
      <w:pPr>
        <w:widowControl w:val="0"/>
        <w:ind w:right="51"/>
        <w:jc w:val="center"/>
        <w:outlineLvl w:val="8"/>
        <w:rPr>
          <w:rFonts w:ascii="Arial" w:eastAsia="Times New Roman" w:hAnsi="Arial" w:cs="Arial"/>
          <w:b/>
          <w:sz w:val="24"/>
          <w:szCs w:val="24"/>
        </w:rPr>
      </w:pPr>
    </w:p>
    <w:p w14:paraId="7870C71F" w14:textId="77777777" w:rsidR="00B0460A" w:rsidRPr="005A75A6" w:rsidRDefault="00B0460A" w:rsidP="00354EE0">
      <w:pPr>
        <w:widowControl w:val="0"/>
        <w:ind w:right="51"/>
        <w:jc w:val="center"/>
        <w:outlineLvl w:val="8"/>
        <w:rPr>
          <w:rFonts w:ascii="Arial" w:eastAsia="Times New Roman" w:hAnsi="Arial" w:cs="Arial"/>
          <w:b/>
          <w:sz w:val="24"/>
          <w:szCs w:val="24"/>
        </w:rPr>
      </w:pPr>
    </w:p>
    <w:p w14:paraId="1993E8F9" w14:textId="77777777" w:rsidR="00B0460A" w:rsidRPr="005A75A6" w:rsidRDefault="00B0460A" w:rsidP="00354EE0">
      <w:pPr>
        <w:widowControl w:val="0"/>
        <w:ind w:right="51"/>
        <w:jc w:val="center"/>
        <w:rPr>
          <w:rFonts w:ascii="Arial" w:hAnsi="Arial" w:cs="Arial"/>
          <w:b/>
          <w:sz w:val="24"/>
          <w:szCs w:val="24"/>
        </w:rPr>
      </w:pPr>
      <w:r w:rsidRPr="005A75A6">
        <w:rPr>
          <w:rFonts w:ascii="Arial" w:hAnsi="Arial" w:cs="Arial"/>
          <w:b/>
          <w:sz w:val="24"/>
          <w:szCs w:val="24"/>
        </w:rPr>
        <w:t>MILTON CHAVES GARCÍA</w:t>
      </w:r>
    </w:p>
    <w:p w14:paraId="5A5D63E9" w14:textId="77777777" w:rsidR="00B0460A" w:rsidRPr="005A75A6" w:rsidRDefault="00B0460A" w:rsidP="00354EE0">
      <w:pPr>
        <w:widowControl w:val="0"/>
        <w:ind w:right="51"/>
        <w:jc w:val="center"/>
        <w:rPr>
          <w:rFonts w:ascii="Arial" w:hAnsi="Arial" w:cs="Arial"/>
          <w:b/>
          <w:sz w:val="24"/>
          <w:szCs w:val="24"/>
        </w:rPr>
      </w:pPr>
    </w:p>
    <w:p w14:paraId="4BCEB81D" w14:textId="77777777" w:rsidR="00B0460A" w:rsidRPr="005A75A6" w:rsidRDefault="00B0460A" w:rsidP="00354EE0">
      <w:pPr>
        <w:widowControl w:val="0"/>
        <w:ind w:right="51"/>
        <w:jc w:val="center"/>
        <w:rPr>
          <w:rFonts w:ascii="Arial" w:hAnsi="Arial" w:cs="Arial"/>
          <w:b/>
          <w:sz w:val="24"/>
          <w:szCs w:val="24"/>
        </w:rPr>
      </w:pPr>
    </w:p>
    <w:p w14:paraId="5479FB8A" w14:textId="77777777" w:rsidR="00B0460A" w:rsidRPr="005A75A6" w:rsidRDefault="00B0460A" w:rsidP="00354EE0">
      <w:pPr>
        <w:widowControl w:val="0"/>
        <w:ind w:right="51"/>
        <w:jc w:val="center"/>
        <w:rPr>
          <w:rFonts w:ascii="Arial" w:hAnsi="Arial" w:cs="Arial"/>
          <w:b/>
          <w:sz w:val="24"/>
          <w:szCs w:val="24"/>
        </w:rPr>
      </w:pPr>
    </w:p>
    <w:p w14:paraId="66B3B027" w14:textId="77777777" w:rsidR="00B0460A" w:rsidRPr="005A75A6" w:rsidRDefault="00B0460A" w:rsidP="00354EE0">
      <w:pPr>
        <w:widowControl w:val="0"/>
        <w:ind w:right="51"/>
        <w:jc w:val="center"/>
        <w:rPr>
          <w:rFonts w:ascii="Arial" w:hAnsi="Arial" w:cs="Arial"/>
          <w:b/>
          <w:sz w:val="24"/>
          <w:szCs w:val="24"/>
        </w:rPr>
      </w:pPr>
    </w:p>
    <w:p w14:paraId="1679ABE6" w14:textId="77777777" w:rsidR="00B0460A" w:rsidRPr="005A75A6" w:rsidRDefault="00B0460A" w:rsidP="00354EE0">
      <w:pPr>
        <w:widowControl w:val="0"/>
        <w:ind w:right="51"/>
        <w:jc w:val="center"/>
        <w:rPr>
          <w:rFonts w:ascii="Arial" w:hAnsi="Arial" w:cs="Arial"/>
          <w:b/>
          <w:sz w:val="24"/>
          <w:szCs w:val="24"/>
        </w:rPr>
      </w:pPr>
    </w:p>
    <w:p w14:paraId="54C46754" w14:textId="77777777" w:rsidR="00B0460A" w:rsidRPr="005A75A6" w:rsidRDefault="00B0460A" w:rsidP="00354EE0">
      <w:pPr>
        <w:widowControl w:val="0"/>
        <w:ind w:right="51"/>
        <w:jc w:val="center"/>
        <w:rPr>
          <w:rFonts w:ascii="Arial" w:hAnsi="Arial" w:cs="Arial"/>
          <w:b/>
          <w:sz w:val="24"/>
          <w:szCs w:val="24"/>
        </w:rPr>
      </w:pPr>
      <w:r w:rsidRPr="005A75A6">
        <w:rPr>
          <w:rFonts w:ascii="Arial" w:hAnsi="Arial" w:cs="Arial"/>
          <w:b/>
          <w:sz w:val="24"/>
          <w:szCs w:val="24"/>
        </w:rPr>
        <w:t>JORGE OCTAVIO RAMÍREZ RAMÍREZ</w:t>
      </w:r>
    </w:p>
    <w:p w14:paraId="0DBCD404" w14:textId="77777777" w:rsidR="00AA22F1" w:rsidRPr="005A75A6" w:rsidRDefault="00354EE0" w:rsidP="00354EE0">
      <w:pPr>
        <w:widowControl w:val="0"/>
        <w:ind w:right="51"/>
        <w:jc w:val="center"/>
        <w:rPr>
          <w:rFonts w:ascii="Arial" w:hAnsi="Arial" w:cs="Arial"/>
          <w:sz w:val="24"/>
          <w:szCs w:val="24"/>
        </w:rPr>
      </w:pPr>
      <w:r w:rsidRPr="005A75A6">
        <w:rPr>
          <w:rFonts w:ascii="Arial" w:hAnsi="Arial" w:cs="Arial"/>
          <w:sz w:val="24"/>
          <w:szCs w:val="24"/>
        </w:rPr>
        <w:t>Aclaro voto</w:t>
      </w:r>
    </w:p>
    <w:sectPr w:rsidR="00AA22F1" w:rsidRPr="005A75A6" w:rsidSect="00354EE0">
      <w:headerReference w:type="even" r:id="rId11"/>
      <w:pgSz w:w="12242" w:h="18722" w:code="120"/>
      <w:pgMar w:top="1701" w:right="1701" w:bottom="1701" w:left="1701"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F425B4" w14:textId="77777777" w:rsidR="00274624" w:rsidRDefault="00274624" w:rsidP="00CF3927">
      <w:r>
        <w:separator/>
      </w:r>
    </w:p>
  </w:endnote>
  <w:endnote w:type="continuationSeparator" w:id="0">
    <w:p w14:paraId="61B9CCF4" w14:textId="77777777" w:rsidR="00274624" w:rsidRDefault="00274624" w:rsidP="00CF3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C4C55B" w14:textId="77777777" w:rsidR="00274624" w:rsidRDefault="00274624" w:rsidP="00CF3927">
      <w:r>
        <w:separator/>
      </w:r>
    </w:p>
  </w:footnote>
  <w:footnote w:type="continuationSeparator" w:id="0">
    <w:p w14:paraId="22BEDDE8" w14:textId="77777777" w:rsidR="00274624" w:rsidRDefault="00274624" w:rsidP="00CF3927">
      <w:r>
        <w:continuationSeparator/>
      </w:r>
    </w:p>
  </w:footnote>
  <w:footnote w:id="1">
    <w:p w14:paraId="7F917CE9" w14:textId="77777777" w:rsidR="00CF3927" w:rsidRPr="00354EE0" w:rsidRDefault="00CF3927" w:rsidP="005B5C95">
      <w:pPr>
        <w:pStyle w:val="Textonotapie"/>
        <w:jc w:val="both"/>
        <w:rPr>
          <w:rFonts w:ascii="Arial" w:hAnsi="Arial" w:cs="Arial"/>
          <w:lang w:val="es-CO"/>
        </w:rPr>
      </w:pPr>
      <w:r w:rsidRPr="00354EE0">
        <w:rPr>
          <w:rStyle w:val="Refdenotaalpie"/>
          <w:rFonts w:ascii="Arial" w:hAnsi="Arial" w:cs="Arial"/>
        </w:rPr>
        <w:footnoteRef/>
      </w:r>
      <w:r w:rsidRPr="00354EE0">
        <w:rPr>
          <w:rFonts w:ascii="Arial" w:hAnsi="Arial" w:cs="Arial"/>
        </w:rPr>
        <w:t xml:space="preserve"> </w:t>
      </w:r>
      <w:r w:rsidRPr="00354EE0">
        <w:rPr>
          <w:rFonts w:ascii="Arial" w:hAnsi="Arial" w:cs="Arial"/>
          <w:lang w:val="es-CO"/>
        </w:rPr>
        <w:t>Folio</w:t>
      </w:r>
      <w:r w:rsidR="00846ABD" w:rsidRPr="00354EE0">
        <w:rPr>
          <w:rFonts w:ascii="Arial" w:hAnsi="Arial" w:cs="Arial"/>
          <w:lang w:val="es-CO"/>
        </w:rPr>
        <w:t xml:space="preserve"> 17</w:t>
      </w:r>
      <w:r w:rsidR="00404C15" w:rsidRPr="00354EE0">
        <w:rPr>
          <w:rFonts w:ascii="Arial" w:hAnsi="Arial" w:cs="Arial"/>
          <w:lang w:val="es-CO"/>
        </w:rPr>
        <w:t xml:space="preserve"> del expediente de tutela</w:t>
      </w:r>
      <w:r w:rsidRPr="00354EE0">
        <w:rPr>
          <w:rFonts w:ascii="Arial" w:hAnsi="Arial" w:cs="Arial"/>
          <w:lang w:val="es-CO"/>
        </w:rPr>
        <w:t>.</w:t>
      </w:r>
    </w:p>
  </w:footnote>
  <w:footnote w:id="2">
    <w:p w14:paraId="0B720503" w14:textId="77777777" w:rsidR="00CF7E47" w:rsidRPr="00354EE0" w:rsidRDefault="00CF7E47" w:rsidP="00354EE0">
      <w:pPr>
        <w:pStyle w:val="Textonotapie"/>
        <w:jc w:val="both"/>
        <w:rPr>
          <w:rFonts w:ascii="Arial" w:hAnsi="Arial" w:cs="Arial"/>
          <w:lang w:val="es-CO"/>
        </w:rPr>
      </w:pPr>
      <w:r w:rsidRPr="00354EE0">
        <w:rPr>
          <w:rStyle w:val="Refdenotaalpie"/>
          <w:rFonts w:ascii="Arial" w:hAnsi="Arial" w:cs="Arial"/>
        </w:rPr>
        <w:footnoteRef/>
      </w:r>
      <w:r w:rsidRPr="00354EE0">
        <w:rPr>
          <w:rFonts w:ascii="Arial" w:hAnsi="Arial" w:cs="Arial"/>
        </w:rPr>
        <w:t xml:space="preserve"> </w:t>
      </w:r>
      <w:r w:rsidR="00640FAA" w:rsidRPr="00354EE0">
        <w:rPr>
          <w:rFonts w:ascii="Arial" w:hAnsi="Arial" w:cs="Arial"/>
          <w:lang w:val="es-CO"/>
        </w:rPr>
        <w:t>Folio 110</w:t>
      </w:r>
      <w:r w:rsidR="00062DAC" w:rsidRPr="00354EE0">
        <w:rPr>
          <w:rFonts w:ascii="Arial" w:hAnsi="Arial" w:cs="Arial"/>
          <w:lang w:val="es-CO"/>
        </w:rPr>
        <w:t xml:space="preserve"> ib</w:t>
      </w:r>
      <w:r w:rsidRPr="00354EE0">
        <w:rPr>
          <w:rFonts w:ascii="Arial" w:hAnsi="Arial" w:cs="Arial"/>
          <w:lang w:val="es-CO"/>
        </w:rPr>
        <w:t>.</w:t>
      </w:r>
    </w:p>
  </w:footnote>
  <w:footnote w:id="3">
    <w:p w14:paraId="3036FC10" w14:textId="77777777" w:rsidR="000C4E66" w:rsidRPr="00354EE0" w:rsidRDefault="000C4E66" w:rsidP="00354EE0">
      <w:pPr>
        <w:pStyle w:val="Textonotapie"/>
        <w:jc w:val="both"/>
        <w:rPr>
          <w:rFonts w:ascii="Arial" w:hAnsi="Arial" w:cs="Arial"/>
          <w:lang w:val="es-CO"/>
        </w:rPr>
      </w:pPr>
      <w:r w:rsidRPr="00354EE0">
        <w:rPr>
          <w:rStyle w:val="Refdenotaalpie"/>
          <w:rFonts w:ascii="Arial" w:hAnsi="Arial" w:cs="Arial"/>
        </w:rPr>
        <w:footnoteRef/>
      </w:r>
      <w:r w:rsidRPr="00354EE0">
        <w:rPr>
          <w:rFonts w:ascii="Arial" w:hAnsi="Arial" w:cs="Arial"/>
        </w:rPr>
        <w:t xml:space="preserve"> </w:t>
      </w:r>
      <w:r w:rsidRPr="00354EE0">
        <w:rPr>
          <w:rFonts w:ascii="Arial" w:hAnsi="Arial" w:cs="Arial"/>
          <w:lang w:val="es-CO"/>
        </w:rPr>
        <w:t xml:space="preserve">La actora señaló que la sentencia era del año 2003, no obstante el precedente referenciado es del expediente: </w:t>
      </w:r>
      <w:r w:rsidRPr="00354EE0">
        <w:rPr>
          <w:rFonts w:ascii="Arial" w:hAnsi="Arial" w:cs="Arial"/>
          <w:iCs/>
        </w:rPr>
        <w:t>25000-23-25-000-2002-06813-01(6813-05), magistrado ponente: Alejandro Ordoñez Maldonado.</w:t>
      </w:r>
    </w:p>
  </w:footnote>
  <w:footnote w:id="4">
    <w:p w14:paraId="4870BF96" w14:textId="77777777" w:rsidR="000C4E66" w:rsidRPr="00354EE0" w:rsidRDefault="000C4E66" w:rsidP="00354EE0">
      <w:pPr>
        <w:pStyle w:val="Textonotapie"/>
        <w:jc w:val="both"/>
        <w:rPr>
          <w:rFonts w:ascii="Arial" w:hAnsi="Arial" w:cs="Arial"/>
          <w:lang w:val="es-CO"/>
        </w:rPr>
      </w:pPr>
      <w:r w:rsidRPr="00354EE0">
        <w:rPr>
          <w:rStyle w:val="Refdenotaalpie"/>
          <w:rFonts w:ascii="Arial" w:hAnsi="Arial" w:cs="Arial"/>
        </w:rPr>
        <w:footnoteRef/>
      </w:r>
      <w:r w:rsidRPr="00354EE0">
        <w:rPr>
          <w:rFonts w:ascii="Arial" w:hAnsi="Arial" w:cs="Arial"/>
        </w:rPr>
        <w:t xml:space="preserve"> </w:t>
      </w:r>
      <w:r w:rsidRPr="00354EE0">
        <w:rPr>
          <w:rFonts w:ascii="Arial" w:hAnsi="Arial" w:cs="Arial"/>
          <w:lang w:val="es-CO"/>
        </w:rPr>
        <w:t xml:space="preserve">Expediente No. 11001-03-15-000-2016-00149-00. Magistrado ponente: Gabriel Valbuena Hernández. </w:t>
      </w:r>
    </w:p>
    <w:p w14:paraId="2872CC2A" w14:textId="77777777" w:rsidR="000C4E66" w:rsidRPr="00354EE0" w:rsidRDefault="000C4E66" w:rsidP="00354EE0">
      <w:pPr>
        <w:pStyle w:val="Textonotapie"/>
        <w:jc w:val="both"/>
        <w:rPr>
          <w:rFonts w:ascii="Arial" w:hAnsi="Arial" w:cs="Arial"/>
          <w:lang w:val="es-CO"/>
        </w:rPr>
      </w:pPr>
      <w:r w:rsidRPr="00354EE0">
        <w:rPr>
          <w:rFonts w:ascii="Arial" w:hAnsi="Arial" w:cs="Arial"/>
          <w:lang w:val="es-CO"/>
        </w:rPr>
        <w:t>Expedient</w:t>
      </w:r>
      <w:r w:rsidR="00CD2A40" w:rsidRPr="00354EE0">
        <w:rPr>
          <w:rFonts w:ascii="Arial" w:hAnsi="Arial" w:cs="Arial"/>
          <w:lang w:val="es-CO"/>
        </w:rPr>
        <w:t>e No. 11001-03-15-000-2016-00140</w:t>
      </w:r>
      <w:r w:rsidRPr="00354EE0">
        <w:rPr>
          <w:rFonts w:ascii="Arial" w:hAnsi="Arial" w:cs="Arial"/>
          <w:lang w:val="es-CO"/>
        </w:rPr>
        <w:t>-00. Magistrado ponente: William Hernández Gómez.</w:t>
      </w:r>
    </w:p>
  </w:footnote>
  <w:footnote w:id="5">
    <w:p w14:paraId="570F2599" w14:textId="77777777" w:rsidR="0038321D" w:rsidRPr="00354EE0" w:rsidRDefault="0038321D" w:rsidP="0038321D">
      <w:pPr>
        <w:shd w:val="clear" w:color="auto" w:fill="FFFFFF"/>
        <w:jc w:val="both"/>
        <w:rPr>
          <w:rFonts w:ascii="Arial" w:hAnsi="Arial" w:cs="Arial"/>
          <w:sz w:val="20"/>
          <w:szCs w:val="20"/>
        </w:rPr>
      </w:pPr>
      <w:r w:rsidRPr="00354EE0">
        <w:rPr>
          <w:rStyle w:val="Refdenotaalpie"/>
          <w:rFonts w:ascii="Arial" w:hAnsi="Arial" w:cs="Arial"/>
          <w:sz w:val="20"/>
          <w:szCs w:val="20"/>
        </w:rPr>
        <w:footnoteRef/>
      </w:r>
      <w:r w:rsidRPr="00354EE0">
        <w:rPr>
          <w:rFonts w:ascii="Arial" w:hAnsi="Arial" w:cs="Arial"/>
          <w:sz w:val="20"/>
          <w:szCs w:val="20"/>
        </w:rPr>
        <w:t xml:space="preserve"> </w:t>
      </w:r>
      <w:r w:rsidRPr="00354EE0">
        <w:rPr>
          <w:rFonts w:ascii="Arial" w:eastAsia="Times New Roman" w:hAnsi="Arial" w:cs="Arial"/>
          <w:color w:val="000000"/>
          <w:sz w:val="20"/>
          <w:szCs w:val="20"/>
          <w:lang w:val="es-ES_tradnl" w:eastAsia="es-ES"/>
        </w:rPr>
        <w:t>Ver sentencia del 31 de julio de 2012.</w:t>
      </w:r>
    </w:p>
  </w:footnote>
  <w:footnote w:id="6">
    <w:p w14:paraId="7B223D37" w14:textId="77777777" w:rsidR="0038321D" w:rsidRPr="00354EE0" w:rsidRDefault="0038321D" w:rsidP="00BA5DC3">
      <w:pPr>
        <w:shd w:val="clear" w:color="auto" w:fill="FFFFFF"/>
        <w:jc w:val="both"/>
        <w:rPr>
          <w:rFonts w:ascii="Arial" w:hAnsi="Arial" w:cs="Arial"/>
          <w:sz w:val="20"/>
          <w:szCs w:val="20"/>
        </w:rPr>
      </w:pPr>
      <w:r w:rsidRPr="00354EE0">
        <w:rPr>
          <w:rStyle w:val="Refdenotaalpie"/>
          <w:rFonts w:ascii="Arial" w:hAnsi="Arial" w:cs="Arial"/>
          <w:sz w:val="20"/>
          <w:szCs w:val="20"/>
        </w:rPr>
        <w:footnoteRef/>
      </w:r>
      <w:r w:rsidRPr="00354EE0">
        <w:rPr>
          <w:rFonts w:ascii="Arial" w:hAnsi="Arial" w:cs="Arial"/>
          <w:sz w:val="20"/>
          <w:szCs w:val="20"/>
        </w:rPr>
        <w:t xml:space="preserve"> </w:t>
      </w:r>
      <w:r w:rsidRPr="00354EE0">
        <w:rPr>
          <w:rFonts w:ascii="Arial" w:eastAsia="Times New Roman" w:hAnsi="Arial" w:cs="Arial"/>
          <w:color w:val="000000"/>
          <w:sz w:val="20"/>
          <w:szCs w:val="20"/>
          <w:lang w:val="es-ES_tradnl" w:eastAsia="es-ES"/>
        </w:rPr>
        <w:t xml:space="preserve">Expediente (IJ) 11001-03-15-000-2012-02201-01. </w:t>
      </w:r>
    </w:p>
  </w:footnote>
  <w:footnote w:id="7">
    <w:p w14:paraId="6B9350A1" w14:textId="77777777" w:rsidR="003C2E49" w:rsidRPr="00354EE0" w:rsidRDefault="003C2E49" w:rsidP="003C2E49">
      <w:pPr>
        <w:pStyle w:val="Textonotapie"/>
        <w:jc w:val="both"/>
        <w:rPr>
          <w:rFonts w:ascii="Arial" w:hAnsi="Arial" w:cs="Arial"/>
          <w:lang w:val="es-CO"/>
        </w:rPr>
      </w:pPr>
      <w:r w:rsidRPr="00354EE0">
        <w:rPr>
          <w:rStyle w:val="Refdenotaalpie"/>
          <w:rFonts w:ascii="Arial" w:hAnsi="Arial" w:cs="Arial"/>
        </w:rPr>
        <w:footnoteRef/>
      </w:r>
      <w:r w:rsidRPr="00354EE0">
        <w:rPr>
          <w:rFonts w:ascii="Arial" w:hAnsi="Arial" w:cs="Arial"/>
        </w:rPr>
        <w:t xml:space="preserve"> </w:t>
      </w:r>
      <w:r w:rsidRPr="00354EE0">
        <w:rPr>
          <w:rFonts w:ascii="Arial" w:hAnsi="Arial" w:cs="Arial"/>
          <w:lang w:val="es-CO"/>
        </w:rPr>
        <w:t xml:space="preserve">El tribunal citó las siguientes providencias: </w:t>
      </w:r>
      <w:r w:rsidRPr="00354EE0">
        <w:rPr>
          <w:rFonts w:ascii="Arial" w:hAnsi="Arial" w:cs="Arial"/>
          <w:b/>
          <w:lang w:val="es-CO"/>
        </w:rPr>
        <w:t xml:space="preserve">(i) </w:t>
      </w:r>
      <w:r w:rsidRPr="00354EE0">
        <w:rPr>
          <w:rFonts w:ascii="Arial" w:hAnsi="Arial" w:cs="Arial"/>
          <w:lang w:val="es-CO"/>
        </w:rPr>
        <w:t xml:space="preserve">sentencia del 1º de noviembre de 1994. M.P. Carlos Betancur Jaramillo. Expediente No. 7960; </w:t>
      </w:r>
      <w:r w:rsidRPr="00354EE0">
        <w:rPr>
          <w:rFonts w:ascii="Arial" w:hAnsi="Arial" w:cs="Arial"/>
          <w:b/>
          <w:lang w:val="es-CO"/>
        </w:rPr>
        <w:t xml:space="preserve">(ii) </w:t>
      </w:r>
      <w:r w:rsidRPr="00354EE0">
        <w:rPr>
          <w:rFonts w:ascii="Arial" w:hAnsi="Arial" w:cs="Arial"/>
          <w:lang w:val="es-CO"/>
        </w:rPr>
        <w:t xml:space="preserve">sentencia del 19 de julio de 2007. Alejandro Ordóñez Maldonado. Expediente No. 6813, y </w:t>
      </w:r>
      <w:r w:rsidRPr="00354EE0">
        <w:rPr>
          <w:rFonts w:ascii="Arial" w:hAnsi="Arial" w:cs="Arial"/>
          <w:b/>
          <w:lang w:val="es-CO"/>
        </w:rPr>
        <w:t xml:space="preserve">(iii) </w:t>
      </w:r>
      <w:r w:rsidRPr="00354EE0">
        <w:rPr>
          <w:rFonts w:ascii="Arial" w:hAnsi="Arial" w:cs="Arial"/>
          <w:lang w:val="es-CO"/>
        </w:rPr>
        <w:t xml:space="preserve">sentencia del 23 de junio de 2010. M.P. (e) Gladys Agudelo Ordóñez. Expediente No. 18319. </w:t>
      </w:r>
    </w:p>
  </w:footnote>
  <w:footnote w:id="8">
    <w:p w14:paraId="0D890ED4" w14:textId="77777777" w:rsidR="0038321D" w:rsidRPr="00354EE0" w:rsidRDefault="0038321D" w:rsidP="00354EE0">
      <w:pPr>
        <w:pStyle w:val="Textonotapie"/>
        <w:jc w:val="both"/>
        <w:rPr>
          <w:rFonts w:ascii="Arial" w:hAnsi="Arial" w:cs="Arial"/>
        </w:rPr>
      </w:pPr>
      <w:r w:rsidRPr="00354EE0">
        <w:rPr>
          <w:rStyle w:val="Refdenotaalpie"/>
          <w:rFonts w:ascii="Arial" w:hAnsi="Arial" w:cs="Arial"/>
        </w:rPr>
        <w:footnoteRef/>
      </w:r>
      <w:r w:rsidRPr="00354EE0">
        <w:rPr>
          <w:rFonts w:ascii="Arial" w:hAnsi="Arial" w:cs="Arial"/>
        </w:rPr>
        <w:t xml:space="preserve"> Sentencia del 10 de octubre de 2013. M.P. Alfonso Vargas Rincón. Radicación número: 05001-23-31-000-2004-00287-01(0486-13). Actor: Pedro Guillermo Moreno Cuesta.</w:t>
      </w:r>
    </w:p>
  </w:footnote>
  <w:footnote w:id="9">
    <w:p w14:paraId="5E0A8280" w14:textId="77777777" w:rsidR="0038321D" w:rsidRPr="00354EE0" w:rsidRDefault="0038321D" w:rsidP="00354EE0">
      <w:pPr>
        <w:pStyle w:val="Textonotapie"/>
        <w:jc w:val="both"/>
        <w:rPr>
          <w:rFonts w:ascii="Arial" w:hAnsi="Arial" w:cs="Arial"/>
          <w:lang w:val="es-CO"/>
        </w:rPr>
      </w:pPr>
      <w:r w:rsidRPr="00354EE0">
        <w:rPr>
          <w:rStyle w:val="Refdenotaalpie"/>
          <w:rFonts w:ascii="Arial" w:hAnsi="Arial" w:cs="Arial"/>
        </w:rPr>
        <w:footnoteRef/>
      </w:r>
      <w:r w:rsidRPr="00354EE0">
        <w:rPr>
          <w:rFonts w:ascii="Arial" w:hAnsi="Arial" w:cs="Arial"/>
        </w:rPr>
        <w:t xml:space="preserve"> Sentencia del 23 de junio de 2010. M.P. (e) Gladys Agudelo Ordóñez. Expediente No. 1998-00129-01(18319). </w:t>
      </w:r>
    </w:p>
  </w:footnote>
  <w:footnote w:id="10">
    <w:p w14:paraId="543D5E23" w14:textId="77777777" w:rsidR="0038321D" w:rsidRPr="00354EE0" w:rsidRDefault="0038321D" w:rsidP="00354EE0">
      <w:pPr>
        <w:pStyle w:val="Textonotapie"/>
        <w:jc w:val="both"/>
        <w:rPr>
          <w:rFonts w:ascii="Arial" w:hAnsi="Arial" w:cs="Arial"/>
          <w:lang w:val="es-CO"/>
        </w:rPr>
      </w:pPr>
      <w:r w:rsidRPr="00354EE0">
        <w:rPr>
          <w:rStyle w:val="Refdenotaalpie"/>
          <w:rFonts w:ascii="Arial" w:hAnsi="Arial" w:cs="Arial"/>
        </w:rPr>
        <w:footnoteRef/>
      </w:r>
      <w:r w:rsidRPr="00354EE0">
        <w:rPr>
          <w:rFonts w:ascii="Arial" w:hAnsi="Arial" w:cs="Arial"/>
        </w:rPr>
        <w:t xml:space="preserve"> </w:t>
      </w:r>
      <w:r w:rsidRPr="00354EE0">
        <w:rPr>
          <w:rFonts w:ascii="Arial" w:hAnsi="Arial" w:cs="Arial"/>
          <w:lang w:val="es-CO"/>
        </w:rPr>
        <w:t xml:space="preserve">Folios </w:t>
      </w:r>
      <w:r w:rsidR="008152DF" w:rsidRPr="00354EE0">
        <w:rPr>
          <w:rFonts w:ascii="Arial" w:hAnsi="Arial" w:cs="Arial"/>
          <w:lang w:val="es-CO"/>
        </w:rPr>
        <w:t>88 a 101</w:t>
      </w:r>
      <w:r w:rsidRPr="00354EE0">
        <w:rPr>
          <w:rFonts w:ascii="Arial" w:hAnsi="Arial" w:cs="Arial"/>
          <w:lang w:val="es-CO"/>
        </w:rPr>
        <w:t>, cuaderno No. 1, del expediente ordinario.</w:t>
      </w:r>
    </w:p>
  </w:footnote>
  <w:footnote w:id="11">
    <w:p w14:paraId="5151454C" w14:textId="77777777" w:rsidR="0038321D" w:rsidRPr="00354EE0" w:rsidRDefault="0038321D" w:rsidP="00354EE0">
      <w:pPr>
        <w:pStyle w:val="Textonotapie"/>
        <w:jc w:val="both"/>
        <w:rPr>
          <w:rFonts w:ascii="Arial" w:hAnsi="Arial" w:cs="Arial"/>
          <w:lang w:val="es-CO"/>
        </w:rPr>
      </w:pPr>
      <w:r w:rsidRPr="00354EE0">
        <w:rPr>
          <w:rStyle w:val="Refdenotaalpie"/>
          <w:rFonts w:ascii="Arial" w:hAnsi="Arial" w:cs="Arial"/>
        </w:rPr>
        <w:footnoteRef/>
      </w:r>
      <w:r w:rsidRPr="00354EE0">
        <w:rPr>
          <w:rFonts w:ascii="Arial" w:hAnsi="Arial" w:cs="Arial"/>
        </w:rPr>
        <w:t xml:space="preserve"> </w:t>
      </w:r>
      <w:r w:rsidRPr="00354EE0">
        <w:rPr>
          <w:rFonts w:ascii="Arial" w:hAnsi="Arial" w:cs="Arial"/>
          <w:lang w:val="es-CO"/>
        </w:rPr>
        <w:t xml:space="preserve">El señor </w:t>
      </w:r>
      <w:r w:rsidR="00E472E0" w:rsidRPr="00354EE0">
        <w:rPr>
          <w:rFonts w:ascii="Arial" w:hAnsi="Arial" w:cs="Arial"/>
          <w:lang w:val="es-CO"/>
        </w:rPr>
        <w:t>Carlos Antonio Arias Tovar</w:t>
      </w:r>
      <w:r w:rsidRPr="00354EE0">
        <w:rPr>
          <w:rFonts w:ascii="Arial" w:hAnsi="Arial" w:cs="Arial"/>
          <w:lang w:val="es-CO"/>
        </w:rPr>
        <w:t xml:space="preserve"> interpuso la demanda de controversias contractuales el </w:t>
      </w:r>
      <w:r w:rsidR="00E472E0" w:rsidRPr="00354EE0">
        <w:rPr>
          <w:rFonts w:ascii="Arial" w:hAnsi="Arial" w:cs="Arial"/>
          <w:lang w:val="es-CO"/>
        </w:rPr>
        <w:t>1</w:t>
      </w:r>
      <w:r w:rsidRPr="00354EE0">
        <w:rPr>
          <w:rFonts w:ascii="Arial" w:hAnsi="Arial" w:cs="Arial"/>
          <w:lang w:val="es-CO"/>
        </w:rPr>
        <w:t xml:space="preserve"> de abril de 2011. Ver </w:t>
      </w:r>
      <w:r w:rsidR="00E472E0" w:rsidRPr="00354EE0">
        <w:rPr>
          <w:rFonts w:ascii="Arial" w:hAnsi="Arial" w:cs="Arial"/>
          <w:lang w:val="es-CO"/>
        </w:rPr>
        <w:t>págin</w:t>
      </w:r>
      <w:r w:rsidRPr="00354EE0">
        <w:rPr>
          <w:rFonts w:ascii="Arial" w:hAnsi="Arial" w:cs="Arial"/>
          <w:lang w:val="es-CO"/>
        </w:rPr>
        <w:t>a, cuaderno No. 1</w:t>
      </w:r>
      <w:r w:rsidR="00E472E0" w:rsidRPr="00354EE0">
        <w:rPr>
          <w:rFonts w:ascii="Arial" w:hAnsi="Arial" w:cs="Arial"/>
          <w:lang w:val="es-CO"/>
        </w:rPr>
        <w:t>01</w:t>
      </w:r>
      <w:r w:rsidRPr="00354EE0">
        <w:rPr>
          <w:rFonts w:ascii="Arial" w:hAnsi="Arial" w:cs="Arial"/>
          <w:lang w:val="es-CO"/>
        </w:rPr>
        <w:t xml:space="preserve">, del expediente ordinario.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55918" w14:textId="77777777" w:rsidR="009B6EBE" w:rsidRDefault="009B6EBE" w:rsidP="009B6EBE">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BB7ABD5" w14:textId="77777777" w:rsidR="009B6EBE" w:rsidRDefault="009B6EBE" w:rsidP="009B6EBE">
    <w:pPr>
      <w:pStyle w:val="Encabezado"/>
      <w:ind w:right="360"/>
    </w:pPr>
  </w:p>
  <w:p w14:paraId="3047FA79" w14:textId="77777777" w:rsidR="009B6EBE" w:rsidRDefault="009B6EB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C02E43"/>
    <w:multiLevelType w:val="hybridMultilevel"/>
    <w:tmpl w:val="FBFEDCAE"/>
    <w:lvl w:ilvl="0" w:tplc="F4840DF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B15377C"/>
    <w:multiLevelType w:val="multilevel"/>
    <w:tmpl w:val="F7284696"/>
    <w:lvl w:ilvl="0">
      <w:start w:val="1"/>
      <w:numFmt w:val="decimal"/>
      <w:lvlText w:val="%1."/>
      <w:lvlJc w:val="left"/>
      <w:pPr>
        <w:tabs>
          <w:tab w:val="num" w:pos="927"/>
        </w:tabs>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 w15:restartNumberingAfterBreak="0">
    <w:nsid w:val="1CE356F8"/>
    <w:multiLevelType w:val="hybridMultilevel"/>
    <w:tmpl w:val="0100D3D8"/>
    <w:lvl w:ilvl="0" w:tplc="A2169468">
      <w:start w:val="1"/>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389B4B69"/>
    <w:multiLevelType w:val="hybridMultilevel"/>
    <w:tmpl w:val="5C0A7E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19B1172"/>
    <w:multiLevelType w:val="multilevel"/>
    <w:tmpl w:val="86EA360C"/>
    <w:lvl w:ilvl="0">
      <w:start w:val="1"/>
      <w:numFmt w:val="decimal"/>
      <w:lvlText w:val="%1."/>
      <w:lvlJc w:val="left"/>
      <w:pPr>
        <w:tabs>
          <w:tab w:val="num" w:pos="1068"/>
        </w:tabs>
        <w:ind w:left="1068" w:hanging="360"/>
      </w:pPr>
      <w:rPr>
        <w:rFonts w:hint="default"/>
        <w:b/>
      </w:rPr>
    </w:lvl>
    <w:lvl w:ilvl="1">
      <w:start w:val="2"/>
      <w:numFmt w:val="decimal"/>
      <w:isLgl/>
      <w:lvlText w:val="%1.%2"/>
      <w:lvlJc w:val="left"/>
      <w:pPr>
        <w:tabs>
          <w:tab w:val="num" w:pos="1158"/>
        </w:tabs>
        <w:ind w:left="1158" w:hanging="450"/>
      </w:pPr>
      <w:rPr>
        <w:rFonts w:hint="default"/>
      </w:rPr>
    </w:lvl>
    <w:lvl w:ilvl="2">
      <w:start w:val="1"/>
      <w:numFmt w:val="decimal"/>
      <w:isLgl/>
      <w:lvlText w:val="%1.%2.%3"/>
      <w:lvlJc w:val="left"/>
      <w:pPr>
        <w:tabs>
          <w:tab w:val="num" w:pos="1428"/>
        </w:tabs>
        <w:ind w:left="1428" w:hanging="720"/>
      </w:pPr>
      <w:rPr>
        <w:rFonts w:hint="default"/>
      </w:rPr>
    </w:lvl>
    <w:lvl w:ilvl="3">
      <w:start w:val="1"/>
      <w:numFmt w:val="decimal"/>
      <w:isLgl/>
      <w:lvlText w:val="%1.%2.%3.%4"/>
      <w:lvlJc w:val="left"/>
      <w:pPr>
        <w:tabs>
          <w:tab w:val="num" w:pos="1788"/>
        </w:tabs>
        <w:ind w:left="1788" w:hanging="1080"/>
      </w:pPr>
      <w:rPr>
        <w:rFonts w:hint="default"/>
      </w:rPr>
    </w:lvl>
    <w:lvl w:ilvl="4">
      <w:start w:val="1"/>
      <w:numFmt w:val="decimal"/>
      <w:isLgl/>
      <w:lvlText w:val="%1.%2.%3.%4.%5"/>
      <w:lvlJc w:val="left"/>
      <w:pPr>
        <w:tabs>
          <w:tab w:val="num" w:pos="1788"/>
        </w:tabs>
        <w:ind w:left="1788" w:hanging="1080"/>
      </w:pPr>
      <w:rPr>
        <w:rFonts w:hint="default"/>
      </w:rPr>
    </w:lvl>
    <w:lvl w:ilvl="5">
      <w:start w:val="1"/>
      <w:numFmt w:val="decimal"/>
      <w:isLgl/>
      <w:lvlText w:val="%1.%2.%3.%4.%5.%6"/>
      <w:lvlJc w:val="left"/>
      <w:pPr>
        <w:tabs>
          <w:tab w:val="num" w:pos="2148"/>
        </w:tabs>
        <w:ind w:left="2148" w:hanging="1440"/>
      </w:pPr>
      <w:rPr>
        <w:rFonts w:hint="default"/>
      </w:rPr>
    </w:lvl>
    <w:lvl w:ilvl="6">
      <w:start w:val="1"/>
      <w:numFmt w:val="decimal"/>
      <w:isLgl/>
      <w:lvlText w:val="%1.%2.%3.%4.%5.%6.%7"/>
      <w:lvlJc w:val="left"/>
      <w:pPr>
        <w:tabs>
          <w:tab w:val="num" w:pos="2148"/>
        </w:tabs>
        <w:ind w:left="2148" w:hanging="1440"/>
      </w:pPr>
      <w:rPr>
        <w:rFonts w:hint="default"/>
      </w:rPr>
    </w:lvl>
    <w:lvl w:ilvl="7">
      <w:start w:val="1"/>
      <w:numFmt w:val="decimal"/>
      <w:isLgl/>
      <w:lvlText w:val="%1.%2.%3.%4.%5.%6.%7.%8"/>
      <w:lvlJc w:val="left"/>
      <w:pPr>
        <w:tabs>
          <w:tab w:val="num" w:pos="2508"/>
        </w:tabs>
        <w:ind w:left="2508" w:hanging="1800"/>
      </w:pPr>
      <w:rPr>
        <w:rFonts w:hint="default"/>
      </w:rPr>
    </w:lvl>
    <w:lvl w:ilvl="8">
      <w:start w:val="1"/>
      <w:numFmt w:val="decimal"/>
      <w:isLgl/>
      <w:lvlText w:val="%1.%2.%3.%4.%5.%6.%7.%8.%9"/>
      <w:lvlJc w:val="left"/>
      <w:pPr>
        <w:tabs>
          <w:tab w:val="num" w:pos="2508"/>
        </w:tabs>
        <w:ind w:left="2508" w:hanging="1800"/>
      </w:pPr>
      <w:rPr>
        <w:rFonts w:hint="default"/>
      </w:rPr>
    </w:lvl>
  </w:abstractNum>
  <w:abstractNum w:abstractNumId="5" w15:restartNumberingAfterBreak="0">
    <w:nsid w:val="4D894C2F"/>
    <w:multiLevelType w:val="hybridMultilevel"/>
    <w:tmpl w:val="FBFEDCAE"/>
    <w:lvl w:ilvl="0" w:tplc="F4840DF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5E09567C"/>
    <w:multiLevelType w:val="hybridMultilevel"/>
    <w:tmpl w:val="833AD9A8"/>
    <w:lvl w:ilvl="0" w:tplc="C10EEEF2">
      <w:start w:val="1"/>
      <w:numFmt w:val="lowerRoman"/>
      <w:lvlText w:val="%1)"/>
      <w:lvlJc w:val="left"/>
      <w:pPr>
        <w:ind w:left="1080" w:hanging="72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6AFC02CF"/>
    <w:multiLevelType w:val="multilevel"/>
    <w:tmpl w:val="3030251A"/>
    <w:lvl w:ilvl="0">
      <w:start w:val="1"/>
      <w:numFmt w:val="decimal"/>
      <w:lvlText w:val="%1."/>
      <w:lvlJc w:val="left"/>
      <w:pPr>
        <w:ind w:left="390" w:hanging="390"/>
      </w:pPr>
      <w:rPr>
        <w:rFonts w:hint="default"/>
        <w:b/>
      </w:rPr>
    </w:lvl>
    <w:lvl w:ilvl="1">
      <w:start w:val="2"/>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num w:numId="1">
    <w:abstractNumId w:val="4"/>
  </w:num>
  <w:num w:numId="2">
    <w:abstractNumId w:val="2"/>
  </w:num>
  <w:num w:numId="3">
    <w:abstractNumId w:val="3"/>
  </w:num>
  <w:num w:numId="4">
    <w:abstractNumId w:val="1"/>
  </w:num>
  <w:num w:numId="5">
    <w:abstractNumId w:val="6"/>
  </w:num>
  <w:num w:numId="6">
    <w:abstractNumId w:val="5"/>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3927"/>
    <w:rsid w:val="00002970"/>
    <w:rsid w:val="00004633"/>
    <w:rsid w:val="00005EBC"/>
    <w:rsid w:val="00012B3A"/>
    <w:rsid w:val="0001670C"/>
    <w:rsid w:val="00020E8C"/>
    <w:rsid w:val="00021087"/>
    <w:rsid w:val="000219AC"/>
    <w:rsid w:val="000224B9"/>
    <w:rsid w:val="00022635"/>
    <w:rsid w:val="00023BB5"/>
    <w:rsid w:val="00023C4B"/>
    <w:rsid w:val="00031322"/>
    <w:rsid w:val="000407DC"/>
    <w:rsid w:val="00040EC8"/>
    <w:rsid w:val="00041ED8"/>
    <w:rsid w:val="000475F5"/>
    <w:rsid w:val="00051F5A"/>
    <w:rsid w:val="0005249A"/>
    <w:rsid w:val="0005379C"/>
    <w:rsid w:val="000552D5"/>
    <w:rsid w:val="00055A67"/>
    <w:rsid w:val="00056277"/>
    <w:rsid w:val="000615F8"/>
    <w:rsid w:val="00062DAC"/>
    <w:rsid w:val="00063DD3"/>
    <w:rsid w:val="0006411B"/>
    <w:rsid w:val="00067BDE"/>
    <w:rsid w:val="00070696"/>
    <w:rsid w:val="000752E9"/>
    <w:rsid w:val="00075361"/>
    <w:rsid w:val="00077B36"/>
    <w:rsid w:val="0008489B"/>
    <w:rsid w:val="00090610"/>
    <w:rsid w:val="000910CC"/>
    <w:rsid w:val="000A0191"/>
    <w:rsid w:val="000A2AB6"/>
    <w:rsid w:val="000A336C"/>
    <w:rsid w:val="000A6C6F"/>
    <w:rsid w:val="000A711F"/>
    <w:rsid w:val="000A7D61"/>
    <w:rsid w:val="000B09CD"/>
    <w:rsid w:val="000B1678"/>
    <w:rsid w:val="000B3535"/>
    <w:rsid w:val="000B5E85"/>
    <w:rsid w:val="000B6FB2"/>
    <w:rsid w:val="000C1DB7"/>
    <w:rsid w:val="000C3308"/>
    <w:rsid w:val="000C3935"/>
    <w:rsid w:val="000C4955"/>
    <w:rsid w:val="000C4E66"/>
    <w:rsid w:val="000C57A2"/>
    <w:rsid w:val="000C605E"/>
    <w:rsid w:val="000C7073"/>
    <w:rsid w:val="000D23DF"/>
    <w:rsid w:val="000D4411"/>
    <w:rsid w:val="000D4484"/>
    <w:rsid w:val="000D4590"/>
    <w:rsid w:val="000D4AF5"/>
    <w:rsid w:val="000D51DA"/>
    <w:rsid w:val="000E43BC"/>
    <w:rsid w:val="000F0277"/>
    <w:rsid w:val="000F1BC3"/>
    <w:rsid w:val="000F1F54"/>
    <w:rsid w:val="000F2813"/>
    <w:rsid w:val="000F3719"/>
    <w:rsid w:val="000F5F9C"/>
    <w:rsid w:val="000F6223"/>
    <w:rsid w:val="00100621"/>
    <w:rsid w:val="00105A65"/>
    <w:rsid w:val="00113AD9"/>
    <w:rsid w:val="001161F6"/>
    <w:rsid w:val="00117670"/>
    <w:rsid w:val="0011786B"/>
    <w:rsid w:val="00125008"/>
    <w:rsid w:val="00125D8F"/>
    <w:rsid w:val="0012719D"/>
    <w:rsid w:val="00132F16"/>
    <w:rsid w:val="001373F7"/>
    <w:rsid w:val="001405A0"/>
    <w:rsid w:val="001442E9"/>
    <w:rsid w:val="00151A74"/>
    <w:rsid w:val="00153871"/>
    <w:rsid w:val="00153EDA"/>
    <w:rsid w:val="00155FCE"/>
    <w:rsid w:val="001562BE"/>
    <w:rsid w:val="00164415"/>
    <w:rsid w:val="00165F29"/>
    <w:rsid w:val="00166799"/>
    <w:rsid w:val="001703ED"/>
    <w:rsid w:val="001703FA"/>
    <w:rsid w:val="00170C30"/>
    <w:rsid w:val="00171C0C"/>
    <w:rsid w:val="001726DD"/>
    <w:rsid w:val="00172CBD"/>
    <w:rsid w:val="0017520C"/>
    <w:rsid w:val="00175567"/>
    <w:rsid w:val="0017602E"/>
    <w:rsid w:val="0017717E"/>
    <w:rsid w:val="00177D47"/>
    <w:rsid w:val="001821C9"/>
    <w:rsid w:val="001843C8"/>
    <w:rsid w:val="0018728D"/>
    <w:rsid w:val="001909D8"/>
    <w:rsid w:val="00194548"/>
    <w:rsid w:val="001957EE"/>
    <w:rsid w:val="00195B5A"/>
    <w:rsid w:val="001966FE"/>
    <w:rsid w:val="001A1628"/>
    <w:rsid w:val="001A1642"/>
    <w:rsid w:val="001A2722"/>
    <w:rsid w:val="001A4AFA"/>
    <w:rsid w:val="001B0FA1"/>
    <w:rsid w:val="001B6C48"/>
    <w:rsid w:val="001B75D3"/>
    <w:rsid w:val="001C2C5F"/>
    <w:rsid w:val="001C3CB1"/>
    <w:rsid w:val="001C52BB"/>
    <w:rsid w:val="001D10D4"/>
    <w:rsid w:val="001D1F6E"/>
    <w:rsid w:val="001D3716"/>
    <w:rsid w:val="001D63E2"/>
    <w:rsid w:val="001D7337"/>
    <w:rsid w:val="001D7CCC"/>
    <w:rsid w:val="001E0F01"/>
    <w:rsid w:val="001E397F"/>
    <w:rsid w:val="001E403E"/>
    <w:rsid w:val="001E7A84"/>
    <w:rsid w:val="001F0415"/>
    <w:rsid w:val="001F2B26"/>
    <w:rsid w:val="001F416A"/>
    <w:rsid w:val="001F47A9"/>
    <w:rsid w:val="001F65FB"/>
    <w:rsid w:val="00202AF7"/>
    <w:rsid w:val="00203CCF"/>
    <w:rsid w:val="00204B84"/>
    <w:rsid w:val="002062D2"/>
    <w:rsid w:val="00207B43"/>
    <w:rsid w:val="00216788"/>
    <w:rsid w:val="00217979"/>
    <w:rsid w:val="00217CB0"/>
    <w:rsid w:val="00231977"/>
    <w:rsid w:val="00231EAC"/>
    <w:rsid w:val="002347DB"/>
    <w:rsid w:val="00234A37"/>
    <w:rsid w:val="00234B9C"/>
    <w:rsid w:val="00240AD5"/>
    <w:rsid w:val="00241AFB"/>
    <w:rsid w:val="002447D4"/>
    <w:rsid w:val="00245A06"/>
    <w:rsid w:val="00246D57"/>
    <w:rsid w:val="00255148"/>
    <w:rsid w:val="00262B4F"/>
    <w:rsid w:val="00270783"/>
    <w:rsid w:val="00272754"/>
    <w:rsid w:val="00273142"/>
    <w:rsid w:val="00274624"/>
    <w:rsid w:val="00276E20"/>
    <w:rsid w:val="0027735E"/>
    <w:rsid w:val="002814B8"/>
    <w:rsid w:val="00283127"/>
    <w:rsid w:val="002839D2"/>
    <w:rsid w:val="00286E34"/>
    <w:rsid w:val="002909CC"/>
    <w:rsid w:val="00293971"/>
    <w:rsid w:val="002939A8"/>
    <w:rsid w:val="00296FCD"/>
    <w:rsid w:val="00297623"/>
    <w:rsid w:val="002A0E8D"/>
    <w:rsid w:val="002A21B9"/>
    <w:rsid w:val="002A37A7"/>
    <w:rsid w:val="002A3B01"/>
    <w:rsid w:val="002A40BA"/>
    <w:rsid w:val="002A4CEE"/>
    <w:rsid w:val="002A67A0"/>
    <w:rsid w:val="002A6D9A"/>
    <w:rsid w:val="002B19F4"/>
    <w:rsid w:val="002B203F"/>
    <w:rsid w:val="002B213D"/>
    <w:rsid w:val="002B2B36"/>
    <w:rsid w:val="002B7AB9"/>
    <w:rsid w:val="002C1F8B"/>
    <w:rsid w:val="002C435E"/>
    <w:rsid w:val="002C52A6"/>
    <w:rsid w:val="002C674D"/>
    <w:rsid w:val="002D0210"/>
    <w:rsid w:val="002D4085"/>
    <w:rsid w:val="002D6A22"/>
    <w:rsid w:val="002D7414"/>
    <w:rsid w:val="002E1013"/>
    <w:rsid w:val="002E436B"/>
    <w:rsid w:val="002E6931"/>
    <w:rsid w:val="002E7A20"/>
    <w:rsid w:val="002E7EA6"/>
    <w:rsid w:val="002F2314"/>
    <w:rsid w:val="002F4780"/>
    <w:rsid w:val="002F793B"/>
    <w:rsid w:val="0030135A"/>
    <w:rsid w:val="0030186F"/>
    <w:rsid w:val="00310831"/>
    <w:rsid w:val="003131DB"/>
    <w:rsid w:val="0031602E"/>
    <w:rsid w:val="00321C7C"/>
    <w:rsid w:val="00322952"/>
    <w:rsid w:val="0032369C"/>
    <w:rsid w:val="0032741C"/>
    <w:rsid w:val="003304DE"/>
    <w:rsid w:val="00331BC5"/>
    <w:rsid w:val="00336DFD"/>
    <w:rsid w:val="00337292"/>
    <w:rsid w:val="00342C84"/>
    <w:rsid w:val="00346D3A"/>
    <w:rsid w:val="00346FDA"/>
    <w:rsid w:val="00351863"/>
    <w:rsid w:val="00353A56"/>
    <w:rsid w:val="003546B8"/>
    <w:rsid w:val="00354EE0"/>
    <w:rsid w:val="0035550A"/>
    <w:rsid w:val="00356758"/>
    <w:rsid w:val="003608A9"/>
    <w:rsid w:val="00360F33"/>
    <w:rsid w:val="0036170A"/>
    <w:rsid w:val="00361F4D"/>
    <w:rsid w:val="00363934"/>
    <w:rsid w:val="003658EA"/>
    <w:rsid w:val="00366C96"/>
    <w:rsid w:val="00374FDC"/>
    <w:rsid w:val="00375957"/>
    <w:rsid w:val="00377A53"/>
    <w:rsid w:val="0038321D"/>
    <w:rsid w:val="00383C77"/>
    <w:rsid w:val="003860E7"/>
    <w:rsid w:val="0038796C"/>
    <w:rsid w:val="00390667"/>
    <w:rsid w:val="00394CDF"/>
    <w:rsid w:val="00394FE0"/>
    <w:rsid w:val="00397782"/>
    <w:rsid w:val="003A1919"/>
    <w:rsid w:val="003A3078"/>
    <w:rsid w:val="003B5658"/>
    <w:rsid w:val="003B573A"/>
    <w:rsid w:val="003C0E79"/>
    <w:rsid w:val="003C2525"/>
    <w:rsid w:val="003C2E49"/>
    <w:rsid w:val="003C73F5"/>
    <w:rsid w:val="003D0847"/>
    <w:rsid w:val="003D4444"/>
    <w:rsid w:val="003E3C7D"/>
    <w:rsid w:val="003F1344"/>
    <w:rsid w:val="003F1851"/>
    <w:rsid w:val="003F313B"/>
    <w:rsid w:val="003F6129"/>
    <w:rsid w:val="00400CBF"/>
    <w:rsid w:val="00403FF7"/>
    <w:rsid w:val="00404C15"/>
    <w:rsid w:val="00404CBE"/>
    <w:rsid w:val="0040775C"/>
    <w:rsid w:val="00411607"/>
    <w:rsid w:val="00412948"/>
    <w:rsid w:val="00412A2C"/>
    <w:rsid w:val="00412D4C"/>
    <w:rsid w:val="0041363C"/>
    <w:rsid w:val="00415D17"/>
    <w:rsid w:val="004162BD"/>
    <w:rsid w:val="00416F81"/>
    <w:rsid w:val="004200B2"/>
    <w:rsid w:val="004200E4"/>
    <w:rsid w:val="004208ED"/>
    <w:rsid w:val="00423830"/>
    <w:rsid w:val="00424EF2"/>
    <w:rsid w:val="0042591D"/>
    <w:rsid w:val="00425E62"/>
    <w:rsid w:val="00426B4F"/>
    <w:rsid w:val="004304FB"/>
    <w:rsid w:val="00430563"/>
    <w:rsid w:val="00433E01"/>
    <w:rsid w:val="0043539E"/>
    <w:rsid w:val="00440A4C"/>
    <w:rsid w:val="00442A51"/>
    <w:rsid w:val="00444E2E"/>
    <w:rsid w:val="00447DE4"/>
    <w:rsid w:val="004528FE"/>
    <w:rsid w:val="00456C56"/>
    <w:rsid w:val="00457444"/>
    <w:rsid w:val="00457FDD"/>
    <w:rsid w:val="00462A24"/>
    <w:rsid w:val="00464A7A"/>
    <w:rsid w:val="00465282"/>
    <w:rsid w:val="0047068C"/>
    <w:rsid w:val="00473DD6"/>
    <w:rsid w:val="0047518E"/>
    <w:rsid w:val="004766A2"/>
    <w:rsid w:val="00480116"/>
    <w:rsid w:val="00480E6C"/>
    <w:rsid w:val="004921BD"/>
    <w:rsid w:val="004929CC"/>
    <w:rsid w:val="00492AB3"/>
    <w:rsid w:val="004973E7"/>
    <w:rsid w:val="004A1699"/>
    <w:rsid w:val="004A4099"/>
    <w:rsid w:val="004B1D43"/>
    <w:rsid w:val="004B39AA"/>
    <w:rsid w:val="004B5B88"/>
    <w:rsid w:val="004B78F0"/>
    <w:rsid w:val="004C193B"/>
    <w:rsid w:val="004C2416"/>
    <w:rsid w:val="004C3AB3"/>
    <w:rsid w:val="004C5A26"/>
    <w:rsid w:val="004C69FA"/>
    <w:rsid w:val="004C72C8"/>
    <w:rsid w:val="004D13D3"/>
    <w:rsid w:val="004D1ADD"/>
    <w:rsid w:val="004D48BE"/>
    <w:rsid w:val="004D6907"/>
    <w:rsid w:val="004D71EA"/>
    <w:rsid w:val="004E5625"/>
    <w:rsid w:val="004F2890"/>
    <w:rsid w:val="004F2BB4"/>
    <w:rsid w:val="004F2CB5"/>
    <w:rsid w:val="004F3915"/>
    <w:rsid w:val="004F7E99"/>
    <w:rsid w:val="00504A8E"/>
    <w:rsid w:val="00506D74"/>
    <w:rsid w:val="00510E3D"/>
    <w:rsid w:val="00511323"/>
    <w:rsid w:val="00511688"/>
    <w:rsid w:val="00512042"/>
    <w:rsid w:val="0051750C"/>
    <w:rsid w:val="00517C00"/>
    <w:rsid w:val="00517CB5"/>
    <w:rsid w:val="00520C4B"/>
    <w:rsid w:val="005264C2"/>
    <w:rsid w:val="005278F1"/>
    <w:rsid w:val="00532057"/>
    <w:rsid w:val="00532FE3"/>
    <w:rsid w:val="00533BF7"/>
    <w:rsid w:val="00533F57"/>
    <w:rsid w:val="00536FEB"/>
    <w:rsid w:val="00540D62"/>
    <w:rsid w:val="005425CA"/>
    <w:rsid w:val="00543923"/>
    <w:rsid w:val="00546D88"/>
    <w:rsid w:val="00547617"/>
    <w:rsid w:val="005516A9"/>
    <w:rsid w:val="00554B55"/>
    <w:rsid w:val="005571E9"/>
    <w:rsid w:val="00563D78"/>
    <w:rsid w:val="00570A4B"/>
    <w:rsid w:val="00571256"/>
    <w:rsid w:val="00572712"/>
    <w:rsid w:val="005727E7"/>
    <w:rsid w:val="00575135"/>
    <w:rsid w:val="00580E63"/>
    <w:rsid w:val="0058220F"/>
    <w:rsid w:val="00585E2F"/>
    <w:rsid w:val="005873D3"/>
    <w:rsid w:val="00590213"/>
    <w:rsid w:val="005919B2"/>
    <w:rsid w:val="00597F95"/>
    <w:rsid w:val="005A0375"/>
    <w:rsid w:val="005A0E90"/>
    <w:rsid w:val="005A1752"/>
    <w:rsid w:val="005A1BA2"/>
    <w:rsid w:val="005A456C"/>
    <w:rsid w:val="005A4B48"/>
    <w:rsid w:val="005A5B6E"/>
    <w:rsid w:val="005A75A6"/>
    <w:rsid w:val="005B182F"/>
    <w:rsid w:val="005B2C71"/>
    <w:rsid w:val="005B3D68"/>
    <w:rsid w:val="005B4D9D"/>
    <w:rsid w:val="005B5692"/>
    <w:rsid w:val="005B5C95"/>
    <w:rsid w:val="005B6556"/>
    <w:rsid w:val="005B7C46"/>
    <w:rsid w:val="005C06A9"/>
    <w:rsid w:val="005C1D6D"/>
    <w:rsid w:val="005C1E93"/>
    <w:rsid w:val="005C3463"/>
    <w:rsid w:val="005C3D27"/>
    <w:rsid w:val="005D0634"/>
    <w:rsid w:val="005D25D4"/>
    <w:rsid w:val="005D3D73"/>
    <w:rsid w:val="005D3FB4"/>
    <w:rsid w:val="005D63F8"/>
    <w:rsid w:val="005D7A33"/>
    <w:rsid w:val="005E11FF"/>
    <w:rsid w:val="005E4CFD"/>
    <w:rsid w:val="005E6781"/>
    <w:rsid w:val="005E77DB"/>
    <w:rsid w:val="005F00B3"/>
    <w:rsid w:val="005F1ADD"/>
    <w:rsid w:val="005F261E"/>
    <w:rsid w:val="005F3411"/>
    <w:rsid w:val="005F4968"/>
    <w:rsid w:val="005F7773"/>
    <w:rsid w:val="005F7E52"/>
    <w:rsid w:val="00602AEA"/>
    <w:rsid w:val="00604776"/>
    <w:rsid w:val="0060575F"/>
    <w:rsid w:val="006075D3"/>
    <w:rsid w:val="006107E6"/>
    <w:rsid w:val="00610B47"/>
    <w:rsid w:val="00612C12"/>
    <w:rsid w:val="006135FA"/>
    <w:rsid w:val="00621C11"/>
    <w:rsid w:val="00621FE2"/>
    <w:rsid w:val="00627893"/>
    <w:rsid w:val="00632F0B"/>
    <w:rsid w:val="006355D6"/>
    <w:rsid w:val="006358BD"/>
    <w:rsid w:val="00640FAA"/>
    <w:rsid w:val="00641BC4"/>
    <w:rsid w:val="0064205B"/>
    <w:rsid w:val="00646EAF"/>
    <w:rsid w:val="0065138D"/>
    <w:rsid w:val="006520A3"/>
    <w:rsid w:val="00653F4D"/>
    <w:rsid w:val="00654319"/>
    <w:rsid w:val="00655A90"/>
    <w:rsid w:val="00655F9E"/>
    <w:rsid w:val="006568D8"/>
    <w:rsid w:val="006612FE"/>
    <w:rsid w:val="0066311F"/>
    <w:rsid w:val="00663915"/>
    <w:rsid w:val="00663A78"/>
    <w:rsid w:val="00664457"/>
    <w:rsid w:val="006647B2"/>
    <w:rsid w:val="006648C7"/>
    <w:rsid w:val="0066517E"/>
    <w:rsid w:val="00666B67"/>
    <w:rsid w:val="00667FB8"/>
    <w:rsid w:val="00670446"/>
    <w:rsid w:val="00673EFB"/>
    <w:rsid w:val="006745B2"/>
    <w:rsid w:val="00674B9B"/>
    <w:rsid w:val="00677CF9"/>
    <w:rsid w:val="0068116A"/>
    <w:rsid w:val="00685206"/>
    <w:rsid w:val="00685572"/>
    <w:rsid w:val="00690F3D"/>
    <w:rsid w:val="00693570"/>
    <w:rsid w:val="006945AD"/>
    <w:rsid w:val="00694999"/>
    <w:rsid w:val="00697020"/>
    <w:rsid w:val="006A1BFE"/>
    <w:rsid w:val="006A324E"/>
    <w:rsid w:val="006A3A8A"/>
    <w:rsid w:val="006A47CB"/>
    <w:rsid w:val="006A5D63"/>
    <w:rsid w:val="006A6187"/>
    <w:rsid w:val="006A6292"/>
    <w:rsid w:val="006B4DD2"/>
    <w:rsid w:val="006B6AE8"/>
    <w:rsid w:val="006C2588"/>
    <w:rsid w:val="006C2E14"/>
    <w:rsid w:val="006C2F55"/>
    <w:rsid w:val="006D1764"/>
    <w:rsid w:val="006D27AF"/>
    <w:rsid w:val="006D4AD0"/>
    <w:rsid w:val="006D75D9"/>
    <w:rsid w:val="006E0920"/>
    <w:rsid w:val="006E0E5A"/>
    <w:rsid w:val="006E1B57"/>
    <w:rsid w:val="006E20CE"/>
    <w:rsid w:val="006E4E56"/>
    <w:rsid w:val="006F0FF0"/>
    <w:rsid w:val="006F1113"/>
    <w:rsid w:val="007037C6"/>
    <w:rsid w:val="00703B1C"/>
    <w:rsid w:val="007042AD"/>
    <w:rsid w:val="0070445E"/>
    <w:rsid w:val="007045E5"/>
    <w:rsid w:val="00704DE0"/>
    <w:rsid w:val="007058A8"/>
    <w:rsid w:val="007064F5"/>
    <w:rsid w:val="007069D8"/>
    <w:rsid w:val="00707E57"/>
    <w:rsid w:val="00710103"/>
    <w:rsid w:val="00711067"/>
    <w:rsid w:val="007124B7"/>
    <w:rsid w:val="00713013"/>
    <w:rsid w:val="00713A48"/>
    <w:rsid w:val="0071576F"/>
    <w:rsid w:val="00717968"/>
    <w:rsid w:val="00717F92"/>
    <w:rsid w:val="00723416"/>
    <w:rsid w:val="007242DD"/>
    <w:rsid w:val="00724894"/>
    <w:rsid w:val="00724E32"/>
    <w:rsid w:val="00730132"/>
    <w:rsid w:val="007316C5"/>
    <w:rsid w:val="0073170F"/>
    <w:rsid w:val="0073339D"/>
    <w:rsid w:val="007366B9"/>
    <w:rsid w:val="00743ADC"/>
    <w:rsid w:val="00743C98"/>
    <w:rsid w:val="0074527F"/>
    <w:rsid w:val="00747C75"/>
    <w:rsid w:val="00751342"/>
    <w:rsid w:val="00751571"/>
    <w:rsid w:val="007535D8"/>
    <w:rsid w:val="0076320F"/>
    <w:rsid w:val="007632E0"/>
    <w:rsid w:val="007652FF"/>
    <w:rsid w:val="00766A0C"/>
    <w:rsid w:val="00766BD4"/>
    <w:rsid w:val="007673FE"/>
    <w:rsid w:val="00770023"/>
    <w:rsid w:val="007708F7"/>
    <w:rsid w:val="00770CB7"/>
    <w:rsid w:val="00771291"/>
    <w:rsid w:val="0077133A"/>
    <w:rsid w:val="007747CD"/>
    <w:rsid w:val="007762D0"/>
    <w:rsid w:val="007778F1"/>
    <w:rsid w:val="00777993"/>
    <w:rsid w:val="0078064D"/>
    <w:rsid w:val="007811E1"/>
    <w:rsid w:val="00781362"/>
    <w:rsid w:val="007835C1"/>
    <w:rsid w:val="007923E7"/>
    <w:rsid w:val="00792693"/>
    <w:rsid w:val="00796A65"/>
    <w:rsid w:val="00796DC9"/>
    <w:rsid w:val="007A0B5F"/>
    <w:rsid w:val="007A0F7F"/>
    <w:rsid w:val="007A13B6"/>
    <w:rsid w:val="007A21C2"/>
    <w:rsid w:val="007A23E5"/>
    <w:rsid w:val="007A6772"/>
    <w:rsid w:val="007A69A3"/>
    <w:rsid w:val="007B2CA0"/>
    <w:rsid w:val="007B3BC1"/>
    <w:rsid w:val="007B3D1E"/>
    <w:rsid w:val="007B4344"/>
    <w:rsid w:val="007B60F7"/>
    <w:rsid w:val="007B6249"/>
    <w:rsid w:val="007C6E3C"/>
    <w:rsid w:val="007D0E48"/>
    <w:rsid w:val="007D113F"/>
    <w:rsid w:val="007D2193"/>
    <w:rsid w:val="007D6DEA"/>
    <w:rsid w:val="007D799D"/>
    <w:rsid w:val="007D7C9F"/>
    <w:rsid w:val="007E01D5"/>
    <w:rsid w:val="007E199B"/>
    <w:rsid w:val="007E2BA5"/>
    <w:rsid w:val="007E4632"/>
    <w:rsid w:val="007E50FE"/>
    <w:rsid w:val="007F18F7"/>
    <w:rsid w:val="007F6FB9"/>
    <w:rsid w:val="0080015A"/>
    <w:rsid w:val="008013E1"/>
    <w:rsid w:val="008018E6"/>
    <w:rsid w:val="00802570"/>
    <w:rsid w:val="008025D1"/>
    <w:rsid w:val="00803D37"/>
    <w:rsid w:val="00806188"/>
    <w:rsid w:val="00812AE7"/>
    <w:rsid w:val="008152DF"/>
    <w:rsid w:val="0081624A"/>
    <w:rsid w:val="00821AE2"/>
    <w:rsid w:val="00827C01"/>
    <w:rsid w:val="00830649"/>
    <w:rsid w:val="008324E4"/>
    <w:rsid w:val="00835066"/>
    <w:rsid w:val="008423A2"/>
    <w:rsid w:val="00842B38"/>
    <w:rsid w:val="008432D8"/>
    <w:rsid w:val="00845871"/>
    <w:rsid w:val="0084588A"/>
    <w:rsid w:val="008462A2"/>
    <w:rsid w:val="0084689D"/>
    <w:rsid w:val="00846ABD"/>
    <w:rsid w:val="00846E2C"/>
    <w:rsid w:val="00850BDE"/>
    <w:rsid w:val="00850E60"/>
    <w:rsid w:val="00852779"/>
    <w:rsid w:val="00860084"/>
    <w:rsid w:val="008660D6"/>
    <w:rsid w:val="00866147"/>
    <w:rsid w:val="0086702A"/>
    <w:rsid w:val="00870C9B"/>
    <w:rsid w:val="00873978"/>
    <w:rsid w:val="00875227"/>
    <w:rsid w:val="00875755"/>
    <w:rsid w:val="00880571"/>
    <w:rsid w:val="00882E19"/>
    <w:rsid w:val="008836CA"/>
    <w:rsid w:val="00884BE4"/>
    <w:rsid w:val="00893C3E"/>
    <w:rsid w:val="008A4C2D"/>
    <w:rsid w:val="008A7977"/>
    <w:rsid w:val="008B12D5"/>
    <w:rsid w:val="008B39E9"/>
    <w:rsid w:val="008B4995"/>
    <w:rsid w:val="008B5F5C"/>
    <w:rsid w:val="008C30D5"/>
    <w:rsid w:val="008C3BB0"/>
    <w:rsid w:val="008C68C4"/>
    <w:rsid w:val="008C6E6D"/>
    <w:rsid w:val="008D03E9"/>
    <w:rsid w:val="008D0CA8"/>
    <w:rsid w:val="008D2EF9"/>
    <w:rsid w:val="008D3F9D"/>
    <w:rsid w:val="008D48FA"/>
    <w:rsid w:val="008D5E83"/>
    <w:rsid w:val="008E1652"/>
    <w:rsid w:val="008E18A0"/>
    <w:rsid w:val="008E1A3F"/>
    <w:rsid w:val="008E1F90"/>
    <w:rsid w:val="008E2C87"/>
    <w:rsid w:val="008E4DCF"/>
    <w:rsid w:val="008E63BE"/>
    <w:rsid w:val="008E7FAF"/>
    <w:rsid w:val="008F0113"/>
    <w:rsid w:val="008F3BF2"/>
    <w:rsid w:val="008F766E"/>
    <w:rsid w:val="008F7C9A"/>
    <w:rsid w:val="00900C44"/>
    <w:rsid w:val="00901DA7"/>
    <w:rsid w:val="00902466"/>
    <w:rsid w:val="00902ED4"/>
    <w:rsid w:val="00904B1D"/>
    <w:rsid w:val="00905512"/>
    <w:rsid w:val="00905F27"/>
    <w:rsid w:val="00907A20"/>
    <w:rsid w:val="009122E4"/>
    <w:rsid w:val="009128CC"/>
    <w:rsid w:val="00915C90"/>
    <w:rsid w:val="009161CF"/>
    <w:rsid w:val="009169E7"/>
    <w:rsid w:val="00916DFE"/>
    <w:rsid w:val="00916EA4"/>
    <w:rsid w:val="00917D9F"/>
    <w:rsid w:val="00921013"/>
    <w:rsid w:val="00921401"/>
    <w:rsid w:val="00921EBB"/>
    <w:rsid w:val="00923155"/>
    <w:rsid w:val="009240CD"/>
    <w:rsid w:val="009268AA"/>
    <w:rsid w:val="00926B5B"/>
    <w:rsid w:val="00932560"/>
    <w:rsid w:val="009325D7"/>
    <w:rsid w:val="009337FC"/>
    <w:rsid w:val="00933C59"/>
    <w:rsid w:val="00936A4A"/>
    <w:rsid w:val="00940B47"/>
    <w:rsid w:val="009411A0"/>
    <w:rsid w:val="009418B9"/>
    <w:rsid w:val="00942353"/>
    <w:rsid w:val="00942FB2"/>
    <w:rsid w:val="009557A3"/>
    <w:rsid w:val="00955C97"/>
    <w:rsid w:val="00955D01"/>
    <w:rsid w:val="0095671C"/>
    <w:rsid w:val="00956C3E"/>
    <w:rsid w:val="009625FD"/>
    <w:rsid w:val="0096317E"/>
    <w:rsid w:val="00963251"/>
    <w:rsid w:val="00965631"/>
    <w:rsid w:val="00966DD0"/>
    <w:rsid w:val="00966E3C"/>
    <w:rsid w:val="009702F1"/>
    <w:rsid w:val="0097466C"/>
    <w:rsid w:val="009755DB"/>
    <w:rsid w:val="009766A6"/>
    <w:rsid w:val="00976DB6"/>
    <w:rsid w:val="0098580C"/>
    <w:rsid w:val="00985D59"/>
    <w:rsid w:val="00992678"/>
    <w:rsid w:val="00992BB2"/>
    <w:rsid w:val="00993368"/>
    <w:rsid w:val="009954B1"/>
    <w:rsid w:val="00995898"/>
    <w:rsid w:val="00996883"/>
    <w:rsid w:val="009A18E0"/>
    <w:rsid w:val="009A1EA6"/>
    <w:rsid w:val="009A4DDE"/>
    <w:rsid w:val="009A5900"/>
    <w:rsid w:val="009A64FE"/>
    <w:rsid w:val="009B0D1F"/>
    <w:rsid w:val="009B1E22"/>
    <w:rsid w:val="009B365F"/>
    <w:rsid w:val="009B6D01"/>
    <w:rsid w:val="009B6D7A"/>
    <w:rsid w:val="009B6EBE"/>
    <w:rsid w:val="009B7BEF"/>
    <w:rsid w:val="009C071A"/>
    <w:rsid w:val="009C17DF"/>
    <w:rsid w:val="009C2567"/>
    <w:rsid w:val="009C42F2"/>
    <w:rsid w:val="009C7E8F"/>
    <w:rsid w:val="009D06AB"/>
    <w:rsid w:val="009D0D81"/>
    <w:rsid w:val="009D1D31"/>
    <w:rsid w:val="009D27D8"/>
    <w:rsid w:val="009D311D"/>
    <w:rsid w:val="009D41EB"/>
    <w:rsid w:val="009E1DBA"/>
    <w:rsid w:val="009E224D"/>
    <w:rsid w:val="009E2DD0"/>
    <w:rsid w:val="009F091C"/>
    <w:rsid w:val="009F24D5"/>
    <w:rsid w:val="009F4C83"/>
    <w:rsid w:val="00A00954"/>
    <w:rsid w:val="00A017F9"/>
    <w:rsid w:val="00A02005"/>
    <w:rsid w:val="00A02045"/>
    <w:rsid w:val="00A03FE0"/>
    <w:rsid w:val="00A0659A"/>
    <w:rsid w:val="00A06703"/>
    <w:rsid w:val="00A11D9A"/>
    <w:rsid w:val="00A13A08"/>
    <w:rsid w:val="00A17F44"/>
    <w:rsid w:val="00A20297"/>
    <w:rsid w:val="00A22B4A"/>
    <w:rsid w:val="00A26E6C"/>
    <w:rsid w:val="00A30190"/>
    <w:rsid w:val="00A32DF5"/>
    <w:rsid w:val="00A35225"/>
    <w:rsid w:val="00A42C16"/>
    <w:rsid w:val="00A443A3"/>
    <w:rsid w:val="00A4669D"/>
    <w:rsid w:val="00A47116"/>
    <w:rsid w:val="00A47FC6"/>
    <w:rsid w:val="00A51A53"/>
    <w:rsid w:val="00A51A59"/>
    <w:rsid w:val="00A53070"/>
    <w:rsid w:val="00A53520"/>
    <w:rsid w:val="00A57691"/>
    <w:rsid w:val="00A62254"/>
    <w:rsid w:val="00A66DE4"/>
    <w:rsid w:val="00A71859"/>
    <w:rsid w:val="00A7693A"/>
    <w:rsid w:val="00A80966"/>
    <w:rsid w:val="00A813CE"/>
    <w:rsid w:val="00A86799"/>
    <w:rsid w:val="00A903BD"/>
    <w:rsid w:val="00A9453D"/>
    <w:rsid w:val="00A9537C"/>
    <w:rsid w:val="00A97D43"/>
    <w:rsid w:val="00AA0244"/>
    <w:rsid w:val="00AA0D44"/>
    <w:rsid w:val="00AA1911"/>
    <w:rsid w:val="00AA22F1"/>
    <w:rsid w:val="00AA3435"/>
    <w:rsid w:val="00AA52AC"/>
    <w:rsid w:val="00AA68C3"/>
    <w:rsid w:val="00AA6D93"/>
    <w:rsid w:val="00AB0BE9"/>
    <w:rsid w:val="00AB1BF1"/>
    <w:rsid w:val="00AB2B48"/>
    <w:rsid w:val="00AB2D7B"/>
    <w:rsid w:val="00AB349F"/>
    <w:rsid w:val="00AB7835"/>
    <w:rsid w:val="00AC1447"/>
    <w:rsid w:val="00AC30A7"/>
    <w:rsid w:val="00AC6696"/>
    <w:rsid w:val="00AD2550"/>
    <w:rsid w:val="00AD2B3E"/>
    <w:rsid w:val="00AD3177"/>
    <w:rsid w:val="00AD4641"/>
    <w:rsid w:val="00AD5A0E"/>
    <w:rsid w:val="00AD6116"/>
    <w:rsid w:val="00AD6118"/>
    <w:rsid w:val="00AE3156"/>
    <w:rsid w:val="00AE48D8"/>
    <w:rsid w:val="00AE7D81"/>
    <w:rsid w:val="00AF027F"/>
    <w:rsid w:val="00AF7EA7"/>
    <w:rsid w:val="00B03751"/>
    <w:rsid w:val="00B03778"/>
    <w:rsid w:val="00B037D8"/>
    <w:rsid w:val="00B0460A"/>
    <w:rsid w:val="00B04D88"/>
    <w:rsid w:val="00B0508A"/>
    <w:rsid w:val="00B058A1"/>
    <w:rsid w:val="00B077A8"/>
    <w:rsid w:val="00B10D82"/>
    <w:rsid w:val="00B1260F"/>
    <w:rsid w:val="00B13351"/>
    <w:rsid w:val="00B1383F"/>
    <w:rsid w:val="00B141A2"/>
    <w:rsid w:val="00B14A30"/>
    <w:rsid w:val="00B15FE1"/>
    <w:rsid w:val="00B172BB"/>
    <w:rsid w:val="00B22003"/>
    <w:rsid w:val="00B247A4"/>
    <w:rsid w:val="00B33425"/>
    <w:rsid w:val="00B36061"/>
    <w:rsid w:val="00B37D27"/>
    <w:rsid w:val="00B408A5"/>
    <w:rsid w:val="00B40B1C"/>
    <w:rsid w:val="00B40DA8"/>
    <w:rsid w:val="00B43526"/>
    <w:rsid w:val="00B441CB"/>
    <w:rsid w:val="00B46D53"/>
    <w:rsid w:val="00B46DE3"/>
    <w:rsid w:val="00B4710C"/>
    <w:rsid w:val="00B500F1"/>
    <w:rsid w:val="00B5123D"/>
    <w:rsid w:val="00B5670D"/>
    <w:rsid w:val="00B56FF6"/>
    <w:rsid w:val="00B60C0D"/>
    <w:rsid w:val="00B6170F"/>
    <w:rsid w:val="00B6266C"/>
    <w:rsid w:val="00B7030C"/>
    <w:rsid w:val="00B74E47"/>
    <w:rsid w:val="00B80BA4"/>
    <w:rsid w:val="00B92221"/>
    <w:rsid w:val="00B9288C"/>
    <w:rsid w:val="00B92A07"/>
    <w:rsid w:val="00B92C8F"/>
    <w:rsid w:val="00B92CAC"/>
    <w:rsid w:val="00B93852"/>
    <w:rsid w:val="00B954D3"/>
    <w:rsid w:val="00B96674"/>
    <w:rsid w:val="00B9724C"/>
    <w:rsid w:val="00BA0B5D"/>
    <w:rsid w:val="00BA3A1B"/>
    <w:rsid w:val="00BA3C82"/>
    <w:rsid w:val="00BA5DC3"/>
    <w:rsid w:val="00BA7E54"/>
    <w:rsid w:val="00BC0C39"/>
    <w:rsid w:val="00BC0F9F"/>
    <w:rsid w:val="00BC3851"/>
    <w:rsid w:val="00BC4005"/>
    <w:rsid w:val="00BC4761"/>
    <w:rsid w:val="00BC641A"/>
    <w:rsid w:val="00BC6760"/>
    <w:rsid w:val="00BC7290"/>
    <w:rsid w:val="00BD020D"/>
    <w:rsid w:val="00BD74F6"/>
    <w:rsid w:val="00BE10E7"/>
    <w:rsid w:val="00BE19C8"/>
    <w:rsid w:val="00BE38E4"/>
    <w:rsid w:val="00BE3CE8"/>
    <w:rsid w:val="00BE5A4E"/>
    <w:rsid w:val="00BE659E"/>
    <w:rsid w:val="00BE72FA"/>
    <w:rsid w:val="00BE73C4"/>
    <w:rsid w:val="00BE7B95"/>
    <w:rsid w:val="00BE7DD7"/>
    <w:rsid w:val="00BF19E0"/>
    <w:rsid w:val="00BF2520"/>
    <w:rsid w:val="00BF5694"/>
    <w:rsid w:val="00C03FE2"/>
    <w:rsid w:val="00C06059"/>
    <w:rsid w:val="00C07A8A"/>
    <w:rsid w:val="00C1253B"/>
    <w:rsid w:val="00C14350"/>
    <w:rsid w:val="00C17E9F"/>
    <w:rsid w:val="00C20B4F"/>
    <w:rsid w:val="00C21491"/>
    <w:rsid w:val="00C21D94"/>
    <w:rsid w:val="00C22866"/>
    <w:rsid w:val="00C22E9A"/>
    <w:rsid w:val="00C22FF8"/>
    <w:rsid w:val="00C234EB"/>
    <w:rsid w:val="00C25FC4"/>
    <w:rsid w:val="00C30388"/>
    <w:rsid w:val="00C328E6"/>
    <w:rsid w:val="00C334D8"/>
    <w:rsid w:val="00C33EC5"/>
    <w:rsid w:val="00C4174B"/>
    <w:rsid w:val="00C43629"/>
    <w:rsid w:val="00C4651E"/>
    <w:rsid w:val="00C46C1D"/>
    <w:rsid w:val="00C46E1C"/>
    <w:rsid w:val="00C627C8"/>
    <w:rsid w:val="00C633E4"/>
    <w:rsid w:val="00C6385C"/>
    <w:rsid w:val="00C63EBF"/>
    <w:rsid w:val="00C64956"/>
    <w:rsid w:val="00C650E7"/>
    <w:rsid w:val="00C6545E"/>
    <w:rsid w:val="00C65860"/>
    <w:rsid w:val="00C70F53"/>
    <w:rsid w:val="00C74468"/>
    <w:rsid w:val="00C74C29"/>
    <w:rsid w:val="00C76FF0"/>
    <w:rsid w:val="00C81E08"/>
    <w:rsid w:val="00C84C99"/>
    <w:rsid w:val="00C90A21"/>
    <w:rsid w:val="00C91F5B"/>
    <w:rsid w:val="00C920DA"/>
    <w:rsid w:val="00C93173"/>
    <w:rsid w:val="00C959AA"/>
    <w:rsid w:val="00C96B43"/>
    <w:rsid w:val="00C97B08"/>
    <w:rsid w:val="00CA08B4"/>
    <w:rsid w:val="00CA188C"/>
    <w:rsid w:val="00CA5445"/>
    <w:rsid w:val="00CB1532"/>
    <w:rsid w:val="00CB283A"/>
    <w:rsid w:val="00CB4154"/>
    <w:rsid w:val="00CB7899"/>
    <w:rsid w:val="00CC3E1C"/>
    <w:rsid w:val="00CC5A9B"/>
    <w:rsid w:val="00CC5BB3"/>
    <w:rsid w:val="00CD28C1"/>
    <w:rsid w:val="00CD2A40"/>
    <w:rsid w:val="00CD3EE2"/>
    <w:rsid w:val="00CD7552"/>
    <w:rsid w:val="00CE2221"/>
    <w:rsid w:val="00CE29DF"/>
    <w:rsid w:val="00CE3366"/>
    <w:rsid w:val="00CE3688"/>
    <w:rsid w:val="00CE716D"/>
    <w:rsid w:val="00CF0281"/>
    <w:rsid w:val="00CF268A"/>
    <w:rsid w:val="00CF353A"/>
    <w:rsid w:val="00CF3927"/>
    <w:rsid w:val="00CF48EB"/>
    <w:rsid w:val="00CF49AD"/>
    <w:rsid w:val="00CF6288"/>
    <w:rsid w:val="00CF767B"/>
    <w:rsid w:val="00CF78AD"/>
    <w:rsid w:val="00CF7E47"/>
    <w:rsid w:val="00D00274"/>
    <w:rsid w:val="00D021B2"/>
    <w:rsid w:val="00D100C7"/>
    <w:rsid w:val="00D112C8"/>
    <w:rsid w:val="00D1235A"/>
    <w:rsid w:val="00D16A56"/>
    <w:rsid w:val="00D16B3A"/>
    <w:rsid w:val="00D16E2F"/>
    <w:rsid w:val="00D27F6C"/>
    <w:rsid w:val="00D31C74"/>
    <w:rsid w:val="00D3231A"/>
    <w:rsid w:val="00D32612"/>
    <w:rsid w:val="00D35AA3"/>
    <w:rsid w:val="00D40D78"/>
    <w:rsid w:val="00D419BE"/>
    <w:rsid w:val="00D43334"/>
    <w:rsid w:val="00D45A8A"/>
    <w:rsid w:val="00D551EC"/>
    <w:rsid w:val="00D55708"/>
    <w:rsid w:val="00D55A8C"/>
    <w:rsid w:val="00D55C8E"/>
    <w:rsid w:val="00D55E41"/>
    <w:rsid w:val="00D55EFA"/>
    <w:rsid w:val="00D5681B"/>
    <w:rsid w:val="00D56ABA"/>
    <w:rsid w:val="00D56EB3"/>
    <w:rsid w:val="00D57FE5"/>
    <w:rsid w:val="00D611FA"/>
    <w:rsid w:val="00D62D84"/>
    <w:rsid w:val="00D65CE4"/>
    <w:rsid w:val="00D6612B"/>
    <w:rsid w:val="00D712D4"/>
    <w:rsid w:val="00D7239C"/>
    <w:rsid w:val="00D7332C"/>
    <w:rsid w:val="00D7501D"/>
    <w:rsid w:val="00D77447"/>
    <w:rsid w:val="00D81271"/>
    <w:rsid w:val="00D81B47"/>
    <w:rsid w:val="00D8373D"/>
    <w:rsid w:val="00D94EFA"/>
    <w:rsid w:val="00D96FEB"/>
    <w:rsid w:val="00D9755E"/>
    <w:rsid w:val="00DA0DA8"/>
    <w:rsid w:val="00DA116E"/>
    <w:rsid w:val="00DA1A8E"/>
    <w:rsid w:val="00DA1FC0"/>
    <w:rsid w:val="00DA313E"/>
    <w:rsid w:val="00DA4052"/>
    <w:rsid w:val="00DA518B"/>
    <w:rsid w:val="00DA6463"/>
    <w:rsid w:val="00DA7779"/>
    <w:rsid w:val="00DB3484"/>
    <w:rsid w:val="00DB4BA4"/>
    <w:rsid w:val="00DB78C0"/>
    <w:rsid w:val="00DB7E50"/>
    <w:rsid w:val="00DC20CD"/>
    <w:rsid w:val="00DC2BA5"/>
    <w:rsid w:val="00DC4A67"/>
    <w:rsid w:val="00DC5140"/>
    <w:rsid w:val="00DD2E69"/>
    <w:rsid w:val="00DD3197"/>
    <w:rsid w:val="00DD5F66"/>
    <w:rsid w:val="00DD6006"/>
    <w:rsid w:val="00DD698F"/>
    <w:rsid w:val="00DD716B"/>
    <w:rsid w:val="00DE0F7B"/>
    <w:rsid w:val="00DE1B11"/>
    <w:rsid w:val="00DE2447"/>
    <w:rsid w:val="00DE25FB"/>
    <w:rsid w:val="00DE2BC5"/>
    <w:rsid w:val="00DE2FEF"/>
    <w:rsid w:val="00DE43E8"/>
    <w:rsid w:val="00DF0A7D"/>
    <w:rsid w:val="00DF1883"/>
    <w:rsid w:val="00DF32D0"/>
    <w:rsid w:val="00DF411D"/>
    <w:rsid w:val="00DF4DF2"/>
    <w:rsid w:val="00DF52E8"/>
    <w:rsid w:val="00DF5F76"/>
    <w:rsid w:val="00E0087D"/>
    <w:rsid w:val="00E00F06"/>
    <w:rsid w:val="00E01BE6"/>
    <w:rsid w:val="00E03280"/>
    <w:rsid w:val="00E04BC9"/>
    <w:rsid w:val="00E055C2"/>
    <w:rsid w:val="00E141E3"/>
    <w:rsid w:val="00E14A63"/>
    <w:rsid w:val="00E1578E"/>
    <w:rsid w:val="00E1728C"/>
    <w:rsid w:val="00E26ECE"/>
    <w:rsid w:val="00E26EE0"/>
    <w:rsid w:val="00E31A20"/>
    <w:rsid w:val="00E32B75"/>
    <w:rsid w:val="00E33C20"/>
    <w:rsid w:val="00E40152"/>
    <w:rsid w:val="00E4042C"/>
    <w:rsid w:val="00E40461"/>
    <w:rsid w:val="00E41889"/>
    <w:rsid w:val="00E44586"/>
    <w:rsid w:val="00E472E0"/>
    <w:rsid w:val="00E478DA"/>
    <w:rsid w:val="00E50412"/>
    <w:rsid w:val="00E53B36"/>
    <w:rsid w:val="00E552DD"/>
    <w:rsid w:val="00E56A03"/>
    <w:rsid w:val="00E56A82"/>
    <w:rsid w:val="00E60DF8"/>
    <w:rsid w:val="00E62A67"/>
    <w:rsid w:val="00E633EA"/>
    <w:rsid w:val="00E641FF"/>
    <w:rsid w:val="00E71AC9"/>
    <w:rsid w:val="00E75D63"/>
    <w:rsid w:val="00E76088"/>
    <w:rsid w:val="00E771E9"/>
    <w:rsid w:val="00E814E2"/>
    <w:rsid w:val="00E82B39"/>
    <w:rsid w:val="00E83FBD"/>
    <w:rsid w:val="00E8603F"/>
    <w:rsid w:val="00E869A9"/>
    <w:rsid w:val="00E91402"/>
    <w:rsid w:val="00E91ED1"/>
    <w:rsid w:val="00EA33E7"/>
    <w:rsid w:val="00EA6332"/>
    <w:rsid w:val="00EB23DB"/>
    <w:rsid w:val="00EC2ACA"/>
    <w:rsid w:val="00EC494A"/>
    <w:rsid w:val="00EC55E9"/>
    <w:rsid w:val="00EC677B"/>
    <w:rsid w:val="00EC6BF7"/>
    <w:rsid w:val="00ED053F"/>
    <w:rsid w:val="00ED07BB"/>
    <w:rsid w:val="00ED1F8F"/>
    <w:rsid w:val="00ED480E"/>
    <w:rsid w:val="00ED580B"/>
    <w:rsid w:val="00ED7654"/>
    <w:rsid w:val="00ED796B"/>
    <w:rsid w:val="00EE0A2D"/>
    <w:rsid w:val="00EE3292"/>
    <w:rsid w:val="00EE4E09"/>
    <w:rsid w:val="00EE706A"/>
    <w:rsid w:val="00EE76FB"/>
    <w:rsid w:val="00EF074A"/>
    <w:rsid w:val="00EF47B3"/>
    <w:rsid w:val="00EF5561"/>
    <w:rsid w:val="00EF585A"/>
    <w:rsid w:val="00F00C48"/>
    <w:rsid w:val="00F0192E"/>
    <w:rsid w:val="00F02391"/>
    <w:rsid w:val="00F03DD4"/>
    <w:rsid w:val="00F043CB"/>
    <w:rsid w:val="00F05371"/>
    <w:rsid w:val="00F06140"/>
    <w:rsid w:val="00F1059B"/>
    <w:rsid w:val="00F1161E"/>
    <w:rsid w:val="00F12643"/>
    <w:rsid w:val="00F13E5E"/>
    <w:rsid w:val="00F171A8"/>
    <w:rsid w:val="00F21EC7"/>
    <w:rsid w:val="00F2400B"/>
    <w:rsid w:val="00F24FB0"/>
    <w:rsid w:val="00F251A4"/>
    <w:rsid w:val="00F26152"/>
    <w:rsid w:val="00F30563"/>
    <w:rsid w:val="00F30642"/>
    <w:rsid w:val="00F30D0C"/>
    <w:rsid w:val="00F3147E"/>
    <w:rsid w:val="00F342C0"/>
    <w:rsid w:val="00F342E0"/>
    <w:rsid w:val="00F34301"/>
    <w:rsid w:val="00F34E84"/>
    <w:rsid w:val="00F377C3"/>
    <w:rsid w:val="00F37BB1"/>
    <w:rsid w:val="00F404B5"/>
    <w:rsid w:val="00F40D8A"/>
    <w:rsid w:val="00F42ABF"/>
    <w:rsid w:val="00F43A28"/>
    <w:rsid w:val="00F44A58"/>
    <w:rsid w:val="00F45F22"/>
    <w:rsid w:val="00F46416"/>
    <w:rsid w:val="00F5035D"/>
    <w:rsid w:val="00F516B1"/>
    <w:rsid w:val="00F51A28"/>
    <w:rsid w:val="00F55B9D"/>
    <w:rsid w:val="00F63B48"/>
    <w:rsid w:val="00F70319"/>
    <w:rsid w:val="00F72219"/>
    <w:rsid w:val="00F733AE"/>
    <w:rsid w:val="00F76E91"/>
    <w:rsid w:val="00F82EA5"/>
    <w:rsid w:val="00F845DE"/>
    <w:rsid w:val="00F86090"/>
    <w:rsid w:val="00F87D3C"/>
    <w:rsid w:val="00F90EED"/>
    <w:rsid w:val="00F91395"/>
    <w:rsid w:val="00F9270B"/>
    <w:rsid w:val="00F94E26"/>
    <w:rsid w:val="00F97C59"/>
    <w:rsid w:val="00FA00B6"/>
    <w:rsid w:val="00FA05C5"/>
    <w:rsid w:val="00FA1E23"/>
    <w:rsid w:val="00FA3E44"/>
    <w:rsid w:val="00FA4926"/>
    <w:rsid w:val="00FA6C0F"/>
    <w:rsid w:val="00FA73A1"/>
    <w:rsid w:val="00FB04A9"/>
    <w:rsid w:val="00FB4A37"/>
    <w:rsid w:val="00FB5602"/>
    <w:rsid w:val="00FB57DD"/>
    <w:rsid w:val="00FC08C0"/>
    <w:rsid w:val="00FC1410"/>
    <w:rsid w:val="00FC6BDA"/>
    <w:rsid w:val="00FC7E11"/>
    <w:rsid w:val="00FD1696"/>
    <w:rsid w:val="00FD30B0"/>
    <w:rsid w:val="00FD3B8E"/>
    <w:rsid w:val="00FD3C76"/>
    <w:rsid w:val="00FD3E1C"/>
    <w:rsid w:val="00FD47F0"/>
    <w:rsid w:val="00FE27BA"/>
    <w:rsid w:val="00FE348A"/>
    <w:rsid w:val="00FE50FE"/>
    <w:rsid w:val="00FE5FFF"/>
    <w:rsid w:val="00FE660B"/>
    <w:rsid w:val="00FF1FAD"/>
    <w:rsid w:val="00FF6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80969F"/>
  <w15:chartTrackingRefBased/>
  <w15:docId w15:val="{E5A102A5-7B4F-4835-83EB-0013E6855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szCs w:val="22"/>
      <w:lang w:val="es-CO"/>
    </w:rPr>
  </w:style>
  <w:style w:type="paragraph" w:styleId="Ttulo1">
    <w:name w:val="heading 1"/>
    <w:basedOn w:val="Normal"/>
    <w:next w:val="Normal"/>
    <w:link w:val="Ttulo1Car"/>
    <w:qFormat/>
    <w:rsid w:val="00CF3927"/>
    <w:pPr>
      <w:keepNext/>
      <w:spacing w:line="360" w:lineRule="auto"/>
      <w:jc w:val="both"/>
      <w:outlineLvl w:val="0"/>
    </w:pPr>
    <w:rPr>
      <w:rFonts w:ascii="Arial" w:eastAsia="Batang" w:hAnsi="Arial" w:cs="Arial"/>
      <w:b/>
      <w:bCs/>
      <w:sz w:val="26"/>
      <w:szCs w:val="24"/>
      <w:u w:val="single"/>
      <w:lang w:val="es-ES" w:eastAsia="es-ES"/>
    </w:rPr>
  </w:style>
  <w:style w:type="paragraph" w:styleId="Ttulo3">
    <w:name w:val="heading 3"/>
    <w:basedOn w:val="Normal"/>
    <w:next w:val="Normal"/>
    <w:link w:val="Ttulo3Car"/>
    <w:qFormat/>
    <w:rsid w:val="00CF3927"/>
    <w:pPr>
      <w:keepNext/>
      <w:spacing w:before="240" w:after="60"/>
      <w:outlineLvl w:val="2"/>
    </w:pPr>
    <w:rPr>
      <w:rFonts w:ascii="Arial" w:eastAsia="Times New Roman" w:hAnsi="Arial" w:cs="Arial"/>
      <w:b/>
      <w:bCs/>
      <w:sz w:val="26"/>
      <w:szCs w:val="2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F3927"/>
    <w:rPr>
      <w:rFonts w:ascii="Arial" w:eastAsia="Batang" w:hAnsi="Arial" w:cs="Arial"/>
      <w:b/>
      <w:bCs/>
      <w:sz w:val="26"/>
      <w:szCs w:val="24"/>
      <w:u w:val="single"/>
      <w:lang w:val="es-ES" w:eastAsia="es-ES"/>
    </w:rPr>
  </w:style>
  <w:style w:type="character" w:customStyle="1" w:styleId="Ttulo3Car">
    <w:name w:val="Título 3 Car"/>
    <w:link w:val="Ttulo3"/>
    <w:rsid w:val="00CF3927"/>
    <w:rPr>
      <w:rFonts w:ascii="Arial" w:eastAsia="Times New Roman" w:hAnsi="Arial" w:cs="Arial"/>
      <w:b/>
      <w:bCs/>
      <w:sz w:val="26"/>
      <w:szCs w:val="26"/>
      <w:lang w:eastAsia="es-ES"/>
    </w:rPr>
  </w:style>
  <w:style w:type="paragraph" w:styleId="Textoindependiente">
    <w:name w:val="Body Text"/>
    <w:aliases w:val=" Car Car, Car Car Car Car"/>
    <w:basedOn w:val="Normal"/>
    <w:link w:val="TextoindependienteCar"/>
    <w:rsid w:val="00CF3927"/>
    <w:pPr>
      <w:spacing w:line="360" w:lineRule="auto"/>
      <w:jc w:val="both"/>
    </w:pPr>
    <w:rPr>
      <w:rFonts w:ascii="Arial" w:eastAsia="Batang" w:hAnsi="Arial" w:cs="Arial"/>
      <w:sz w:val="26"/>
      <w:szCs w:val="24"/>
      <w:lang w:val="es-ES" w:eastAsia="es-ES"/>
    </w:rPr>
  </w:style>
  <w:style w:type="character" w:customStyle="1" w:styleId="TextoindependienteCar">
    <w:name w:val="Texto independiente Car"/>
    <w:aliases w:val=" Car Car Car, Car Car Car Car Car"/>
    <w:link w:val="Textoindependiente"/>
    <w:rsid w:val="00CF3927"/>
    <w:rPr>
      <w:rFonts w:ascii="Arial" w:eastAsia="Batang" w:hAnsi="Arial" w:cs="Arial"/>
      <w:sz w:val="26"/>
      <w:szCs w:val="24"/>
      <w:lang w:val="es-ES" w:eastAsia="es-ES"/>
    </w:rPr>
  </w:style>
  <w:style w:type="paragraph" w:styleId="Encabezado">
    <w:name w:val="header"/>
    <w:basedOn w:val="Normal"/>
    <w:link w:val="EncabezadoCar"/>
    <w:rsid w:val="00CF3927"/>
    <w:pPr>
      <w:tabs>
        <w:tab w:val="center" w:pos="4419"/>
        <w:tab w:val="right" w:pos="8838"/>
      </w:tabs>
    </w:pPr>
    <w:rPr>
      <w:rFonts w:ascii="Times New Roman" w:eastAsia="Times New Roman" w:hAnsi="Times New Roman"/>
      <w:sz w:val="24"/>
      <w:szCs w:val="24"/>
      <w:lang w:val="es-ES" w:eastAsia="es-ES"/>
    </w:rPr>
  </w:style>
  <w:style w:type="character" w:customStyle="1" w:styleId="EncabezadoCar">
    <w:name w:val="Encabezado Car"/>
    <w:link w:val="Encabezado"/>
    <w:rsid w:val="00CF3927"/>
    <w:rPr>
      <w:rFonts w:ascii="Times New Roman" w:eastAsia="Times New Roman" w:hAnsi="Times New Roman"/>
      <w:sz w:val="24"/>
      <w:szCs w:val="24"/>
      <w:lang w:val="es-ES" w:eastAsia="es-ES"/>
    </w:rPr>
  </w:style>
  <w:style w:type="character" w:styleId="Nmerodepgina">
    <w:name w:val="page number"/>
    <w:rsid w:val="00CF3927"/>
  </w:style>
  <w:style w:type="paragraph" w:styleId="Sangradetextonormal">
    <w:name w:val="Body Text Indent"/>
    <w:basedOn w:val="Normal"/>
    <w:link w:val="SangradetextonormalCar"/>
    <w:rsid w:val="00CF3927"/>
    <w:pPr>
      <w:spacing w:line="360" w:lineRule="auto"/>
      <w:jc w:val="both"/>
    </w:pPr>
    <w:rPr>
      <w:rFonts w:ascii="Arial" w:eastAsia="Times New Roman" w:hAnsi="Arial" w:cs="Arial"/>
      <w:b/>
      <w:bCs/>
      <w:sz w:val="26"/>
      <w:szCs w:val="26"/>
      <w:lang w:val="es-ES" w:eastAsia="es-ES"/>
    </w:rPr>
  </w:style>
  <w:style w:type="character" w:customStyle="1" w:styleId="SangradetextonormalCar">
    <w:name w:val="Sangría de texto normal Car"/>
    <w:link w:val="Sangradetextonormal"/>
    <w:rsid w:val="00CF3927"/>
    <w:rPr>
      <w:rFonts w:ascii="Arial" w:eastAsia="Times New Roman" w:hAnsi="Arial" w:cs="Arial"/>
      <w:b/>
      <w:bCs/>
      <w:sz w:val="26"/>
      <w:szCs w:val="26"/>
      <w:lang w:val="es-ES" w:eastAsia="es-ES"/>
    </w:rPr>
  </w:style>
  <w:style w:type="paragraph" w:styleId="Textoindependiente2">
    <w:name w:val="Body Text 2"/>
    <w:basedOn w:val="Normal"/>
    <w:link w:val="Textoindependiente2Car"/>
    <w:rsid w:val="00CF3927"/>
    <w:pPr>
      <w:spacing w:after="120" w:line="480" w:lineRule="auto"/>
    </w:pPr>
    <w:rPr>
      <w:rFonts w:ascii="Times New Roman" w:eastAsia="Times New Roman" w:hAnsi="Times New Roman"/>
      <w:sz w:val="24"/>
      <w:szCs w:val="24"/>
      <w:lang w:eastAsia="es-ES"/>
    </w:rPr>
  </w:style>
  <w:style w:type="character" w:customStyle="1" w:styleId="Textoindependiente2Car">
    <w:name w:val="Texto independiente 2 Car"/>
    <w:link w:val="Textoindependiente2"/>
    <w:rsid w:val="00CF3927"/>
    <w:rPr>
      <w:rFonts w:ascii="Times New Roman" w:eastAsia="Times New Roman" w:hAnsi="Times New Roman"/>
      <w:sz w:val="24"/>
      <w:szCs w:val="24"/>
      <w:lang w:eastAsia="es-ES"/>
    </w:rPr>
  </w:style>
  <w:style w:type="paragraph" w:styleId="Textonotapie">
    <w:name w:val="footnote text"/>
    <w:aliases w:val="Footnote Text Char Char Char Char Char,Footnote Text Char Char Char Char,Footnote reference,FA Fu,Footnote Text Char Char Char,Footnote Text Char,Footnote Text Char Char Char Char Char Char Char Char,texto de nota al pi,texto de nota al p"/>
    <w:basedOn w:val="Normal"/>
    <w:link w:val="TextonotapieCar1"/>
    <w:uiPriority w:val="99"/>
    <w:qFormat/>
    <w:rsid w:val="00CF3927"/>
    <w:pPr>
      <w:overflowPunct w:val="0"/>
      <w:autoSpaceDE w:val="0"/>
      <w:autoSpaceDN w:val="0"/>
      <w:adjustRightInd w:val="0"/>
      <w:textAlignment w:val="baseline"/>
    </w:pPr>
    <w:rPr>
      <w:rFonts w:ascii="Times New Roman" w:eastAsia="Times New Roman" w:hAnsi="Times New Roman"/>
      <w:sz w:val="20"/>
      <w:szCs w:val="20"/>
      <w:lang w:val="es-ES_tradnl" w:eastAsia="es-ES"/>
    </w:rPr>
  </w:style>
  <w:style w:type="character" w:customStyle="1" w:styleId="TextonotapieCar">
    <w:name w:val="Texto nota pie Car"/>
    <w:uiPriority w:val="99"/>
    <w:semiHidden/>
    <w:rsid w:val="00CF3927"/>
    <w:rPr>
      <w:lang w:eastAsia="en-US"/>
    </w:rPr>
  </w:style>
  <w:style w:type="character" w:styleId="Refdenotaalpie">
    <w:name w:val="footnote reference"/>
    <w:aliases w:val="Texto de nota al pie,Ref. de nota al pie 2,referencia nota al pie,Pie de Página,FC,Texto de nota al pi,Appel note de bas de page,Footnotes refss,Footnote number,BVI fnr,f,4_G,16 Point,Superscript 6 Point,Texto nota al pie,Nota de pie"/>
    <w:qFormat/>
    <w:rsid w:val="00CF3927"/>
    <w:rPr>
      <w:vertAlign w:val="superscript"/>
    </w:rPr>
  </w:style>
  <w:style w:type="character" w:customStyle="1" w:styleId="TextonotapieCar1">
    <w:name w:val="Texto nota pie Car1"/>
    <w:aliases w:val="Footnote Text Char Char Char Char Char Car,Footnote Text Char Char Char Char Car,Footnote reference Car,FA Fu Car,Footnote Text Char Char Char Car,Footnote Text Char Car,Footnote Text Char Char Char Char Char Char Char Char Car"/>
    <w:link w:val="Textonotapie"/>
    <w:uiPriority w:val="99"/>
    <w:locked/>
    <w:rsid w:val="00CF3927"/>
    <w:rPr>
      <w:rFonts w:ascii="Times New Roman" w:eastAsia="Times New Roman" w:hAnsi="Times New Roman"/>
      <w:lang w:val="es-ES_tradnl" w:eastAsia="es-ES"/>
    </w:rPr>
  </w:style>
  <w:style w:type="paragraph" w:styleId="Textoindependiente3">
    <w:name w:val="Body Text 3"/>
    <w:basedOn w:val="Normal"/>
    <w:link w:val="Textoindependiente3Car"/>
    <w:uiPriority w:val="99"/>
    <w:unhideWhenUsed/>
    <w:rsid w:val="00CF3927"/>
    <w:pPr>
      <w:spacing w:after="120" w:line="259" w:lineRule="auto"/>
    </w:pPr>
    <w:rPr>
      <w:rFonts w:eastAsia="Batang"/>
      <w:sz w:val="16"/>
      <w:szCs w:val="16"/>
    </w:rPr>
  </w:style>
  <w:style w:type="character" w:customStyle="1" w:styleId="Textoindependiente3Car">
    <w:name w:val="Texto independiente 3 Car"/>
    <w:link w:val="Textoindependiente3"/>
    <w:uiPriority w:val="99"/>
    <w:rsid w:val="00CF3927"/>
    <w:rPr>
      <w:rFonts w:eastAsia="Batang"/>
      <w:sz w:val="16"/>
      <w:szCs w:val="16"/>
      <w:lang w:eastAsia="en-US"/>
    </w:rPr>
  </w:style>
  <w:style w:type="paragraph" w:styleId="NormalWeb">
    <w:name w:val="Normal (Web)"/>
    <w:basedOn w:val="Normal"/>
    <w:uiPriority w:val="99"/>
    <w:unhideWhenUsed/>
    <w:rsid w:val="00CF3927"/>
    <w:pPr>
      <w:spacing w:before="100" w:beforeAutospacing="1" w:after="100" w:afterAutospacing="1"/>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CF3927"/>
    <w:pPr>
      <w:tabs>
        <w:tab w:val="center" w:pos="4419"/>
        <w:tab w:val="right" w:pos="8838"/>
      </w:tabs>
    </w:pPr>
  </w:style>
  <w:style w:type="character" w:customStyle="1" w:styleId="PiedepginaCar">
    <w:name w:val="Pie de página Car"/>
    <w:link w:val="Piedepgina"/>
    <w:uiPriority w:val="99"/>
    <w:rsid w:val="00CF3927"/>
    <w:rPr>
      <w:sz w:val="22"/>
      <w:szCs w:val="22"/>
      <w:lang w:eastAsia="en-US"/>
    </w:rPr>
  </w:style>
  <w:style w:type="paragraph" w:styleId="Textodeglobo">
    <w:name w:val="Balloon Text"/>
    <w:basedOn w:val="Normal"/>
    <w:link w:val="TextodegloboCar"/>
    <w:uiPriority w:val="99"/>
    <w:semiHidden/>
    <w:unhideWhenUsed/>
    <w:rsid w:val="001442E9"/>
    <w:rPr>
      <w:rFonts w:ascii="Segoe UI" w:hAnsi="Segoe UI" w:cs="Segoe UI"/>
      <w:sz w:val="18"/>
      <w:szCs w:val="18"/>
    </w:rPr>
  </w:style>
  <w:style w:type="character" w:customStyle="1" w:styleId="TextodegloboCar">
    <w:name w:val="Texto de globo Car"/>
    <w:link w:val="Textodeglobo"/>
    <w:uiPriority w:val="99"/>
    <w:semiHidden/>
    <w:rsid w:val="001442E9"/>
    <w:rPr>
      <w:rFonts w:ascii="Segoe UI" w:hAnsi="Segoe UI" w:cs="Segoe UI"/>
      <w:sz w:val="18"/>
      <w:szCs w:val="18"/>
      <w:lang w:eastAsia="en-US"/>
    </w:rPr>
  </w:style>
  <w:style w:type="character" w:styleId="Textoennegrita">
    <w:name w:val="Strong"/>
    <w:uiPriority w:val="22"/>
    <w:qFormat/>
    <w:rsid w:val="00D55EFA"/>
    <w:rPr>
      <w:b/>
      <w:bCs/>
    </w:rPr>
  </w:style>
  <w:style w:type="character" w:styleId="Refdecomentario">
    <w:name w:val="annotation reference"/>
    <w:uiPriority w:val="99"/>
    <w:semiHidden/>
    <w:unhideWhenUsed/>
    <w:rsid w:val="00F34E84"/>
    <w:rPr>
      <w:sz w:val="16"/>
      <w:szCs w:val="16"/>
    </w:rPr>
  </w:style>
  <w:style w:type="paragraph" w:styleId="Textocomentario">
    <w:name w:val="annotation text"/>
    <w:basedOn w:val="Normal"/>
    <w:link w:val="TextocomentarioCar"/>
    <w:uiPriority w:val="99"/>
    <w:semiHidden/>
    <w:unhideWhenUsed/>
    <w:rsid w:val="00F34E84"/>
    <w:rPr>
      <w:sz w:val="20"/>
      <w:szCs w:val="20"/>
    </w:rPr>
  </w:style>
  <w:style w:type="character" w:customStyle="1" w:styleId="TextocomentarioCar">
    <w:name w:val="Texto comentario Car"/>
    <w:link w:val="Textocomentario"/>
    <w:uiPriority w:val="99"/>
    <w:semiHidden/>
    <w:rsid w:val="00F34E84"/>
    <w:rPr>
      <w:lang w:val="es-CO" w:eastAsia="en-US"/>
    </w:rPr>
  </w:style>
  <w:style w:type="paragraph" w:styleId="Asuntodelcomentario">
    <w:name w:val="annotation subject"/>
    <w:basedOn w:val="Textocomentario"/>
    <w:next w:val="Textocomentario"/>
    <w:link w:val="AsuntodelcomentarioCar"/>
    <w:uiPriority w:val="99"/>
    <w:semiHidden/>
    <w:unhideWhenUsed/>
    <w:rsid w:val="00F34E84"/>
    <w:rPr>
      <w:b/>
      <w:bCs/>
    </w:rPr>
  </w:style>
  <w:style w:type="character" w:customStyle="1" w:styleId="AsuntodelcomentarioCar">
    <w:name w:val="Asunto del comentario Car"/>
    <w:link w:val="Asuntodelcomentario"/>
    <w:uiPriority w:val="99"/>
    <w:semiHidden/>
    <w:rsid w:val="00F34E84"/>
    <w:rPr>
      <w:b/>
      <w:bCs/>
      <w:lang w:val="es-CO" w:eastAsia="en-US"/>
    </w:rPr>
  </w:style>
  <w:style w:type="paragraph" w:styleId="Prrafodelista">
    <w:name w:val="List Paragraph"/>
    <w:basedOn w:val="Normal"/>
    <w:uiPriority w:val="34"/>
    <w:qFormat/>
    <w:rsid w:val="00A30190"/>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D133C3-ACE3-4FB0-BCEA-5F8D75CE07CF}">
  <ds:schemaRefs>
    <ds:schemaRef ds:uri="http://schemas.microsoft.com/sharepoint/v3/contenttype/forms"/>
  </ds:schemaRefs>
</ds:datastoreItem>
</file>

<file path=customXml/itemProps2.xml><?xml version="1.0" encoding="utf-8"?>
<ds:datastoreItem xmlns:ds="http://schemas.openxmlformats.org/officeDocument/2006/customXml" ds:itemID="{32567E48-70AF-4B10-BD84-3A16016EF69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1924714-1A1E-47DD-88FF-38FFDD7F75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A58902-180D-4EA4-8D1E-3C6D5FB57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4346</Words>
  <Characters>23904</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MARTINEZ GALVIS</dc:creator>
  <cp:keywords/>
  <cp:lastModifiedBy>FLOR ANGELA Aldana</cp:lastModifiedBy>
  <cp:revision>2</cp:revision>
  <cp:lastPrinted>2017-08-28T19:27:00Z</cp:lastPrinted>
  <dcterms:created xsi:type="dcterms:W3CDTF">2020-06-26T22:29:00Z</dcterms:created>
  <dcterms:modified xsi:type="dcterms:W3CDTF">2020-06-26T22:29:00Z</dcterms:modified>
</cp:coreProperties>
</file>