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3A9B64" w14:textId="77777777" w:rsidR="008C384B" w:rsidRPr="00E80D37" w:rsidRDefault="005577AA" w:rsidP="008C384B">
      <w:pPr>
        <w:tabs>
          <w:tab w:val="left" w:pos="810"/>
          <w:tab w:val="left" w:pos="2085"/>
          <w:tab w:val="center" w:pos="4420"/>
          <w:tab w:val="left" w:pos="6570"/>
        </w:tabs>
        <w:jc w:val="both"/>
        <w:rPr>
          <w:rFonts w:ascii="Arial" w:hAnsi="Arial" w:cs="Arial"/>
          <w:b/>
          <w:sz w:val="22"/>
          <w:szCs w:val="22"/>
        </w:rPr>
      </w:pPr>
      <w:bookmarkStart w:id="0" w:name="_GoBack"/>
      <w:r w:rsidRPr="00E80D37">
        <w:rPr>
          <w:rFonts w:ascii="Arial" w:hAnsi="Arial" w:cs="Arial"/>
          <w:b/>
          <w:sz w:val="22"/>
          <w:szCs w:val="22"/>
          <w:lang w:val="es-CO"/>
        </w:rPr>
        <w:t xml:space="preserve">EXPRESIÓN RÉGIMEN JURÍDICO ANTERIOR CONTENIDA EN EL CPACA – </w:t>
      </w:r>
      <w:r w:rsidRPr="00E80D37">
        <w:rPr>
          <w:rFonts w:ascii="Arial" w:hAnsi="Arial" w:cs="Arial"/>
          <w:b/>
          <w:sz w:val="22"/>
          <w:szCs w:val="22"/>
        </w:rPr>
        <w:t>Comprende las normas del CCA y del CPC</w:t>
      </w:r>
    </w:p>
    <w:p w14:paraId="0B681848" w14:textId="77777777" w:rsidR="008C384B" w:rsidRPr="00E80D37" w:rsidRDefault="008C384B" w:rsidP="008C384B">
      <w:pPr>
        <w:tabs>
          <w:tab w:val="left" w:pos="810"/>
          <w:tab w:val="left" w:pos="2085"/>
          <w:tab w:val="center" w:pos="4420"/>
          <w:tab w:val="left" w:pos="6570"/>
        </w:tabs>
        <w:jc w:val="both"/>
        <w:rPr>
          <w:rFonts w:ascii="Arial" w:hAnsi="Arial" w:cs="Arial"/>
          <w:sz w:val="22"/>
          <w:szCs w:val="22"/>
        </w:rPr>
      </w:pPr>
    </w:p>
    <w:p w14:paraId="33784A8A" w14:textId="77777777" w:rsidR="008C384B" w:rsidRPr="00E80D37" w:rsidRDefault="008C384B" w:rsidP="008C384B">
      <w:pPr>
        <w:tabs>
          <w:tab w:val="left" w:pos="810"/>
          <w:tab w:val="left" w:pos="2085"/>
          <w:tab w:val="left" w:pos="3360"/>
          <w:tab w:val="center" w:pos="4420"/>
          <w:tab w:val="left" w:pos="6570"/>
        </w:tabs>
        <w:jc w:val="both"/>
        <w:rPr>
          <w:rFonts w:ascii="Arial" w:hAnsi="Arial" w:cs="Arial"/>
          <w:sz w:val="22"/>
          <w:szCs w:val="22"/>
        </w:rPr>
      </w:pPr>
      <w:r w:rsidRPr="00E80D37">
        <w:rPr>
          <w:rFonts w:ascii="Arial" w:hAnsi="Arial" w:cs="Arial"/>
          <w:sz w:val="22"/>
          <w:szCs w:val="22"/>
        </w:rPr>
        <w:t xml:space="preserve">Se estima necesario precisar que a este asunto le resultan </w:t>
      </w:r>
      <w:r w:rsidRPr="00E80D37">
        <w:rPr>
          <w:rFonts w:ascii="Arial" w:hAnsi="Arial" w:cs="Arial"/>
          <w:sz w:val="22"/>
          <w:szCs w:val="22"/>
          <w:lang w:val="es-ES_tradnl"/>
        </w:rPr>
        <w:t>aplicables las reglas del Código Contencioso Administrativo (CCA), porque la demanda se interpuso el 29 de octubre de 1997, esto es, antes de la entrada en vigencia del Código de Procedimiento Administrativo y de lo Contencioso Administrativo (CPACA), de ahí que este asunto siga rigiéndose hasta su culminación con el “</w:t>
      </w:r>
      <w:r w:rsidRPr="00E80D37">
        <w:rPr>
          <w:rFonts w:ascii="Arial" w:hAnsi="Arial" w:cs="Arial"/>
          <w:i/>
          <w:sz w:val="22"/>
          <w:szCs w:val="22"/>
          <w:lang w:val="es-ES_tradnl"/>
        </w:rPr>
        <w:t>régimen jurídico anterior</w:t>
      </w:r>
      <w:r w:rsidRPr="00E80D37">
        <w:rPr>
          <w:rFonts w:ascii="Arial" w:hAnsi="Arial" w:cs="Arial"/>
          <w:sz w:val="22"/>
          <w:szCs w:val="22"/>
          <w:lang w:val="es-ES_tradnl"/>
        </w:rPr>
        <w:t>”, es decir, con el CCA. Esa expresión “</w:t>
      </w:r>
      <w:r w:rsidRPr="00E80D37">
        <w:rPr>
          <w:rFonts w:ascii="Arial" w:hAnsi="Arial" w:cs="Arial"/>
          <w:i/>
          <w:sz w:val="22"/>
          <w:szCs w:val="22"/>
          <w:lang w:val="es-ES_tradnl"/>
        </w:rPr>
        <w:t>régimen jurídico anterior</w:t>
      </w:r>
      <w:r w:rsidRPr="00E80D37">
        <w:rPr>
          <w:rFonts w:ascii="Arial" w:hAnsi="Arial" w:cs="Arial"/>
          <w:sz w:val="22"/>
          <w:szCs w:val="22"/>
          <w:lang w:val="es-ES_tradnl"/>
        </w:rPr>
        <w:t>”, contenida en el artículo 308 del CPACA, no se refiere solamente a las disposiciones del CCA, sino que también comprende todas aquellas normas complementarias que se encontraban vigentes a la entrada en vigor del CPACA, razón por la cual en este proceso, en los aspectos no regulados en el CCA, también son aplicables las disposiciones del Código de Procedimiento Civil (CPC) y no las del Código General del Proceso (CGP).</w:t>
      </w:r>
      <w:r w:rsidRPr="00E80D37">
        <w:rPr>
          <w:rFonts w:ascii="Arial" w:hAnsi="Arial" w:cs="Arial"/>
          <w:sz w:val="22"/>
          <w:szCs w:val="22"/>
        </w:rPr>
        <w:t>En relación con lo anterior, se advierte que el Despacho no está desconociendo la aplicación general e inmediata del CGP, lo que ocurre es que el presente asunto se encuentra frente a una excepción legislativa sobre las demandas y los procesos en curso a la entrada en vigencia del CPACA, razón por la cual el régimen jurídico que opera sobre él es el correspondiente a la época de presentación de la demanda, lo cual se traduce en que la controversia ha de analizarse a la luz de las disposiciones contenidas en el CCA y en el CPC.</w:t>
      </w:r>
    </w:p>
    <w:p w14:paraId="28D05571" w14:textId="77777777" w:rsidR="008C384B" w:rsidRPr="00E80D37" w:rsidRDefault="008C384B" w:rsidP="008C384B">
      <w:pPr>
        <w:tabs>
          <w:tab w:val="left" w:pos="810"/>
          <w:tab w:val="left" w:pos="2085"/>
          <w:tab w:val="left" w:pos="3360"/>
          <w:tab w:val="center" w:pos="4420"/>
          <w:tab w:val="left" w:pos="6570"/>
        </w:tabs>
        <w:jc w:val="both"/>
        <w:rPr>
          <w:rFonts w:ascii="Arial" w:hAnsi="Arial" w:cs="Arial"/>
          <w:sz w:val="22"/>
          <w:szCs w:val="22"/>
        </w:rPr>
      </w:pPr>
    </w:p>
    <w:p w14:paraId="5B6AAA90" w14:textId="77777777" w:rsidR="005577AA" w:rsidRPr="00E80D37" w:rsidRDefault="005577AA" w:rsidP="008C384B">
      <w:pPr>
        <w:tabs>
          <w:tab w:val="left" w:pos="810"/>
          <w:tab w:val="left" w:pos="2085"/>
          <w:tab w:val="left" w:pos="3360"/>
          <w:tab w:val="center" w:pos="4420"/>
          <w:tab w:val="left" w:pos="6570"/>
        </w:tabs>
        <w:jc w:val="both"/>
        <w:rPr>
          <w:rFonts w:ascii="Arial" w:hAnsi="Arial" w:cs="Arial"/>
          <w:sz w:val="22"/>
          <w:szCs w:val="22"/>
        </w:rPr>
      </w:pPr>
    </w:p>
    <w:p w14:paraId="261E4057" w14:textId="79D08817" w:rsidR="008C384B" w:rsidRPr="00E80D37" w:rsidRDefault="008C384B" w:rsidP="008C384B">
      <w:pPr>
        <w:tabs>
          <w:tab w:val="left" w:pos="810"/>
          <w:tab w:val="left" w:pos="2085"/>
          <w:tab w:val="left" w:pos="3360"/>
          <w:tab w:val="center" w:pos="4420"/>
          <w:tab w:val="left" w:pos="6570"/>
        </w:tabs>
        <w:jc w:val="both"/>
        <w:rPr>
          <w:rFonts w:ascii="Arial" w:hAnsi="Arial" w:cs="Arial"/>
          <w:b/>
          <w:sz w:val="22"/>
          <w:szCs w:val="22"/>
          <w:lang w:val="es-CO"/>
        </w:rPr>
      </w:pPr>
      <w:r w:rsidRPr="00E80D37">
        <w:rPr>
          <w:rFonts w:ascii="Arial" w:hAnsi="Arial" w:cs="Arial"/>
          <w:b/>
          <w:sz w:val="22"/>
          <w:szCs w:val="22"/>
          <w:lang w:val="es-CO"/>
        </w:rPr>
        <w:t>NULIDAD PROCESAL</w:t>
      </w:r>
      <w:r w:rsidR="005577AA" w:rsidRPr="00E80D37">
        <w:rPr>
          <w:rFonts w:ascii="Arial" w:hAnsi="Arial" w:cs="Arial"/>
          <w:b/>
          <w:sz w:val="22"/>
          <w:szCs w:val="22"/>
          <w:lang w:val="es-CO"/>
        </w:rPr>
        <w:t xml:space="preserve"> </w:t>
      </w:r>
      <w:r w:rsidR="00606314" w:rsidRPr="00E80D37">
        <w:rPr>
          <w:rFonts w:ascii="Arial" w:hAnsi="Arial" w:cs="Arial"/>
          <w:b/>
          <w:sz w:val="22"/>
          <w:szCs w:val="22"/>
          <w:lang w:val="es-CO"/>
        </w:rPr>
        <w:t>- Declaratoria -</w:t>
      </w:r>
      <w:r w:rsidRPr="00E80D37">
        <w:rPr>
          <w:rFonts w:ascii="Arial" w:hAnsi="Arial" w:cs="Arial"/>
          <w:b/>
          <w:sz w:val="22"/>
          <w:szCs w:val="22"/>
          <w:lang w:val="es-CO"/>
        </w:rPr>
        <w:t xml:space="preserve"> </w:t>
      </w:r>
      <w:r w:rsidR="005577AA" w:rsidRPr="00E80D37">
        <w:rPr>
          <w:rFonts w:ascii="Arial" w:hAnsi="Arial" w:cs="Arial"/>
          <w:b/>
          <w:sz w:val="22"/>
          <w:szCs w:val="22"/>
          <w:lang w:val="es-CO"/>
        </w:rPr>
        <w:t>C</w:t>
      </w:r>
      <w:r w:rsidRPr="00E80D37">
        <w:rPr>
          <w:rFonts w:ascii="Arial" w:hAnsi="Arial" w:cs="Arial"/>
          <w:b/>
          <w:sz w:val="22"/>
          <w:szCs w:val="22"/>
          <w:lang w:val="es-CO"/>
        </w:rPr>
        <w:t xml:space="preserve">ompetencia </w:t>
      </w:r>
      <w:r w:rsidR="005577AA" w:rsidRPr="00E80D37">
        <w:rPr>
          <w:rFonts w:ascii="Arial" w:hAnsi="Arial" w:cs="Arial"/>
          <w:b/>
          <w:sz w:val="22"/>
          <w:szCs w:val="22"/>
          <w:lang w:val="es-CO"/>
        </w:rPr>
        <w:t>del magistrado ponente</w:t>
      </w:r>
    </w:p>
    <w:p w14:paraId="7196FDE7" w14:textId="77777777" w:rsidR="008C384B" w:rsidRPr="00E80D37" w:rsidRDefault="008C384B" w:rsidP="008C384B">
      <w:pPr>
        <w:tabs>
          <w:tab w:val="left" w:pos="810"/>
          <w:tab w:val="left" w:pos="2085"/>
          <w:tab w:val="left" w:pos="3360"/>
          <w:tab w:val="center" w:pos="4420"/>
          <w:tab w:val="left" w:pos="6570"/>
        </w:tabs>
        <w:jc w:val="both"/>
        <w:rPr>
          <w:rFonts w:ascii="Arial" w:hAnsi="Arial" w:cs="Arial"/>
          <w:sz w:val="22"/>
          <w:szCs w:val="22"/>
          <w:lang w:val="es-ES_tradnl"/>
        </w:rPr>
      </w:pPr>
    </w:p>
    <w:p w14:paraId="48977EE1" w14:textId="77777777" w:rsidR="008C384B" w:rsidRPr="00E80D37" w:rsidRDefault="008C384B" w:rsidP="008C384B">
      <w:pPr>
        <w:tabs>
          <w:tab w:val="left" w:pos="810"/>
          <w:tab w:val="left" w:pos="2085"/>
          <w:tab w:val="center" w:pos="4420"/>
          <w:tab w:val="left" w:pos="6570"/>
        </w:tabs>
        <w:jc w:val="both"/>
        <w:rPr>
          <w:rFonts w:ascii="Arial" w:hAnsi="Arial" w:cs="Arial"/>
          <w:sz w:val="22"/>
          <w:szCs w:val="22"/>
          <w:lang w:val="es-CO"/>
        </w:rPr>
      </w:pPr>
      <w:r w:rsidRPr="00E80D37">
        <w:rPr>
          <w:rFonts w:ascii="Arial" w:hAnsi="Arial" w:cs="Arial"/>
          <w:sz w:val="22"/>
          <w:szCs w:val="22"/>
          <w:lang w:val="es-CO"/>
        </w:rPr>
        <w:t>El artículo 61 de la Ley 1395 de 2010, que adicionó el artículo 146 del CCA, estableció que las decisiones interlocutorias del proceso, excepto las contenidas en los numerales 1, 2 y 3 del artículo 181 del CCA, deben ser adoptadas por el magistrado ponente. En este caso, como se trata de la declaratoria de nulidad procesal, decisión que está prevista en el numeral 6 del artículo 181 del CCA, es viable concluir que se trata de una providencia que debe ser dictada por la magistrada ponente.</w:t>
      </w:r>
    </w:p>
    <w:p w14:paraId="76EB503B" w14:textId="77777777" w:rsidR="008C384B" w:rsidRPr="00E80D37" w:rsidRDefault="008C384B" w:rsidP="008C384B">
      <w:pPr>
        <w:tabs>
          <w:tab w:val="left" w:pos="810"/>
          <w:tab w:val="left" w:pos="2085"/>
          <w:tab w:val="center" w:pos="4420"/>
          <w:tab w:val="left" w:pos="6570"/>
        </w:tabs>
        <w:jc w:val="both"/>
        <w:rPr>
          <w:rFonts w:ascii="Arial" w:hAnsi="Arial" w:cs="Arial"/>
          <w:sz w:val="22"/>
          <w:szCs w:val="22"/>
          <w:lang w:val="es-CO"/>
        </w:rPr>
      </w:pPr>
    </w:p>
    <w:p w14:paraId="3C71E71D" w14:textId="77777777" w:rsidR="005577AA" w:rsidRPr="00E80D37" w:rsidRDefault="005577AA" w:rsidP="008C384B">
      <w:pPr>
        <w:tabs>
          <w:tab w:val="left" w:pos="810"/>
          <w:tab w:val="left" w:pos="2085"/>
          <w:tab w:val="center" w:pos="4420"/>
          <w:tab w:val="left" w:pos="6570"/>
        </w:tabs>
        <w:jc w:val="both"/>
        <w:rPr>
          <w:rFonts w:ascii="Arial" w:hAnsi="Arial" w:cs="Arial"/>
          <w:sz w:val="22"/>
          <w:szCs w:val="22"/>
          <w:lang w:val="es-CO"/>
        </w:rPr>
      </w:pPr>
    </w:p>
    <w:p w14:paraId="78BC0ACA" w14:textId="7A5B4F6D" w:rsidR="00E31765" w:rsidRPr="00E80D37" w:rsidRDefault="005577AA" w:rsidP="008C384B">
      <w:pPr>
        <w:tabs>
          <w:tab w:val="left" w:pos="810"/>
          <w:tab w:val="left" w:pos="2085"/>
          <w:tab w:val="center" w:pos="4420"/>
          <w:tab w:val="left" w:pos="6570"/>
        </w:tabs>
        <w:jc w:val="both"/>
        <w:rPr>
          <w:rFonts w:ascii="Arial" w:hAnsi="Arial" w:cs="Arial"/>
          <w:b/>
          <w:sz w:val="22"/>
          <w:szCs w:val="22"/>
        </w:rPr>
      </w:pPr>
      <w:r w:rsidRPr="00E80D37">
        <w:rPr>
          <w:rFonts w:ascii="Arial" w:hAnsi="Arial" w:cs="Arial"/>
          <w:b/>
          <w:sz w:val="22"/>
          <w:szCs w:val="22"/>
        </w:rPr>
        <w:t xml:space="preserve">SENTENCIA </w:t>
      </w:r>
      <w:r w:rsidR="00606314" w:rsidRPr="00E80D37">
        <w:rPr>
          <w:rFonts w:ascii="Arial" w:hAnsi="Arial" w:cs="Arial"/>
          <w:b/>
          <w:sz w:val="22"/>
          <w:szCs w:val="22"/>
        </w:rPr>
        <w:t>-</w:t>
      </w:r>
      <w:r w:rsidRPr="00E80D37">
        <w:rPr>
          <w:rFonts w:ascii="Arial" w:hAnsi="Arial" w:cs="Arial"/>
          <w:b/>
          <w:sz w:val="22"/>
          <w:szCs w:val="22"/>
        </w:rPr>
        <w:t xml:space="preserve"> Definición </w:t>
      </w:r>
    </w:p>
    <w:p w14:paraId="60F6DD9E" w14:textId="77777777" w:rsidR="005577AA" w:rsidRPr="00E80D37" w:rsidRDefault="005577AA" w:rsidP="008C384B">
      <w:pPr>
        <w:tabs>
          <w:tab w:val="left" w:pos="810"/>
          <w:tab w:val="left" w:pos="2085"/>
          <w:tab w:val="center" w:pos="4420"/>
          <w:tab w:val="left" w:pos="6570"/>
        </w:tabs>
        <w:jc w:val="both"/>
        <w:rPr>
          <w:rFonts w:ascii="Arial" w:hAnsi="Arial" w:cs="Arial"/>
          <w:sz w:val="22"/>
          <w:szCs w:val="22"/>
        </w:rPr>
      </w:pPr>
    </w:p>
    <w:p w14:paraId="79A0E883" w14:textId="77777777" w:rsidR="005577AA" w:rsidRPr="00E80D37" w:rsidRDefault="00E31765" w:rsidP="00E31765">
      <w:pPr>
        <w:tabs>
          <w:tab w:val="left" w:pos="810"/>
          <w:tab w:val="left" w:pos="2085"/>
          <w:tab w:val="center" w:pos="4420"/>
          <w:tab w:val="left" w:pos="6570"/>
        </w:tabs>
        <w:jc w:val="both"/>
        <w:rPr>
          <w:rFonts w:ascii="Arial" w:hAnsi="Arial" w:cs="Arial"/>
          <w:sz w:val="22"/>
          <w:szCs w:val="22"/>
        </w:rPr>
      </w:pPr>
      <w:r w:rsidRPr="00E80D37">
        <w:rPr>
          <w:rFonts w:ascii="Arial" w:hAnsi="Arial" w:cs="Arial"/>
          <w:sz w:val="22"/>
          <w:szCs w:val="22"/>
        </w:rPr>
        <w:t xml:space="preserve">Como lo define claramente el artículo 302 del Código de Procedimiento Civil, la sentencia es aquella categoría de providencia judicial en la cual se decide </w:t>
      </w:r>
      <w:r w:rsidRPr="00E80D37">
        <w:rPr>
          <w:rFonts w:ascii="Arial" w:hAnsi="Arial" w:cs="Arial"/>
          <w:i/>
          <w:sz w:val="22"/>
          <w:szCs w:val="22"/>
        </w:rPr>
        <w:t>“sobre las pretensiones de la demanda o las excepciones que no tengan carácter de previas”</w:t>
      </w:r>
      <w:r w:rsidRPr="00E80D37">
        <w:rPr>
          <w:rFonts w:ascii="Arial" w:hAnsi="Arial" w:cs="Arial"/>
          <w:sz w:val="22"/>
          <w:szCs w:val="22"/>
        </w:rPr>
        <w:t xml:space="preserve"> y las que </w:t>
      </w:r>
      <w:r w:rsidRPr="00E80D37">
        <w:rPr>
          <w:rFonts w:ascii="Arial" w:hAnsi="Arial" w:cs="Arial"/>
          <w:i/>
          <w:sz w:val="22"/>
          <w:szCs w:val="22"/>
        </w:rPr>
        <w:t xml:space="preserve">“resuelvan los recursos de casación y revisión”. </w:t>
      </w:r>
      <w:r w:rsidRPr="00E80D37">
        <w:rPr>
          <w:rFonts w:ascii="Arial" w:hAnsi="Arial" w:cs="Arial"/>
          <w:sz w:val="22"/>
          <w:szCs w:val="22"/>
        </w:rPr>
        <w:t xml:space="preserve">La Ley 270 de 1996, Estatutaria de la Administración de Justicia, establece en su artículo 55 que las sentencias judiciales </w:t>
      </w:r>
      <w:r w:rsidRPr="00E80D37">
        <w:rPr>
          <w:rFonts w:ascii="Arial" w:hAnsi="Arial" w:cs="Arial"/>
          <w:i/>
          <w:sz w:val="22"/>
          <w:szCs w:val="22"/>
        </w:rPr>
        <w:t>“deberán referirse a todos los hechos y asuntos planteados en el proceso por los sujetos procesales”</w:t>
      </w:r>
      <w:r w:rsidRPr="00E80D37">
        <w:rPr>
          <w:rFonts w:ascii="Arial" w:hAnsi="Arial" w:cs="Arial"/>
          <w:sz w:val="22"/>
          <w:szCs w:val="22"/>
        </w:rPr>
        <w:t>, lo cual guarda entera consonancia con lo dispuesto en el artículo 170 del C.C.A… De tales preceptos normativos se desprende que la sentencia judicial concreta y condensa, de manera fundamental, la función jurisdiccional y el ejercicio de las competencias que la ley les asigna a los jueces</w:t>
      </w:r>
      <w:r w:rsidR="005577AA" w:rsidRPr="00E80D37">
        <w:rPr>
          <w:rFonts w:ascii="Arial" w:hAnsi="Arial" w:cs="Arial"/>
          <w:sz w:val="22"/>
          <w:szCs w:val="22"/>
        </w:rPr>
        <w:t>.</w:t>
      </w:r>
      <w:r w:rsidRPr="00E80D37">
        <w:rPr>
          <w:rFonts w:ascii="Arial" w:hAnsi="Arial" w:cs="Arial"/>
          <w:sz w:val="22"/>
          <w:szCs w:val="22"/>
        </w:rPr>
        <w:t xml:space="preserve"> </w:t>
      </w:r>
    </w:p>
    <w:p w14:paraId="2D04DBEF" w14:textId="77777777" w:rsidR="005577AA" w:rsidRPr="00E80D37" w:rsidRDefault="005577AA" w:rsidP="00E31765">
      <w:pPr>
        <w:tabs>
          <w:tab w:val="left" w:pos="810"/>
          <w:tab w:val="left" w:pos="2085"/>
          <w:tab w:val="center" w:pos="4420"/>
          <w:tab w:val="left" w:pos="6570"/>
        </w:tabs>
        <w:jc w:val="both"/>
        <w:rPr>
          <w:rFonts w:ascii="Arial" w:hAnsi="Arial" w:cs="Arial"/>
          <w:sz w:val="22"/>
          <w:szCs w:val="22"/>
        </w:rPr>
      </w:pPr>
    </w:p>
    <w:p w14:paraId="2E761A7F" w14:textId="77777777" w:rsidR="005577AA" w:rsidRPr="00E80D37" w:rsidRDefault="005577AA" w:rsidP="00E31765">
      <w:pPr>
        <w:tabs>
          <w:tab w:val="left" w:pos="810"/>
          <w:tab w:val="left" w:pos="2085"/>
          <w:tab w:val="center" w:pos="4420"/>
          <w:tab w:val="left" w:pos="6570"/>
        </w:tabs>
        <w:jc w:val="both"/>
        <w:rPr>
          <w:rFonts w:ascii="Arial" w:hAnsi="Arial" w:cs="Arial"/>
          <w:sz w:val="22"/>
          <w:szCs w:val="22"/>
        </w:rPr>
      </w:pPr>
    </w:p>
    <w:p w14:paraId="03E3363C" w14:textId="77777777" w:rsidR="005577AA" w:rsidRPr="00E80D37" w:rsidRDefault="005577AA" w:rsidP="005577AA">
      <w:pPr>
        <w:tabs>
          <w:tab w:val="left" w:pos="810"/>
          <w:tab w:val="left" w:pos="2085"/>
          <w:tab w:val="center" w:pos="4420"/>
          <w:tab w:val="left" w:pos="6570"/>
        </w:tabs>
        <w:jc w:val="both"/>
        <w:rPr>
          <w:rFonts w:ascii="Arial" w:hAnsi="Arial" w:cs="Arial"/>
          <w:b/>
          <w:sz w:val="22"/>
          <w:szCs w:val="22"/>
        </w:rPr>
      </w:pPr>
      <w:r w:rsidRPr="00E80D37">
        <w:rPr>
          <w:rFonts w:ascii="Arial" w:hAnsi="Arial" w:cs="Arial"/>
          <w:b/>
          <w:sz w:val="22"/>
          <w:szCs w:val="22"/>
        </w:rPr>
        <w:t xml:space="preserve">COMPETENCIA FUNCIONAL PARA PROFERIR SENTENCIAS - Requisitos </w:t>
      </w:r>
    </w:p>
    <w:p w14:paraId="3EA442D6" w14:textId="77777777" w:rsidR="005577AA" w:rsidRPr="00E80D37" w:rsidRDefault="005577AA" w:rsidP="00E31765">
      <w:pPr>
        <w:tabs>
          <w:tab w:val="left" w:pos="810"/>
          <w:tab w:val="left" w:pos="2085"/>
          <w:tab w:val="center" w:pos="4420"/>
          <w:tab w:val="left" w:pos="6570"/>
        </w:tabs>
        <w:jc w:val="both"/>
        <w:rPr>
          <w:rFonts w:ascii="Arial" w:hAnsi="Arial" w:cs="Arial"/>
          <w:sz w:val="22"/>
          <w:szCs w:val="22"/>
        </w:rPr>
      </w:pPr>
    </w:p>
    <w:p w14:paraId="3EA4D792" w14:textId="77777777" w:rsidR="00E31765" w:rsidRPr="00E80D37" w:rsidRDefault="00E31765" w:rsidP="00E31765">
      <w:pPr>
        <w:tabs>
          <w:tab w:val="left" w:pos="810"/>
          <w:tab w:val="left" w:pos="2085"/>
          <w:tab w:val="center" w:pos="4420"/>
          <w:tab w:val="left" w:pos="6570"/>
        </w:tabs>
        <w:jc w:val="both"/>
        <w:rPr>
          <w:rFonts w:ascii="Arial" w:hAnsi="Arial" w:cs="Arial"/>
          <w:i/>
          <w:sz w:val="22"/>
          <w:szCs w:val="22"/>
        </w:rPr>
      </w:pPr>
      <w:r w:rsidRPr="00E80D37">
        <w:rPr>
          <w:rFonts w:ascii="Arial" w:hAnsi="Arial" w:cs="Arial"/>
          <w:sz w:val="22"/>
          <w:szCs w:val="22"/>
        </w:rPr>
        <w:t xml:space="preserve">Ahora bien, tratándose de sentencias que deban ser proferidas por los jueces colegiados –como es el caso de los Tribunales Administrativos y del Consejo de Estado-, tales providencias requieren el voto de la mayoría absoluta de sus miembros… Así pues, las decisiones que las corporaciones judiciales adopten en las sentencias –y señaladas expresamente en su parte resolutiva- deberán contar con la aprobación de la mayoría de los miembros de la respectiva Sala, so pena de que la providencia carezca de validez. Con todo, esta exigencia no excluye la posibilidad de que uno de los magistrados que integra la colegiatura se aparte de la decisión de la mayoría; por el contrario, la ley le otorga el derecho de expresar su disentimiento con el salvamento de voto, acto este que, </w:t>
      </w:r>
      <w:r w:rsidRPr="00E80D37">
        <w:rPr>
          <w:rFonts w:ascii="Arial" w:hAnsi="Arial" w:cs="Arial"/>
          <w:sz w:val="22"/>
          <w:szCs w:val="22"/>
          <w:u w:val="single"/>
        </w:rPr>
        <w:t>al no afectar el quórum decisorio de carácter mayoritario</w:t>
      </w:r>
      <w:r w:rsidRPr="00E80D37">
        <w:rPr>
          <w:rFonts w:ascii="Arial" w:hAnsi="Arial" w:cs="Arial"/>
          <w:sz w:val="22"/>
          <w:szCs w:val="22"/>
        </w:rPr>
        <w:t xml:space="preserve">, no vicia de nulidad la respectiva sentencia… Pues bien, de conformidad con el artículo 120 del C.C.A., los artículos 102 y 103 de ese mismo estatuto les son aplicables a los Tribunales Administrativos, corporaciones que, </w:t>
      </w:r>
      <w:r w:rsidRPr="00E80D37">
        <w:rPr>
          <w:rFonts w:ascii="Arial" w:hAnsi="Arial" w:cs="Arial"/>
          <w:sz w:val="22"/>
          <w:szCs w:val="22"/>
        </w:rPr>
        <w:lastRenderedPageBreak/>
        <w:t xml:space="preserve">según el artículo 106 </w:t>
      </w:r>
      <w:r w:rsidRPr="00E80D37">
        <w:rPr>
          <w:rFonts w:ascii="Arial" w:hAnsi="Arial" w:cs="Arial"/>
          <w:i/>
          <w:sz w:val="22"/>
          <w:szCs w:val="22"/>
        </w:rPr>
        <w:t>ejusdem,</w:t>
      </w:r>
      <w:r w:rsidRPr="00E80D37">
        <w:rPr>
          <w:rFonts w:ascii="Arial" w:hAnsi="Arial" w:cs="Arial"/>
          <w:sz w:val="22"/>
          <w:szCs w:val="22"/>
        </w:rPr>
        <w:t xml:space="preserve"> ejercen sus funciones </w:t>
      </w:r>
      <w:r w:rsidRPr="00E80D37">
        <w:rPr>
          <w:rFonts w:ascii="Arial" w:hAnsi="Arial" w:cs="Arial"/>
          <w:i/>
          <w:sz w:val="22"/>
          <w:szCs w:val="22"/>
        </w:rPr>
        <w:t xml:space="preserve">“por conducto de la Sala Plena (…), por la Sala de Gobierno, por las Salas especializadas y </w:t>
      </w:r>
      <w:r w:rsidRPr="00E80D37">
        <w:rPr>
          <w:rFonts w:ascii="Arial" w:hAnsi="Arial" w:cs="Arial"/>
          <w:b/>
          <w:i/>
          <w:sz w:val="22"/>
          <w:szCs w:val="22"/>
        </w:rPr>
        <w:t xml:space="preserve">por las demás Salas de Decisión </w:t>
      </w:r>
      <w:r w:rsidRPr="00E80D37">
        <w:rPr>
          <w:rFonts w:ascii="Arial" w:hAnsi="Arial" w:cs="Arial"/>
          <w:b/>
          <w:i/>
          <w:sz w:val="22"/>
          <w:szCs w:val="22"/>
          <w:u w:val="single"/>
        </w:rPr>
        <w:t>plurales e impares</w:t>
      </w:r>
      <w:r w:rsidRPr="00E80D37">
        <w:rPr>
          <w:rFonts w:ascii="Arial" w:hAnsi="Arial" w:cs="Arial"/>
          <w:i/>
          <w:sz w:val="22"/>
          <w:szCs w:val="22"/>
        </w:rPr>
        <w:t>, de acuerdo con la ley”.</w:t>
      </w:r>
      <w:r w:rsidRPr="00E80D37">
        <w:rPr>
          <w:rFonts w:ascii="Arial" w:hAnsi="Arial" w:cs="Arial"/>
          <w:sz w:val="22"/>
          <w:szCs w:val="22"/>
        </w:rPr>
        <w:t xml:space="preserve"> Por tanto, toda sentencia dictada por los Tribunales Administrativos también deberá contar con el voto de la mayoría absoluta de los miembros de la Sala que la haya proferido. Las mencionadas reglas de mayoría que el ordenamiento procesal impone a los fallos dictados por las corporaciones judiciales se orientan a salvaguardar el debido proceso, en la medida en que garantizan, entre otras cosas, la competencia funcional de los jueces que deben proferir tales decisiones. El factor funcional de la competencia es aquel que atiende al criterio jerárquico y a la regla de la doble instancia en la distribución de los asuntos que deben conocer los jueces de acuerdo al grado o categoría a la que pertenezcan…</w:t>
      </w:r>
      <w:r w:rsidRPr="00E80D37">
        <w:rPr>
          <w:rFonts w:ascii="Arial" w:eastAsia="Calibri" w:hAnsi="Arial" w:cs="Arial"/>
          <w:sz w:val="22"/>
          <w:szCs w:val="22"/>
        </w:rPr>
        <w:t xml:space="preserve"> </w:t>
      </w:r>
      <w:r w:rsidRPr="00E80D37">
        <w:rPr>
          <w:rFonts w:ascii="Arial" w:hAnsi="Arial" w:cs="Arial"/>
          <w:sz w:val="22"/>
          <w:szCs w:val="22"/>
        </w:rPr>
        <w:t xml:space="preserve">En ese sentido, y en lo que respecta a la jurisdicción de lo contencioso administrativo, al enunciar los artículos 131, 132 y 133 del C.C.A. los asuntos o procesos que deben conocer los Tribunales Administrativos en única, primera y segunda instancia, le están asignando a dichas corporaciones determinadas competencias por el </w:t>
      </w:r>
      <w:r w:rsidRPr="00E80D37">
        <w:rPr>
          <w:rFonts w:ascii="Arial" w:hAnsi="Arial" w:cs="Arial"/>
          <w:i/>
          <w:sz w:val="22"/>
          <w:szCs w:val="22"/>
        </w:rPr>
        <w:t>factor funcional.</w:t>
      </w:r>
      <w:r w:rsidRPr="00E80D37">
        <w:rPr>
          <w:rFonts w:ascii="Arial" w:hAnsi="Arial" w:cs="Arial"/>
          <w:sz w:val="22"/>
          <w:szCs w:val="22"/>
        </w:rPr>
        <w:t xml:space="preserve"> Como consecuencia, al decidir los Tribunales Administrativos tales asuntos en la instancia correspondiente y a través de sentencia, deben expedir dicha providencia bajo las reglas de mayoría decisoria, previstas en las normas anteriormente referidas, lo cual implica, como ya se anotó, que las resoluciones contenidas en el fallo hayan sido aprobadas y acogidas por la mayoría absoluta de los miembros de la respectiva Sala y que, de no lograrse tal margen de acuerdo, se deba repetir la votación o procederse a la designación de conjueces. En ese orden de ideas, la inobservancia de los mencionados requisitos acarrea la nulidad de la sentencia por </w:t>
      </w:r>
      <w:r w:rsidRPr="00E80D37">
        <w:rPr>
          <w:rFonts w:ascii="Arial" w:hAnsi="Arial" w:cs="Arial"/>
          <w:i/>
          <w:sz w:val="22"/>
          <w:szCs w:val="22"/>
        </w:rPr>
        <w:t>falta de competencia,</w:t>
      </w:r>
      <w:r w:rsidRPr="00E80D37">
        <w:rPr>
          <w:rFonts w:ascii="Arial" w:hAnsi="Arial" w:cs="Arial"/>
          <w:sz w:val="22"/>
          <w:szCs w:val="22"/>
        </w:rPr>
        <w:t xml:space="preserve"> causal prevista en el artículo 140 – numeral 2 del Código de Procedimiento Civil y que, de acuerdo con lo previsto en el artículo 144 del mismo estatuto, es insaneable cuando el factor de competencia afectado con el vicio es precisamente el </w:t>
      </w:r>
      <w:r w:rsidRPr="00E80D37">
        <w:rPr>
          <w:rFonts w:ascii="Arial" w:hAnsi="Arial" w:cs="Arial"/>
          <w:i/>
          <w:sz w:val="22"/>
          <w:szCs w:val="22"/>
        </w:rPr>
        <w:t>funcional.</w:t>
      </w:r>
    </w:p>
    <w:p w14:paraId="54EECEFC" w14:textId="77777777" w:rsidR="00E31765" w:rsidRPr="00E80D37" w:rsidRDefault="00E31765" w:rsidP="00E31765">
      <w:pPr>
        <w:tabs>
          <w:tab w:val="left" w:pos="810"/>
          <w:tab w:val="left" w:pos="2085"/>
          <w:tab w:val="center" w:pos="4420"/>
          <w:tab w:val="left" w:pos="6570"/>
        </w:tabs>
        <w:jc w:val="both"/>
        <w:rPr>
          <w:rFonts w:ascii="Arial" w:hAnsi="Arial" w:cs="Arial"/>
          <w:i/>
          <w:sz w:val="22"/>
          <w:szCs w:val="22"/>
        </w:rPr>
      </w:pPr>
    </w:p>
    <w:p w14:paraId="6887764E" w14:textId="77777777" w:rsidR="00E31765" w:rsidRPr="00E80D37" w:rsidRDefault="00E31765" w:rsidP="00E31765">
      <w:pPr>
        <w:tabs>
          <w:tab w:val="left" w:pos="810"/>
          <w:tab w:val="left" w:pos="2085"/>
          <w:tab w:val="center" w:pos="4420"/>
          <w:tab w:val="left" w:pos="6570"/>
        </w:tabs>
        <w:jc w:val="both"/>
        <w:rPr>
          <w:rFonts w:ascii="Arial" w:hAnsi="Arial" w:cs="Arial"/>
          <w:sz w:val="22"/>
          <w:szCs w:val="22"/>
        </w:rPr>
      </w:pPr>
    </w:p>
    <w:p w14:paraId="2FD28998" w14:textId="2B5BBF80" w:rsidR="00E31765" w:rsidRPr="00E80D37" w:rsidRDefault="00AC3F8F" w:rsidP="00E31765">
      <w:pPr>
        <w:tabs>
          <w:tab w:val="left" w:pos="810"/>
          <w:tab w:val="left" w:pos="2085"/>
          <w:tab w:val="center" w:pos="4420"/>
          <w:tab w:val="left" w:pos="6570"/>
        </w:tabs>
        <w:jc w:val="both"/>
        <w:rPr>
          <w:rFonts w:ascii="Arial" w:hAnsi="Arial" w:cs="Arial"/>
          <w:b/>
          <w:sz w:val="22"/>
          <w:szCs w:val="22"/>
          <w:lang w:val="es-CO"/>
        </w:rPr>
      </w:pPr>
      <w:r w:rsidRPr="00E80D37">
        <w:rPr>
          <w:rFonts w:ascii="Arial" w:hAnsi="Arial" w:cs="Arial"/>
          <w:b/>
          <w:sz w:val="22"/>
          <w:szCs w:val="22"/>
          <w:lang w:val="es-CO"/>
        </w:rPr>
        <w:t>NULIDAD PROCESAL</w:t>
      </w:r>
      <w:r w:rsidR="005577AA" w:rsidRPr="00E80D37">
        <w:rPr>
          <w:rFonts w:ascii="Arial" w:hAnsi="Arial" w:cs="Arial"/>
          <w:b/>
          <w:sz w:val="22"/>
          <w:szCs w:val="22"/>
          <w:lang w:val="es-CO"/>
        </w:rPr>
        <w:t xml:space="preserve"> </w:t>
      </w:r>
      <w:r w:rsidR="00606314" w:rsidRPr="00E80D37">
        <w:rPr>
          <w:rFonts w:ascii="Arial" w:hAnsi="Arial" w:cs="Arial"/>
          <w:b/>
          <w:sz w:val="22"/>
          <w:szCs w:val="22"/>
          <w:lang w:val="es-CO"/>
        </w:rPr>
        <w:t>- Declaratoria -</w:t>
      </w:r>
      <w:r w:rsidRPr="00E80D37">
        <w:rPr>
          <w:rFonts w:ascii="Arial" w:hAnsi="Arial" w:cs="Arial"/>
          <w:b/>
          <w:sz w:val="22"/>
          <w:szCs w:val="22"/>
          <w:lang w:val="es-CO"/>
        </w:rPr>
        <w:t xml:space="preserve"> </w:t>
      </w:r>
      <w:r w:rsidR="005577AA" w:rsidRPr="00E80D37">
        <w:rPr>
          <w:rFonts w:ascii="Arial" w:hAnsi="Arial" w:cs="Arial"/>
          <w:b/>
          <w:sz w:val="22"/>
          <w:szCs w:val="22"/>
          <w:lang w:val="es-CO"/>
        </w:rPr>
        <w:t>D</w:t>
      </w:r>
      <w:r w:rsidRPr="00E80D37">
        <w:rPr>
          <w:rFonts w:ascii="Arial" w:hAnsi="Arial" w:cs="Arial"/>
          <w:b/>
          <w:sz w:val="22"/>
          <w:szCs w:val="22"/>
          <w:lang w:val="es-CO"/>
        </w:rPr>
        <w:t xml:space="preserve">esarrollo </w:t>
      </w:r>
    </w:p>
    <w:p w14:paraId="3AF55E57" w14:textId="77777777" w:rsidR="00AC3F8F" w:rsidRPr="00E80D37" w:rsidRDefault="00AC3F8F" w:rsidP="00E31765">
      <w:pPr>
        <w:tabs>
          <w:tab w:val="left" w:pos="810"/>
          <w:tab w:val="left" w:pos="2085"/>
          <w:tab w:val="center" w:pos="4420"/>
          <w:tab w:val="left" w:pos="6570"/>
        </w:tabs>
        <w:jc w:val="both"/>
        <w:rPr>
          <w:rFonts w:ascii="Arial" w:hAnsi="Arial" w:cs="Arial"/>
          <w:sz w:val="22"/>
          <w:szCs w:val="22"/>
        </w:rPr>
      </w:pPr>
    </w:p>
    <w:p w14:paraId="72310C70" w14:textId="77777777" w:rsidR="008C384B" w:rsidRPr="00E80D37" w:rsidRDefault="00AC3F8F" w:rsidP="00AC3F8F">
      <w:pPr>
        <w:tabs>
          <w:tab w:val="left" w:pos="810"/>
          <w:tab w:val="left" w:pos="2085"/>
          <w:tab w:val="center" w:pos="4420"/>
          <w:tab w:val="left" w:pos="6570"/>
        </w:tabs>
        <w:jc w:val="both"/>
        <w:rPr>
          <w:rFonts w:ascii="Arial" w:hAnsi="Arial" w:cs="Arial"/>
          <w:sz w:val="22"/>
          <w:szCs w:val="22"/>
          <w:lang w:val="es-ES_tradnl"/>
        </w:rPr>
      </w:pPr>
      <w:r w:rsidRPr="00E80D37">
        <w:rPr>
          <w:rFonts w:ascii="Arial" w:hAnsi="Arial" w:cs="Arial"/>
          <w:sz w:val="22"/>
          <w:szCs w:val="22"/>
          <w:lang w:val="es-ES_tradnl"/>
        </w:rPr>
        <w:t>Con todo, esta Sala se aparta de las conclusiones de la Procuraduría Delegada relativas a los efectos del disenso referido, pues considera dicha Agencia que la decisión mayoritaria adoptada en primera instancia resultó contenida en los escritos de salvamento de voto presentados como aclaración, cuando lo cierto es que tales actos en manera alguna pueden equipararse a una sentencia, dado que no contienen las motivaciones, los análisis probatorios, las decisiones, ni las ritualidades exigidas por la normativa procesal para dicha clase de providencias. Asimismo, es claro que la ley no les otorga carácter vinculante a las aclaraciones ni a los salvamentos de voto, de modo que no es posible derivar de ellos una decisión judicial que sea susceptible de ser recurrida por las partes ni revisada por el superior jerárquico en sede de segunda instancia.</w:t>
      </w:r>
      <w:r w:rsidRPr="00E80D37">
        <w:rPr>
          <w:rFonts w:ascii="Arial" w:hAnsi="Arial" w:cs="Arial"/>
          <w:sz w:val="22"/>
          <w:szCs w:val="22"/>
        </w:rPr>
        <w:t xml:space="preserve">La medida que aquí deberá proferirse no impide la solución de la controversia citada en la referencia, por el contrario, se orienta a que la decisión por la cual debe resolverse el litigio en cierre de la primera instancia provenga del juez llamado por la ley a adoptarla y se profiera bajo las reglas de mayoría y de competencia, anteriormente señaladas. Así las cosas y dado que las normas legales transcritas, por ser procesales, </w:t>
      </w:r>
      <w:r w:rsidRPr="00E80D37">
        <w:rPr>
          <w:rFonts w:ascii="Arial" w:hAnsi="Arial" w:cs="Arial"/>
          <w:i/>
          <w:sz w:val="22"/>
          <w:szCs w:val="22"/>
        </w:rPr>
        <w:t>“… son  de orden público y, por consiguiente, de obligatorio cumplimiento…”,</w:t>
      </w:r>
      <w:r w:rsidRPr="00E80D37">
        <w:rPr>
          <w:rFonts w:ascii="Arial" w:hAnsi="Arial" w:cs="Arial"/>
          <w:sz w:val="22"/>
          <w:szCs w:val="22"/>
        </w:rPr>
        <w:t xml:space="preserve"> según los precisos y perentorios mandatos del artículo 6º de esa misma codificación, en esta oportunidad el Despacho se encuentra en el imperativo de declarar la nulidad de todo lo actuado en el proceso de la referencia a partir de la sentencia dictada por el Tribunal Administrativo de Cundinamarca el 3 de noviembre de 2004, inclusive, al verificar la configuración de la aludida causal 2 del artículo 140 del Código de Procedimiento Civil.</w:t>
      </w:r>
      <w:r w:rsidRPr="00E80D37">
        <w:rPr>
          <w:rFonts w:ascii="Arial" w:hAnsi="Arial" w:cs="Arial"/>
          <w:sz w:val="22"/>
          <w:szCs w:val="22"/>
          <w:lang w:val="es-CO"/>
        </w:rPr>
        <w:t>Es de importancia en el presente caso, con el fin de garantizar la efectividad del derecho fundamental de acceso a la Administración de Justicia, establecer que para todos los efectos legales debe tenerse en cuenta la fecha de presentación de la demanda ante esta Jurisdicción de lo Contencioso Administrativo, esto es, el 29 de octubre de 1997.</w:t>
      </w:r>
      <w:r w:rsidRPr="00E80D37">
        <w:rPr>
          <w:rFonts w:ascii="Arial" w:hAnsi="Arial" w:cs="Arial"/>
          <w:sz w:val="22"/>
          <w:szCs w:val="22"/>
        </w:rPr>
        <w:t>De conformidad con lo anterior, se impone ordenar la remisión del expediente al Tribunal de origen, con el fin de que profiera la sentencia respectiva, atendiendo a las consideraciones y precisiones expuestas en precedencia.</w:t>
      </w:r>
    </w:p>
    <w:bookmarkEnd w:id="0"/>
    <w:p w14:paraId="5EB726E9" w14:textId="77777777" w:rsidR="008C384B" w:rsidRDefault="008C384B" w:rsidP="00120424">
      <w:pPr>
        <w:tabs>
          <w:tab w:val="left" w:pos="810"/>
          <w:tab w:val="left" w:pos="2085"/>
          <w:tab w:val="center" w:pos="4420"/>
          <w:tab w:val="left" w:pos="6570"/>
        </w:tabs>
        <w:jc w:val="center"/>
        <w:rPr>
          <w:rFonts w:ascii="Arial" w:hAnsi="Arial" w:cs="Arial"/>
          <w:b/>
        </w:rPr>
      </w:pPr>
    </w:p>
    <w:p w14:paraId="335CAD29" w14:textId="77777777" w:rsidR="008C384B" w:rsidRDefault="008C384B" w:rsidP="00120424">
      <w:pPr>
        <w:tabs>
          <w:tab w:val="left" w:pos="810"/>
          <w:tab w:val="left" w:pos="2085"/>
          <w:tab w:val="center" w:pos="4420"/>
          <w:tab w:val="left" w:pos="6570"/>
        </w:tabs>
        <w:jc w:val="center"/>
        <w:rPr>
          <w:rFonts w:ascii="Arial" w:hAnsi="Arial" w:cs="Arial"/>
          <w:b/>
        </w:rPr>
      </w:pPr>
    </w:p>
    <w:p w14:paraId="056BC2AF" w14:textId="77777777" w:rsidR="00A4147F" w:rsidRPr="00120424" w:rsidRDefault="00F53EDB" w:rsidP="00120424">
      <w:pPr>
        <w:tabs>
          <w:tab w:val="left" w:pos="810"/>
          <w:tab w:val="left" w:pos="2085"/>
          <w:tab w:val="center" w:pos="4420"/>
          <w:tab w:val="left" w:pos="6570"/>
        </w:tabs>
        <w:jc w:val="center"/>
        <w:rPr>
          <w:rFonts w:ascii="Arial" w:hAnsi="Arial" w:cs="Arial"/>
          <w:b/>
        </w:rPr>
      </w:pPr>
      <w:r w:rsidRPr="00120424">
        <w:rPr>
          <w:rFonts w:ascii="Arial" w:hAnsi="Arial" w:cs="Arial"/>
          <w:b/>
        </w:rPr>
        <w:t xml:space="preserve">CONSEJO </w:t>
      </w:r>
      <w:r w:rsidR="00A4147F" w:rsidRPr="00120424">
        <w:rPr>
          <w:rFonts w:ascii="Arial" w:hAnsi="Arial" w:cs="Arial"/>
          <w:b/>
        </w:rPr>
        <w:t>DE ESTADO</w:t>
      </w:r>
    </w:p>
    <w:p w14:paraId="12185D50" w14:textId="77777777" w:rsidR="00A4147F" w:rsidRPr="00120424" w:rsidRDefault="00A4147F" w:rsidP="00120424">
      <w:pPr>
        <w:jc w:val="center"/>
        <w:rPr>
          <w:rFonts w:ascii="Arial" w:hAnsi="Arial" w:cs="Arial"/>
          <w:b/>
        </w:rPr>
      </w:pPr>
    </w:p>
    <w:p w14:paraId="4BC08035" w14:textId="77777777" w:rsidR="00A4147F" w:rsidRPr="00120424" w:rsidRDefault="00A4147F" w:rsidP="00120424">
      <w:pPr>
        <w:jc w:val="center"/>
        <w:rPr>
          <w:rFonts w:ascii="Arial" w:hAnsi="Arial" w:cs="Arial"/>
          <w:b/>
        </w:rPr>
      </w:pPr>
      <w:r w:rsidRPr="00120424">
        <w:rPr>
          <w:rFonts w:ascii="Arial" w:hAnsi="Arial" w:cs="Arial"/>
          <w:b/>
        </w:rPr>
        <w:lastRenderedPageBreak/>
        <w:t>SALA DE LO CONTENCIOSO ADMINISTRATIVO</w:t>
      </w:r>
    </w:p>
    <w:p w14:paraId="3303494C" w14:textId="77777777" w:rsidR="00A4147F" w:rsidRPr="00120424" w:rsidRDefault="00A4147F" w:rsidP="00120424">
      <w:pPr>
        <w:jc w:val="center"/>
        <w:rPr>
          <w:rFonts w:ascii="Arial" w:hAnsi="Arial" w:cs="Arial"/>
          <w:b/>
        </w:rPr>
      </w:pPr>
    </w:p>
    <w:p w14:paraId="201FAC7F" w14:textId="77777777" w:rsidR="00A4147F" w:rsidRPr="00120424" w:rsidRDefault="00A4147F" w:rsidP="00120424">
      <w:pPr>
        <w:jc w:val="center"/>
        <w:rPr>
          <w:rFonts w:ascii="Arial" w:hAnsi="Arial" w:cs="Arial"/>
          <w:b/>
        </w:rPr>
      </w:pPr>
      <w:r w:rsidRPr="00120424">
        <w:rPr>
          <w:rFonts w:ascii="Arial" w:hAnsi="Arial" w:cs="Arial"/>
          <w:b/>
        </w:rPr>
        <w:t>SECCIÓN TERCERA</w:t>
      </w:r>
    </w:p>
    <w:p w14:paraId="7A294D57" w14:textId="77777777" w:rsidR="00A4147F" w:rsidRPr="00120424" w:rsidRDefault="00A4147F" w:rsidP="00120424">
      <w:pPr>
        <w:jc w:val="center"/>
        <w:rPr>
          <w:rFonts w:ascii="Arial" w:hAnsi="Arial" w:cs="Arial"/>
          <w:b/>
        </w:rPr>
      </w:pPr>
    </w:p>
    <w:p w14:paraId="1D88EE34" w14:textId="77777777" w:rsidR="00A4147F" w:rsidRPr="00120424" w:rsidRDefault="00A4147F" w:rsidP="00120424">
      <w:pPr>
        <w:tabs>
          <w:tab w:val="center" w:pos="4420"/>
          <w:tab w:val="left" w:pos="6060"/>
        </w:tabs>
        <w:jc w:val="center"/>
        <w:rPr>
          <w:rFonts w:ascii="Arial" w:hAnsi="Arial" w:cs="Arial"/>
          <w:b/>
        </w:rPr>
      </w:pPr>
      <w:r w:rsidRPr="00120424">
        <w:rPr>
          <w:rFonts w:ascii="Arial" w:hAnsi="Arial" w:cs="Arial"/>
          <w:b/>
        </w:rPr>
        <w:t>SUBSECCIÓN A</w:t>
      </w:r>
    </w:p>
    <w:p w14:paraId="29271470" w14:textId="77777777" w:rsidR="00A4147F" w:rsidRPr="00120424" w:rsidRDefault="00A4147F" w:rsidP="00120424">
      <w:pPr>
        <w:jc w:val="center"/>
        <w:rPr>
          <w:rFonts w:ascii="Arial" w:hAnsi="Arial" w:cs="Arial"/>
          <w:b/>
        </w:rPr>
      </w:pPr>
    </w:p>
    <w:p w14:paraId="5B47D478" w14:textId="77777777" w:rsidR="00A4147F" w:rsidRPr="00120424" w:rsidRDefault="00A4147F" w:rsidP="00120424">
      <w:pPr>
        <w:jc w:val="center"/>
        <w:rPr>
          <w:rFonts w:ascii="Arial" w:hAnsi="Arial" w:cs="Arial"/>
          <w:b/>
        </w:rPr>
      </w:pPr>
      <w:r w:rsidRPr="00120424">
        <w:rPr>
          <w:rFonts w:ascii="Arial" w:hAnsi="Arial" w:cs="Arial"/>
          <w:b/>
        </w:rPr>
        <w:t>Consejera Ponente: MARTA NUBIA VELÁSQUEZ RICO</w:t>
      </w:r>
      <w:r w:rsidR="00120424">
        <w:rPr>
          <w:rFonts w:ascii="Arial" w:hAnsi="Arial" w:cs="Arial"/>
          <w:b/>
        </w:rPr>
        <w:t xml:space="preserve"> </w:t>
      </w:r>
      <w:r w:rsidR="00120424" w:rsidRPr="00120424">
        <w:rPr>
          <w:rFonts w:ascii="Arial" w:hAnsi="Arial" w:cs="Arial"/>
          <w:b/>
        </w:rPr>
        <w:t>(E)</w:t>
      </w:r>
    </w:p>
    <w:p w14:paraId="6DAED9E1" w14:textId="77777777" w:rsidR="00A4147F" w:rsidRPr="00120424" w:rsidRDefault="00A4147F" w:rsidP="00120424">
      <w:pPr>
        <w:jc w:val="both"/>
        <w:rPr>
          <w:rFonts w:ascii="Arial" w:hAnsi="Arial" w:cs="Arial"/>
          <w:b/>
        </w:rPr>
      </w:pPr>
    </w:p>
    <w:p w14:paraId="67E98838" w14:textId="77777777" w:rsidR="00A4147F" w:rsidRPr="00120424" w:rsidRDefault="00A4147F" w:rsidP="00120424">
      <w:pPr>
        <w:jc w:val="both"/>
        <w:rPr>
          <w:rFonts w:ascii="Arial" w:hAnsi="Arial" w:cs="Arial"/>
          <w:lang w:val="es-CO"/>
        </w:rPr>
      </w:pPr>
      <w:r w:rsidRPr="00120424">
        <w:rPr>
          <w:rFonts w:ascii="Arial" w:hAnsi="Arial" w:cs="Arial"/>
          <w:lang w:val="es-CO"/>
        </w:rPr>
        <w:t xml:space="preserve">Bogotá, D.C., </w:t>
      </w:r>
      <w:r w:rsidR="002E0E21" w:rsidRPr="00120424">
        <w:rPr>
          <w:rFonts w:ascii="Arial" w:hAnsi="Arial" w:cs="Arial"/>
          <w:lang w:val="es-CO"/>
        </w:rPr>
        <w:t>quince (15) de agosto</w:t>
      </w:r>
      <w:r w:rsidRPr="00120424">
        <w:rPr>
          <w:rFonts w:ascii="Arial" w:hAnsi="Arial" w:cs="Arial"/>
          <w:lang w:val="es-CO"/>
        </w:rPr>
        <w:t xml:space="preserve"> dos mil diecisiete (2017)</w:t>
      </w:r>
    </w:p>
    <w:p w14:paraId="051BB360" w14:textId="77777777" w:rsidR="002E0E21" w:rsidRPr="00120424" w:rsidRDefault="002E0E21" w:rsidP="00120424">
      <w:pPr>
        <w:jc w:val="both"/>
        <w:rPr>
          <w:rFonts w:ascii="Arial" w:hAnsi="Arial" w:cs="Arial"/>
          <w:lang w:val="es-CO"/>
        </w:rPr>
      </w:pPr>
    </w:p>
    <w:p w14:paraId="12BD13FD" w14:textId="77777777" w:rsidR="00A4147F" w:rsidRDefault="00A4147F" w:rsidP="00120424">
      <w:pPr>
        <w:jc w:val="both"/>
        <w:rPr>
          <w:rFonts w:ascii="Arial" w:hAnsi="Arial" w:cs="Arial"/>
          <w:b/>
        </w:rPr>
      </w:pPr>
      <w:r w:rsidRPr="00120424">
        <w:rPr>
          <w:rFonts w:ascii="Arial" w:hAnsi="Arial" w:cs="Arial"/>
          <w:b/>
        </w:rPr>
        <w:t xml:space="preserve">Radicación número: </w:t>
      </w:r>
      <w:r w:rsidR="002E0E21" w:rsidRPr="00120424">
        <w:rPr>
          <w:rFonts w:ascii="Arial" w:hAnsi="Arial" w:cs="Arial"/>
          <w:b/>
        </w:rPr>
        <w:t>25000</w:t>
      </w:r>
      <w:r w:rsidR="00120424">
        <w:rPr>
          <w:rFonts w:ascii="Arial" w:hAnsi="Arial" w:cs="Arial"/>
          <w:b/>
        </w:rPr>
        <w:t>-</w:t>
      </w:r>
      <w:r w:rsidR="002E0E21" w:rsidRPr="00120424">
        <w:rPr>
          <w:rFonts w:ascii="Arial" w:hAnsi="Arial" w:cs="Arial"/>
          <w:b/>
        </w:rPr>
        <w:t>23</w:t>
      </w:r>
      <w:r w:rsidR="00120424">
        <w:rPr>
          <w:rFonts w:ascii="Arial" w:hAnsi="Arial" w:cs="Arial"/>
          <w:b/>
        </w:rPr>
        <w:t>-</w:t>
      </w:r>
      <w:r w:rsidR="002E0E21" w:rsidRPr="00120424">
        <w:rPr>
          <w:rFonts w:ascii="Arial" w:hAnsi="Arial" w:cs="Arial"/>
          <w:b/>
        </w:rPr>
        <w:t>26</w:t>
      </w:r>
      <w:r w:rsidR="00120424">
        <w:rPr>
          <w:rFonts w:ascii="Arial" w:hAnsi="Arial" w:cs="Arial"/>
          <w:b/>
        </w:rPr>
        <w:t>-</w:t>
      </w:r>
      <w:r w:rsidR="002E0E21" w:rsidRPr="00120424">
        <w:rPr>
          <w:rFonts w:ascii="Arial" w:hAnsi="Arial" w:cs="Arial"/>
          <w:b/>
        </w:rPr>
        <w:t>000</w:t>
      </w:r>
      <w:r w:rsidR="00120424">
        <w:rPr>
          <w:rFonts w:ascii="Arial" w:hAnsi="Arial" w:cs="Arial"/>
          <w:b/>
        </w:rPr>
        <w:t>-</w:t>
      </w:r>
      <w:r w:rsidR="002E0E21" w:rsidRPr="00120424">
        <w:rPr>
          <w:rFonts w:ascii="Arial" w:hAnsi="Arial" w:cs="Arial"/>
          <w:b/>
        </w:rPr>
        <w:t>1997</w:t>
      </w:r>
      <w:r w:rsidR="00120424">
        <w:rPr>
          <w:rFonts w:ascii="Arial" w:hAnsi="Arial" w:cs="Arial"/>
          <w:b/>
        </w:rPr>
        <w:t>-15344-01</w:t>
      </w:r>
      <w:r w:rsidR="00A86F44" w:rsidRPr="00120424">
        <w:rPr>
          <w:rFonts w:ascii="Arial" w:hAnsi="Arial" w:cs="Arial"/>
          <w:b/>
        </w:rPr>
        <w:t>(31209)</w:t>
      </w:r>
    </w:p>
    <w:p w14:paraId="7AB48788" w14:textId="77777777" w:rsidR="00120424" w:rsidRPr="00120424" w:rsidRDefault="00120424" w:rsidP="00120424">
      <w:pPr>
        <w:jc w:val="both"/>
        <w:rPr>
          <w:rFonts w:ascii="Arial" w:hAnsi="Arial" w:cs="Arial"/>
          <w:b/>
        </w:rPr>
      </w:pPr>
    </w:p>
    <w:p w14:paraId="7AC05634" w14:textId="77777777" w:rsidR="00A4147F" w:rsidRDefault="00A4147F" w:rsidP="00120424">
      <w:pPr>
        <w:jc w:val="both"/>
        <w:rPr>
          <w:rFonts w:ascii="Arial" w:hAnsi="Arial" w:cs="Arial"/>
          <w:b/>
        </w:rPr>
      </w:pPr>
      <w:r w:rsidRPr="00120424">
        <w:rPr>
          <w:rFonts w:ascii="Arial" w:hAnsi="Arial" w:cs="Arial"/>
          <w:b/>
        </w:rPr>
        <w:t xml:space="preserve">Actor: </w:t>
      </w:r>
      <w:r w:rsidR="00930D16" w:rsidRPr="00120424">
        <w:rPr>
          <w:rFonts w:ascii="Arial" w:hAnsi="Arial" w:cs="Arial"/>
          <w:b/>
        </w:rPr>
        <w:t>INVERSIONES DUALDA LTDA</w:t>
      </w:r>
    </w:p>
    <w:p w14:paraId="3FB7F503" w14:textId="77777777" w:rsidR="00120424" w:rsidRPr="00120424" w:rsidRDefault="00120424" w:rsidP="00120424">
      <w:pPr>
        <w:jc w:val="both"/>
        <w:rPr>
          <w:rFonts w:ascii="Arial" w:hAnsi="Arial" w:cs="Arial"/>
          <w:b/>
        </w:rPr>
      </w:pPr>
    </w:p>
    <w:p w14:paraId="0F3F5221" w14:textId="77777777" w:rsidR="00A4147F" w:rsidRDefault="00A4147F" w:rsidP="00120424">
      <w:pPr>
        <w:jc w:val="both"/>
        <w:rPr>
          <w:rFonts w:ascii="Arial" w:hAnsi="Arial" w:cs="Arial"/>
          <w:b/>
          <w:bCs/>
        </w:rPr>
      </w:pPr>
      <w:r w:rsidRPr="00120424">
        <w:rPr>
          <w:rFonts w:ascii="Arial" w:hAnsi="Arial" w:cs="Arial"/>
          <w:b/>
        </w:rPr>
        <w:t xml:space="preserve">Demandado: </w:t>
      </w:r>
      <w:r w:rsidR="00930D16" w:rsidRPr="00120424">
        <w:rPr>
          <w:rFonts w:ascii="Arial" w:hAnsi="Arial" w:cs="Arial"/>
          <w:b/>
          <w:bCs/>
        </w:rPr>
        <w:t>MUNICIPIO DE FACATATIVÁ</w:t>
      </w:r>
    </w:p>
    <w:p w14:paraId="0B3E6DE5" w14:textId="77777777" w:rsidR="00120424" w:rsidRDefault="00120424" w:rsidP="00120424">
      <w:pPr>
        <w:jc w:val="both"/>
        <w:rPr>
          <w:rFonts w:ascii="Arial" w:hAnsi="Arial" w:cs="Arial"/>
          <w:b/>
          <w:bCs/>
        </w:rPr>
      </w:pPr>
    </w:p>
    <w:p w14:paraId="750A9C9E" w14:textId="77777777" w:rsidR="00120424" w:rsidRDefault="00120424" w:rsidP="00120424">
      <w:pPr>
        <w:jc w:val="both"/>
        <w:rPr>
          <w:rFonts w:ascii="Arial" w:hAnsi="Arial" w:cs="Arial"/>
          <w:b/>
          <w:bCs/>
        </w:rPr>
      </w:pPr>
    </w:p>
    <w:p w14:paraId="33273C9B" w14:textId="77777777" w:rsidR="00120424" w:rsidRPr="00120424" w:rsidRDefault="00120424" w:rsidP="00120424">
      <w:pPr>
        <w:jc w:val="both"/>
        <w:rPr>
          <w:rFonts w:ascii="Arial" w:hAnsi="Arial" w:cs="Arial"/>
          <w:b/>
        </w:rPr>
      </w:pPr>
    </w:p>
    <w:p w14:paraId="034CCCAC" w14:textId="77777777" w:rsidR="00A4147F" w:rsidRPr="00120424" w:rsidRDefault="00A4147F" w:rsidP="00120424">
      <w:pPr>
        <w:jc w:val="both"/>
        <w:rPr>
          <w:rFonts w:ascii="Arial" w:hAnsi="Arial" w:cs="Arial"/>
          <w:b/>
          <w:bCs/>
        </w:rPr>
      </w:pPr>
      <w:r w:rsidRPr="00120424">
        <w:rPr>
          <w:rFonts w:ascii="Arial" w:hAnsi="Arial" w:cs="Arial"/>
          <w:b/>
        </w:rPr>
        <w:t xml:space="preserve">Referencia: </w:t>
      </w:r>
      <w:r w:rsidRPr="00120424">
        <w:rPr>
          <w:rFonts w:ascii="Arial" w:hAnsi="Arial" w:cs="Arial"/>
          <w:b/>
          <w:bCs/>
        </w:rPr>
        <w:t>ACCIÓN CONTRACTUAL</w:t>
      </w:r>
      <w:r w:rsidR="00D34119">
        <w:rPr>
          <w:rFonts w:ascii="Arial" w:hAnsi="Arial" w:cs="Arial"/>
          <w:b/>
          <w:bCs/>
        </w:rPr>
        <w:t xml:space="preserve"> – AUTO QUE DECLARA NULIDAD DE TODO LO ACTUADO </w:t>
      </w:r>
    </w:p>
    <w:p w14:paraId="3454851A" w14:textId="77777777" w:rsidR="00A4147F" w:rsidRPr="00120424" w:rsidRDefault="00A4147F" w:rsidP="00120424">
      <w:pPr>
        <w:spacing w:line="360" w:lineRule="auto"/>
        <w:jc w:val="both"/>
        <w:rPr>
          <w:rFonts w:ascii="Arial" w:hAnsi="Arial" w:cs="Arial"/>
          <w:b/>
          <w:bCs/>
        </w:rPr>
      </w:pPr>
    </w:p>
    <w:p w14:paraId="29830D24" w14:textId="77777777" w:rsidR="00A4147F" w:rsidRPr="00120424" w:rsidRDefault="00A4147F" w:rsidP="00120424">
      <w:pPr>
        <w:spacing w:line="360" w:lineRule="auto"/>
        <w:jc w:val="both"/>
        <w:rPr>
          <w:rFonts w:ascii="Arial" w:hAnsi="Arial" w:cs="Arial"/>
        </w:rPr>
      </w:pPr>
      <w:r w:rsidRPr="00120424">
        <w:rPr>
          <w:rFonts w:ascii="Arial" w:hAnsi="Arial" w:cs="Arial"/>
          <w:b/>
        </w:rPr>
        <w:t>Temas:</w:t>
      </w:r>
      <w:r w:rsidRPr="00120424">
        <w:rPr>
          <w:rFonts w:ascii="Arial" w:hAnsi="Arial" w:cs="Arial"/>
        </w:rPr>
        <w:t xml:space="preserve"> </w:t>
      </w:r>
      <w:r w:rsidR="00F53EDB" w:rsidRPr="00120424">
        <w:rPr>
          <w:rFonts w:ascii="Arial" w:hAnsi="Arial" w:cs="Arial"/>
        </w:rPr>
        <w:t xml:space="preserve">Nulidad originada en la sentencia por falta de competencia funcional. Reglas de mayoría decisoria para las providencias de jueces colegiados: </w:t>
      </w:r>
      <w:r w:rsidR="00E64484" w:rsidRPr="00120424">
        <w:rPr>
          <w:rFonts w:ascii="Arial" w:hAnsi="Arial" w:cs="Arial"/>
        </w:rPr>
        <w:t xml:space="preserve">determinantes para atender y cumplir las normas sobre competencia. Alcance de las aclaraciones y salvamentos de voto. No acogida de la decisión del ponente por la mayoría de los integrantes de la Sala. </w:t>
      </w:r>
    </w:p>
    <w:p w14:paraId="239BEEA1" w14:textId="77777777" w:rsidR="002E0E21" w:rsidRPr="00120424" w:rsidRDefault="002E0E21" w:rsidP="00120424">
      <w:pPr>
        <w:spacing w:line="360" w:lineRule="auto"/>
        <w:jc w:val="both"/>
        <w:rPr>
          <w:rFonts w:ascii="Arial" w:hAnsi="Arial" w:cs="Arial"/>
          <w:lang w:val="es-CO"/>
        </w:rPr>
      </w:pPr>
    </w:p>
    <w:p w14:paraId="301E5415" w14:textId="77777777" w:rsidR="00A4147F" w:rsidRPr="00120424" w:rsidRDefault="00A4147F" w:rsidP="00120424">
      <w:pPr>
        <w:spacing w:line="360" w:lineRule="auto"/>
        <w:jc w:val="both"/>
        <w:rPr>
          <w:rFonts w:ascii="Arial" w:hAnsi="Arial" w:cs="Arial"/>
        </w:rPr>
      </w:pPr>
      <w:r w:rsidRPr="00120424">
        <w:rPr>
          <w:rFonts w:ascii="Arial" w:hAnsi="Arial" w:cs="Arial"/>
        </w:rPr>
        <w:t xml:space="preserve">Encontrándose el proceso para fallo, corresponde al Despacho declarar la nulidad de </w:t>
      </w:r>
      <w:r w:rsidR="00930D16" w:rsidRPr="00120424">
        <w:rPr>
          <w:rFonts w:ascii="Arial" w:hAnsi="Arial" w:cs="Arial"/>
        </w:rPr>
        <w:t>la sentencia dictada en la primera instancia</w:t>
      </w:r>
      <w:r w:rsidRPr="00120424">
        <w:rPr>
          <w:rFonts w:ascii="Arial" w:hAnsi="Arial" w:cs="Arial"/>
        </w:rPr>
        <w:t>, toda vez que</w:t>
      </w:r>
      <w:r w:rsidR="00E64484" w:rsidRPr="00120424">
        <w:rPr>
          <w:rFonts w:ascii="Arial" w:hAnsi="Arial" w:cs="Arial"/>
        </w:rPr>
        <w:t xml:space="preserve"> la decisión allí contenida sólo fue acogida por el magistrado ponente pero no por los demás integrantes de la Sala de Decisión del Tribunal a quo, razón por la cual resulta claro </w:t>
      </w:r>
      <w:r w:rsidR="00DD55D2" w:rsidRPr="00120424">
        <w:rPr>
          <w:rFonts w:ascii="Arial" w:hAnsi="Arial" w:cs="Arial"/>
        </w:rPr>
        <w:t>que el mencionado fallo no fue proferido por el juez competente por el factor funcional</w:t>
      </w:r>
      <w:r w:rsidRPr="00120424">
        <w:rPr>
          <w:rFonts w:ascii="Arial" w:hAnsi="Arial" w:cs="Arial"/>
        </w:rPr>
        <w:t>.</w:t>
      </w:r>
    </w:p>
    <w:p w14:paraId="168C68F2" w14:textId="77777777" w:rsidR="00A4147F" w:rsidRPr="00120424" w:rsidRDefault="00A4147F" w:rsidP="00A4147F">
      <w:pPr>
        <w:spacing w:line="276" w:lineRule="auto"/>
        <w:ind w:right="567"/>
        <w:jc w:val="both"/>
        <w:rPr>
          <w:rFonts w:ascii="Arial" w:hAnsi="Arial" w:cs="Arial"/>
          <w:i/>
          <w:lang w:val="es-MX"/>
        </w:rPr>
      </w:pPr>
    </w:p>
    <w:p w14:paraId="23A2D20D" w14:textId="77777777" w:rsidR="00A4147F" w:rsidRPr="00120424" w:rsidRDefault="00A4147F" w:rsidP="00A4147F">
      <w:pPr>
        <w:framePr w:wrap="around" w:vAnchor="text" w:hAnchor="margin" w:xAlign="right" w:y="1"/>
        <w:tabs>
          <w:tab w:val="center" w:pos="4419"/>
          <w:tab w:val="right" w:pos="8838"/>
        </w:tabs>
        <w:overflowPunct w:val="0"/>
        <w:autoSpaceDE w:val="0"/>
        <w:autoSpaceDN w:val="0"/>
        <w:adjustRightInd w:val="0"/>
        <w:spacing w:line="360" w:lineRule="auto"/>
        <w:jc w:val="both"/>
        <w:textAlignment w:val="baseline"/>
        <w:rPr>
          <w:rFonts w:ascii="Arial" w:hAnsi="Arial" w:cs="Arial"/>
          <w:lang w:val="es-ES_tradnl"/>
        </w:rPr>
      </w:pPr>
    </w:p>
    <w:p w14:paraId="3860F0CC" w14:textId="77777777" w:rsidR="00A4147F" w:rsidRPr="000E65DF" w:rsidRDefault="00A4147F" w:rsidP="00A4147F">
      <w:pPr>
        <w:widowControl w:val="0"/>
        <w:numPr>
          <w:ilvl w:val="0"/>
          <w:numId w:val="1"/>
        </w:numPr>
        <w:autoSpaceDE w:val="0"/>
        <w:autoSpaceDN w:val="0"/>
        <w:adjustRightInd w:val="0"/>
        <w:spacing w:line="360" w:lineRule="auto"/>
        <w:ind w:right="360"/>
        <w:jc w:val="center"/>
        <w:rPr>
          <w:rFonts w:ascii="Arial" w:hAnsi="Arial" w:cs="Arial"/>
          <w:b/>
          <w:lang w:val="it-IT"/>
        </w:rPr>
      </w:pPr>
      <w:r w:rsidRPr="000E65DF">
        <w:rPr>
          <w:rFonts w:ascii="Arial" w:hAnsi="Arial" w:cs="Arial"/>
          <w:b/>
          <w:lang w:val="it-IT"/>
        </w:rPr>
        <w:t>A N T E C E D E N T E S</w:t>
      </w:r>
    </w:p>
    <w:p w14:paraId="7A02A529" w14:textId="77777777" w:rsidR="00A4147F" w:rsidRPr="000E65DF" w:rsidRDefault="00A4147F" w:rsidP="00A4147F">
      <w:pPr>
        <w:widowControl w:val="0"/>
        <w:autoSpaceDE w:val="0"/>
        <w:autoSpaceDN w:val="0"/>
        <w:adjustRightInd w:val="0"/>
        <w:spacing w:line="360" w:lineRule="auto"/>
        <w:ind w:left="1080" w:right="360"/>
        <w:jc w:val="both"/>
        <w:rPr>
          <w:rFonts w:ascii="Arial" w:hAnsi="Arial" w:cs="Arial"/>
          <w:b/>
          <w:lang w:val="it-IT"/>
        </w:rPr>
      </w:pPr>
    </w:p>
    <w:p w14:paraId="52871B0B" w14:textId="77777777" w:rsidR="00A4147F" w:rsidRPr="00120424" w:rsidRDefault="00A4147F" w:rsidP="00A4147F">
      <w:pPr>
        <w:spacing w:line="360" w:lineRule="auto"/>
        <w:jc w:val="both"/>
        <w:rPr>
          <w:rFonts w:ascii="Arial" w:hAnsi="Arial" w:cs="Arial"/>
          <w:b/>
        </w:rPr>
      </w:pPr>
      <w:r w:rsidRPr="00120424">
        <w:rPr>
          <w:rFonts w:ascii="Arial" w:hAnsi="Arial" w:cs="Arial"/>
          <w:b/>
        </w:rPr>
        <w:t>1. La demanda</w:t>
      </w:r>
    </w:p>
    <w:p w14:paraId="2425464C" w14:textId="77777777" w:rsidR="00A4147F" w:rsidRPr="00120424" w:rsidRDefault="00A4147F" w:rsidP="00A4147F">
      <w:pPr>
        <w:widowControl w:val="0"/>
        <w:autoSpaceDE w:val="0"/>
        <w:autoSpaceDN w:val="0"/>
        <w:adjustRightInd w:val="0"/>
        <w:spacing w:line="360" w:lineRule="auto"/>
        <w:jc w:val="both"/>
        <w:rPr>
          <w:rFonts w:ascii="Arial" w:hAnsi="Arial" w:cs="Arial"/>
        </w:rPr>
      </w:pPr>
    </w:p>
    <w:p w14:paraId="45068828" w14:textId="77777777" w:rsidR="00CE0046" w:rsidRPr="00120424" w:rsidRDefault="00A4147F" w:rsidP="00A4147F">
      <w:pPr>
        <w:widowControl w:val="0"/>
        <w:autoSpaceDE w:val="0"/>
        <w:autoSpaceDN w:val="0"/>
        <w:adjustRightInd w:val="0"/>
        <w:spacing w:line="360" w:lineRule="auto"/>
        <w:jc w:val="both"/>
        <w:rPr>
          <w:rFonts w:ascii="Arial" w:hAnsi="Arial" w:cs="Arial"/>
        </w:rPr>
      </w:pPr>
      <w:r w:rsidRPr="00120424">
        <w:rPr>
          <w:rFonts w:ascii="Arial" w:hAnsi="Arial" w:cs="Arial"/>
        </w:rPr>
        <w:t xml:space="preserve">El </w:t>
      </w:r>
      <w:r w:rsidR="00930D16" w:rsidRPr="00120424">
        <w:rPr>
          <w:rFonts w:ascii="Arial" w:hAnsi="Arial" w:cs="Arial"/>
        </w:rPr>
        <w:t>29 de octubre de 1997</w:t>
      </w:r>
      <w:r w:rsidRPr="00120424">
        <w:rPr>
          <w:rFonts w:ascii="Arial" w:hAnsi="Arial" w:cs="Arial"/>
        </w:rPr>
        <w:t xml:space="preserve">, </w:t>
      </w:r>
      <w:r w:rsidR="00930D16" w:rsidRPr="00120424">
        <w:rPr>
          <w:rFonts w:ascii="Arial" w:hAnsi="Arial" w:cs="Arial"/>
        </w:rPr>
        <w:t>la sociedad Inversiones Dualda Ltda. instauró demanda</w:t>
      </w:r>
      <w:r w:rsidR="00391F3D" w:rsidRPr="00120424">
        <w:rPr>
          <w:rStyle w:val="Refdenotaalpie"/>
          <w:rFonts w:ascii="Arial" w:hAnsi="Arial" w:cs="Arial"/>
        </w:rPr>
        <w:footnoteReference w:id="1"/>
      </w:r>
      <w:r w:rsidRPr="00120424">
        <w:rPr>
          <w:rFonts w:ascii="Arial" w:hAnsi="Arial" w:cs="Arial"/>
          <w:lang w:val="es-MX"/>
        </w:rPr>
        <w:t xml:space="preserve">, </w:t>
      </w:r>
      <w:r w:rsidRPr="00120424">
        <w:rPr>
          <w:rFonts w:ascii="Arial" w:hAnsi="Arial" w:cs="Arial"/>
        </w:rPr>
        <w:t xml:space="preserve">en ejercicio de la acción contractual, contra el municipio de </w:t>
      </w:r>
      <w:r w:rsidR="00930D16" w:rsidRPr="00120424">
        <w:rPr>
          <w:rFonts w:ascii="Arial" w:hAnsi="Arial" w:cs="Arial"/>
        </w:rPr>
        <w:t>Facatativá</w:t>
      </w:r>
      <w:r w:rsidRPr="00120424">
        <w:rPr>
          <w:rFonts w:ascii="Arial" w:hAnsi="Arial" w:cs="Arial"/>
        </w:rPr>
        <w:t xml:space="preserve">, con el fin de que se declarara el incumplimiento del contrato </w:t>
      </w:r>
      <w:r w:rsidR="00930D16" w:rsidRPr="00120424">
        <w:rPr>
          <w:rFonts w:ascii="Arial" w:hAnsi="Arial" w:cs="Arial"/>
        </w:rPr>
        <w:t>de compraventa de inmueble</w:t>
      </w:r>
      <w:r w:rsidRPr="00120424">
        <w:rPr>
          <w:rFonts w:ascii="Arial" w:hAnsi="Arial" w:cs="Arial"/>
        </w:rPr>
        <w:t xml:space="preserve">, celebrado mediante Escritura Pública No. </w:t>
      </w:r>
      <w:r w:rsidR="00930D16" w:rsidRPr="00120424">
        <w:rPr>
          <w:rFonts w:ascii="Arial" w:hAnsi="Arial" w:cs="Arial"/>
        </w:rPr>
        <w:t xml:space="preserve">1624 del 23 de junio de 1993, en el cual </w:t>
      </w:r>
      <w:r w:rsidR="00930D16" w:rsidRPr="00120424">
        <w:rPr>
          <w:rFonts w:ascii="Arial" w:hAnsi="Arial" w:cs="Arial"/>
        </w:rPr>
        <w:lastRenderedPageBreak/>
        <w:t>fungió como vendedora la compañía hoy demandante</w:t>
      </w:r>
      <w:r w:rsidRPr="00120424">
        <w:rPr>
          <w:rFonts w:ascii="Arial" w:hAnsi="Arial" w:cs="Arial"/>
        </w:rPr>
        <w:t>.</w:t>
      </w:r>
      <w:r w:rsidR="00BA5942" w:rsidRPr="00120424">
        <w:rPr>
          <w:rFonts w:ascii="Arial" w:hAnsi="Arial" w:cs="Arial"/>
        </w:rPr>
        <w:t xml:space="preserve"> </w:t>
      </w:r>
    </w:p>
    <w:p w14:paraId="26A2495D" w14:textId="77777777" w:rsidR="007307D6" w:rsidRPr="00120424" w:rsidRDefault="007307D6" w:rsidP="00A4147F">
      <w:pPr>
        <w:widowControl w:val="0"/>
        <w:autoSpaceDE w:val="0"/>
        <w:autoSpaceDN w:val="0"/>
        <w:adjustRightInd w:val="0"/>
        <w:spacing w:line="360" w:lineRule="auto"/>
        <w:jc w:val="both"/>
        <w:rPr>
          <w:rFonts w:ascii="Arial" w:hAnsi="Arial" w:cs="Arial"/>
        </w:rPr>
      </w:pPr>
    </w:p>
    <w:p w14:paraId="3AE53EAA" w14:textId="77777777" w:rsidR="00A4147F" w:rsidRPr="00120424" w:rsidRDefault="00CE0046" w:rsidP="00A76702">
      <w:pPr>
        <w:widowControl w:val="0"/>
        <w:autoSpaceDE w:val="0"/>
        <w:autoSpaceDN w:val="0"/>
        <w:adjustRightInd w:val="0"/>
        <w:spacing w:line="360" w:lineRule="auto"/>
        <w:jc w:val="both"/>
        <w:rPr>
          <w:rFonts w:ascii="Arial" w:hAnsi="Arial" w:cs="Arial"/>
        </w:rPr>
      </w:pPr>
      <w:r w:rsidRPr="00120424">
        <w:rPr>
          <w:rFonts w:ascii="Arial" w:hAnsi="Arial" w:cs="Arial"/>
        </w:rPr>
        <w:t>Con fundamento en lo anterior</w:t>
      </w:r>
      <w:r w:rsidR="00A4147F" w:rsidRPr="00120424">
        <w:rPr>
          <w:rFonts w:ascii="Arial" w:hAnsi="Arial" w:cs="Arial"/>
        </w:rPr>
        <w:t xml:space="preserve">, </w:t>
      </w:r>
      <w:r w:rsidRPr="00120424">
        <w:rPr>
          <w:rFonts w:ascii="Arial" w:hAnsi="Arial" w:cs="Arial"/>
        </w:rPr>
        <w:t>solicitó</w:t>
      </w:r>
      <w:r w:rsidR="00A4147F" w:rsidRPr="00120424">
        <w:rPr>
          <w:rFonts w:ascii="Arial" w:hAnsi="Arial" w:cs="Arial"/>
        </w:rPr>
        <w:t xml:space="preserve"> </w:t>
      </w:r>
      <w:r w:rsidR="00BA5942" w:rsidRPr="00120424">
        <w:rPr>
          <w:rFonts w:ascii="Arial" w:hAnsi="Arial" w:cs="Arial"/>
        </w:rPr>
        <w:t>la resolución de dicho negocio jurídico</w:t>
      </w:r>
      <w:r w:rsidRPr="00120424">
        <w:rPr>
          <w:rFonts w:ascii="Arial" w:hAnsi="Arial" w:cs="Arial"/>
        </w:rPr>
        <w:t xml:space="preserve"> y la imposición de condena al municipio de Facatativá para el reconocimiento y pago del valor de las obras no ejecutadas y supuestamente previstas en el contrato, la indemnización de los perjuicios materiales causados y el pago de intereses comerciales y moratorios.</w:t>
      </w:r>
    </w:p>
    <w:p w14:paraId="07A1DD59" w14:textId="77777777" w:rsidR="00CE0046" w:rsidRPr="00120424" w:rsidRDefault="00CE0046" w:rsidP="00DD55D2">
      <w:pPr>
        <w:widowControl w:val="0"/>
        <w:autoSpaceDE w:val="0"/>
        <w:autoSpaceDN w:val="0"/>
        <w:adjustRightInd w:val="0"/>
        <w:spacing w:line="288" w:lineRule="auto"/>
        <w:jc w:val="both"/>
        <w:rPr>
          <w:rFonts w:ascii="Arial" w:hAnsi="Arial" w:cs="Arial"/>
        </w:rPr>
      </w:pPr>
    </w:p>
    <w:p w14:paraId="67B54DC9" w14:textId="77777777" w:rsidR="00CE0046" w:rsidRPr="00120424" w:rsidRDefault="00CE0046" w:rsidP="00A76702">
      <w:pPr>
        <w:widowControl w:val="0"/>
        <w:autoSpaceDE w:val="0"/>
        <w:autoSpaceDN w:val="0"/>
        <w:adjustRightInd w:val="0"/>
        <w:spacing w:line="360" w:lineRule="auto"/>
        <w:jc w:val="both"/>
        <w:rPr>
          <w:rFonts w:ascii="Arial" w:hAnsi="Arial" w:cs="Arial"/>
        </w:rPr>
      </w:pPr>
      <w:r w:rsidRPr="00120424">
        <w:rPr>
          <w:rFonts w:ascii="Arial" w:hAnsi="Arial" w:cs="Arial"/>
        </w:rPr>
        <w:t>Como pretensión subsidiaria, la sociedad demandante deprecó la declaratoria de nulidad del referido contrato de compraventa.</w:t>
      </w:r>
    </w:p>
    <w:p w14:paraId="31760989" w14:textId="77777777" w:rsidR="00A4147F" w:rsidRPr="00120424" w:rsidRDefault="00A4147F" w:rsidP="00DD55D2">
      <w:pPr>
        <w:widowControl w:val="0"/>
        <w:autoSpaceDE w:val="0"/>
        <w:autoSpaceDN w:val="0"/>
        <w:adjustRightInd w:val="0"/>
        <w:spacing w:line="288" w:lineRule="auto"/>
        <w:jc w:val="both"/>
        <w:rPr>
          <w:rFonts w:ascii="Arial" w:hAnsi="Arial" w:cs="Arial"/>
        </w:rPr>
      </w:pPr>
    </w:p>
    <w:p w14:paraId="1858ADBB" w14:textId="77777777" w:rsidR="00A4147F" w:rsidRPr="00120424" w:rsidRDefault="00A4147F" w:rsidP="00DD55D2">
      <w:pPr>
        <w:spacing w:line="288" w:lineRule="auto"/>
        <w:jc w:val="both"/>
        <w:rPr>
          <w:rFonts w:ascii="Arial" w:hAnsi="Arial" w:cs="Arial"/>
          <w:b/>
          <w:bCs/>
        </w:rPr>
      </w:pPr>
      <w:r w:rsidRPr="00120424">
        <w:rPr>
          <w:rFonts w:ascii="Arial" w:hAnsi="Arial" w:cs="Arial"/>
          <w:b/>
          <w:bCs/>
          <w:iCs/>
        </w:rPr>
        <w:t>2. Los hechos</w:t>
      </w:r>
    </w:p>
    <w:p w14:paraId="1D0D940F" w14:textId="77777777" w:rsidR="00A4147F" w:rsidRPr="00120424" w:rsidRDefault="00A4147F" w:rsidP="00DD55D2">
      <w:pPr>
        <w:widowControl w:val="0"/>
        <w:autoSpaceDE w:val="0"/>
        <w:autoSpaceDN w:val="0"/>
        <w:adjustRightInd w:val="0"/>
        <w:spacing w:line="288" w:lineRule="auto"/>
        <w:jc w:val="both"/>
        <w:rPr>
          <w:rFonts w:ascii="Arial" w:hAnsi="Arial" w:cs="Arial"/>
          <w:lang w:val="es-MX"/>
        </w:rPr>
      </w:pPr>
    </w:p>
    <w:p w14:paraId="2CF5D4F9" w14:textId="77777777" w:rsidR="00A4147F" w:rsidRPr="00120424" w:rsidRDefault="00A4147F" w:rsidP="00DD55D2">
      <w:pPr>
        <w:widowControl w:val="0"/>
        <w:autoSpaceDE w:val="0"/>
        <w:autoSpaceDN w:val="0"/>
        <w:adjustRightInd w:val="0"/>
        <w:spacing w:line="288" w:lineRule="auto"/>
        <w:jc w:val="both"/>
        <w:rPr>
          <w:rFonts w:ascii="Arial" w:hAnsi="Arial" w:cs="Arial"/>
        </w:rPr>
      </w:pPr>
      <w:r w:rsidRPr="00120424">
        <w:rPr>
          <w:rFonts w:ascii="Arial" w:hAnsi="Arial" w:cs="Arial"/>
          <w:lang w:val="es-CO"/>
        </w:rPr>
        <w:t>Como fundamentos fácticos relevantes</w:t>
      </w:r>
      <w:r w:rsidRPr="00120424">
        <w:rPr>
          <w:rFonts w:ascii="Arial" w:hAnsi="Arial" w:cs="Arial"/>
        </w:rPr>
        <w:t>, en síntesis, se narraron:</w:t>
      </w:r>
    </w:p>
    <w:p w14:paraId="6DF81FE8" w14:textId="77777777" w:rsidR="00A4147F" w:rsidRPr="00120424" w:rsidRDefault="00A4147F" w:rsidP="00DD55D2">
      <w:pPr>
        <w:widowControl w:val="0"/>
        <w:autoSpaceDE w:val="0"/>
        <w:autoSpaceDN w:val="0"/>
        <w:adjustRightInd w:val="0"/>
        <w:spacing w:line="288" w:lineRule="auto"/>
        <w:jc w:val="both"/>
        <w:rPr>
          <w:rFonts w:ascii="Arial" w:hAnsi="Arial" w:cs="Arial"/>
        </w:rPr>
      </w:pPr>
    </w:p>
    <w:p w14:paraId="62ED041C" w14:textId="77777777" w:rsidR="00A4147F" w:rsidRPr="00120424" w:rsidRDefault="00CE0046" w:rsidP="00A76702">
      <w:pPr>
        <w:widowControl w:val="0"/>
        <w:autoSpaceDE w:val="0"/>
        <w:autoSpaceDN w:val="0"/>
        <w:adjustRightInd w:val="0"/>
        <w:spacing w:line="360" w:lineRule="auto"/>
        <w:jc w:val="both"/>
        <w:rPr>
          <w:rFonts w:ascii="Arial" w:hAnsi="Arial" w:cs="Arial"/>
          <w:lang w:val="es-MX"/>
        </w:rPr>
      </w:pPr>
      <w:r w:rsidRPr="00120424">
        <w:rPr>
          <w:rFonts w:ascii="Arial" w:hAnsi="Arial" w:cs="Arial"/>
          <w:lang w:val="es-MX"/>
        </w:rPr>
        <w:t xml:space="preserve">La empresa Inversiones Dualda Ltda. era la propietaria del predio rural denominado </w:t>
      </w:r>
      <w:r w:rsidRPr="00120424">
        <w:rPr>
          <w:rFonts w:ascii="Arial" w:hAnsi="Arial" w:cs="Arial"/>
          <w:i/>
          <w:lang w:val="es-MX"/>
        </w:rPr>
        <w:t>El Carmen</w:t>
      </w:r>
      <w:r w:rsidRPr="00120424">
        <w:rPr>
          <w:rFonts w:ascii="Arial" w:hAnsi="Arial" w:cs="Arial"/>
          <w:lang w:val="es-MX"/>
        </w:rPr>
        <w:t>, ubicado en la vereda La Selva del municipio de Facatativá (Cundinamarca)</w:t>
      </w:r>
      <w:r w:rsidR="00A4147F" w:rsidRPr="00120424">
        <w:rPr>
          <w:rFonts w:ascii="Arial" w:hAnsi="Arial" w:cs="Arial"/>
          <w:lang w:val="es-MX"/>
        </w:rPr>
        <w:t>.</w:t>
      </w:r>
      <w:r w:rsidRPr="00120424">
        <w:rPr>
          <w:rFonts w:ascii="Arial" w:hAnsi="Arial" w:cs="Arial"/>
          <w:lang w:val="es-MX"/>
        </w:rPr>
        <w:t xml:space="preserve"> Para el año 1991, la compañía había iniciado el proyecto de parcelación de</w:t>
      </w:r>
      <w:r w:rsidR="00DC69E4" w:rsidRPr="00120424">
        <w:rPr>
          <w:rFonts w:ascii="Arial" w:hAnsi="Arial" w:cs="Arial"/>
          <w:lang w:val="es-MX"/>
        </w:rPr>
        <w:t xml:space="preserve"> dicho</w:t>
      </w:r>
      <w:r w:rsidRPr="00120424">
        <w:rPr>
          <w:rFonts w:ascii="Arial" w:hAnsi="Arial" w:cs="Arial"/>
          <w:lang w:val="es-MX"/>
        </w:rPr>
        <w:t xml:space="preserve"> terreno.</w:t>
      </w:r>
    </w:p>
    <w:p w14:paraId="39C397B0" w14:textId="77777777" w:rsidR="00CE0046" w:rsidRPr="00120424" w:rsidRDefault="00CE0046" w:rsidP="00DD55D2">
      <w:pPr>
        <w:widowControl w:val="0"/>
        <w:autoSpaceDE w:val="0"/>
        <w:autoSpaceDN w:val="0"/>
        <w:adjustRightInd w:val="0"/>
        <w:spacing w:line="288" w:lineRule="auto"/>
        <w:jc w:val="both"/>
        <w:rPr>
          <w:rFonts w:ascii="Arial" w:hAnsi="Arial" w:cs="Arial"/>
          <w:lang w:val="es-MX"/>
        </w:rPr>
      </w:pPr>
    </w:p>
    <w:p w14:paraId="1F9F1BE6" w14:textId="77777777" w:rsidR="00CE0046" w:rsidRPr="00120424" w:rsidRDefault="00CE0046" w:rsidP="00A76702">
      <w:pPr>
        <w:widowControl w:val="0"/>
        <w:autoSpaceDE w:val="0"/>
        <w:autoSpaceDN w:val="0"/>
        <w:adjustRightInd w:val="0"/>
        <w:spacing w:line="360" w:lineRule="auto"/>
        <w:jc w:val="both"/>
        <w:rPr>
          <w:rFonts w:ascii="Arial" w:hAnsi="Arial" w:cs="Arial"/>
          <w:lang w:val="es-MX"/>
        </w:rPr>
      </w:pPr>
      <w:r w:rsidRPr="00120424">
        <w:rPr>
          <w:rFonts w:ascii="Arial" w:hAnsi="Arial" w:cs="Arial"/>
          <w:lang w:val="es-MX"/>
        </w:rPr>
        <w:t>En</w:t>
      </w:r>
      <w:r w:rsidR="001A255E" w:rsidRPr="00120424">
        <w:rPr>
          <w:rFonts w:ascii="Arial" w:hAnsi="Arial" w:cs="Arial"/>
          <w:lang w:val="es-MX"/>
        </w:rPr>
        <w:t xml:space="preserve"> varias oportunidades, en</w:t>
      </w:r>
      <w:r w:rsidRPr="00120424">
        <w:rPr>
          <w:rFonts w:ascii="Arial" w:hAnsi="Arial" w:cs="Arial"/>
          <w:lang w:val="es-MX"/>
        </w:rPr>
        <w:t xml:space="preserve">tre junio y septiembre de 1991, el alcalde del municipio de Facatativá le manifestó a la sociedad Inversiones Dualda Ltda. su interés en </w:t>
      </w:r>
      <w:r w:rsidR="00DC69E4" w:rsidRPr="00120424">
        <w:rPr>
          <w:rFonts w:ascii="Arial" w:hAnsi="Arial" w:cs="Arial"/>
          <w:lang w:val="es-MX"/>
        </w:rPr>
        <w:t>que la entidad adquiriera</w:t>
      </w:r>
      <w:r w:rsidRPr="00120424">
        <w:rPr>
          <w:rFonts w:ascii="Arial" w:hAnsi="Arial" w:cs="Arial"/>
          <w:lang w:val="es-MX"/>
        </w:rPr>
        <w:t xml:space="preserve"> el predio rural </w:t>
      </w:r>
      <w:r w:rsidRPr="00120424">
        <w:rPr>
          <w:rFonts w:ascii="Arial" w:hAnsi="Arial" w:cs="Arial"/>
          <w:i/>
          <w:lang w:val="es-MX"/>
        </w:rPr>
        <w:t>El Carmen,</w:t>
      </w:r>
      <w:r w:rsidRPr="00120424">
        <w:rPr>
          <w:rFonts w:ascii="Arial" w:hAnsi="Arial" w:cs="Arial"/>
          <w:lang w:val="es-MX"/>
        </w:rPr>
        <w:t xml:space="preserve"> dado que su zona de ubicación resultaba estratégica para la construcción de un embalse que permitiera abastecer de agua a la población.</w:t>
      </w:r>
    </w:p>
    <w:p w14:paraId="35FDFBAE" w14:textId="77777777" w:rsidR="001A255E" w:rsidRPr="00120424" w:rsidRDefault="001A255E" w:rsidP="00A76702">
      <w:pPr>
        <w:widowControl w:val="0"/>
        <w:autoSpaceDE w:val="0"/>
        <w:autoSpaceDN w:val="0"/>
        <w:adjustRightInd w:val="0"/>
        <w:spacing w:line="360" w:lineRule="auto"/>
        <w:jc w:val="both"/>
        <w:rPr>
          <w:rFonts w:ascii="Arial" w:hAnsi="Arial" w:cs="Arial"/>
          <w:lang w:val="es-MX"/>
        </w:rPr>
      </w:pPr>
    </w:p>
    <w:p w14:paraId="6BAD13BB" w14:textId="77777777" w:rsidR="001A255E" w:rsidRPr="00120424" w:rsidRDefault="001A255E" w:rsidP="00A76702">
      <w:pPr>
        <w:widowControl w:val="0"/>
        <w:autoSpaceDE w:val="0"/>
        <w:autoSpaceDN w:val="0"/>
        <w:adjustRightInd w:val="0"/>
        <w:spacing w:line="360" w:lineRule="auto"/>
        <w:jc w:val="both"/>
        <w:rPr>
          <w:rFonts w:ascii="Arial" w:hAnsi="Arial" w:cs="Arial"/>
          <w:lang w:val="es-MX"/>
        </w:rPr>
      </w:pPr>
      <w:r w:rsidRPr="00120424">
        <w:rPr>
          <w:rFonts w:ascii="Arial" w:hAnsi="Arial" w:cs="Arial"/>
          <w:lang w:val="es-MX"/>
        </w:rPr>
        <w:t xml:space="preserve">En comunicación del 18 de octubre de 1991, la sociedad comercial formuló oferta de venta ante el alcalde municipal de Facatativá, fijando la suma de $12’500.000 como precio de cada una de las hectáreas que componían el inmueble. No obstante, el 9 de enero de 1992 el mandatario local puso en conocimiento de la compañía el avalúo realizado por el Instituto Geográfico Agustín Codazzi (IGAC), en el cual se calculó como valor de la hectárea </w:t>
      </w:r>
      <w:r w:rsidR="00DC69E4" w:rsidRPr="00120424">
        <w:rPr>
          <w:rFonts w:ascii="Arial" w:hAnsi="Arial" w:cs="Arial"/>
          <w:lang w:val="es-MX"/>
        </w:rPr>
        <w:t>el monto</w:t>
      </w:r>
      <w:r w:rsidRPr="00120424">
        <w:rPr>
          <w:rFonts w:ascii="Arial" w:hAnsi="Arial" w:cs="Arial"/>
          <w:lang w:val="es-MX"/>
        </w:rPr>
        <w:t xml:space="preserve"> de $6’250.000.</w:t>
      </w:r>
    </w:p>
    <w:p w14:paraId="69DADEBF" w14:textId="77777777" w:rsidR="00DC69E4" w:rsidRPr="00120424" w:rsidRDefault="00DC69E4" w:rsidP="00A76702">
      <w:pPr>
        <w:widowControl w:val="0"/>
        <w:autoSpaceDE w:val="0"/>
        <w:autoSpaceDN w:val="0"/>
        <w:adjustRightInd w:val="0"/>
        <w:spacing w:line="360" w:lineRule="auto"/>
        <w:jc w:val="both"/>
        <w:rPr>
          <w:rFonts w:ascii="Arial" w:hAnsi="Arial" w:cs="Arial"/>
          <w:lang w:val="es-MX"/>
        </w:rPr>
      </w:pPr>
    </w:p>
    <w:p w14:paraId="0CA0424C" w14:textId="77777777" w:rsidR="00DC69E4" w:rsidRPr="00120424" w:rsidRDefault="00DC69E4" w:rsidP="00A76702">
      <w:pPr>
        <w:widowControl w:val="0"/>
        <w:autoSpaceDE w:val="0"/>
        <w:autoSpaceDN w:val="0"/>
        <w:adjustRightInd w:val="0"/>
        <w:spacing w:line="360" w:lineRule="auto"/>
        <w:jc w:val="both"/>
        <w:rPr>
          <w:rFonts w:ascii="Arial" w:hAnsi="Arial" w:cs="Arial"/>
          <w:lang w:val="es-MX"/>
        </w:rPr>
      </w:pPr>
      <w:r w:rsidRPr="00120424">
        <w:rPr>
          <w:rFonts w:ascii="Arial" w:hAnsi="Arial" w:cs="Arial"/>
          <w:lang w:val="es-MX"/>
        </w:rPr>
        <w:t xml:space="preserve">Pese a considerar que el precio fijado por el IGAC no se compadecía con la vocación agrícola de su predio, la sociedad evidenció que le resultaba forzoso entrar en negociaciones con el </w:t>
      </w:r>
      <w:r w:rsidR="004F4FE5" w:rsidRPr="00120424">
        <w:rPr>
          <w:rFonts w:ascii="Arial" w:hAnsi="Arial" w:cs="Arial"/>
          <w:lang w:val="es-MX"/>
        </w:rPr>
        <w:t>M</w:t>
      </w:r>
      <w:r w:rsidRPr="00120424">
        <w:rPr>
          <w:rFonts w:ascii="Arial" w:hAnsi="Arial" w:cs="Arial"/>
          <w:lang w:val="es-MX"/>
        </w:rPr>
        <w:t>unicipio, dado el riesgo latente de que se adelantara una expropiación judicial. Por tanto, decidió suspender el proyecto de parcelación y asumir las subsiguientes pérdidas, hasta tanto culminara la construc</w:t>
      </w:r>
      <w:r w:rsidR="004F4FE5" w:rsidRPr="00120424">
        <w:rPr>
          <w:rFonts w:ascii="Arial" w:hAnsi="Arial" w:cs="Arial"/>
          <w:lang w:val="es-MX"/>
        </w:rPr>
        <w:t xml:space="preserve">ción del </w:t>
      </w:r>
      <w:r w:rsidR="004F4FE5" w:rsidRPr="00120424">
        <w:rPr>
          <w:rFonts w:ascii="Arial" w:hAnsi="Arial" w:cs="Arial"/>
          <w:lang w:val="es-MX"/>
        </w:rPr>
        <w:lastRenderedPageBreak/>
        <w:t>embalse por parte del M</w:t>
      </w:r>
      <w:r w:rsidRPr="00120424">
        <w:rPr>
          <w:rFonts w:ascii="Arial" w:hAnsi="Arial" w:cs="Arial"/>
          <w:lang w:val="es-MX"/>
        </w:rPr>
        <w:t>unicipio.</w:t>
      </w:r>
    </w:p>
    <w:p w14:paraId="7B1C0937" w14:textId="77777777" w:rsidR="00DC69E4" w:rsidRPr="00120424" w:rsidRDefault="00DC69E4" w:rsidP="00DD55D2">
      <w:pPr>
        <w:widowControl w:val="0"/>
        <w:autoSpaceDE w:val="0"/>
        <w:autoSpaceDN w:val="0"/>
        <w:adjustRightInd w:val="0"/>
        <w:spacing w:line="288" w:lineRule="auto"/>
        <w:jc w:val="both"/>
        <w:rPr>
          <w:rFonts w:ascii="Arial" w:hAnsi="Arial" w:cs="Arial"/>
          <w:lang w:val="es-MX"/>
        </w:rPr>
      </w:pPr>
    </w:p>
    <w:p w14:paraId="7D9A783D" w14:textId="77777777" w:rsidR="00DC69E4" w:rsidRPr="00120424" w:rsidRDefault="00DC69E4" w:rsidP="00A76702">
      <w:pPr>
        <w:widowControl w:val="0"/>
        <w:autoSpaceDE w:val="0"/>
        <w:autoSpaceDN w:val="0"/>
        <w:adjustRightInd w:val="0"/>
        <w:spacing w:line="360" w:lineRule="auto"/>
        <w:jc w:val="both"/>
        <w:rPr>
          <w:rFonts w:ascii="Arial" w:hAnsi="Arial" w:cs="Arial"/>
          <w:lang w:val="es-MX"/>
        </w:rPr>
      </w:pPr>
      <w:r w:rsidRPr="00120424">
        <w:rPr>
          <w:rFonts w:ascii="Arial" w:hAnsi="Arial" w:cs="Arial"/>
          <w:lang w:val="es-MX"/>
        </w:rPr>
        <w:t>El 23 de junio de 1993 las partes celebraron el contrato de compraventa sobre un globo de terreno de 7 hectáreas y 9.347,76 m</w:t>
      </w:r>
      <w:r w:rsidRPr="00120424">
        <w:rPr>
          <w:rFonts w:ascii="Arial" w:hAnsi="Arial" w:cs="Arial"/>
          <w:vertAlign w:val="superscript"/>
          <w:lang w:val="es-MX"/>
        </w:rPr>
        <w:t>2</w:t>
      </w:r>
      <w:r w:rsidR="00C731B5" w:rsidRPr="00120424">
        <w:rPr>
          <w:rFonts w:ascii="Arial" w:hAnsi="Arial" w:cs="Arial"/>
          <w:lang w:val="es-MX"/>
        </w:rPr>
        <w:t>. El valor total del negocio fue de $78’547.000, por cuanto el IGAC había establecido</w:t>
      </w:r>
      <w:r w:rsidR="007307D6" w:rsidRPr="00120424">
        <w:rPr>
          <w:rFonts w:ascii="Arial" w:hAnsi="Arial" w:cs="Arial"/>
          <w:lang w:val="es-MX"/>
        </w:rPr>
        <w:t>,</w:t>
      </w:r>
      <w:r w:rsidR="00C731B5" w:rsidRPr="00120424">
        <w:rPr>
          <w:rFonts w:ascii="Arial" w:hAnsi="Arial" w:cs="Arial"/>
          <w:lang w:val="es-MX"/>
        </w:rPr>
        <w:t xml:space="preserve"> en un nuevo concepto, que cada hectárea estaba avaluada en $9’899.022,17. </w:t>
      </w:r>
      <w:r w:rsidRPr="00120424">
        <w:rPr>
          <w:rFonts w:ascii="Arial" w:hAnsi="Arial" w:cs="Arial"/>
          <w:lang w:val="es-MX"/>
        </w:rPr>
        <w:t xml:space="preserve">    </w:t>
      </w:r>
    </w:p>
    <w:p w14:paraId="2A03C6B4" w14:textId="77777777" w:rsidR="00C731B5" w:rsidRPr="00120424" w:rsidRDefault="00C731B5" w:rsidP="00DD55D2">
      <w:pPr>
        <w:widowControl w:val="0"/>
        <w:autoSpaceDE w:val="0"/>
        <w:autoSpaceDN w:val="0"/>
        <w:adjustRightInd w:val="0"/>
        <w:spacing w:line="288" w:lineRule="auto"/>
        <w:jc w:val="both"/>
        <w:rPr>
          <w:rFonts w:ascii="Arial" w:hAnsi="Arial" w:cs="Arial"/>
          <w:lang w:val="es-MX"/>
        </w:rPr>
      </w:pPr>
    </w:p>
    <w:p w14:paraId="6DEABBAF" w14:textId="77777777" w:rsidR="00C731B5" w:rsidRPr="00120424" w:rsidRDefault="00C731B5" w:rsidP="00A76702">
      <w:pPr>
        <w:widowControl w:val="0"/>
        <w:autoSpaceDE w:val="0"/>
        <w:autoSpaceDN w:val="0"/>
        <w:adjustRightInd w:val="0"/>
        <w:spacing w:line="360" w:lineRule="auto"/>
        <w:jc w:val="both"/>
        <w:rPr>
          <w:rFonts w:ascii="Arial" w:hAnsi="Arial" w:cs="Arial"/>
          <w:lang w:val="es-MX"/>
        </w:rPr>
      </w:pPr>
      <w:r w:rsidRPr="00120424">
        <w:rPr>
          <w:rFonts w:ascii="Arial" w:hAnsi="Arial" w:cs="Arial"/>
          <w:lang w:val="es-MX"/>
        </w:rPr>
        <w:t xml:space="preserve">Toda vez que la compañía manifestó de manera reiterada su inconformidad con los valores fijados por el IGAC, el municipio de Facatativá asumió expresamente, en el contrato de compraventa, el compromiso de construir una carretera, un tanque de almacenamiento de agua, un puente vehicular sobre la Quebrada Mancilla y una vivienda,  todo ello como obligación </w:t>
      </w:r>
      <w:r w:rsidRPr="00120424">
        <w:rPr>
          <w:rFonts w:ascii="Arial" w:hAnsi="Arial" w:cs="Arial"/>
          <w:i/>
          <w:lang w:val="es-MX"/>
        </w:rPr>
        <w:t>adicional</w:t>
      </w:r>
      <w:r w:rsidRPr="00120424">
        <w:rPr>
          <w:rFonts w:ascii="Arial" w:hAnsi="Arial" w:cs="Arial"/>
          <w:lang w:val="es-MX"/>
        </w:rPr>
        <w:t xml:space="preserve"> que se ofrecía cumplir a favor de la vendedora, a título de </w:t>
      </w:r>
      <w:r w:rsidRPr="00120424">
        <w:rPr>
          <w:rFonts w:ascii="Arial" w:hAnsi="Arial" w:cs="Arial"/>
          <w:i/>
          <w:lang w:val="es-MX"/>
        </w:rPr>
        <w:t>“contraprestación”</w:t>
      </w:r>
      <w:r w:rsidRPr="00120424">
        <w:rPr>
          <w:rFonts w:ascii="Arial" w:hAnsi="Arial" w:cs="Arial"/>
          <w:lang w:val="es-MX"/>
        </w:rPr>
        <w:t>.</w:t>
      </w:r>
    </w:p>
    <w:p w14:paraId="612F0FAD" w14:textId="77777777" w:rsidR="00C731B5" w:rsidRPr="00120424" w:rsidRDefault="00C731B5" w:rsidP="00DD55D2">
      <w:pPr>
        <w:widowControl w:val="0"/>
        <w:autoSpaceDE w:val="0"/>
        <w:autoSpaceDN w:val="0"/>
        <w:adjustRightInd w:val="0"/>
        <w:spacing w:line="288" w:lineRule="auto"/>
        <w:jc w:val="both"/>
        <w:rPr>
          <w:rFonts w:ascii="Arial" w:hAnsi="Arial" w:cs="Arial"/>
          <w:lang w:val="es-MX"/>
        </w:rPr>
      </w:pPr>
    </w:p>
    <w:p w14:paraId="65793749" w14:textId="77777777" w:rsidR="00C731B5" w:rsidRPr="00120424" w:rsidRDefault="00C731B5" w:rsidP="00A76702">
      <w:pPr>
        <w:widowControl w:val="0"/>
        <w:autoSpaceDE w:val="0"/>
        <w:autoSpaceDN w:val="0"/>
        <w:adjustRightInd w:val="0"/>
        <w:spacing w:line="360" w:lineRule="auto"/>
        <w:jc w:val="both"/>
        <w:rPr>
          <w:rFonts w:ascii="Arial" w:hAnsi="Arial" w:cs="Arial"/>
          <w:lang w:val="es-MX"/>
        </w:rPr>
      </w:pPr>
      <w:r w:rsidRPr="00120424">
        <w:rPr>
          <w:rFonts w:ascii="Arial" w:hAnsi="Arial" w:cs="Arial"/>
          <w:lang w:val="es-MX"/>
        </w:rPr>
        <w:t xml:space="preserve">Aunque la </w:t>
      </w:r>
      <w:r w:rsidR="00401C37" w:rsidRPr="00120424">
        <w:rPr>
          <w:rFonts w:ascii="Arial" w:hAnsi="Arial" w:cs="Arial"/>
          <w:lang w:val="es-MX"/>
        </w:rPr>
        <w:t>empresa</w:t>
      </w:r>
      <w:r w:rsidRPr="00120424">
        <w:rPr>
          <w:rFonts w:ascii="Arial" w:hAnsi="Arial" w:cs="Arial"/>
          <w:lang w:val="es-MX"/>
        </w:rPr>
        <w:t xml:space="preserve"> Inversiones Dualda Ltda. requirió en varias ocasiones al </w:t>
      </w:r>
      <w:r w:rsidR="004F4FE5" w:rsidRPr="00120424">
        <w:rPr>
          <w:rFonts w:ascii="Arial" w:hAnsi="Arial" w:cs="Arial"/>
          <w:lang w:val="es-MX"/>
        </w:rPr>
        <w:t>M</w:t>
      </w:r>
      <w:r w:rsidRPr="00120424">
        <w:rPr>
          <w:rFonts w:ascii="Arial" w:hAnsi="Arial" w:cs="Arial"/>
          <w:lang w:val="es-MX"/>
        </w:rPr>
        <w:t xml:space="preserve">unicipio para que honrara sus compromisos contractuales, para la fecha de presentación de la demanda la entidad territorial no había adelantado la construcción del embalse ni ejecutado las obras que se obligó a realizar como compensación de las supuestas pérdidas sufridas por la </w:t>
      </w:r>
      <w:r w:rsidR="00401C37" w:rsidRPr="00120424">
        <w:rPr>
          <w:rFonts w:ascii="Arial" w:hAnsi="Arial" w:cs="Arial"/>
          <w:lang w:val="es-MX"/>
        </w:rPr>
        <w:t>firma</w:t>
      </w:r>
      <w:r w:rsidRPr="00120424">
        <w:rPr>
          <w:rFonts w:ascii="Arial" w:hAnsi="Arial" w:cs="Arial"/>
          <w:lang w:val="es-MX"/>
        </w:rPr>
        <w:t xml:space="preserve"> vendedora del inmueble.</w:t>
      </w:r>
    </w:p>
    <w:p w14:paraId="764AEABF" w14:textId="77777777" w:rsidR="00772DF2" w:rsidRPr="00120424" w:rsidRDefault="00772DF2" w:rsidP="00DD55D2">
      <w:pPr>
        <w:widowControl w:val="0"/>
        <w:autoSpaceDE w:val="0"/>
        <w:autoSpaceDN w:val="0"/>
        <w:adjustRightInd w:val="0"/>
        <w:spacing w:line="288" w:lineRule="auto"/>
        <w:jc w:val="both"/>
        <w:rPr>
          <w:rFonts w:ascii="Arial" w:hAnsi="Arial" w:cs="Arial"/>
          <w:lang w:val="es-MX"/>
        </w:rPr>
      </w:pPr>
    </w:p>
    <w:p w14:paraId="331C8B90" w14:textId="77777777" w:rsidR="00772DF2" w:rsidRPr="00120424" w:rsidRDefault="00772DF2" w:rsidP="00A76702">
      <w:pPr>
        <w:widowControl w:val="0"/>
        <w:autoSpaceDE w:val="0"/>
        <w:autoSpaceDN w:val="0"/>
        <w:adjustRightInd w:val="0"/>
        <w:spacing w:line="360" w:lineRule="auto"/>
        <w:jc w:val="both"/>
        <w:rPr>
          <w:rFonts w:ascii="Arial" w:hAnsi="Arial" w:cs="Arial"/>
          <w:lang w:val="es-MX"/>
        </w:rPr>
      </w:pPr>
      <w:r w:rsidRPr="00120424">
        <w:rPr>
          <w:rFonts w:ascii="Arial" w:hAnsi="Arial" w:cs="Arial"/>
          <w:lang w:val="es-MX"/>
        </w:rPr>
        <w:t>Por otro lado, en el proceso de adquisición del predio objeto de controversia, el municipio de Facatativá infringi</w:t>
      </w:r>
      <w:r w:rsidR="00D82DE3" w:rsidRPr="00120424">
        <w:rPr>
          <w:rFonts w:ascii="Arial" w:hAnsi="Arial" w:cs="Arial"/>
          <w:lang w:val="es-MX"/>
        </w:rPr>
        <w:t>ó</w:t>
      </w:r>
      <w:r w:rsidR="00211E19" w:rsidRPr="00120424">
        <w:rPr>
          <w:rFonts w:ascii="Arial" w:hAnsi="Arial" w:cs="Arial"/>
          <w:lang w:val="es-MX"/>
        </w:rPr>
        <w:t xml:space="preserve"> </w:t>
      </w:r>
      <w:r w:rsidRPr="00120424">
        <w:rPr>
          <w:rFonts w:ascii="Arial" w:hAnsi="Arial" w:cs="Arial"/>
          <w:lang w:val="es-MX"/>
        </w:rPr>
        <w:t>la Ley 9 de 1989</w:t>
      </w:r>
      <w:r w:rsidR="00D82DE3" w:rsidRPr="00120424">
        <w:rPr>
          <w:rFonts w:ascii="Arial" w:hAnsi="Arial" w:cs="Arial"/>
          <w:lang w:val="es-MX"/>
        </w:rPr>
        <w:t>, puesto que el negocio jurídico nunca fue autorizado expresamente por el concejo municipal a través de acuerdo, tal como lo exigía dicha normativa para la compra de predios</w:t>
      </w:r>
      <w:r w:rsidR="00384172" w:rsidRPr="00120424">
        <w:rPr>
          <w:rFonts w:ascii="Arial" w:hAnsi="Arial" w:cs="Arial"/>
          <w:lang w:val="es-MX"/>
        </w:rPr>
        <w:t xml:space="preserve"> por parte de </w:t>
      </w:r>
      <w:r w:rsidR="003D4E70" w:rsidRPr="00120424">
        <w:rPr>
          <w:rFonts w:ascii="Arial" w:hAnsi="Arial" w:cs="Arial"/>
          <w:lang w:val="es-MX"/>
        </w:rPr>
        <w:t>los municipios</w:t>
      </w:r>
      <w:r w:rsidR="00D82DE3" w:rsidRPr="00120424">
        <w:rPr>
          <w:rFonts w:ascii="Arial" w:hAnsi="Arial" w:cs="Arial"/>
          <w:lang w:val="es-MX"/>
        </w:rPr>
        <w:t>.</w:t>
      </w:r>
    </w:p>
    <w:p w14:paraId="6922D59F" w14:textId="77777777" w:rsidR="00211E19" w:rsidRPr="00120424" w:rsidRDefault="00211E19" w:rsidP="00DD55D2">
      <w:pPr>
        <w:widowControl w:val="0"/>
        <w:autoSpaceDE w:val="0"/>
        <w:autoSpaceDN w:val="0"/>
        <w:adjustRightInd w:val="0"/>
        <w:spacing w:line="288" w:lineRule="auto"/>
        <w:jc w:val="both"/>
        <w:rPr>
          <w:rFonts w:ascii="Arial" w:hAnsi="Arial" w:cs="Arial"/>
          <w:lang w:val="es-MX"/>
        </w:rPr>
      </w:pPr>
    </w:p>
    <w:p w14:paraId="786A2B72" w14:textId="77777777" w:rsidR="00A4147F" w:rsidRPr="00120424" w:rsidRDefault="00A4147F" w:rsidP="00DD55D2">
      <w:pPr>
        <w:spacing w:line="288" w:lineRule="auto"/>
        <w:jc w:val="both"/>
        <w:rPr>
          <w:rFonts w:ascii="Arial" w:hAnsi="Arial" w:cs="Arial"/>
          <w:b/>
          <w:bCs/>
          <w:iCs/>
        </w:rPr>
      </w:pPr>
      <w:r w:rsidRPr="00120424">
        <w:rPr>
          <w:rFonts w:ascii="Arial" w:hAnsi="Arial" w:cs="Arial"/>
          <w:b/>
          <w:bCs/>
          <w:iCs/>
        </w:rPr>
        <w:t>3. Trámite en primera instancia</w:t>
      </w:r>
    </w:p>
    <w:p w14:paraId="1C11A9D4" w14:textId="77777777" w:rsidR="00A4147F" w:rsidRPr="00120424" w:rsidRDefault="00A4147F" w:rsidP="00DD55D2">
      <w:pPr>
        <w:spacing w:line="288" w:lineRule="auto"/>
        <w:jc w:val="both"/>
        <w:rPr>
          <w:rFonts w:ascii="Arial" w:hAnsi="Arial" w:cs="Arial"/>
          <w:bCs/>
          <w:iCs/>
        </w:rPr>
      </w:pPr>
    </w:p>
    <w:p w14:paraId="6CACF5C4" w14:textId="77777777" w:rsidR="00A4147F" w:rsidRPr="00120424" w:rsidRDefault="00A4147F" w:rsidP="00A4147F">
      <w:pPr>
        <w:spacing w:line="360" w:lineRule="auto"/>
        <w:jc w:val="both"/>
        <w:rPr>
          <w:rFonts w:ascii="Arial" w:hAnsi="Arial" w:cs="Arial"/>
          <w:bCs/>
          <w:iCs/>
        </w:rPr>
      </w:pPr>
      <w:r w:rsidRPr="00120424">
        <w:rPr>
          <w:rFonts w:ascii="Arial" w:hAnsi="Arial" w:cs="Arial"/>
          <w:b/>
          <w:bCs/>
          <w:iCs/>
        </w:rPr>
        <w:t>3.1.</w:t>
      </w:r>
      <w:r w:rsidRPr="00120424">
        <w:rPr>
          <w:rFonts w:ascii="Arial" w:hAnsi="Arial" w:cs="Arial"/>
          <w:bCs/>
          <w:iCs/>
        </w:rPr>
        <w:t xml:space="preserve"> El Tribunal Administrativo de </w:t>
      </w:r>
      <w:r w:rsidR="00211E19" w:rsidRPr="00120424">
        <w:rPr>
          <w:rFonts w:ascii="Arial" w:hAnsi="Arial" w:cs="Arial"/>
          <w:bCs/>
          <w:iCs/>
        </w:rPr>
        <w:t>Cundinamarca</w:t>
      </w:r>
      <w:r w:rsidRPr="00120424">
        <w:rPr>
          <w:rFonts w:ascii="Arial" w:hAnsi="Arial" w:cs="Arial"/>
          <w:bCs/>
          <w:iCs/>
        </w:rPr>
        <w:t xml:space="preserve">, mediante providencia del </w:t>
      </w:r>
      <w:r w:rsidR="001C469F" w:rsidRPr="00120424">
        <w:rPr>
          <w:rFonts w:ascii="Arial" w:hAnsi="Arial" w:cs="Arial"/>
          <w:bCs/>
          <w:iCs/>
        </w:rPr>
        <w:t>24 de noviembre de 1997</w:t>
      </w:r>
      <w:r w:rsidRPr="00120424">
        <w:rPr>
          <w:rFonts w:ascii="Arial" w:hAnsi="Arial" w:cs="Arial"/>
          <w:bCs/>
          <w:iCs/>
        </w:rPr>
        <w:t xml:space="preserve">, admitió la demanda y ordenó notificar de la misma </w:t>
      </w:r>
      <w:r w:rsidR="001C469F" w:rsidRPr="00120424">
        <w:rPr>
          <w:rFonts w:ascii="Arial" w:hAnsi="Arial" w:cs="Arial"/>
          <w:bCs/>
          <w:iCs/>
        </w:rPr>
        <w:t xml:space="preserve">al </w:t>
      </w:r>
      <w:r w:rsidR="005702D2" w:rsidRPr="00120424">
        <w:rPr>
          <w:rFonts w:ascii="Arial" w:hAnsi="Arial" w:cs="Arial"/>
          <w:bCs/>
          <w:iCs/>
        </w:rPr>
        <w:t>M</w:t>
      </w:r>
      <w:r w:rsidR="001C469F" w:rsidRPr="00120424">
        <w:rPr>
          <w:rFonts w:ascii="Arial" w:hAnsi="Arial" w:cs="Arial"/>
          <w:bCs/>
          <w:iCs/>
        </w:rPr>
        <w:t>unicipio demandado</w:t>
      </w:r>
      <w:r w:rsidR="00401C37" w:rsidRPr="00120424">
        <w:rPr>
          <w:rStyle w:val="Refdenotaalpie"/>
          <w:rFonts w:ascii="Arial" w:hAnsi="Arial" w:cs="Arial"/>
          <w:bCs/>
          <w:iCs/>
        </w:rPr>
        <w:footnoteReference w:id="2"/>
      </w:r>
      <w:r w:rsidR="001C469F" w:rsidRPr="00120424">
        <w:rPr>
          <w:rFonts w:ascii="Arial" w:hAnsi="Arial" w:cs="Arial"/>
          <w:bCs/>
          <w:iCs/>
        </w:rPr>
        <w:t>.</w:t>
      </w:r>
    </w:p>
    <w:p w14:paraId="425D528B" w14:textId="77777777" w:rsidR="00A4147F" w:rsidRPr="00120424" w:rsidRDefault="00A4147F" w:rsidP="00A4147F">
      <w:pPr>
        <w:spacing w:line="360" w:lineRule="auto"/>
        <w:jc w:val="both"/>
        <w:rPr>
          <w:rFonts w:ascii="Arial" w:hAnsi="Arial" w:cs="Arial"/>
          <w:bCs/>
          <w:iCs/>
        </w:rPr>
      </w:pPr>
    </w:p>
    <w:p w14:paraId="11347F88" w14:textId="77777777" w:rsidR="00A4147F" w:rsidRPr="00120424" w:rsidRDefault="00A4147F" w:rsidP="00A4147F">
      <w:pPr>
        <w:spacing w:line="360" w:lineRule="auto"/>
        <w:jc w:val="both"/>
        <w:rPr>
          <w:rFonts w:ascii="Arial" w:hAnsi="Arial" w:cs="Arial"/>
          <w:bCs/>
          <w:iCs/>
        </w:rPr>
      </w:pPr>
      <w:r w:rsidRPr="00120424">
        <w:rPr>
          <w:rFonts w:ascii="Arial" w:hAnsi="Arial" w:cs="Arial"/>
          <w:b/>
          <w:bCs/>
          <w:iCs/>
        </w:rPr>
        <w:t xml:space="preserve">3.2. </w:t>
      </w:r>
      <w:r w:rsidR="0060198B" w:rsidRPr="00120424">
        <w:rPr>
          <w:rFonts w:ascii="Arial" w:hAnsi="Arial" w:cs="Arial"/>
          <w:bCs/>
          <w:iCs/>
        </w:rPr>
        <w:t xml:space="preserve">El municipio de Facatativá contestó la demanda. Propuso la excepción que denominó </w:t>
      </w:r>
      <w:r w:rsidR="0060198B" w:rsidRPr="00120424">
        <w:rPr>
          <w:rFonts w:ascii="Arial" w:hAnsi="Arial" w:cs="Arial"/>
          <w:bCs/>
          <w:i/>
          <w:iCs/>
        </w:rPr>
        <w:t>“reclamación de lo no debido”</w:t>
      </w:r>
      <w:r w:rsidR="0060198B" w:rsidRPr="00120424">
        <w:rPr>
          <w:rFonts w:ascii="Arial" w:hAnsi="Arial" w:cs="Arial"/>
          <w:bCs/>
          <w:iCs/>
        </w:rPr>
        <w:t xml:space="preserve">, </w:t>
      </w:r>
      <w:r w:rsidR="006942CC" w:rsidRPr="00120424">
        <w:rPr>
          <w:rFonts w:ascii="Arial" w:hAnsi="Arial" w:cs="Arial"/>
          <w:bCs/>
          <w:iCs/>
        </w:rPr>
        <w:t>en cuya virtud afirmó</w:t>
      </w:r>
      <w:r w:rsidR="0060198B" w:rsidRPr="00120424">
        <w:rPr>
          <w:rFonts w:ascii="Arial" w:hAnsi="Arial" w:cs="Arial"/>
          <w:bCs/>
          <w:iCs/>
        </w:rPr>
        <w:t xml:space="preserve"> que no había incumplido contrato alguno</w:t>
      </w:r>
      <w:r w:rsidR="00EA42B6" w:rsidRPr="00120424">
        <w:rPr>
          <w:rFonts w:ascii="Arial" w:hAnsi="Arial" w:cs="Arial"/>
          <w:bCs/>
          <w:iCs/>
        </w:rPr>
        <w:t>,</w:t>
      </w:r>
      <w:r w:rsidR="0060198B" w:rsidRPr="00120424">
        <w:rPr>
          <w:rFonts w:ascii="Arial" w:hAnsi="Arial" w:cs="Arial"/>
          <w:bCs/>
          <w:iCs/>
        </w:rPr>
        <w:t xml:space="preserve"> puesto que los compromisos de construcción de obras que la entidad asumió no fueron incorporados en las cláusulas contractuales </w:t>
      </w:r>
      <w:r w:rsidR="0060198B" w:rsidRPr="00120424">
        <w:rPr>
          <w:rFonts w:ascii="Arial" w:hAnsi="Arial" w:cs="Arial"/>
          <w:bCs/>
          <w:iCs/>
        </w:rPr>
        <w:lastRenderedPageBreak/>
        <w:t xml:space="preserve">propiamente dichas sino en las </w:t>
      </w:r>
      <w:r w:rsidR="0060198B" w:rsidRPr="00120424">
        <w:rPr>
          <w:rFonts w:ascii="Arial" w:hAnsi="Arial" w:cs="Arial"/>
          <w:bCs/>
          <w:i/>
          <w:iCs/>
        </w:rPr>
        <w:t>“consideraciones”</w:t>
      </w:r>
      <w:r w:rsidR="0060198B" w:rsidRPr="00120424">
        <w:rPr>
          <w:rFonts w:ascii="Arial" w:hAnsi="Arial" w:cs="Arial"/>
          <w:bCs/>
          <w:iCs/>
        </w:rPr>
        <w:t xml:space="preserve"> introductorias del negocio jurídico elevado a escritura pública, </w:t>
      </w:r>
      <w:r w:rsidR="006942CC" w:rsidRPr="00120424">
        <w:rPr>
          <w:rFonts w:ascii="Arial" w:hAnsi="Arial" w:cs="Arial"/>
          <w:bCs/>
          <w:iCs/>
        </w:rPr>
        <w:t>acápite que, en su criterio, no tenía fuerza vinculante para la entidad ni hacía parte del contenido obligacional del contrato propiamente dicho.</w:t>
      </w:r>
    </w:p>
    <w:p w14:paraId="260D4080" w14:textId="77777777" w:rsidR="006942CC" w:rsidRPr="00120424" w:rsidRDefault="006942CC" w:rsidP="00A4147F">
      <w:pPr>
        <w:spacing w:line="360" w:lineRule="auto"/>
        <w:jc w:val="both"/>
        <w:rPr>
          <w:rFonts w:ascii="Arial" w:hAnsi="Arial" w:cs="Arial"/>
          <w:bCs/>
          <w:iCs/>
        </w:rPr>
      </w:pPr>
    </w:p>
    <w:p w14:paraId="65703BE6" w14:textId="77777777" w:rsidR="006942CC" w:rsidRPr="00120424" w:rsidRDefault="006942CC" w:rsidP="00A4147F">
      <w:pPr>
        <w:spacing w:line="360" w:lineRule="auto"/>
        <w:jc w:val="both"/>
        <w:rPr>
          <w:rFonts w:ascii="Arial" w:hAnsi="Arial" w:cs="Arial"/>
          <w:bCs/>
          <w:iCs/>
        </w:rPr>
      </w:pPr>
      <w:r w:rsidRPr="00120424">
        <w:rPr>
          <w:rFonts w:ascii="Arial" w:hAnsi="Arial" w:cs="Arial"/>
          <w:bCs/>
          <w:iCs/>
        </w:rPr>
        <w:t>Agregó que la Administración no debía consignar en su presupuesto apropiaciones para pagos u obligaciones carentes de soporte legal. De igual manera</w:t>
      </w:r>
      <w:r w:rsidR="00A9338A" w:rsidRPr="00120424">
        <w:rPr>
          <w:rFonts w:ascii="Arial" w:hAnsi="Arial" w:cs="Arial"/>
          <w:bCs/>
          <w:iCs/>
        </w:rPr>
        <w:t>,</w:t>
      </w:r>
      <w:r w:rsidRPr="00120424">
        <w:rPr>
          <w:rFonts w:ascii="Arial" w:hAnsi="Arial" w:cs="Arial"/>
          <w:bCs/>
          <w:iCs/>
        </w:rPr>
        <w:t xml:space="preserve"> señaló que la no ejecución del embalse había obedecido a inconvenientes de carácter técnico.</w:t>
      </w:r>
    </w:p>
    <w:p w14:paraId="1DB6D8BF" w14:textId="77777777" w:rsidR="00A4147F" w:rsidRPr="00120424" w:rsidRDefault="00A4147F" w:rsidP="00A4147F">
      <w:pPr>
        <w:spacing w:line="360" w:lineRule="auto"/>
        <w:jc w:val="both"/>
        <w:rPr>
          <w:rFonts w:ascii="Arial" w:hAnsi="Arial" w:cs="Arial"/>
          <w:bCs/>
          <w:iCs/>
          <w:highlight w:val="cyan"/>
        </w:rPr>
      </w:pPr>
    </w:p>
    <w:p w14:paraId="0AA5EA56" w14:textId="77777777" w:rsidR="006942CC" w:rsidRPr="00120424" w:rsidRDefault="006942CC" w:rsidP="00A4147F">
      <w:pPr>
        <w:spacing w:line="360" w:lineRule="auto"/>
        <w:jc w:val="both"/>
        <w:rPr>
          <w:rFonts w:ascii="Arial" w:hAnsi="Arial" w:cs="Arial"/>
          <w:bCs/>
          <w:iCs/>
        </w:rPr>
      </w:pPr>
      <w:r w:rsidRPr="00120424">
        <w:rPr>
          <w:rFonts w:ascii="Arial" w:hAnsi="Arial" w:cs="Arial"/>
          <w:bCs/>
          <w:iCs/>
        </w:rPr>
        <w:t xml:space="preserve">Por otro lado, al dar contestación a la adición de la demanda, el </w:t>
      </w:r>
      <w:r w:rsidR="005702D2" w:rsidRPr="00120424">
        <w:rPr>
          <w:rFonts w:ascii="Arial" w:hAnsi="Arial" w:cs="Arial"/>
          <w:bCs/>
          <w:iCs/>
        </w:rPr>
        <w:t>M</w:t>
      </w:r>
      <w:r w:rsidRPr="00120424">
        <w:rPr>
          <w:rFonts w:ascii="Arial" w:hAnsi="Arial" w:cs="Arial"/>
          <w:bCs/>
          <w:iCs/>
        </w:rPr>
        <w:t>unicipio señaló que para tal modificación había operado el fenómeno de la caducidad.</w:t>
      </w:r>
    </w:p>
    <w:p w14:paraId="1A1B9BA5" w14:textId="77777777" w:rsidR="00A4147F" w:rsidRPr="00120424" w:rsidRDefault="00A4147F" w:rsidP="00A4147F">
      <w:pPr>
        <w:spacing w:line="360" w:lineRule="auto"/>
        <w:jc w:val="both"/>
        <w:rPr>
          <w:rFonts w:ascii="Arial" w:hAnsi="Arial" w:cs="Arial"/>
          <w:bCs/>
          <w:iCs/>
        </w:rPr>
      </w:pPr>
    </w:p>
    <w:p w14:paraId="302EB779" w14:textId="77777777" w:rsidR="00A4147F" w:rsidRPr="00120424" w:rsidRDefault="00A4147F" w:rsidP="00A4147F">
      <w:pPr>
        <w:numPr>
          <w:ilvl w:val="12"/>
          <w:numId w:val="0"/>
        </w:numPr>
        <w:spacing w:line="360" w:lineRule="auto"/>
        <w:jc w:val="both"/>
        <w:rPr>
          <w:rFonts w:ascii="Arial" w:hAnsi="Arial" w:cs="Arial"/>
          <w:bCs/>
        </w:rPr>
      </w:pPr>
      <w:r w:rsidRPr="00120424">
        <w:rPr>
          <w:rFonts w:ascii="Arial" w:hAnsi="Arial" w:cs="Arial"/>
          <w:b/>
          <w:bCs/>
        </w:rPr>
        <w:t xml:space="preserve">4. La </w:t>
      </w:r>
      <w:r w:rsidR="006942CC" w:rsidRPr="00120424">
        <w:rPr>
          <w:rFonts w:ascii="Arial" w:hAnsi="Arial" w:cs="Arial"/>
          <w:b/>
          <w:bCs/>
        </w:rPr>
        <w:t>providencia</w:t>
      </w:r>
      <w:r w:rsidRPr="00120424">
        <w:rPr>
          <w:rFonts w:ascii="Arial" w:hAnsi="Arial" w:cs="Arial"/>
          <w:b/>
          <w:bCs/>
        </w:rPr>
        <w:t xml:space="preserve"> </w:t>
      </w:r>
      <w:r w:rsidR="006942CC" w:rsidRPr="00120424">
        <w:rPr>
          <w:rFonts w:ascii="Arial" w:hAnsi="Arial" w:cs="Arial"/>
          <w:b/>
          <w:bCs/>
        </w:rPr>
        <w:t>apelada</w:t>
      </w:r>
    </w:p>
    <w:p w14:paraId="0B416F15" w14:textId="77777777" w:rsidR="00A4147F" w:rsidRPr="00120424" w:rsidRDefault="00A4147F" w:rsidP="00A4147F">
      <w:pPr>
        <w:numPr>
          <w:ilvl w:val="12"/>
          <w:numId w:val="0"/>
        </w:numPr>
        <w:spacing w:line="360" w:lineRule="auto"/>
        <w:jc w:val="both"/>
        <w:rPr>
          <w:rFonts w:ascii="Arial" w:hAnsi="Arial" w:cs="Arial"/>
          <w:bCs/>
        </w:rPr>
      </w:pPr>
    </w:p>
    <w:p w14:paraId="684F2F1A" w14:textId="77777777" w:rsidR="00A4147F" w:rsidRPr="00120424" w:rsidRDefault="006942CC" w:rsidP="00A4147F">
      <w:pPr>
        <w:numPr>
          <w:ilvl w:val="12"/>
          <w:numId w:val="0"/>
        </w:numPr>
        <w:spacing w:line="360" w:lineRule="auto"/>
        <w:jc w:val="both"/>
        <w:rPr>
          <w:rFonts w:ascii="Arial" w:hAnsi="Arial" w:cs="Arial"/>
          <w:bCs/>
        </w:rPr>
      </w:pPr>
      <w:r w:rsidRPr="00120424">
        <w:rPr>
          <w:rFonts w:ascii="Arial" w:hAnsi="Arial" w:cs="Arial"/>
          <w:bCs/>
        </w:rPr>
        <w:t xml:space="preserve">El 3 de noviembre de 2004, los magistrados de la Subsección B del Tribunal Administrativo de Cundinamarca suscribieron </w:t>
      </w:r>
      <w:r w:rsidR="00996BF6" w:rsidRPr="00120424">
        <w:rPr>
          <w:rFonts w:ascii="Arial" w:hAnsi="Arial" w:cs="Arial"/>
          <w:bCs/>
        </w:rPr>
        <w:t xml:space="preserve">el proyecto de sentencia de cierre de la primera instancia, expresando que se había aprobado en </w:t>
      </w:r>
      <w:r w:rsidR="00757E62" w:rsidRPr="00120424">
        <w:rPr>
          <w:rFonts w:ascii="Arial" w:hAnsi="Arial" w:cs="Arial"/>
          <w:bCs/>
        </w:rPr>
        <w:t>Sala</w:t>
      </w:r>
      <w:r w:rsidR="00996BF6" w:rsidRPr="00120424">
        <w:rPr>
          <w:rFonts w:ascii="Arial" w:hAnsi="Arial" w:cs="Arial"/>
          <w:bCs/>
        </w:rPr>
        <w:t xml:space="preserve"> de esa misma fecha.</w:t>
      </w:r>
    </w:p>
    <w:p w14:paraId="40CED44F" w14:textId="77777777" w:rsidR="00333F9C" w:rsidRPr="00120424" w:rsidRDefault="00333F9C" w:rsidP="00A4147F">
      <w:pPr>
        <w:numPr>
          <w:ilvl w:val="12"/>
          <w:numId w:val="0"/>
        </w:numPr>
        <w:spacing w:line="360" w:lineRule="auto"/>
        <w:jc w:val="both"/>
        <w:rPr>
          <w:rFonts w:ascii="Arial" w:hAnsi="Arial" w:cs="Arial"/>
          <w:bCs/>
        </w:rPr>
      </w:pPr>
    </w:p>
    <w:p w14:paraId="59B3A8B3" w14:textId="77777777" w:rsidR="00757E62" w:rsidRPr="00120424" w:rsidRDefault="00757E62" w:rsidP="00A4147F">
      <w:pPr>
        <w:numPr>
          <w:ilvl w:val="12"/>
          <w:numId w:val="0"/>
        </w:numPr>
        <w:spacing w:line="360" w:lineRule="auto"/>
        <w:jc w:val="both"/>
        <w:rPr>
          <w:rFonts w:ascii="Arial" w:hAnsi="Arial" w:cs="Arial"/>
          <w:bCs/>
        </w:rPr>
      </w:pPr>
      <w:r w:rsidRPr="00120424">
        <w:rPr>
          <w:rFonts w:ascii="Arial" w:hAnsi="Arial" w:cs="Arial"/>
          <w:bCs/>
        </w:rPr>
        <w:t xml:space="preserve">En la parte resolutiva del fallo se declaró la nulidad absoluta del contrato de compraventa celebrado entre </w:t>
      </w:r>
      <w:r w:rsidR="00C06EC0" w:rsidRPr="00120424">
        <w:rPr>
          <w:rFonts w:ascii="Arial" w:hAnsi="Arial" w:cs="Arial"/>
          <w:bCs/>
        </w:rPr>
        <w:t>las partes</w:t>
      </w:r>
      <w:r w:rsidRPr="00120424">
        <w:rPr>
          <w:rFonts w:ascii="Arial" w:hAnsi="Arial" w:cs="Arial"/>
          <w:bCs/>
        </w:rPr>
        <w:t xml:space="preserve"> mediante Escritura Pública N° 1624 del 23 de junio de 1993 y, como consecuencia, se dispuso:</w:t>
      </w:r>
    </w:p>
    <w:p w14:paraId="5C5BB83D" w14:textId="77777777" w:rsidR="00757E62" w:rsidRPr="00120424" w:rsidRDefault="00757E62" w:rsidP="00A4147F">
      <w:pPr>
        <w:numPr>
          <w:ilvl w:val="12"/>
          <w:numId w:val="0"/>
        </w:numPr>
        <w:spacing w:line="360" w:lineRule="auto"/>
        <w:jc w:val="both"/>
        <w:rPr>
          <w:rFonts w:ascii="Arial" w:hAnsi="Arial" w:cs="Arial"/>
          <w:bCs/>
        </w:rPr>
      </w:pPr>
    </w:p>
    <w:p w14:paraId="45B7D480" w14:textId="77777777" w:rsidR="00EE4005" w:rsidRPr="00120424" w:rsidRDefault="00757E62" w:rsidP="00757E62">
      <w:pPr>
        <w:numPr>
          <w:ilvl w:val="12"/>
          <w:numId w:val="0"/>
        </w:numPr>
        <w:ind w:left="567" w:right="335"/>
        <w:jc w:val="both"/>
        <w:rPr>
          <w:rFonts w:ascii="Arial" w:hAnsi="Arial" w:cs="Arial"/>
          <w:bCs/>
        </w:rPr>
      </w:pPr>
      <w:r w:rsidRPr="00120424">
        <w:rPr>
          <w:rFonts w:ascii="Arial" w:hAnsi="Arial" w:cs="Arial"/>
          <w:bCs/>
          <w:i/>
        </w:rPr>
        <w:t>“… se ordena a la sociedad Inversiones Dualda Ltda. reintegrar al Municipio de Facatativá la suma de treinta y nueve millones doscientos treinta y tres mil doscientos cincuenta y nueve pesos ($39’233.259,oo) moneda corriente y, a su vez, se ordena al Municipio de Facatativá la entrega real y material del bien inmueble en su estado actual”</w:t>
      </w:r>
      <w:r w:rsidRPr="00120424">
        <w:rPr>
          <w:rStyle w:val="Refdenotaalpie"/>
          <w:rFonts w:ascii="Arial" w:hAnsi="Arial" w:cs="Arial"/>
          <w:bCs/>
          <w:i/>
        </w:rPr>
        <w:footnoteReference w:id="3"/>
      </w:r>
      <w:r w:rsidRPr="00120424">
        <w:rPr>
          <w:rFonts w:ascii="Arial" w:hAnsi="Arial" w:cs="Arial"/>
          <w:bCs/>
          <w:i/>
        </w:rPr>
        <w:t>.</w:t>
      </w:r>
      <w:r w:rsidRPr="00120424">
        <w:rPr>
          <w:rFonts w:ascii="Arial" w:hAnsi="Arial" w:cs="Arial"/>
          <w:bCs/>
        </w:rPr>
        <w:t xml:space="preserve"> </w:t>
      </w:r>
    </w:p>
    <w:p w14:paraId="38601242" w14:textId="77777777" w:rsidR="003D4E70" w:rsidRPr="00120424" w:rsidRDefault="003D4E70" w:rsidP="00A4147F">
      <w:pPr>
        <w:numPr>
          <w:ilvl w:val="12"/>
          <w:numId w:val="0"/>
        </w:numPr>
        <w:spacing w:line="360" w:lineRule="auto"/>
        <w:jc w:val="both"/>
        <w:rPr>
          <w:rFonts w:ascii="Arial" w:hAnsi="Arial" w:cs="Arial"/>
          <w:bCs/>
        </w:rPr>
      </w:pPr>
    </w:p>
    <w:p w14:paraId="58A94D0F" w14:textId="77777777" w:rsidR="00844CEA" w:rsidRPr="00120424" w:rsidRDefault="00A40939" w:rsidP="00A4147F">
      <w:pPr>
        <w:numPr>
          <w:ilvl w:val="12"/>
          <w:numId w:val="0"/>
        </w:numPr>
        <w:spacing w:line="360" w:lineRule="auto"/>
        <w:jc w:val="both"/>
        <w:rPr>
          <w:rFonts w:ascii="Arial" w:hAnsi="Arial" w:cs="Arial"/>
          <w:bCs/>
        </w:rPr>
      </w:pPr>
      <w:r w:rsidRPr="00120424">
        <w:rPr>
          <w:rFonts w:ascii="Arial" w:hAnsi="Arial" w:cs="Arial"/>
          <w:bCs/>
        </w:rPr>
        <w:t xml:space="preserve">Se consideró en la ponencia que el contrato objeto de debate </w:t>
      </w:r>
      <w:r w:rsidR="00327757" w:rsidRPr="00120424">
        <w:rPr>
          <w:rFonts w:ascii="Arial" w:hAnsi="Arial" w:cs="Arial"/>
          <w:bCs/>
        </w:rPr>
        <w:t>infringía el artículo 197 de la Constitución Nacional de 1886, el Decreto 1333 de 1986 y el Acuerdo municipal 012 de 1990 – normas vigentes en la época de celebración del negocio-, toda vez que</w:t>
      </w:r>
      <w:r w:rsidR="00844CEA" w:rsidRPr="00120424">
        <w:rPr>
          <w:rFonts w:ascii="Arial" w:hAnsi="Arial" w:cs="Arial"/>
          <w:bCs/>
        </w:rPr>
        <w:t>,</w:t>
      </w:r>
      <w:r w:rsidR="00327757" w:rsidRPr="00120424">
        <w:rPr>
          <w:rFonts w:ascii="Arial" w:hAnsi="Arial" w:cs="Arial"/>
          <w:bCs/>
        </w:rPr>
        <w:t xml:space="preserve"> de conformidad con tales codificaciones</w:t>
      </w:r>
      <w:r w:rsidR="00844CEA" w:rsidRPr="00120424">
        <w:rPr>
          <w:rFonts w:ascii="Arial" w:hAnsi="Arial" w:cs="Arial"/>
          <w:bCs/>
        </w:rPr>
        <w:t>, la suscripción de dicho acuerdo de voluntades por parte del alcalde municipal requería la autorización expresa del concejo.</w:t>
      </w:r>
    </w:p>
    <w:p w14:paraId="71FE258B" w14:textId="77777777" w:rsidR="00844CEA" w:rsidRPr="00120424" w:rsidRDefault="00844CEA" w:rsidP="00A4147F">
      <w:pPr>
        <w:numPr>
          <w:ilvl w:val="12"/>
          <w:numId w:val="0"/>
        </w:numPr>
        <w:spacing w:line="360" w:lineRule="auto"/>
        <w:jc w:val="both"/>
        <w:rPr>
          <w:rFonts w:ascii="Arial" w:hAnsi="Arial" w:cs="Arial"/>
          <w:bCs/>
        </w:rPr>
      </w:pPr>
    </w:p>
    <w:p w14:paraId="3DF33152" w14:textId="77777777" w:rsidR="00844CEA" w:rsidRPr="00120424" w:rsidRDefault="00844CEA" w:rsidP="00A4147F">
      <w:pPr>
        <w:numPr>
          <w:ilvl w:val="12"/>
          <w:numId w:val="0"/>
        </w:numPr>
        <w:spacing w:line="360" w:lineRule="auto"/>
        <w:jc w:val="both"/>
        <w:rPr>
          <w:rFonts w:ascii="Arial" w:hAnsi="Arial" w:cs="Arial"/>
          <w:bCs/>
        </w:rPr>
      </w:pPr>
      <w:r w:rsidRPr="00120424">
        <w:rPr>
          <w:rFonts w:ascii="Arial" w:hAnsi="Arial" w:cs="Arial"/>
          <w:bCs/>
        </w:rPr>
        <w:lastRenderedPageBreak/>
        <w:t xml:space="preserve">Se señaló que, en efecto, el precepto constitucional mencionado le asignaba a los concejos municipales, entre otras funciones, la de autorizar al alcalde para celebrar contratos, </w:t>
      </w:r>
      <w:r w:rsidR="00327757" w:rsidRPr="00120424">
        <w:rPr>
          <w:rFonts w:ascii="Arial" w:hAnsi="Arial" w:cs="Arial"/>
          <w:bCs/>
        </w:rPr>
        <w:t xml:space="preserve"> </w:t>
      </w:r>
      <w:r w:rsidRPr="00120424">
        <w:rPr>
          <w:rFonts w:ascii="Arial" w:hAnsi="Arial" w:cs="Arial"/>
          <w:bCs/>
        </w:rPr>
        <w:t>mientras que el Decreto 1333 de 1986 establecía en su artículo 273 que los contratos celebrados por los municipios debían ajustarse a las disposiciones del concejo, en lo tocante a los requisitos para su formación, adjudicación y suscripción.</w:t>
      </w:r>
    </w:p>
    <w:p w14:paraId="35B7D8F4" w14:textId="77777777" w:rsidR="00844CEA" w:rsidRPr="00120424" w:rsidRDefault="00844CEA" w:rsidP="00A4147F">
      <w:pPr>
        <w:numPr>
          <w:ilvl w:val="12"/>
          <w:numId w:val="0"/>
        </w:numPr>
        <w:spacing w:line="360" w:lineRule="auto"/>
        <w:jc w:val="both"/>
        <w:rPr>
          <w:rFonts w:ascii="Arial" w:hAnsi="Arial" w:cs="Arial"/>
          <w:bCs/>
        </w:rPr>
      </w:pPr>
    </w:p>
    <w:p w14:paraId="690ACB06" w14:textId="77777777" w:rsidR="00CF484E" w:rsidRPr="00120424" w:rsidRDefault="008F52AD" w:rsidP="00A4147F">
      <w:pPr>
        <w:numPr>
          <w:ilvl w:val="12"/>
          <w:numId w:val="0"/>
        </w:numPr>
        <w:spacing w:line="360" w:lineRule="auto"/>
        <w:jc w:val="both"/>
        <w:rPr>
          <w:rFonts w:ascii="Arial" w:hAnsi="Arial" w:cs="Arial"/>
          <w:bCs/>
        </w:rPr>
      </w:pPr>
      <w:r w:rsidRPr="00120424">
        <w:rPr>
          <w:rFonts w:ascii="Arial" w:hAnsi="Arial" w:cs="Arial"/>
          <w:bCs/>
        </w:rPr>
        <w:t>Refirió el proyecto de sentencia</w:t>
      </w:r>
      <w:r w:rsidR="00CF484E" w:rsidRPr="00120424">
        <w:rPr>
          <w:rFonts w:ascii="Arial" w:hAnsi="Arial" w:cs="Arial"/>
          <w:bCs/>
        </w:rPr>
        <w:t xml:space="preserve"> que, aun cuando en</w:t>
      </w:r>
      <w:r w:rsidR="00844CEA" w:rsidRPr="00120424">
        <w:rPr>
          <w:rFonts w:ascii="Arial" w:hAnsi="Arial" w:cs="Arial"/>
          <w:bCs/>
        </w:rPr>
        <w:t xml:space="preserve"> la escritura pública respectiva se </w:t>
      </w:r>
      <w:r w:rsidR="00CF484E" w:rsidRPr="00120424">
        <w:rPr>
          <w:rFonts w:ascii="Arial" w:hAnsi="Arial" w:cs="Arial"/>
          <w:bCs/>
        </w:rPr>
        <w:t>afirmó</w:t>
      </w:r>
      <w:r w:rsidR="00844CEA" w:rsidRPr="00120424">
        <w:rPr>
          <w:rFonts w:ascii="Arial" w:hAnsi="Arial" w:cs="Arial"/>
          <w:bCs/>
        </w:rPr>
        <w:t xml:space="preserve"> que el contrato reprochado se ceñía al Acuerdo municipal 012 de 1990, lo cierto era que el objeto</w:t>
      </w:r>
      <w:r w:rsidR="00244753" w:rsidRPr="00120424">
        <w:rPr>
          <w:rFonts w:ascii="Arial" w:hAnsi="Arial" w:cs="Arial"/>
          <w:bCs/>
        </w:rPr>
        <w:t xml:space="preserve">, </w:t>
      </w:r>
      <w:r w:rsidR="00E15D3E" w:rsidRPr="00120424">
        <w:rPr>
          <w:rFonts w:ascii="Arial" w:hAnsi="Arial" w:cs="Arial"/>
          <w:bCs/>
        </w:rPr>
        <w:t xml:space="preserve">las prestaciones </w:t>
      </w:r>
      <w:r w:rsidR="00844CEA" w:rsidRPr="00120424">
        <w:rPr>
          <w:rFonts w:ascii="Arial" w:hAnsi="Arial" w:cs="Arial"/>
          <w:bCs/>
        </w:rPr>
        <w:t xml:space="preserve">y </w:t>
      </w:r>
      <w:r w:rsidR="00E15D3E" w:rsidRPr="00120424">
        <w:rPr>
          <w:rFonts w:ascii="Arial" w:hAnsi="Arial" w:cs="Arial"/>
          <w:bCs/>
        </w:rPr>
        <w:t xml:space="preserve">los valores </w:t>
      </w:r>
      <w:r w:rsidR="00844CEA" w:rsidRPr="00120424">
        <w:rPr>
          <w:rFonts w:ascii="Arial" w:hAnsi="Arial" w:cs="Arial"/>
          <w:bCs/>
        </w:rPr>
        <w:t>previst</w:t>
      </w:r>
      <w:r w:rsidR="00E15D3E" w:rsidRPr="00120424">
        <w:rPr>
          <w:rFonts w:ascii="Arial" w:hAnsi="Arial" w:cs="Arial"/>
          <w:bCs/>
        </w:rPr>
        <w:t>o</w:t>
      </w:r>
      <w:r w:rsidR="00844CEA" w:rsidRPr="00120424">
        <w:rPr>
          <w:rFonts w:ascii="Arial" w:hAnsi="Arial" w:cs="Arial"/>
          <w:bCs/>
        </w:rPr>
        <w:t xml:space="preserve">s por las partes </w:t>
      </w:r>
      <w:r w:rsidR="00244753" w:rsidRPr="00120424">
        <w:rPr>
          <w:rFonts w:ascii="Arial" w:hAnsi="Arial" w:cs="Arial"/>
          <w:bCs/>
        </w:rPr>
        <w:t>no se ajustaban ni encuadraban en los</w:t>
      </w:r>
      <w:r w:rsidR="00E15D3E" w:rsidRPr="00120424">
        <w:rPr>
          <w:rFonts w:ascii="Arial" w:hAnsi="Arial" w:cs="Arial"/>
          <w:bCs/>
        </w:rPr>
        <w:t xml:space="preserve"> parámetros</w:t>
      </w:r>
      <w:r w:rsidR="00244753" w:rsidRPr="00120424">
        <w:rPr>
          <w:rFonts w:ascii="Arial" w:hAnsi="Arial" w:cs="Arial"/>
          <w:bCs/>
        </w:rPr>
        <w:t xml:space="preserve"> fijados por el concejo en </w:t>
      </w:r>
      <w:r w:rsidR="00F3414C" w:rsidRPr="00120424">
        <w:rPr>
          <w:rFonts w:ascii="Arial" w:hAnsi="Arial" w:cs="Arial"/>
          <w:bCs/>
        </w:rPr>
        <w:t xml:space="preserve">tal </w:t>
      </w:r>
      <w:r w:rsidR="00244753" w:rsidRPr="00120424">
        <w:rPr>
          <w:rFonts w:ascii="Arial" w:hAnsi="Arial" w:cs="Arial"/>
          <w:bCs/>
        </w:rPr>
        <w:t>regulación.</w:t>
      </w:r>
      <w:r w:rsidR="00CF484E" w:rsidRPr="00120424">
        <w:rPr>
          <w:rFonts w:ascii="Arial" w:hAnsi="Arial" w:cs="Arial"/>
          <w:bCs/>
        </w:rPr>
        <w:t xml:space="preserve"> </w:t>
      </w:r>
    </w:p>
    <w:p w14:paraId="5E1BA2D5" w14:textId="77777777" w:rsidR="00CF484E" w:rsidRPr="00120424" w:rsidRDefault="00CF484E" w:rsidP="00A4147F">
      <w:pPr>
        <w:numPr>
          <w:ilvl w:val="12"/>
          <w:numId w:val="0"/>
        </w:numPr>
        <w:spacing w:line="360" w:lineRule="auto"/>
        <w:jc w:val="both"/>
        <w:rPr>
          <w:rFonts w:ascii="Arial" w:hAnsi="Arial" w:cs="Arial"/>
          <w:bCs/>
        </w:rPr>
      </w:pPr>
    </w:p>
    <w:p w14:paraId="6542B6AB" w14:textId="77777777" w:rsidR="00A40939" w:rsidRPr="00120424" w:rsidRDefault="00CF484E" w:rsidP="00A4147F">
      <w:pPr>
        <w:numPr>
          <w:ilvl w:val="12"/>
          <w:numId w:val="0"/>
        </w:numPr>
        <w:spacing w:line="360" w:lineRule="auto"/>
        <w:jc w:val="both"/>
        <w:rPr>
          <w:rFonts w:ascii="Arial" w:hAnsi="Arial" w:cs="Arial"/>
          <w:bCs/>
        </w:rPr>
      </w:pPr>
      <w:r w:rsidRPr="00120424">
        <w:rPr>
          <w:rFonts w:ascii="Arial" w:hAnsi="Arial" w:cs="Arial"/>
          <w:bCs/>
        </w:rPr>
        <w:t xml:space="preserve">En punto de ello explicó que, a la luz del referido Acuerdo, </w:t>
      </w:r>
      <w:r w:rsidR="00B839CD" w:rsidRPr="00120424">
        <w:rPr>
          <w:rFonts w:ascii="Arial" w:hAnsi="Arial" w:cs="Arial"/>
          <w:bCs/>
        </w:rPr>
        <w:t xml:space="preserve">los inmuebles cuya adquisición se autorizaba en tal normativa </w:t>
      </w:r>
      <w:r w:rsidR="00F53EDB" w:rsidRPr="00120424">
        <w:rPr>
          <w:rFonts w:ascii="Arial" w:hAnsi="Arial" w:cs="Arial"/>
          <w:bCs/>
        </w:rPr>
        <w:t>solo</w:t>
      </w:r>
      <w:r w:rsidR="00B839CD" w:rsidRPr="00120424">
        <w:rPr>
          <w:rFonts w:ascii="Arial" w:hAnsi="Arial" w:cs="Arial"/>
          <w:bCs/>
        </w:rPr>
        <w:t xml:space="preserve"> eran los que se destinaran al funcionamiento de la entidad, pero no los que buscaran otros fines</w:t>
      </w:r>
      <w:r w:rsidR="00E708F0" w:rsidRPr="00120424">
        <w:rPr>
          <w:rFonts w:ascii="Arial" w:hAnsi="Arial" w:cs="Arial"/>
          <w:bCs/>
        </w:rPr>
        <w:t>,</w:t>
      </w:r>
      <w:r w:rsidR="00B839CD" w:rsidRPr="00120424">
        <w:rPr>
          <w:rFonts w:ascii="Arial" w:hAnsi="Arial" w:cs="Arial"/>
          <w:bCs/>
        </w:rPr>
        <w:t xml:space="preserve"> como el de la prestación del servicio público de acueducto; y agregó que, en todo caso, el mismo Acuerdo </w:t>
      </w:r>
      <w:r w:rsidRPr="00120424">
        <w:rPr>
          <w:rFonts w:ascii="Arial" w:hAnsi="Arial" w:cs="Arial"/>
          <w:bCs/>
        </w:rPr>
        <w:t xml:space="preserve"> señalaba como precio máximo de adquisición de inmuebles el que estableciera </w:t>
      </w:r>
      <w:r w:rsidR="00B839CD" w:rsidRPr="00120424">
        <w:rPr>
          <w:rFonts w:ascii="Arial" w:hAnsi="Arial" w:cs="Arial"/>
          <w:bCs/>
        </w:rPr>
        <w:t xml:space="preserve">el Instituto Geográfico Agustín Codazzi </w:t>
      </w:r>
      <w:r w:rsidRPr="00120424">
        <w:rPr>
          <w:rFonts w:ascii="Arial" w:hAnsi="Arial" w:cs="Arial"/>
          <w:bCs/>
        </w:rPr>
        <w:t>mediante avalúo</w:t>
      </w:r>
      <w:r w:rsidR="00B839CD" w:rsidRPr="00120424">
        <w:rPr>
          <w:rFonts w:ascii="Arial" w:hAnsi="Arial" w:cs="Arial"/>
          <w:bCs/>
        </w:rPr>
        <w:t xml:space="preserve">, sin contemplar obligaciones o contraprestaciones adicionales. </w:t>
      </w:r>
    </w:p>
    <w:p w14:paraId="4B66B089" w14:textId="77777777" w:rsidR="00B839CD" w:rsidRPr="00120424" w:rsidRDefault="00B839CD" w:rsidP="00A4147F">
      <w:pPr>
        <w:numPr>
          <w:ilvl w:val="12"/>
          <w:numId w:val="0"/>
        </w:numPr>
        <w:spacing w:line="360" w:lineRule="auto"/>
        <w:jc w:val="both"/>
        <w:rPr>
          <w:rFonts w:ascii="Arial" w:hAnsi="Arial" w:cs="Arial"/>
          <w:bCs/>
        </w:rPr>
      </w:pPr>
    </w:p>
    <w:p w14:paraId="3D8F5F9F" w14:textId="77777777" w:rsidR="00B839CD" w:rsidRPr="00120424" w:rsidRDefault="00B839CD" w:rsidP="00A4147F">
      <w:pPr>
        <w:numPr>
          <w:ilvl w:val="12"/>
          <w:numId w:val="0"/>
        </w:numPr>
        <w:spacing w:line="360" w:lineRule="auto"/>
        <w:jc w:val="both"/>
        <w:rPr>
          <w:rFonts w:ascii="Arial" w:hAnsi="Arial" w:cs="Arial"/>
          <w:bCs/>
        </w:rPr>
      </w:pPr>
      <w:r w:rsidRPr="00120424">
        <w:rPr>
          <w:rFonts w:ascii="Arial" w:hAnsi="Arial" w:cs="Arial"/>
          <w:bCs/>
        </w:rPr>
        <w:t>Con fundamento en el anterior análisis, se concluyó en la ponencia (se transcribe de manera literal, con inclusión de eventuales errores):</w:t>
      </w:r>
    </w:p>
    <w:p w14:paraId="40542729" w14:textId="77777777" w:rsidR="00B839CD" w:rsidRPr="00120424" w:rsidRDefault="00B839CD" w:rsidP="00A4147F">
      <w:pPr>
        <w:numPr>
          <w:ilvl w:val="12"/>
          <w:numId w:val="0"/>
        </w:numPr>
        <w:spacing w:line="360" w:lineRule="auto"/>
        <w:jc w:val="both"/>
        <w:rPr>
          <w:rFonts w:ascii="Arial" w:hAnsi="Arial" w:cs="Arial"/>
          <w:bCs/>
        </w:rPr>
      </w:pPr>
    </w:p>
    <w:p w14:paraId="776F25E9" w14:textId="77777777" w:rsidR="00B839CD" w:rsidRPr="00120424" w:rsidRDefault="00B839CD" w:rsidP="008124F9">
      <w:pPr>
        <w:numPr>
          <w:ilvl w:val="12"/>
          <w:numId w:val="0"/>
        </w:numPr>
        <w:ind w:left="567" w:right="335"/>
        <w:jc w:val="both"/>
        <w:rPr>
          <w:rFonts w:ascii="Arial" w:hAnsi="Arial" w:cs="Arial"/>
          <w:bCs/>
          <w:i/>
        </w:rPr>
      </w:pPr>
      <w:r w:rsidRPr="00120424">
        <w:rPr>
          <w:rFonts w:ascii="Arial" w:hAnsi="Arial" w:cs="Arial"/>
          <w:bCs/>
          <w:i/>
        </w:rPr>
        <w:t>“… era exigible legalmente, en tales</w:t>
      </w:r>
      <w:r w:rsidR="008124F9" w:rsidRPr="00120424">
        <w:rPr>
          <w:rFonts w:ascii="Arial" w:hAnsi="Arial" w:cs="Arial"/>
          <w:bCs/>
          <w:i/>
        </w:rPr>
        <w:t>,</w:t>
      </w:r>
      <w:r w:rsidRPr="00120424">
        <w:rPr>
          <w:rFonts w:ascii="Arial" w:hAnsi="Arial" w:cs="Arial"/>
          <w:bCs/>
          <w:i/>
        </w:rPr>
        <w:t xml:space="preserve"> condiciones una expresa autorización del Concejo Municipal al representante legal del Municipio</w:t>
      </w:r>
      <w:r w:rsidR="008124F9" w:rsidRPr="00120424">
        <w:rPr>
          <w:rFonts w:ascii="Arial" w:hAnsi="Arial" w:cs="Arial"/>
          <w:bCs/>
          <w:i/>
        </w:rPr>
        <w:t>.</w:t>
      </w:r>
    </w:p>
    <w:p w14:paraId="7E0E4990" w14:textId="77777777" w:rsidR="008124F9" w:rsidRPr="00120424" w:rsidRDefault="008124F9" w:rsidP="008124F9">
      <w:pPr>
        <w:numPr>
          <w:ilvl w:val="12"/>
          <w:numId w:val="0"/>
        </w:numPr>
        <w:ind w:left="567" w:right="335"/>
        <w:jc w:val="both"/>
        <w:rPr>
          <w:rFonts w:ascii="Arial" w:hAnsi="Arial" w:cs="Arial"/>
          <w:bCs/>
          <w:i/>
        </w:rPr>
      </w:pPr>
    </w:p>
    <w:p w14:paraId="05290523" w14:textId="77777777" w:rsidR="008124F9" w:rsidRPr="00120424" w:rsidRDefault="008124F9" w:rsidP="008124F9">
      <w:pPr>
        <w:numPr>
          <w:ilvl w:val="12"/>
          <w:numId w:val="0"/>
        </w:numPr>
        <w:ind w:left="567" w:right="335"/>
        <w:jc w:val="both"/>
        <w:rPr>
          <w:rFonts w:ascii="Arial" w:hAnsi="Arial" w:cs="Arial"/>
          <w:bCs/>
          <w:i/>
        </w:rPr>
      </w:pPr>
      <w:r w:rsidRPr="00120424">
        <w:rPr>
          <w:rFonts w:ascii="Arial" w:hAnsi="Arial" w:cs="Arial"/>
          <w:bCs/>
          <w:i/>
        </w:rPr>
        <w:t>“Cabe advertir, que dicha exigencia era más rigurosa en vigencia del Decreto 222 de 1983, debido a que en él no se contemplaba una autorización general a los representantes legales de las entidades territoriales para celebrar los contratos contemplados allí (…).</w:t>
      </w:r>
    </w:p>
    <w:p w14:paraId="11B6D1E1" w14:textId="77777777" w:rsidR="008124F9" w:rsidRPr="00120424" w:rsidRDefault="008124F9" w:rsidP="008124F9">
      <w:pPr>
        <w:numPr>
          <w:ilvl w:val="12"/>
          <w:numId w:val="0"/>
        </w:numPr>
        <w:ind w:left="567" w:right="335"/>
        <w:jc w:val="both"/>
        <w:rPr>
          <w:rFonts w:ascii="Arial" w:hAnsi="Arial" w:cs="Arial"/>
          <w:bCs/>
          <w:i/>
        </w:rPr>
      </w:pPr>
    </w:p>
    <w:p w14:paraId="2D9E6720" w14:textId="77777777" w:rsidR="008124F9" w:rsidRPr="00120424" w:rsidRDefault="008124F9" w:rsidP="008124F9">
      <w:pPr>
        <w:numPr>
          <w:ilvl w:val="12"/>
          <w:numId w:val="0"/>
        </w:numPr>
        <w:ind w:left="567" w:right="335"/>
        <w:jc w:val="both"/>
        <w:rPr>
          <w:rFonts w:ascii="Arial" w:hAnsi="Arial" w:cs="Arial"/>
          <w:bCs/>
          <w:i/>
        </w:rPr>
      </w:pPr>
      <w:r w:rsidRPr="00120424">
        <w:rPr>
          <w:rFonts w:ascii="Arial" w:hAnsi="Arial" w:cs="Arial"/>
          <w:bCs/>
          <w:i/>
        </w:rPr>
        <w:t xml:space="preserve">“En consecuencia, como en el sub lite la norma aplicable al contrato era el </w:t>
      </w:r>
      <w:r w:rsidR="008F52AD" w:rsidRPr="00120424">
        <w:rPr>
          <w:rFonts w:ascii="Arial" w:hAnsi="Arial" w:cs="Arial"/>
          <w:bCs/>
          <w:i/>
        </w:rPr>
        <w:t>Decreto</w:t>
      </w:r>
      <w:r w:rsidRPr="00120424">
        <w:rPr>
          <w:rFonts w:ascii="Arial" w:hAnsi="Arial" w:cs="Arial"/>
          <w:bCs/>
          <w:i/>
        </w:rPr>
        <w:t xml:space="preserve"> 222 de 1983 (…), si bien la facultad de celebrar contratos es inherente a la calidad de representante legal del municipio, también es cierto que para ejercerla es requisito la previa autorización de la corporación pública (…), lo que significa una competencia restringida de aquel en dicha materia y supeditada en forma expresa a la aprobación del presupuesto de rentas y gastos…”</w:t>
      </w:r>
      <w:r w:rsidRPr="00120424">
        <w:rPr>
          <w:rStyle w:val="Refdenotaalpie"/>
          <w:rFonts w:ascii="Arial" w:hAnsi="Arial" w:cs="Arial"/>
          <w:bCs/>
          <w:i/>
        </w:rPr>
        <w:footnoteReference w:id="4"/>
      </w:r>
      <w:r w:rsidRPr="00120424">
        <w:rPr>
          <w:rFonts w:ascii="Arial" w:hAnsi="Arial" w:cs="Arial"/>
          <w:bCs/>
          <w:i/>
        </w:rPr>
        <w:t>.</w:t>
      </w:r>
    </w:p>
    <w:p w14:paraId="30E70DEB" w14:textId="77777777" w:rsidR="00A4147F" w:rsidRPr="00120424" w:rsidRDefault="00A4147F" w:rsidP="00A4147F">
      <w:pPr>
        <w:widowControl w:val="0"/>
        <w:autoSpaceDE w:val="0"/>
        <w:autoSpaceDN w:val="0"/>
        <w:adjustRightInd w:val="0"/>
        <w:spacing w:line="360" w:lineRule="auto"/>
        <w:jc w:val="both"/>
        <w:rPr>
          <w:rFonts w:ascii="Arial" w:hAnsi="Arial" w:cs="Arial"/>
          <w:bCs/>
        </w:rPr>
      </w:pPr>
    </w:p>
    <w:p w14:paraId="2B0DBB4D" w14:textId="77777777" w:rsidR="00C06EC0" w:rsidRPr="00120424" w:rsidRDefault="00C06EC0" w:rsidP="008F52AD">
      <w:pPr>
        <w:widowControl w:val="0"/>
        <w:autoSpaceDE w:val="0"/>
        <w:autoSpaceDN w:val="0"/>
        <w:adjustRightInd w:val="0"/>
        <w:spacing w:line="360" w:lineRule="auto"/>
        <w:jc w:val="both"/>
        <w:rPr>
          <w:rFonts w:ascii="Arial" w:hAnsi="Arial" w:cs="Arial"/>
          <w:bCs/>
        </w:rPr>
      </w:pPr>
      <w:r w:rsidRPr="00120424">
        <w:rPr>
          <w:rFonts w:ascii="Arial" w:hAnsi="Arial" w:cs="Arial"/>
          <w:bCs/>
        </w:rPr>
        <w:t xml:space="preserve">A continuación, se recalcó que de conformidad con el artículo 75 </w:t>
      </w:r>
      <w:r w:rsidR="008F52AD" w:rsidRPr="00120424">
        <w:rPr>
          <w:rFonts w:ascii="Arial" w:hAnsi="Arial" w:cs="Arial"/>
          <w:bCs/>
        </w:rPr>
        <w:t xml:space="preserve">– literal d) </w:t>
      </w:r>
      <w:r w:rsidRPr="00120424">
        <w:rPr>
          <w:rFonts w:ascii="Arial" w:hAnsi="Arial" w:cs="Arial"/>
          <w:bCs/>
        </w:rPr>
        <w:t xml:space="preserve">del indicado Decreto, el contrato estatal adolecía de nulidad absoluta cuando se hubiera </w:t>
      </w:r>
      <w:r w:rsidRPr="00120424">
        <w:rPr>
          <w:rFonts w:ascii="Arial" w:hAnsi="Arial" w:cs="Arial"/>
          <w:bCs/>
        </w:rPr>
        <w:lastRenderedPageBreak/>
        <w:t>celebrado por funcionarios carentes de competencia o con abuso o desviación de poder.</w:t>
      </w:r>
      <w:r w:rsidR="005E0562" w:rsidRPr="00120424">
        <w:rPr>
          <w:rFonts w:ascii="Arial" w:hAnsi="Arial" w:cs="Arial"/>
          <w:bCs/>
        </w:rPr>
        <w:t xml:space="preserve"> En tal virtud, se concluyó que en el caso concreto estaba configurada dicha causal de nulidad contractual, de suerte que había lugar a su declaración y al decreto de las consiguientes prestaciones mutuas, fijadas en la parte resolutiva, como ya se anotó.</w:t>
      </w:r>
    </w:p>
    <w:p w14:paraId="48D74506" w14:textId="77777777" w:rsidR="005E0562" w:rsidRPr="00120424" w:rsidRDefault="005E0562" w:rsidP="008F52AD">
      <w:pPr>
        <w:widowControl w:val="0"/>
        <w:autoSpaceDE w:val="0"/>
        <w:autoSpaceDN w:val="0"/>
        <w:adjustRightInd w:val="0"/>
        <w:spacing w:line="360" w:lineRule="auto"/>
        <w:jc w:val="both"/>
        <w:rPr>
          <w:rFonts w:ascii="Arial" w:hAnsi="Arial" w:cs="Arial"/>
          <w:bCs/>
        </w:rPr>
      </w:pPr>
    </w:p>
    <w:p w14:paraId="057FDF09" w14:textId="77777777" w:rsidR="00027EE2" w:rsidRPr="00120424" w:rsidRDefault="00027EE2" w:rsidP="008F52AD">
      <w:pPr>
        <w:widowControl w:val="0"/>
        <w:autoSpaceDE w:val="0"/>
        <w:autoSpaceDN w:val="0"/>
        <w:adjustRightInd w:val="0"/>
        <w:spacing w:line="360" w:lineRule="auto"/>
        <w:jc w:val="both"/>
        <w:rPr>
          <w:rFonts w:ascii="Arial" w:hAnsi="Arial" w:cs="Arial"/>
          <w:bCs/>
          <w:i/>
          <w:u w:val="single"/>
        </w:rPr>
      </w:pPr>
      <w:r w:rsidRPr="00120424">
        <w:rPr>
          <w:rFonts w:ascii="Arial" w:hAnsi="Arial" w:cs="Arial"/>
          <w:bCs/>
          <w:i/>
          <w:u w:val="single"/>
        </w:rPr>
        <w:t>Las aclaraciones de voto</w:t>
      </w:r>
    </w:p>
    <w:p w14:paraId="159C064F" w14:textId="77777777" w:rsidR="00027EE2" w:rsidRPr="00120424" w:rsidRDefault="00027EE2" w:rsidP="008F52AD">
      <w:pPr>
        <w:widowControl w:val="0"/>
        <w:autoSpaceDE w:val="0"/>
        <w:autoSpaceDN w:val="0"/>
        <w:adjustRightInd w:val="0"/>
        <w:spacing w:line="360" w:lineRule="auto"/>
        <w:jc w:val="both"/>
        <w:rPr>
          <w:rFonts w:ascii="Arial" w:hAnsi="Arial" w:cs="Arial"/>
          <w:bCs/>
        </w:rPr>
      </w:pPr>
    </w:p>
    <w:p w14:paraId="1DAAB45B" w14:textId="77777777" w:rsidR="005E0562" w:rsidRPr="00120424" w:rsidRDefault="005E0562" w:rsidP="008F52AD">
      <w:pPr>
        <w:widowControl w:val="0"/>
        <w:autoSpaceDE w:val="0"/>
        <w:autoSpaceDN w:val="0"/>
        <w:adjustRightInd w:val="0"/>
        <w:spacing w:line="360" w:lineRule="auto"/>
        <w:jc w:val="both"/>
        <w:rPr>
          <w:rFonts w:ascii="Arial" w:hAnsi="Arial" w:cs="Arial"/>
          <w:bCs/>
        </w:rPr>
      </w:pPr>
      <w:r w:rsidRPr="00120424">
        <w:rPr>
          <w:rFonts w:ascii="Arial" w:hAnsi="Arial" w:cs="Arial"/>
          <w:bCs/>
        </w:rPr>
        <w:t xml:space="preserve">Firmada la ponencia por los tres magistrados que integraban la Sala de primera instancia, dos de ellos expresaron que </w:t>
      </w:r>
      <w:r w:rsidR="00027EE2" w:rsidRPr="00120424">
        <w:rPr>
          <w:rFonts w:ascii="Arial" w:hAnsi="Arial" w:cs="Arial"/>
          <w:bCs/>
        </w:rPr>
        <w:t>rubricaban el proyecto con aclaración de voto.</w:t>
      </w:r>
    </w:p>
    <w:p w14:paraId="38D5CE9E" w14:textId="77777777" w:rsidR="00027EE2" w:rsidRPr="00120424" w:rsidRDefault="00027EE2" w:rsidP="008F52AD">
      <w:pPr>
        <w:widowControl w:val="0"/>
        <w:autoSpaceDE w:val="0"/>
        <w:autoSpaceDN w:val="0"/>
        <w:adjustRightInd w:val="0"/>
        <w:spacing w:line="360" w:lineRule="auto"/>
        <w:jc w:val="both"/>
        <w:rPr>
          <w:rFonts w:ascii="Arial" w:hAnsi="Arial" w:cs="Arial"/>
          <w:bCs/>
        </w:rPr>
      </w:pPr>
    </w:p>
    <w:p w14:paraId="7D6448C7" w14:textId="77777777" w:rsidR="0041502B" w:rsidRPr="00120424" w:rsidRDefault="00027EE2" w:rsidP="008F52AD">
      <w:pPr>
        <w:widowControl w:val="0"/>
        <w:autoSpaceDE w:val="0"/>
        <w:autoSpaceDN w:val="0"/>
        <w:adjustRightInd w:val="0"/>
        <w:spacing w:line="360" w:lineRule="auto"/>
        <w:jc w:val="both"/>
        <w:rPr>
          <w:rFonts w:ascii="Arial" w:hAnsi="Arial" w:cs="Arial"/>
          <w:bCs/>
        </w:rPr>
      </w:pPr>
      <w:r w:rsidRPr="00120424">
        <w:rPr>
          <w:rFonts w:ascii="Arial" w:hAnsi="Arial" w:cs="Arial"/>
          <w:bCs/>
        </w:rPr>
        <w:t>-. El primer escrito de aclaración de voto fue incorporado a la actuación el 17 de noviembre de 2004</w:t>
      </w:r>
      <w:r w:rsidR="005E61B0" w:rsidRPr="00120424">
        <w:rPr>
          <w:rStyle w:val="Refdenotaalpie"/>
          <w:rFonts w:ascii="Arial" w:hAnsi="Arial" w:cs="Arial"/>
          <w:bCs/>
        </w:rPr>
        <w:footnoteReference w:id="5"/>
      </w:r>
      <w:r w:rsidRPr="00120424">
        <w:rPr>
          <w:rFonts w:ascii="Arial" w:hAnsi="Arial" w:cs="Arial"/>
          <w:bCs/>
        </w:rPr>
        <w:t xml:space="preserve"> y, en él, el magistrado signatario </w:t>
      </w:r>
      <w:r w:rsidR="0041502B" w:rsidRPr="00120424">
        <w:rPr>
          <w:rFonts w:ascii="Arial" w:hAnsi="Arial" w:cs="Arial"/>
          <w:bCs/>
        </w:rPr>
        <w:t>manifestó que compartía</w:t>
      </w:r>
      <w:r w:rsidRPr="00120424">
        <w:rPr>
          <w:rFonts w:ascii="Arial" w:hAnsi="Arial" w:cs="Arial"/>
          <w:bCs/>
        </w:rPr>
        <w:t xml:space="preserve"> la decisión de ordenar la restitución mutua de las partes, </w:t>
      </w:r>
      <w:r w:rsidR="0041502B" w:rsidRPr="00120424">
        <w:rPr>
          <w:rFonts w:ascii="Arial" w:hAnsi="Arial" w:cs="Arial"/>
          <w:bCs/>
        </w:rPr>
        <w:t xml:space="preserve">aunque consideraba que dicha restitución no debió derivarse de la nulidad del contrato sino de su incumplimiento por parte del </w:t>
      </w:r>
      <w:r w:rsidR="005702D2" w:rsidRPr="00120424">
        <w:rPr>
          <w:rFonts w:ascii="Arial" w:hAnsi="Arial" w:cs="Arial"/>
          <w:bCs/>
        </w:rPr>
        <w:t>M</w:t>
      </w:r>
      <w:r w:rsidR="0041502B" w:rsidRPr="00120424">
        <w:rPr>
          <w:rFonts w:ascii="Arial" w:hAnsi="Arial" w:cs="Arial"/>
          <w:bCs/>
        </w:rPr>
        <w:t>unicipio demandado.</w:t>
      </w:r>
    </w:p>
    <w:p w14:paraId="0B490224" w14:textId="77777777" w:rsidR="0041502B" w:rsidRPr="00120424" w:rsidRDefault="0041502B" w:rsidP="00A4147F">
      <w:pPr>
        <w:widowControl w:val="0"/>
        <w:autoSpaceDE w:val="0"/>
        <w:autoSpaceDN w:val="0"/>
        <w:adjustRightInd w:val="0"/>
        <w:spacing w:line="360" w:lineRule="auto"/>
        <w:jc w:val="both"/>
        <w:rPr>
          <w:rFonts w:ascii="Arial" w:hAnsi="Arial" w:cs="Arial"/>
          <w:bCs/>
        </w:rPr>
      </w:pPr>
    </w:p>
    <w:p w14:paraId="0AE3DEB2" w14:textId="77777777" w:rsidR="00027EE2" w:rsidRPr="00120424" w:rsidRDefault="0041502B" w:rsidP="008F52AD">
      <w:pPr>
        <w:widowControl w:val="0"/>
        <w:autoSpaceDE w:val="0"/>
        <w:autoSpaceDN w:val="0"/>
        <w:adjustRightInd w:val="0"/>
        <w:spacing w:line="360" w:lineRule="auto"/>
        <w:jc w:val="both"/>
        <w:rPr>
          <w:rFonts w:ascii="Arial" w:hAnsi="Arial" w:cs="Arial"/>
          <w:bCs/>
        </w:rPr>
      </w:pPr>
      <w:r w:rsidRPr="00120424">
        <w:rPr>
          <w:rFonts w:ascii="Arial" w:hAnsi="Arial" w:cs="Arial"/>
          <w:bCs/>
        </w:rPr>
        <w:t xml:space="preserve">Afirmó que, en efecto, </w:t>
      </w:r>
      <w:r w:rsidR="00027EE2" w:rsidRPr="00120424">
        <w:rPr>
          <w:rFonts w:ascii="Arial" w:hAnsi="Arial" w:cs="Arial"/>
          <w:bCs/>
        </w:rPr>
        <w:t xml:space="preserve">disentía de lo resuelto </w:t>
      </w:r>
      <w:r w:rsidRPr="00120424">
        <w:rPr>
          <w:rFonts w:ascii="Arial" w:hAnsi="Arial" w:cs="Arial"/>
          <w:bCs/>
        </w:rPr>
        <w:t xml:space="preserve">en la ponencia </w:t>
      </w:r>
      <w:r w:rsidR="00027EE2" w:rsidRPr="00120424">
        <w:rPr>
          <w:rFonts w:ascii="Arial" w:hAnsi="Arial" w:cs="Arial"/>
          <w:bCs/>
        </w:rPr>
        <w:t>acerca de la nulidad absoluta del contrato enjuiciado</w:t>
      </w:r>
      <w:r w:rsidRPr="00120424">
        <w:rPr>
          <w:rFonts w:ascii="Arial" w:hAnsi="Arial" w:cs="Arial"/>
          <w:bCs/>
        </w:rPr>
        <w:t>,</w:t>
      </w:r>
      <w:r w:rsidR="00027EE2" w:rsidRPr="00120424">
        <w:rPr>
          <w:rFonts w:ascii="Arial" w:hAnsi="Arial" w:cs="Arial"/>
          <w:bCs/>
        </w:rPr>
        <w:t xml:space="preserve"> puesto que, en su criterio, no se había configurado vicio alguno que comprometiera la validez del negocio jurídico</w:t>
      </w:r>
      <w:r w:rsidRPr="00120424">
        <w:rPr>
          <w:rFonts w:ascii="Arial" w:hAnsi="Arial" w:cs="Arial"/>
          <w:bCs/>
        </w:rPr>
        <w:t>. Al respecto, recalcó que la compraventa sí se ajustaba a los parámetros del Acuerdo 012 de 1990, el cual no debió interpretarse de manera restrictiva en la sentencia aprobada.</w:t>
      </w:r>
    </w:p>
    <w:p w14:paraId="62E30E4E" w14:textId="77777777" w:rsidR="0041502B" w:rsidRPr="00120424" w:rsidRDefault="0041502B" w:rsidP="008F52AD">
      <w:pPr>
        <w:widowControl w:val="0"/>
        <w:autoSpaceDE w:val="0"/>
        <w:autoSpaceDN w:val="0"/>
        <w:adjustRightInd w:val="0"/>
        <w:spacing w:line="360" w:lineRule="auto"/>
        <w:jc w:val="both"/>
        <w:rPr>
          <w:rFonts w:ascii="Arial" w:hAnsi="Arial" w:cs="Arial"/>
          <w:bCs/>
        </w:rPr>
      </w:pPr>
    </w:p>
    <w:p w14:paraId="3BA8B6A7" w14:textId="77777777" w:rsidR="0041502B" w:rsidRPr="00120424" w:rsidRDefault="0041502B" w:rsidP="008F52AD">
      <w:pPr>
        <w:widowControl w:val="0"/>
        <w:autoSpaceDE w:val="0"/>
        <w:autoSpaceDN w:val="0"/>
        <w:adjustRightInd w:val="0"/>
        <w:spacing w:line="360" w:lineRule="auto"/>
        <w:jc w:val="both"/>
        <w:rPr>
          <w:rFonts w:ascii="Arial" w:hAnsi="Arial" w:cs="Arial"/>
          <w:bCs/>
        </w:rPr>
      </w:pPr>
      <w:r w:rsidRPr="00120424">
        <w:rPr>
          <w:rFonts w:ascii="Arial" w:hAnsi="Arial" w:cs="Arial"/>
          <w:bCs/>
        </w:rPr>
        <w:t xml:space="preserve">Expresó que el valor de $78’547.000, fijado en la escritura pública como precio del inmueble adquirido por la entidad, correspondía al avalúo realizado por el IGAC, situación que era distinta al hecho de que en el contrato se hubieran introducido obligaciones adicionales de ejecución de obras, </w:t>
      </w:r>
      <w:r w:rsidR="00C25B7A" w:rsidRPr="00120424">
        <w:rPr>
          <w:rFonts w:ascii="Arial" w:hAnsi="Arial" w:cs="Arial"/>
          <w:bCs/>
        </w:rPr>
        <w:t xml:space="preserve">aspecto </w:t>
      </w:r>
      <w:r w:rsidR="00E708F0" w:rsidRPr="00120424">
        <w:rPr>
          <w:rFonts w:ascii="Arial" w:hAnsi="Arial" w:cs="Arial"/>
          <w:bCs/>
        </w:rPr>
        <w:t>e</w:t>
      </w:r>
      <w:r w:rsidR="00C25B7A" w:rsidRPr="00120424">
        <w:rPr>
          <w:rFonts w:ascii="Arial" w:hAnsi="Arial" w:cs="Arial"/>
          <w:bCs/>
        </w:rPr>
        <w:t xml:space="preserve">ste que, en su sentir, no podía tenerse como infractor de la ley, en la medida en que dichas obras </w:t>
      </w:r>
      <w:r w:rsidRPr="00120424">
        <w:rPr>
          <w:rFonts w:ascii="Arial" w:hAnsi="Arial" w:cs="Arial"/>
          <w:bCs/>
        </w:rPr>
        <w:t xml:space="preserve">pasarían a </w:t>
      </w:r>
      <w:r w:rsidR="00C25B7A" w:rsidRPr="00120424">
        <w:rPr>
          <w:rFonts w:ascii="Arial" w:hAnsi="Arial" w:cs="Arial"/>
          <w:bCs/>
        </w:rPr>
        <w:t>acrecentar</w:t>
      </w:r>
      <w:r w:rsidRPr="00120424">
        <w:rPr>
          <w:rFonts w:ascii="Arial" w:hAnsi="Arial" w:cs="Arial"/>
          <w:bCs/>
        </w:rPr>
        <w:t xml:space="preserve"> el patrimonio del </w:t>
      </w:r>
      <w:r w:rsidR="005702D2" w:rsidRPr="00120424">
        <w:rPr>
          <w:rFonts w:ascii="Arial" w:hAnsi="Arial" w:cs="Arial"/>
          <w:bCs/>
        </w:rPr>
        <w:t>M</w:t>
      </w:r>
      <w:r w:rsidR="00C25B7A" w:rsidRPr="00120424">
        <w:rPr>
          <w:rFonts w:ascii="Arial" w:hAnsi="Arial" w:cs="Arial"/>
          <w:bCs/>
        </w:rPr>
        <w:t>unicipio, no hacían parte del precio de la compraventa y su costo no sería pagado a la sociedad vendedora.</w:t>
      </w:r>
      <w:r w:rsidRPr="00120424">
        <w:rPr>
          <w:rFonts w:ascii="Arial" w:hAnsi="Arial" w:cs="Arial"/>
          <w:bCs/>
        </w:rPr>
        <w:t xml:space="preserve"> </w:t>
      </w:r>
    </w:p>
    <w:p w14:paraId="52740939" w14:textId="77777777" w:rsidR="00C25B7A" w:rsidRPr="00120424" w:rsidRDefault="00C25B7A" w:rsidP="008F52AD">
      <w:pPr>
        <w:widowControl w:val="0"/>
        <w:autoSpaceDE w:val="0"/>
        <w:autoSpaceDN w:val="0"/>
        <w:adjustRightInd w:val="0"/>
        <w:spacing w:line="360" w:lineRule="auto"/>
        <w:jc w:val="both"/>
        <w:rPr>
          <w:rFonts w:ascii="Arial" w:hAnsi="Arial" w:cs="Arial"/>
          <w:bCs/>
        </w:rPr>
      </w:pPr>
    </w:p>
    <w:p w14:paraId="4892A068" w14:textId="77777777" w:rsidR="00C25B7A" w:rsidRPr="00120424" w:rsidRDefault="00C25B7A" w:rsidP="008F52AD">
      <w:pPr>
        <w:widowControl w:val="0"/>
        <w:autoSpaceDE w:val="0"/>
        <w:autoSpaceDN w:val="0"/>
        <w:adjustRightInd w:val="0"/>
        <w:spacing w:line="360" w:lineRule="auto"/>
        <w:jc w:val="both"/>
        <w:rPr>
          <w:rFonts w:ascii="Arial" w:hAnsi="Arial" w:cs="Arial"/>
          <w:bCs/>
        </w:rPr>
      </w:pPr>
      <w:r w:rsidRPr="00120424">
        <w:rPr>
          <w:rFonts w:ascii="Arial" w:hAnsi="Arial" w:cs="Arial"/>
          <w:bCs/>
        </w:rPr>
        <w:t xml:space="preserve">Con todo, </w:t>
      </w:r>
      <w:r w:rsidR="00C65240" w:rsidRPr="00120424">
        <w:rPr>
          <w:rFonts w:ascii="Arial" w:hAnsi="Arial" w:cs="Arial"/>
          <w:bCs/>
        </w:rPr>
        <w:t xml:space="preserve">en posterior párrafo de su escrito </w:t>
      </w:r>
      <w:r w:rsidRPr="00120424">
        <w:rPr>
          <w:rFonts w:ascii="Arial" w:hAnsi="Arial" w:cs="Arial"/>
          <w:bCs/>
        </w:rPr>
        <w:t>señaló que</w:t>
      </w:r>
      <w:r w:rsidR="00C65240" w:rsidRPr="00120424">
        <w:rPr>
          <w:rFonts w:ascii="Arial" w:hAnsi="Arial" w:cs="Arial"/>
          <w:bCs/>
        </w:rPr>
        <w:t>,</w:t>
      </w:r>
      <w:r w:rsidRPr="00120424">
        <w:rPr>
          <w:rFonts w:ascii="Arial" w:hAnsi="Arial" w:cs="Arial"/>
          <w:bCs/>
        </w:rPr>
        <w:t xml:space="preserve"> la no ejecución de las obras prometidas por el </w:t>
      </w:r>
      <w:r w:rsidR="005702D2" w:rsidRPr="00120424">
        <w:rPr>
          <w:rFonts w:ascii="Arial" w:hAnsi="Arial" w:cs="Arial"/>
          <w:bCs/>
        </w:rPr>
        <w:t>M</w:t>
      </w:r>
      <w:r w:rsidRPr="00120424">
        <w:rPr>
          <w:rFonts w:ascii="Arial" w:hAnsi="Arial" w:cs="Arial"/>
          <w:bCs/>
        </w:rPr>
        <w:t>unicipio en el contrato de compraventa constituía un incumplimiento co</w:t>
      </w:r>
      <w:r w:rsidR="000F2280" w:rsidRPr="00120424">
        <w:rPr>
          <w:rFonts w:ascii="Arial" w:hAnsi="Arial" w:cs="Arial"/>
          <w:bCs/>
        </w:rPr>
        <w:t xml:space="preserve">ntractual de la entidad estatal, lo cual hacía procedente el </w:t>
      </w:r>
      <w:r w:rsidR="000F2280" w:rsidRPr="00120424">
        <w:rPr>
          <w:rFonts w:ascii="Arial" w:hAnsi="Arial" w:cs="Arial"/>
          <w:bCs/>
        </w:rPr>
        <w:lastRenderedPageBreak/>
        <w:t xml:space="preserve">reconocimiento de las referidas </w:t>
      </w:r>
      <w:r w:rsidR="000F2280" w:rsidRPr="00120424">
        <w:rPr>
          <w:rFonts w:ascii="Arial" w:hAnsi="Arial" w:cs="Arial"/>
          <w:bCs/>
          <w:i/>
        </w:rPr>
        <w:t>“restituciones”</w:t>
      </w:r>
      <w:r w:rsidR="000F2280" w:rsidRPr="00120424">
        <w:rPr>
          <w:rFonts w:ascii="Arial" w:hAnsi="Arial" w:cs="Arial"/>
          <w:bCs/>
        </w:rPr>
        <w:t xml:space="preserve"> </w:t>
      </w:r>
      <w:r w:rsidR="00C65240" w:rsidRPr="00120424">
        <w:rPr>
          <w:rFonts w:ascii="Arial" w:hAnsi="Arial" w:cs="Arial"/>
          <w:bCs/>
        </w:rPr>
        <w:t>ordenadas</w:t>
      </w:r>
      <w:r w:rsidR="000F2280" w:rsidRPr="00120424">
        <w:rPr>
          <w:rFonts w:ascii="Arial" w:hAnsi="Arial" w:cs="Arial"/>
          <w:bCs/>
        </w:rPr>
        <w:t xml:space="preserve"> en el fallo.</w:t>
      </w:r>
    </w:p>
    <w:p w14:paraId="3C20814F" w14:textId="77777777" w:rsidR="00C65240" w:rsidRPr="00120424" w:rsidRDefault="00C65240" w:rsidP="008F52AD">
      <w:pPr>
        <w:widowControl w:val="0"/>
        <w:autoSpaceDE w:val="0"/>
        <w:autoSpaceDN w:val="0"/>
        <w:adjustRightInd w:val="0"/>
        <w:spacing w:line="360" w:lineRule="auto"/>
        <w:jc w:val="both"/>
        <w:rPr>
          <w:rFonts w:ascii="Arial" w:hAnsi="Arial" w:cs="Arial"/>
          <w:bCs/>
        </w:rPr>
      </w:pPr>
    </w:p>
    <w:p w14:paraId="460D9122" w14:textId="77777777" w:rsidR="00C65240" w:rsidRPr="00120424" w:rsidRDefault="00C65240" w:rsidP="008F52AD">
      <w:pPr>
        <w:widowControl w:val="0"/>
        <w:autoSpaceDE w:val="0"/>
        <w:autoSpaceDN w:val="0"/>
        <w:adjustRightInd w:val="0"/>
        <w:spacing w:line="360" w:lineRule="auto"/>
        <w:jc w:val="both"/>
        <w:rPr>
          <w:rFonts w:ascii="Arial" w:hAnsi="Arial" w:cs="Arial"/>
          <w:bCs/>
        </w:rPr>
      </w:pPr>
      <w:r w:rsidRPr="00120424">
        <w:rPr>
          <w:rFonts w:ascii="Arial" w:hAnsi="Arial" w:cs="Arial"/>
          <w:bCs/>
        </w:rPr>
        <w:t xml:space="preserve">-. </w:t>
      </w:r>
      <w:r w:rsidR="0086059D" w:rsidRPr="00120424">
        <w:rPr>
          <w:rFonts w:ascii="Arial" w:hAnsi="Arial" w:cs="Arial"/>
          <w:bCs/>
        </w:rPr>
        <w:t>Por su parte, l</w:t>
      </w:r>
      <w:r w:rsidRPr="00120424">
        <w:rPr>
          <w:rFonts w:ascii="Arial" w:hAnsi="Arial" w:cs="Arial"/>
          <w:bCs/>
        </w:rPr>
        <w:t xml:space="preserve">a </w:t>
      </w:r>
      <w:r w:rsidR="0086059D" w:rsidRPr="00120424">
        <w:rPr>
          <w:rFonts w:ascii="Arial" w:hAnsi="Arial" w:cs="Arial"/>
          <w:bCs/>
        </w:rPr>
        <w:t>tercera</w:t>
      </w:r>
      <w:r w:rsidRPr="00120424">
        <w:rPr>
          <w:rFonts w:ascii="Arial" w:hAnsi="Arial" w:cs="Arial"/>
          <w:bCs/>
        </w:rPr>
        <w:t xml:space="preserve"> magistrada integrante de la Sala</w:t>
      </w:r>
      <w:r w:rsidR="0086059D" w:rsidRPr="00120424">
        <w:rPr>
          <w:rFonts w:ascii="Arial" w:hAnsi="Arial" w:cs="Arial"/>
          <w:bCs/>
        </w:rPr>
        <w:t xml:space="preserve"> presentó escrito de aclaración de voto</w:t>
      </w:r>
      <w:r w:rsidRPr="00120424">
        <w:rPr>
          <w:rFonts w:ascii="Arial" w:hAnsi="Arial" w:cs="Arial"/>
          <w:bCs/>
        </w:rPr>
        <w:t xml:space="preserve"> el 26 de noviembre de 2004.</w:t>
      </w:r>
    </w:p>
    <w:p w14:paraId="1185B29A" w14:textId="77777777" w:rsidR="0086059D" w:rsidRPr="00120424" w:rsidRDefault="0086059D" w:rsidP="008F52AD">
      <w:pPr>
        <w:widowControl w:val="0"/>
        <w:autoSpaceDE w:val="0"/>
        <w:autoSpaceDN w:val="0"/>
        <w:adjustRightInd w:val="0"/>
        <w:spacing w:line="360" w:lineRule="auto"/>
        <w:jc w:val="both"/>
        <w:rPr>
          <w:rFonts w:ascii="Arial" w:hAnsi="Arial" w:cs="Arial"/>
          <w:bCs/>
        </w:rPr>
      </w:pPr>
    </w:p>
    <w:p w14:paraId="51216AFA" w14:textId="77777777" w:rsidR="0086059D" w:rsidRPr="00120424" w:rsidRDefault="008F52AD" w:rsidP="008F52AD">
      <w:pPr>
        <w:widowControl w:val="0"/>
        <w:autoSpaceDE w:val="0"/>
        <w:autoSpaceDN w:val="0"/>
        <w:adjustRightInd w:val="0"/>
        <w:spacing w:line="360" w:lineRule="auto"/>
        <w:jc w:val="both"/>
        <w:rPr>
          <w:rFonts w:ascii="Arial" w:hAnsi="Arial" w:cs="Arial"/>
          <w:bCs/>
        </w:rPr>
      </w:pPr>
      <w:r w:rsidRPr="00120424">
        <w:rPr>
          <w:rFonts w:ascii="Arial" w:hAnsi="Arial" w:cs="Arial"/>
          <w:bCs/>
        </w:rPr>
        <w:t xml:space="preserve">Expuso </w:t>
      </w:r>
      <w:r w:rsidR="0086059D" w:rsidRPr="00120424">
        <w:rPr>
          <w:rFonts w:ascii="Arial" w:hAnsi="Arial" w:cs="Arial"/>
          <w:bCs/>
        </w:rPr>
        <w:t>su elucidación</w:t>
      </w:r>
      <w:r w:rsidRPr="00120424">
        <w:rPr>
          <w:rFonts w:ascii="Arial" w:hAnsi="Arial" w:cs="Arial"/>
          <w:bCs/>
        </w:rPr>
        <w:t xml:space="preserve"> en los siguientes términos:</w:t>
      </w:r>
    </w:p>
    <w:p w14:paraId="0A11D908" w14:textId="77777777" w:rsidR="008F52AD" w:rsidRPr="00120424" w:rsidRDefault="008F52AD" w:rsidP="008F52AD">
      <w:pPr>
        <w:widowControl w:val="0"/>
        <w:autoSpaceDE w:val="0"/>
        <w:autoSpaceDN w:val="0"/>
        <w:adjustRightInd w:val="0"/>
        <w:spacing w:line="360" w:lineRule="auto"/>
        <w:jc w:val="both"/>
        <w:rPr>
          <w:rFonts w:ascii="Arial" w:hAnsi="Arial" w:cs="Arial"/>
          <w:bCs/>
        </w:rPr>
      </w:pPr>
    </w:p>
    <w:p w14:paraId="69BFC412" w14:textId="77777777" w:rsidR="008F52AD" w:rsidRPr="00120424" w:rsidRDefault="008F52AD" w:rsidP="008F52AD">
      <w:pPr>
        <w:widowControl w:val="0"/>
        <w:autoSpaceDE w:val="0"/>
        <w:autoSpaceDN w:val="0"/>
        <w:adjustRightInd w:val="0"/>
        <w:ind w:left="567" w:right="335"/>
        <w:jc w:val="both"/>
        <w:rPr>
          <w:rFonts w:ascii="Arial" w:hAnsi="Arial" w:cs="Arial"/>
          <w:bCs/>
          <w:i/>
        </w:rPr>
      </w:pPr>
      <w:r w:rsidRPr="00120424">
        <w:rPr>
          <w:rFonts w:ascii="Arial" w:hAnsi="Arial" w:cs="Arial"/>
          <w:bCs/>
          <w:i/>
        </w:rPr>
        <w:t>“… aunque comparto la decisión tomada en la sentencia anterior, especialmente en lo que respecta a los numerales cuarto y siguientes, considero que estas decisiones han debido ser la consecuencia de una declaratoria de incumplimiento contractual y no, como lo ordena la sentencia, consecuencia de una nulidad absoluta del contrato.</w:t>
      </w:r>
    </w:p>
    <w:p w14:paraId="7CD1E145" w14:textId="77777777" w:rsidR="008F52AD" w:rsidRPr="00120424" w:rsidRDefault="008F52AD" w:rsidP="008F52AD">
      <w:pPr>
        <w:widowControl w:val="0"/>
        <w:autoSpaceDE w:val="0"/>
        <w:autoSpaceDN w:val="0"/>
        <w:adjustRightInd w:val="0"/>
        <w:ind w:left="567" w:right="335"/>
        <w:jc w:val="both"/>
        <w:rPr>
          <w:rFonts w:ascii="Arial" w:hAnsi="Arial" w:cs="Arial"/>
          <w:bCs/>
          <w:i/>
        </w:rPr>
      </w:pPr>
    </w:p>
    <w:p w14:paraId="1ABC0224" w14:textId="77777777" w:rsidR="008F52AD" w:rsidRPr="00120424" w:rsidRDefault="008F52AD" w:rsidP="008F52AD">
      <w:pPr>
        <w:widowControl w:val="0"/>
        <w:autoSpaceDE w:val="0"/>
        <w:autoSpaceDN w:val="0"/>
        <w:adjustRightInd w:val="0"/>
        <w:ind w:left="567" w:right="335"/>
        <w:jc w:val="both"/>
        <w:rPr>
          <w:rFonts w:ascii="Arial" w:hAnsi="Arial" w:cs="Arial"/>
          <w:bCs/>
          <w:i/>
        </w:rPr>
      </w:pPr>
      <w:r w:rsidRPr="00120424">
        <w:rPr>
          <w:rFonts w:ascii="Arial" w:hAnsi="Arial" w:cs="Arial"/>
          <w:bCs/>
          <w:i/>
        </w:rPr>
        <w:t>“Fundamento mi posición en que, en el expediente obra prueba suficiente para demostrar incumplimiento por parte del municipio dado que en el contrato de compraventa se comprometió a realizar unas obras como contraprestación por la venta de un predio, no obstante, se omitió la construcción de ellas.</w:t>
      </w:r>
    </w:p>
    <w:p w14:paraId="39AACC1C" w14:textId="77777777" w:rsidR="008F52AD" w:rsidRPr="00120424" w:rsidRDefault="008F52AD" w:rsidP="008F52AD">
      <w:pPr>
        <w:widowControl w:val="0"/>
        <w:autoSpaceDE w:val="0"/>
        <w:autoSpaceDN w:val="0"/>
        <w:adjustRightInd w:val="0"/>
        <w:ind w:left="567" w:right="335"/>
        <w:jc w:val="both"/>
        <w:rPr>
          <w:rFonts w:ascii="Arial" w:hAnsi="Arial" w:cs="Arial"/>
          <w:bCs/>
          <w:i/>
        </w:rPr>
      </w:pPr>
    </w:p>
    <w:p w14:paraId="68652E61" w14:textId="77777777" w:rsidR="008F52AD" w:rsidRPr="00120424" w:rsidRDefault="008F52AD" w:rsidP="008F52AD">
      <w:pPr>
        <w:widowControl w:val="0"/>
        <w:autoSpaceDE w:val="0"/>
        <w:autoSpaceDN w:val="0"/>
        <w:adjustRightInd w:val="0"/>
        <w:ind w:left="567" w:right="335"/>
        <w:jc w:val="both"/>
        <w:rPr>
          <w:rFonts w:ascii="Arial" w:hAnsi="Arial" w:cs="Arial"/>
          <w:bCs/>
          <w:i/>
        </w:rPr>
      </w:pPr>
      <w:r w:rsidRPr="00120424">
        <w:rPr>
          <w:rFonts w:ascii="Arial" w:hAnsi="Arial" w:cs="Arial"/>
          <w:bCs/>
          <w:i/>
        </w:rPr>
        <w:t>“</w:t>
      </w:r>
      <w:r w:rsidRPr="00120424">
        <w:rPr>
          <w:rFonts w:ascii="Arial" w:hAnsi="Arial" w:cs="Arial"/>
          <w:b/>
          <w:bCs/>
          <w:i/>
        </w:rPr>
        <w:t>Pero además, porque considero que el señor Alcalde Municipal tenía competencia para celebrar el contrato</w:t>
      </w:r>
      <w:r w:rsidRPr="00120424">
        <w:rPr>
          <w:rFonts w:ascii="Arial" w:hAnsi="Arial" w:cs="Arial"/>
          <w:bCs/>
          <w:i/>
        </w:rPr>
        <w:t xml:space="preserve"> puesto que se encontraba expresamente autorizado por el Concejo Municipal, como consta en el Acuerdo 012 de 1990”</w:t>
      </w:r>
      <w:r w:rsidRPr="00120424">
        <w:rPr>
          <w:rStyle w:val="Refdenotaalpie"/>
          <w:rFonts w:ascii="Arial" w:hAnsi="Arial" w:cs="Arial"/>
          <w:bCs/>
          <w:i/>
        </w:rPr>
        <w:footnoteReference w:id="6"/>
      </w:r>
      <w:r w:rsidRPr="00120424">
        <w:rPr>
          <w:rFonts w:ascii="Arial" w:hAnsi="Arial" w:cs="Arial"/>
          <w:bCs/>
        </w:rPr>
        <w:t xml:space="preserve"> (negrilla fuera de texto)</w:t>
      </w:r>
      <w:r w:rsidRPr="00120424">
        <w:rPr>
          <w:rFonts w:ascii="Arial" w:hAnsi="Arial" w:cs="Arial"/>
          <w:bCs/>
          <w:i/>
        </w:rPr>
        <w:t>.</w:t>
      </w:r>
    </w:p>
    <w:p w14:paraId="0CB121C6" w14:textId="77777777" w:rsidR="00C06EC0" w:rsidRPr="00120424" w:rsidRDefault="00C06EC0" w:rsidP="00DD55D2">
      <w:pPr>
        <w:widowControl w:val="0"/>
        <w:autoSpaceDE w:val="0"/>
        <w:autoSpaceDN w:val="0"/>
        <w:adjustRightInd w:val="0"/>
        <w:spacing w:line="360" w:lineRule="auto"/>
        <w:jc w:val="both"/>
        <w:rPr>
          <w:rFonts w:ascii="Arial" w:hAnsi="Arial" w:cs="Arial"/>
          <w:bCs/>
        </w:rPr>
      </w:pPr>
    </w:p>
    <w:p w14:paraId="026956F1" w14:textId="77777777" w:rsidR="00A4147F" w:rsidRPr="00120424" w:rsidRDefault="00A4147F" w:rsidP="00DD55D2">
      <w:pPr>
        <w:spacing w:line="360" w:lineRule="auto"/>
        <w:jc w:val="both"/>
        <w:rPr>
          <w:rFonts w:ascii="Arial" w:hAnsi="Arial" w:cs="Arial"/>
          <w:b/>
        </w:rPr>
      </w:pPr>
      <w:r w:rsidRPr="00120424">
        <w:rPr>
          <w:rFonts w:ascii="Arial" w:hAnsi="Arial" w:cs="Arial"/>
          <w:b/>
        </w:rPr>
        <w:t xml:space="preserve">5. </w:t>
      </w:r>
      <w:r w:rsidR="00B41DA7" w:rsidRPr="00120424">
        <w:rPr>
          <w:rFonts w:ascii="Arial" w:hAnsi="Arial" w:cs="Arial"/>
          <w:b/>
        </w:rPr>
        <w:t>Los recursos</w:t>
      </w:r>
      <w:r w:rsidRPr="00120424">
        <w:rPr>
          <w:rFonts w:ascii="Arial" w:hAnsi="Arial" w:cs="Arial"/>
          <w:b/>
        </w:rPr>
        <w:t xml:space="preserve"> de apelación</w:t>
      </w:r>
    </w:p>
    <w:p w14:paraId="1E38FCE5" w14:textId="77777777" w:rsidR="00A4147F" w:rsidRPr="00120424" w:rsidRDefault="00A4147F" w:rsidP="00DD55D2">
      <w:pPr>
        <w:spacing w:line="360" w:lineRule="auto"/>
        <w:jc w:val="both"/>
        <w:rPr>
          <w:rFonts w:ascii="Arial" w:hAnsi="Arial" w:cs="Arial"/>
          <w:b/>
        </w:rPr>
      </w:pPr>
    </w:p>
    <w:p w14:paraId="0B4AB084" w14:textId="77777777" w:rsidR="00A4147F" w:rsidRPr="00120424" w:rsidRDefault="00B41DA7" w:rsidP="00A4147F">
      <w:pPr>
        <w:spacing w:line="360" w:lineRule="auto"/>
        <w:jc w:val="both"/>
        <w:rPr>
          <w:rFonts w:ascii="Arial" w:hAnsi="Arial" w:cs="Arial"/>
        </w:rPr>
      </w:pPr>
      <w:r w:rsidRPr="00120424">
        <w:rPr>
          <w:rFonts w:ascii="Arial" w:hAnsi="Arial" w:cs="Arial"/>
          <w:b/>
        </w:rPr>
        <w:t xml:space="preserve">5.1. </w:t>
      </w:r>
      <w:r w:rsidR="00A4147F" w:rsidRPr="00120424">
        <w:rPr>
          <w:rFonts w:ascii="Arial" w:hAnsi="Arial" w:cs="Arial"/>
        </w:rPr>
        <w:t xml:space="preserve">La </w:t>
      </w:r>
      <w:r w:rsidRPr="00120424">
        <w:rPr>
          <w:rFonts w:ascii="Arial" w:hAnsi="Arial" w:cs="Arial"/>
        </w:rPr>
        <w:t>sociedad demandante apeló el fallo así proferido y fundamentó</w:t>
      </w:r>
      <w:r w:rsidR="00A4147F" w:rsidRPr="00120424">
        <w:rPr>
          <w:rFonts w:ascii="Arial" w:hAnsi="Arial" w:cs="Arial"/>
        </w:rPr>
        <w:t xml:space="preserve"> su inconformidad -esencialmente- en el </w:t>
      </w:r>
      <w:r w:rsidR="008F52AD" w:rsidRPr="00120424">
        <w:rPr>
          <w:rFonts w:ascii="Arial" w:hAnsi="Arial" w:cs="Arial"/>
        </w:rPr>
        <w:t>hecho de no haberse incluido en la sentencia la totalidad de los perjuicios solicitados en la demanda y demostrados, según su dicho, en la actuación procesal.</w:t>
      </w:r>
    </w:p>
    <w:p w14:paraId="4B6281D5" w14:textId="77777777" w:rsidR="00B41DA7" w:rsidRPr="00120424" w:rsidRDefault="00B41DA7" w:rsidP="00A4147F">
      <w:pPr>
        <w:spacing w:line="360" w:lineRule="auto"/>
        <w:jc w:val="both"/>
        <w:rPr>
          <w:rFonts w:ascii="Arial" w:hAnsi="Arial" w:cs="Arial"/>
        </w:rPr>
      </w:pPr>
    </w:p>
    <w:p w14:paraId="1D1BA5F8" w14:textId="77777777" w:rsidR="00B41DA7" w:rsidRPr="00120424" w:rsidRDefault="00B41DA7" w:rsidP="00A4147F">
      <w:pPr>
        <w:spacing w:line="360" w:lineRule="auto"/>
        <w:jc w:val="both"/>
        <w:rPr>
          <w:rFonts w:ascii="Arial" w:hAnsi="Arial" w:cs="Arial"/>
        </w:rPr>
      </w:pPr>
      <w:r w:rsidRPr="00120424">
        <w:rPr>
          <w:rFonts w:ascii="Arial" w:hAnsi="Arial" w:cs="Arial"/>
          <w:b/>
        </w:rPr>
        <w:t xml:space="preserve">5.2. </w:t>
      </w:r>
      <w:r w:rsidRPr="00120424">
        <w:rPr>
          <w:rFonts w:ascii="Arial" w:hAnsi="Arial" w:cs="Arial"/>
        </w:rPr>
        <w:t>Por su parte, el municipio de Facatativá impugnó la mencionada decisión</w:t>
      </w:r>
      <w:r w:rsidR="00E708F0" w:rsidRPr="00120424">
        <w:rPr>
          <w:rFonts w:ascii="Arial" w:hAnsi="Arial" w:cs="Arial"/>
        </w:rPr>
        <w:t>,</w:t>
      </w:r>
      <w:r w:rsidRPr="00120424">
        <w:rPr>
          <w:rFonts w:ascii="Arial" w:hAnsi="Arial" w:cs="Arial"/>
        </w:rPr>
        <w:t xml:space="preserve"> por considerar que en el presente caso debió declararse la ocurrencia de la caducidad, puesto que el término para solicitar judicialmente la declaratoria de nulidad absoluta del contrato comenzaba a contarse desde su perfeccionamiento, el cual, para el caso de la compraventa objeto de controversia, se había verificado con el registro que tuvo lugar el 30 de septiembre de 1994.</w:t>
      </w:r>
    </w:p>
    <w:p w14:paraId="48BAC98D" w14:textId="77777777" w:rsidR="00B41DA7" w:rsidRPr="00120424" w:rsidRDefault="00B41DA7" w:rsidP="00A4147F">
      <w:pPr>
        <w:spacing w:line="360" w:lineRule="auto"/>
        <w:jc w:val="both"/>
        <w:rPr>
          <w:rFonts w:ascii="Arial" w:hAnsi="Arial" w:cs="Arial"/>
        </w:rPr>
      </w:pPr>
    </w:p>
    <w:p w14:paraId="40D2F160" w14:textId="77777777" w:rsidR="00A4147F" w:rsidRPr="00120424" w:rsidRDefault="00B41DA7" w:rsidP="00A4147F">
      <w:pPr>
        <w:spacing w:line="360" w:lineRule="auto"/>
        <w:jc w:val="both"/>
        <w:rPr>
          <w:rFonts w:ascii="Arial" w:hAnsi="Arial" w:cs="Arial"/>
        </w:rPr>
      </w:pPr>
      <w:r w:rsidRPr="00120424">
        <w:rPr>
          <w:rFonts w:ascii="Arial" w:hAnsi="Arial" w:cs="Arial"/>
        </w:rPr>
        <w:t>Agregó  que, de no encontrarse probada la configuración de la caducidad, solicitaba revocar la sentencia apelada y</w:t>
      </w:r>
      <w:r w:rsidR="00E708F0" w:rsidRPr="00120424">
        <w:rPr>
          <w:rFonts w:ascii="Arial" w:hAnsi="Arial" w:cs="Arial"/>
        </w:rPr>
        <w:t>,</w:t>
      </w:r>
      <w:r w:rsidRPr="00120424">
        <w:rPr>
          <w:rFonts w:ascii="Arial" w:hAnsi="Arial" w:cs="Arial"/>
        </w:rPr>
        <w:t xml:space="preserve"> en su lugar</w:t>
      </w:r>
      <w:r w:rsidR="00E708F0" w:rsidRPr="00120424">
        <w:rPr>
          <w:rFonts w:ascii="Arial" w:hAnsi="Arial" w:cs="Arial"/>
        </w:rPr>
        <w:t>,</w:t>
      </w:r>
      <w:r w:rsidRPr="00120424">
        <w:rPr>
          <w:rFonts w:ascii="Arial" w:hAnsi="Arial" w:cs="Arial"/>
        </w:rPr>
        <w:t xml:space="preserve"> declararse que la entidad territorial no había incurrido en incumplimiento del contrato.</w:t>
      </w:r>
    </w:p>
    <w:p w14:paraId="7782D0D4" w14:textId="77777777" w:rsidR="00B41DA7" w:rsidRPr="00120424" w:rsidRDefault="00B41DA7" w:rsidP="00A4147F">
      <w:pPr>
        <w:spacing w:line="360" w:lineRule="auto"/>
        <w:jc w:val="both"/>
        <w:rPr>
          <w:rFonts w:ascii="Arial" w:hAnsi="Arial" w:cs="Arial"/>
        </w:rPr>
      </w:pPr>
    </w:p>
    <w:p w14:paraId="709256DD" w14:textId="77777777" w:rsidR="00A4147F" w:rsidRPr="00120424" w:rsidRDefault="00A4147F" w:rsidP="00A4147F">
      <w:pPr>
        <w:spacing w:line="360" w:lineRule="auto"/>
        <w:jc w:val="both"/>
        <w:rPr>
          <w:rFonts w:ascii="Arial" w:hAnsi="Arial" w:cs="Arial"/>
          <w:b/>
          <w:bCs/>
          <w:lang w:val="es-MX"/>
        </w:rPr>
      </w:pPr>
      <w:r w:rsidRPr="00120424">
        <w:rPr>
          <w:rFonts w:ascii="Arial" w:hAnsi="Arial" w:cs="Arial"/>
          <w:b/>
          <w:bCs/>
          <w:lang w:val="es-MX"/>
        </w:rPr>
        <w:t>6. Trámite en segunda instancia</w:t>
      </w:r>
    </w:p>
    <w:p w14:paraId="391B543F" w14:textId="77777777" w:rsidR="00A4147F" w:rsidRPr="00120424" w:rsidRDefault="00A4147F" w:rsidP="00A4147F">
      <w:pPr>
        <w:spacing w:line="360" w:lineRule="auto"/>
        <w:jc w:val="both"/>
        <w:rPr>
          <w:rFonts w:ascii="Arial" w:hAnsi="Arial" w:cs="Arial"/>
          <w:bCs/>
          <w:lang w:val="es-MX"/>
        </w:rPr>
      </w:pPr>
      <w:r w:rsidRPr="00120424">
        <w:rPr>
          <w:rFonts w:ascii="Arial" w:hAnsi="Arial" w:cs="Arial"/>
          <w:bCs/>
          <w:lang w:val="es-MX"/>
        </w:rPr>
        <w:t xml:space="preserve"> </w:t>
      </w:r>
    </w:p>
    <w:p w14:paraId="687BC761" w14:textId="77777777" w:rsidR="00B41DA7" w:rsidRPr="00120424" w:rsidRDefault="00B41DA7" w:rsidP="00A4147F">
      <w:pPr>
        <w:spacing w:line="360" w:lineRule="auto"/>
        <w:jc w:val="both"/>
        <w:rPr>
          <w:rFonts w:ascii="Arial" w:hAnsi="Arial" w:cs="Arial"/>
          <w:bCs/>
          <w:lang w:val="es-MX"/>
        </w:rPr>
      </w:pPr>
      <w:r w:rsidRPr="00120424">
        <w:rPr>
          <w:rFonts w:ascii="Arial" w:hAnsi="Arial" w:cs="Arial"/>
          <w:bCs/>
          <w:lang w:val="es-MX"/>
        </w:rPr>
        <w:t>Los recursos así presentados fueron admitidos mediante auto del 23 de enero de 2005</w:t>
      </w:r>
      <w:r w:rsidRPr="00120424">
        <w:rPr>
          <w:rStyle w:val="Refdenotaalpie"/>
          <w:rFonts w:ascii="Arial" w:hAnsi="Arial" w:cs="Arial"/>
          <w:bCs/>
          <w:lang w:val="es-MX"/>
        </w:rPr>
        <w:footnoteReference w:id="7"/>
      </w:r>
      <w:r w:rsidR="00A4147F" w:rsidRPr="00120424">
        <w:rPr>
          <w:rFonts w:ascii="Arial" w:hAnsi="Arial" w:cs="Arial"/>
          <w:bCs/>
          <w:lang w:val="es-MX"/>
        </w:rPr>
        <w:t xml:space="preserve">. Luego, </w:t>
      </w:r>
      <w:r w:rsidRPr="00120424">
        <w:rPr>
          <w:rFonts w:ascii="Arial" w:hAnsi="Arial" w:cs="Arial"/>
          <w:bCs/>
          <w:lang w:val="es-MX"/>
        </w:rPr>
        <w:t>en providencia del 27 de junio de 2006 se decretaron pruebas adicionales solicitadas en la segunda instancia por el municipio de Facatativá.</w:t>
      </w:r>
    </w:p>
    <w:p w14:paraId="6F9CD3EA" w14:textId="77777777" w:rsidR="00B41DA7" w:rsidRPr="00120424" w:rsidRDefault="00B41DA7" w:rsidP="00A4147F">
      <w:pPr>
        <w:spacing w:line="360" w:lineRule="auto"/>
        <w:jc w:val="both"/>
        <w:rPr>
          <w:rFonts w:ascii="Arial" w:hAnsi="Arial" w:cs="Arial"/>
          <w:bCs/>
          <w:lang w:val="es-MX"/>
        </w:rPr>
      </w:pPr>
    </w:p>
    <w:p w14:paraId="6E7AA5A0" w14:textId="77777777" w:rsidR="0037785C" w:rsidRPr="00120424" w:rsidRDefault="0037785C" w:rsidP="00A4147F">
      <w:pPr>
        <w:spacing w:line="360" w:lineRule="auto"/>
        <w:jc w:val="both"/>
        <w:rPr>
          <w:rFonts w:ascii="Arial" w:hAnsi="Arial" w:cs="Arial"/>
          <w:bCs/>
          <w:lang w:val="es-MX"/>
        </w:rPr>
      </w:pPr>
      <w:r w:rsidRPr="00120424">
        <w:rPr>
          <w:rFonts w:ascii="Arial" w:hAnsi="Arial" w:cs="Arial"/>
          <w:bCs/>
          <w:lang w:val="es-MX"/>
        </w:rPr>
        <w:t xml:space="preserve">Finalmente, por auto del 23 de octubre de 2006 </w:t>
      </w:r>
      <w:r w:rsidR="00A4147F" w:rsidRPr="00120424">
        <w:rPr>
          <w:rFonts w:ascii="Arial" w:hAnsi="Arial" w:cs="Arial"/>
          <w:bCs/>
          <w:lang w:val="es-MX"/>
        </w:rPr>
        <w:t xml:space="preserve">se corrió traslado a las partes para que alegaran de conclusión y al Ministerio Público para que, si lo consideraba pertinente, rindiera concepto de fondo, oportunidad en la que </w:t>
      </w:r>
      <w:r w:rsidRPr="00120424">
        <w:rPr>
          <w:rFonts w:ascii="Arial" w:hAnsi="Arial" w:cs="Arial"/>
          <w:bCs/>
          <w:lang w:val="es-MX"/>
        </w:rPr>
        <w:t>intervinieron las partes</w:t>
      </w:r>
      <w:r w:rsidR="00A4147F" w:rsidRPr="00120424">
        <w:rPr>
          <w:rFonts w:ascii="Arial" w:hAnsi="Arial" w:cs="Arial"/>
          <w:bCs/>
          <w:lang w:val="es-MX"/>
        </w:rPr>
        <w:t xml:space="preserve"> para insistir en los argumentos </w:t>
      </w:r>
      <w:r w:rsidRPr="00120424">
        <w:rPr>
          <w:rFonts w:ascii="Arial" w:hAnsi="Arial" w:cs="Arial"/>
          <w:bCs/>
          <w:lang w:val="es-MX"/>
        </w:rPr>
        <w:t>expuestos en sus recursos de apelación</w:t>
      </w:r>
      <w:r w:rsidR="00A4147F" w:rsidRPr="00120424">
        <w:rPr>
          <w:rFonts w:ascii="Arial" w:hAnsi="Arial" w:cs="Arial"/>
          <w:bCs/>
          <w:lang w:val="es-MX"/>
        </w:rPr>
        <w:t>.</w:t>
      </w:r>
    </w:p>
    <w:p w14:paraId="7230E16F" w14:textId="77777777" w:rsidR="0037785C" w:rsidRPr="00120424" w:rsidRDefault="0037785C" w:rsidP="00A4147F">
      <w:pPr>
        <w:spacing w:line="360" w:lineRule="auto"/>
        <w:jc w:val="both"/>
        <w:rPr>
          <w:rFonts w:ascii="Arial" w:hAnsi="Arial" w:cs="Arial"/>
          <w:bCs/>
          <w:lang w:val="es-MX"/>
        </w:rPr>
      </w:pPr>
    </w:p>
    <w:p w14:paraId="58455855" w14:textId="77777777" w:rsidR="006F311B" w:rsidRPr="00120424" w:rsidRDefault="0037785C" w:rsidP="00A4147F">
      <w:pPr>
        <w:spacing w:line="360" w:lineRule="auto"/>
        <w:jc w:val="both"/>
        <w:rPr>
          <w:rFonts w:ascii="Arial" w:hAnsi="Arial" w:cs="Arial"/>
          <w:bCs/>
          <w:lang w:val="es-MX"/>
        </w:rPr>
      </w:pPr>
      <w:r w:rsidRPr="00120424">
        <w:rPr>
          <w:rFonts w:ascii="Arial" w:hAnsi="Arial" w:cs="Arial"/>
          <w:b/>
          <w:bCs/>
          <w:lang w:val="es-MX"/>
        </w:rPr>
        <w:t>7. Concepto del Ministerio Público</w:t>
      </w:r>
    </w:p>
    <w:p w14:paraId="775A9C34" w14:textId="77777777" w:rsidR="006F311B" w:rsidRPr="00120424" w:rsidRDefault="006F311B" w:rsidP="00A4147F">
      <w:pPr>
        <w:spacing w:line="360" w:lineRule="auto"/>
        <w:jc w:val="both"/>
        <w:rPr>
          <w:rFonts w:ascii="Arial" w:hAnsi="Arial" w:cs="Arial"/>
          <w:bCs/>
          <w:lang w:val="es-MX"/>
        </w:rPr>
      </w:pPr>
    </w:p>
    <w:p w14:paraId="6A27633C" w14:textId="77777777" w:rsidR="00A4147F" w:rsidRPr="00120424" w:rsidRDefault="009F3696" w:rsidP="00A4147F">
      <w:pPr>
        <w:spacing w:line="360" w:lineRule="auto"/>
        <w:jc w:val="both"/>
        <w:rPr>
          <w:rFonts w:ascii="Arial" w:hAnsi="Arial" w:cs="Arial"/>
          <w:bCs/>
          <w:lang w:val="es-MX"/>
        </w:rPr>
      </w:pPr>
      <w:r w:rsidRPr="00120424">
        <w:rPr>
          <w:rFonts w:ascii="Arial" w:hAnsi="Arial" w:cs="Arial"/>
          <w:bCs/>
          <w:lang w:val="es-MX"/>
        </w:rPr>
        <w:t>En concepto rendido el 15 de enero de 2007, la Procuradora Quinta Delegada ante esta Corporación</w:t>
      </w:r>
      <w:r w:rsidR="00EF48FE" w:rsidRPr="00120424">
        <w:rPr>
          <w:rFonts w:ascii="Arial" w:hAnsi="Arial" w:cs="Arial"/>
          <w:bCs/>
          <w:lang w:val="es-MX"/>
        </w:rPr>
        <w:t xml:space="preserve"> </w:t>
      </w:r>
      <w:r w:rsidR="004C3FA8" w:rsidRPr="00120424">
        <w:rPr>
          <w:rFonts w:ascii="Arial" w:hAnsi="Arial" w:cs="Arial"/>
          <w:bCs/>
          <w:lang w:val="es-MX"/>
        </w:rPr>
        <w:t>comenzó por señalar</w:t>
      </w:r>
      <w:r w:rsidR="00EF48FE" w:rsidRPr="00120424">
        <w:rPr>
          <w:rFonts w:ascii="Arial" w:hAnsi="Arial" w:cs="Arial"/>
          <w:bCs/>
          <w:lang w:val="es-MX"/>
        </w:rPr>
        <w:t xml:space="preserve"> que las aclaraciones de voto </w:t>
      </w:r>
      <w:r w:rsidR="004C3FA8" w:rsidRPr="00120424">
        <w:rPr>
          <w:rFonts w:ascii="Arial" w:hAnsi="Arial" w:cs="Arial"/>
          <w:bCs/>
          <w:lang w:val="es-MX"/>
        </w:rPr>
        <w:t>hechas sobre</w:t>
      </w:r>
      <w:r w:rsidR="00EF48FE" w:rsidRPr="00120424">
        <w:rPr>
          <w:rFonts w:ascii="Arial" w:hAnsi="Arial" w:cs="Arial"/>
          <w:bCs/>
          <w:lang w:val="es-MX"/>
        </w:rPr>
        <w:t xml:space="preserve"> la </w:t>
      </w:r>
      <w:r w:rsidR="004C3FA8" w:rsidRPr="00120424">
        <w:rPr>
          <w:rFonts w:ascii="Arial" w:hAnsi="Arial" w:cs="Arial"/>
          <w:bCs/>
          <w:lang w:val="es-MX"/>
        </w:rPr>
        <w:t>providencia</w:t>
      </w:r>
      <w:r w:rsidR="00EF48FE" w:rsidRPr="00120424">
        <w:rPr>
          <w:rFonts w:ascii="Arial" w:hAnsi="Arial" w:cs="Arial"/>
          <w:bCs/>
          <w:lang w:val="es-MX"/>
        </w:rPr>
        <w:t xml:space="preserve"> de primera instancia constituían, en realidad, </w:t>
      </w:r>
      <w:r w:rsidR="00EF48FE" w:rsidRPr="00120424">
        <w:rPr>
          <w:rFonts w:ascii="Arial" w:hAnsi="Arial" w:cs="Arial"/>
          <w:bCs/>
          <w:i/>
          <w:lang w:val="es-MX"/>
        </w:rPr>
        <w:t xml:space="preserve">salvamentos </w:t>
      </w:r>
      <w:r w:rsidR="004C3FA8" w:rsidRPr="00120424">
        <w:rPr>
          <w:rFonts w:ascii="Arial" w:hAnsi="Arial" w:cs="Arial"/>
          <w:bCs/>
          <w:lang w:val="es-MX"/>
        </w:rPr>
        <w:t xml:space="preserve">contra ella, puesto que el contenido de tales escritos de aclaración </w:t>
      </w:r>
      <w:r w:rsidR="009D0281" w:rsidRPr="00120424">
        <w:rPr>
          <w:rFonts w:ascii="Arial" w:hAnsi="Arial" w:cs="Arial"/>
          <w:bCs/>
          <w:lang w:val="es-MX"/>
        </w:rPr>
        <w:t>reflejaba</w:t>
      </w:r>
      <w:r w:rsidR="004C3FA8" w:rsidRPr="00120424">
        <w:rPr>
          <w:rFonts w:ascii="Arial" w:hAnsi="Arial" w:cs="Arial"/>
          <w:bCs/>
          <w:lang w:val="es-MX"/>
        </w:rPr>
        <w:t xml:space="preserve"> un abierto y expreso disenso respecto de la decisión plasmada en la ponencia, en lo relativo a la nulidad del contrato sometido a juicio.</w:t>
      </w:r>
    </w:p>
    <w:p w14:paraId="0416E7D1" w14:textId="77777777" w:rsidR="004C3FA8" w:rsidRPr="00120424" w:rsidRDefault="004C3FA8" w:rsidP="00A4147F">
      <w:pPr>
        <w:spacing w:line="360" w:lineRule="auto"/>
        <w:jc w:val="both"/>
        <w:rPr>
          <w:rFonts w:ascii="Arial" w:hAnsi="Arial" w:cs="Arial"/>
          <w:bCs/>
          <w:lang w:val="es-MX"/>
        </w:rPr>
      </w:pPr>
    </w:p>
    <w:p w14:paraId="7DC7E96E" w14:textId="77777777" w:rsidR="004C3FA8" w:rsidRPr="00120424" w:rsidRDefault="004C3FA8" w:rsidP="00A4147F">
      <w:pPr>
        <w:spacing w:line="360" w:lineRule="auto"/>
        <w:jc w:val="both"/>
        <w:rPr>
          <w:rFonts w:ascii="Arial" w:hAnsi="Arial" w:cs="Arial"/>
          <w:bCs/>
          <w:lang w:val="es-MX"/>
        </w:rPr>
      </w:pPr>
      <w:r w:rsidRPr="00120424">
        <w:rPr>
          <w:rFonts w:ascii="Arial" w:hAnsi="Arial" w:cs="Arial"/>
          <w:bCs/>
          <w:lang w:val="es-MX"/>
        </w:rPr>
        <w:t xml:space="preserve">Con base en la indicada premisa, concluyó que la </w:t>
      </w:r>
      <w:r w:rsidR="009D0281" w:rsidRPr="00120424">
        <w:rPr>
          <w:rFonts w:ascii="Arial" w:hAnsi="Arial" w:cs="Arial"/>
          <w:bCs/>
          <w:lang w:val="es-MX"/>
        </w:rPr>
        <w:t>posición</w:t>
      </w:r>
      <w:r w:rsidRPr="00120424">
        <w:rPr>
          <w:rFonts w:ascii="Arial" w:hAnsi="Arial" w:cs="Arial"/>
          <w:bCs/>
          <w:lang w:val="es-MX"/>
        </w:rPr>
        <w:t xml:space="preserve"> mayoritaria de la Sala de primera instancia no estaba contenida en el proyecto del ponente sino en los mencionados </w:t>
      </w:r>
      <w:r w:rsidR="009D0281" w:rsidRPr="00120424">
        <w:rPr>
          <w:rFonts w:ascii="Arial" w:hAnsi="Arial" w:cs="Arial"/>
          <w:bCs/>
          <w:lang w:val="es-MX"/>
        </w:rPr>
        <w:t>disensos, los cuales eran unánimes en señalar que el negocio jurídico celebrado no adolecía de nulidad pero sí había sido incumplido por la parte demandada</w:t>
      </w:r>
      <w:r w:rsidRPr="00120424">
        <w:rPr>
          <w:rFonts w:ascii="Arial" w:hAnsi="Arial" w:cs="Arial"/>
          <w:bCs/>
          <w:lang w:val="es-MX"/>
        </w:rPr>
        <w:t>, razón por la cual</w:t>
      </w:r>
      <w:r w:rsidR="009D0281" w:rsidRPr="00120424">
        <w:rPr>
          <w:rFonts w:ascii="Arial" w:hAnsi="Arial" w:cs="Arial"/>
          <w:bCs/>
          <w:lang w:val="es-MX"/>
        </w:rPr>
        <w:t>, en sentir del Ministerio Público,</w:t>
      </w:r>
      <w:r w:rsidRPr="00120424">
        <w:rPr>
          <w:rFonts w:ascii="Arial" w:hAnsi="Arial" w:cs="Arial"/>
          <w:bCs/>
          <w:lang w:val="es-MX"/>
        </w:rPr>
        <w:t xml:space="preserve"> debía entenderse que</w:t>
      </w:r>
      <w:r w:rsidR="009D0281" w:rsidRPr="00120424">
        <w:rPr>
          <w:rFonts w:ascii="Arial" w:hAnsi="Arial" w:cs="Arial"/>
          <w:bCs/>
          <w:lang w:val="es-MX"/>
        </w:rPr>
        <w:t xml:space="preserve"> la decisión adoptada por mayoría,</w:t>
      </w:r>
      <w:r w:rsidRPr="00120424">
        <w:rPr>
          <w:rFonts w:ascii="Arial" w:hAnsi="Arial" w:cs="Arial"/>
          <w:bCs/>
          <w:lang w:val="es-MX"/>
        </w:rPr>
        <w:t xml:space="preserve"> sobre la cual debía resolver el juzgador de segunda instancia</w:t>
      </w:r>
      <w:r w:rsidR="009D0281" w:rsidRPr="00120424">
        <w:rPr>
          <w:rFonts w:ascii="Arial" w:hAnsi="Arial" w:cs="Arial"/>
          <w:bCs/>
          <w:lang w:val="es-MX"/>
        </w:rPr>
        <w:t>,</w:t>
      </w:r>
      <w:r w:rsidRPr="00120424">
        <w:rPr>
          <w:rFonts w:ascii="Arial" w:hAnsi="Arial" w:cs="Arial"/>
          <w:bCs/>
          <w:lang w:val="es-MX"/>
        </w:rPr>
        <w:t xml:space="preserve"> </w:t>
      </w:r>
      <w:r w:rsidR="00A82428" w:rsidRPr="00120424">
        <w:rPr>
          <w:rFonts w:ascii="Arial" w:hAnsi="Arial" w:cs="Arial"/>
          <w:bCs/>
          <w:lang w:val="es-MX"/>
        </w:rPr>
        <w:t xml:space="preserve">estaba contenida en </w:t>
      </w:r>
      <w:r w:rsidR="009D0281" w:rsidRPr="00120424">
        <w:rPr>
          <w:rFonts w:ascii="Arial" w:hAnsi="Arial" w:cs="Arial"/>
          <w:bCs/>
          <w:lang w:val="es-MX"/>
        </w:rPr>
        <w:t>los</w:t>
      </w:r>
      <w:r w:rsidR="00A82428" w:rsidRPr="00120424">
        <w:rPr>
          <w:rFonts w:ascii="Arial" w:hAnsi="Arial" w:cs="Arial"/>
          <w:bCs/>
          <w:lang w:val="es-MX"/>
        </w:rPr>
        <w:t xml:space="preserve"> escritos de </w:t>
      </w:r>
      <w:r w:rsidR="009D0281" w:rsidRPr="00120424">
        <w:rPr>
          <w:rFonts w:ascii="Arial" w:hAnsi="Arial" w:cs="Arial"/>
          <w:bCs/>
          <w:lang w:val="es-MX"/>
        </w:rPr>
        <w:t xml:space="preserve">aclaración de </w:t>
      </w:r>
      <w:r w:rsidR="00A82428" w:rsidRPr="00120424">
        <w:rPr>
          <w:rFonts w:ascii="Arial" w:hAnsi="Arial" w:cs="Arial"/>
          <w:bCs/>
          <w:lang w:val="es-MX"/>
        </w:rPr>
        <w:t>los magistrados disidentes</w:t>
      </w:r>
      <w:r w:rsidR="009D0281" w:rsidRPr="00120424">
        <w:rPr>
          <w:rFonts w:ascii="Arial" w:hAnsi="Arial" w:cs="Arial"/>
          <w:bCs/>
          <w:lang w:val="es-MX"/>
        </w:rPr>
        <w:t xml:space="preserve">, mientras que el </w:t>
      </w:r>
      <w:r w:rsidR="009D0281" w:rsidRPr="00120424">
        <w:rPr>
          <w:rFonts w:ascii="Arial" w:hAnsi="Arial" w:cs="Arial"/>
          <w:bCs/>
          <w:i/>
          <w:lang w:val="es-MX"/>
        </w:rPr>
        <w:t>“salvamento”</w:t>
      </w:r>
      <w:r w:rsidR="009D0281" w:rsidRPr="00120424">
        <w:rPr>
          <w:rFonts w:ascii="Arial" w:hAnsi="Arial" w:cs="Arial"/>
          <w:bCs/>
          <w:lang w:val="es-MX"/>
        </w:rPr>
        <w:t xml:space="preserve"> contra esa decisión mayoritaria se encontraba plasmado en la ponencia inicial</w:t>
      </w:r>
      <w:r w:rsidR="00A82428" w:rsidRPr="00120424">
        <w:rPr>
          <w:rFonts w:ascii="Arial" w:hAnsi="Arial" w:cs="Arial"/>
          <w:bCs/>
          <w:lang w:val="es-MX"/>
        </w:rPr>
        <w:t>.</w:t>
      </w:r>
    </w:p>
    <w:p w14:paraId="79531D1D" w14:textId="77777777" w:rsidR="000E0BA8" w:rsidRPr="00120424" w:rsidRDefault="000E0BA8" w:rsidP="00A4147F">
      <w:pPr>
        <w:spacing w:line="360" w:lineRule="auto"/>
        <w:jc w:val="both"/>
        <w:rPr>
          <w:rFonts w:ascii="Arial" w:hAnsi="Arial" w:cs="Arial"/>
          <w:bCs/>
          <w:lang w:val="es-MX"/>
        </w:rPr>
      </w:pPr>
    </w:p>
    <w:p w14:paraId="0490E0FE" w14:textId="77777777" w:rsidR="000E0BA8" w:rsidRPr="00120424" w:rsidRDefault="000E0BA8" w:rsidP="00A4147F">
      <w:pPr>
        <w:spacing w:line="360" w:lineRule="auto"/>
        <w:jc w:val="both"/>
        <w:rPr>
          <w:rFonts w:ascii="Arial" w:hAnsi="Arial" w:cs="Arial"/>
          <w:bCs/>
          <w:lang w:val="es-MX"/>
        </w:rPr>
      </w:pPr>
      <w:r w:rsidRPr="00120424">
        <w:rPr>
          <w:rFonts w:ascii="Arial" w:hAnsi="Arial" w:cs="Arial"/>
          <w:bCs/>
          <w:lang w:val="es-MX"/>
        </w:rPr>
        <w:t xml:space="preserve">A partir de tal conclusión, </w:t>
      </w:r>
      <w:r w:rsidR="00CF0322" w:rsidRPr="00120424">
        <w:rPr>
          <w:rFonts w:ascii="Arial" w:hAnsi="Arial" w:cs="Arial"/>
          <w:bCs/>
          <w:lang w:val="es-MX"/>
        </w:rPr>
        <w:t xml:space="preserve">la Delegada señaló que lo resuelto por dicha mayoría en el cierre de la primera instancia debía ser modificado, por cuanto el incumplimiento contractual, establecido por quienes componían el quórum decisorio de la Sala, </w:t>
      </w:r>
      <w:r w:rsidR="00CF0322" w:rsidRPr="00120424">
        <w:rPr>
          <w:rFonts w:ascii="Arial" w:hAnsi="Arial" w:cs="Arial"/>
          <w:bCs/>
          <w:lang w:val="es-MX"/>
        </w:rPr>
        <w:lastRenderedPageBreak/>
        <w:t>generaba perjuicios adicionales a los que fueron reconocidos en la providencia aprobada.</w:t>
      </w:r>
    </w:p>
    <w:p w14:paraId="451422B3" w14:textId="77777777" w:rsidR="00A4147F" w:rsidRPr="00120424" w:rsidRDefault="00A4147F" w:rsidP="00A4147F">
      <w:pPr>
        <w:spacing w:line="360" w:lineRule="auto"/>
        <w:jc w:val="both"/>
        <w:rPr>
          <w:rFonts w:ascii="Arial" w:hAnsi="Arial" w:cs="Arial"/>
          <w:b/>
          <w:bCs/>
          <w:lang w:val="es-MX"/>
        </w:rPr>
      </w:pPr>
    </w:p>
    <w:p w14:paraId="3084103C" w14:textId="77777777" w:rsidR="00A4147F" w:rsidRPr="000E65DF" w:rsidRDefault="00A4147F" w:rsidP="00A4147F">
      <w:pPr>
        <w:numPr>
          <w:ilvl w:val="0"/>
          <w:numId w:val="1"/>
        </w:numPr>
        <w:spacing w:line="360" w:lineRule="auto"/>
        <w:jc w:val="center"/>
        <w:rPr>
          <w:rFonts w:ascii="Arial" w:hAnsi="Arial" w:cs="Arial"/>
          <w:b/>
          <w:lang w:val="it-IT"/>
        </w:rPr>
      </w:pPr>
      <w:r w:rsidRPr="000E65DF">
        <w:rPr>
          <w:rFonts w:ascii="Arial" w:hAnsi="Arial" w:cs="Arial"/>
          <w:b/>
          <w:lang w:val="it-IT"/>
        </w:rPr>
        <w:t>C O N S I D E R A C I O N E S</w:t>
      </w:r>
    </w:p>
    <w:p w14:paraId="556F9427" w14:textId="77777777" w:rsidR="00A4147F" w:rsidRPr="000E65DF" w:rsidRDefault="00A4147F" w:rsidP="00A4147F">
      <w:pPr>
        <w:spacing w:line="360" w:lineRule="auto"/>
        <w:jc w:val="both"/>
        <w:rPr>
          <w:rFonts w:ascii="Arial" w:hAnsi="Arial" w:cs="Arial"/>
          <w:b/>
          <w:lang w:val="it-IT"/>
        </w:rPr>
      </w:pPr>
    </w:p>
    <w:p w14:paraId="34938B83" w14:textId="77777777" w:rsidR="00A4147F" w:rsidRPr="00120424" w:rsidRDefault="00A4147F" w:rsidP="00A4147F">
      <w:pPr>
        <w:spacing w:line="360" w:lineRule="auto"/>
        <w:jc w:val="both"/>
        <w:rPr>
          <w:rFonts w:ascii="Arial" w:hAnsi="Arial" w:cs="Arial"/>
          <w:b/>
        </w:rPr>
      </w:pPr>
      <w:r w:rsidRPr="00120424">
        <w:rPr>
          <w:rFonts w:ascii="Arial" w:hAnsi="Arial" w:cs="Arial"/>
          <w:b/>
        </w:rPr>
        <w:t>1. Normativa procesal aplicable a la presente controversia</w:t>
      </w:r>
    </w:p>
    <w:p w14:paraId="1B5BF749" w14:textId="77777777" w:rsidR="00A4147F" w:rsidRPr="00120424" w:rsidRDefault="00A4147F" w:rsidP="00A4147F">
      <w:pPr>
        <w:spacing w:line="360" w:lineRule="auto"/>
        <w:jc w:val="both"/>
        <w:rPr>
          <w:rFonts w:ascii="Arial" w:hAnsi="Arial" w:cs="Arial"/>
          <w:b/>
        </w:rPr>
      </w:pPr>
    </w:p>
    <w:p w14:paraId="322A6511" w14:textId="77777777" w:rsidR="00A4147F" w:rsidRPr="00120424" w:rsidRDefault="00A4147F" w:rsidP="00A4147F">
      <w:pPr>
        <w:pBdr>
          <w:top w:val="nil"/>
          <w:left w:val="nil"/>
          <w:bottom w:val="nil"/>
          <w:right w:val="nil"/>
          <w:between w:val="nil"/>
          <w:bar w:val="nil"/>
        </w:pBdr>
        <w:suppressAutoHyphens/>
        <w:spacing w:line="360" w:lineRule="auto"/>
        <w:jc w:val="both"/>
        <w:rPr>
          <w:rFonts w:ascii="Arial" w:eastAsia="Arial Unicode MS" w:hAnsi="Arial" w:cs="Arial"/>
          <w:color w:val="000000"/>
          <w:u w:color="000000"/>
          <w:bdr w:val="nil"/>
          <w:lang w:val="es-ES_tradnl" w:eastAsia="es-CO"/>
        </w:rPr>
      </w:pPr>
      <w:r w:rsidRPr="00120424">
        <w:rPr>
          <w:rFonts w:ascii="Arial" w:hAnsi="Arial" w:cs="Arial"/>
        </w:rPr>
        <w:t xml:space="preserve">Se estima necesario precisar que a este asunto le resultan </w:t>
      </w:r>
      <w:r w:rsidRPr="00120424">
        <w:rPr>
          <w:rFonts w:ascii="Arial" w:eastAsia="Arial Unicode MS" w:hAnsi="Arial" w:cs="Arial"/>
          <w:color w:val="000000"/>
          <w:u w:color="000000"/>
          <w:bdr w:val="nil"/>
          <w:lang w:val="es-ES_tradnl" w:eastAsia="es-CO"/>
        </w:rPr>
        <w:t xml:space="preserve">aplicables las reglas del Código Contencioso Administrativo (CCA), porque la demanda se interpuso el </w:t>
      </w:r>
      <w:r w:rsidR="00CF0322" w:rsidRPr="00120424">
        <w:rPr>
          <w:rFonts w:ascii="Arial" w:eastAsia="Arial Unicode MS" w:hAnsi="Arial" w:cs="Arial"/>
          <w:color w:val="000000"/>
          <w:u w:color="000000"/>
          <w:bdr w:val="nil"/>
          <w:lang w:val="es-ES_tradnl" w:eastAsia="es-CO"/>
        </w:rPr>
        <w:t>29 de octubre de 1997</w:t>
      </w:r>
      <w:r w:rsidRPr="00120424">
        <w:rPr>
          <w:rFonts w:ascii="Arial" w:eastAsia="Arial Unicode MS" w:hAnsi="Arial" w:cs="Arial"/>
          <w:color w:val="000000"/>
          <w:u w:color="000000"/>
          <w:bdr w:val="nil"/>
          <w:lang w:val="es-ES_tradnl" w:eastAsia="es-CO"/>
        </w:rPr>
        <w:t>, esto es, antes de la entrada en vigencia del Código de Procedimiento Administrativo y de lo Contencioso Administrativo (CPACA)</w:t>
      </w:r>
      <w:r w:rsidRPr="00120424">
        <w:rPr>
          <w:rFonts w:ascii="Arial" w:eastAsia="Arial Unicode MS" w:hAnsi="Arial" w:cs="Arial"/>
          <w:color w:val="000000"/>
          <w:u w:color="000000"/>
          <w:bdr w:val="nil"/>
          <w:vertAlign w:val="superscript"/>
          <w:lang w:val="es-ES_tradnl" w:eastAsia="es-CO"/>
        </w:rPr>
        <w:footnoteReference w:id="8"/>
      </w:r>
      <w:r w:rsidRPr="00120424">
        <w:rPr>
          <w:rFonts w:ascii="Arial" w:eastAsia="Arial Unicode MS" w:hAnsi="Arial" w:cs="Arial"/>
          <w:color w:val="000000"/>
          <w:u w:color="000000"/>
          <w:bdr w:val="nil"/>
          <w:lang w:val="es-ES_tradnl" w:eastAsia="es-CO"/>
        </w:rPr>
        <w:t>, de ahí que este asunto siga rigiéndose hasta su culminación con el “</w:t>
      </w:r>
      <w:r w:rsidRPr="00120424">
        <w:rPr>
          <w:rFonts w:ascii="Arial" w:eastAsia="Arial Unicode MS" w:hAnsi="Arial" w:cs="Arial"/>
          <w:i/>
          <w:color w:val="000000"/>
          <w:u w:color="000000"/>
          <w:bdr w:val="nil"/>
          <w:lang w:val="es-ES_tradnl" w:eastAsia="es-CO"/>
        </w:rPr>
        <w:t>régimen jurídico anterior</w:t>
      </w:r>
      <w:r w:rsidRPr="00120424">
        <w:rPr>
          <w:rFonts w:ascii="Arial" w:eastAsia="Arial Unicode MS" w:hAnsi="Arial" w:cs="Arial"/>
          <w:color w:val="000000"/>
          <w:u w:color="000000"/>
          <w:bdr w:val="nil"/>
          <w:lang w:val="es-ES_tradnl" w:eastAsia="es-CO"/>
        </w:rPr>
        <w:t>”, es decir, con el CCA.</w:t>
      </w:r>
    </w:p>
    <w:p w14:paraId="1F7403D6" w14:textId="77777777" w:rsidR="00A4147F" w:rsidRPr="00120424" w:rsidRDefault="00A4147F" w:rsidP="00A4147F">
      <w:pPr>
        <w:pBdr>
          <w:top w:val="nil"/>
          <w:left w:val="nil"/>
          <w:bottom w:val="nil"/>
          <w:right w:val="nil"/>
          <w:between w:val="nil"/>
          <w:bar w:val="nil"/>
        </w:pBdr>
        <w:suppressAutoHyphens/>
        <w:spacing w:line="360" w:lineRule="auto"/>
        <w:jc w:val="both"/>
        <w:rPr>
          <w:rFonts w:ascii="Arial" w:eastAsia="Arial Unicode MS" w:hAnsi="Arial" w:cs="Arial"/>
          <w:color w:val="000000"/>
          <w:u w:color="000000"/>
          <w:bdr w:val="nil"/>
          <w:lang w:val="es-ES_tradnl" w:eastAsia="es-CO"/>
        </w:rPr>
      </w:pPr>
    </w:p>
    <w:p w14:paraId="40C3E73C" w14:textId="77777777" w:rsidR="00A4147F" w:rsidRPr="00120424" w:rsidRDefault="00A4147F" w:rsidP="00A4147F">
      <w:pPr>
        <w:pBdr>
          <w:top w:val="nil"/>
          <w:left w:val="nil"/>
          <w:bottom w:val="nil"/>
          <w:right w:val="nil"/>
          <w:between w:val="nil"/>
          <w:bar w:val="nil"/>
        </w:pBdr>
        <w:suppressAutoHyphens/>
        <w:spacing w:line="360" w:lineRule="auto"/>
        <w:jc w:val="both"/>
        <w:rPr>
          <w:rFonts w:ascii="Arial" w:eastAsia="Arial Unicode MS" w:hAnsi="Arial" w:cs="Arial"/>
          <w:color w:val="000000"/>
          <w:u w:color="000000"/>
          <w:bdr w:val="nil"/>
          <w:lang w:val="es-ES_tradnl" w:eastAsia="es-CO"/>
        </w:rPr>
      </w:pPr>
      <w:r w:rsidRPr="00120424">
        <w:rPr>
          <w:rFonts w:ascii="Arial" w:eastAsia="Arial Unicode MS" w:hAnsi="Arial" w:cs="Arial"/>
          <w:color w:val="000000"/>
          <w:u w:color="000000"/>
          <w:bdr w:val="nil"/>
          <w:lang w:val="es-ES_tradnl" w:eastAsia="es-CO"/>
        </w:rPr>
        <w:t>Esa expresión “</w:t>
      </w:r>
      <w:r w:rsidRPr="00120424">
        <w:rPr>
          <w:rFonts w:ascii="Arial" w:eastAsia="Arial Unicode MS" w:hAnsi="Arial" w:cs="Arial"/>
          <w:i/>
          <w:color w:val="000000"/>
          <w:u w:color="000000"/>
          <w:bdr w:val="nil"/>
          <w:lang w:val="es-ES_tradnl" w:eastAsia="es-CO"/>
        </w:rPr>
        <w:t>régimen jurídico anterior</w:t>
      </w:r>
      <w:r w:rsidRPr="00120424">
        <w:rPr>
          <w:rFonts w:ascii="Arial" w:eastAsia="Arial Unicode MS" w:hAnsi="Arial" w:cs="Arial"/>
          <w:color w:val="000000"/>
          <w:u w:color="000000"/>
          <w:bdr w:val="nil"/>
          <w:lang w:val="es-ES_tradnl" w:eastAsia="es-CO"/>
        </w:rPr>
        <w:t xml:space="preserve">”, contenida en el artículo 308 del CPACA, no se refiere solamente a las disposiciones del CCA, sino que también comprende todas aquellas </w:t>
      </w:r>
      <w:r w:rsidR="00E10820" w:rsidRPr="00120424">
        <w:rPr>
          <w:rFonts w:ascii="Arial" w:eastAsia="Arial Unicode MS" w:hAnsi="Arial" w:cs="Arial"/>
          <w:color w:val="000000"/>
          <w:u w:color="000000"/>
          <w:bdr w:val="nil"/>
          <w:lang w:val="es-ES_tradnl" w:eastAsia="es-CO"/>
        </w:rPr>
        <w:t>normas</w:t>
      </w:r>
      <w:r w:rsidRPr="00120424">
        <w:rPr>
          <w:rFonts w:ascii="Arial" w:eastAsia="Arial Unicode MS" w:hAnsi="Arial" w:cs="Arial"/>
          <w:color w:val="000000"/>
          <w:u w:color="000000"/>
          <w:bdr w:val="nil"/>
          <w:lang w:val="es-ES_tradnl" w:eastAsia="es-CO"/>
        </w:rPr>
        <w:t xml:space="preserve"> complementarias que se encontraban vigentes a la entrada en vigor del CPACA, razón por la cual en este proceso, en los aspectos no regulados en el CCA, también </w:t>
      </w:r>
      <w:r w:rsidR="00FE1521" w:rsidRPr="00120424">
        <w:rPr>
          <w:rFonts w:ascii="Arial" w:eastAsia="Arial Unicode MS" w:hAnsi="Arial" w:cs="Arial"/>
          <w:color w:val="000000"/>
          <w:u w:color="000000"/>
          <w:bdr w:val="nil"/>
          <w:lang w:val="es-ES_tradnl" w:eastAsia="es-CO"/>
        </w:rPr>
        <w:t>son</w:t>
      </w:r>
      <w:r w:rsidRPr="00120424">
        <w:rPr>
          <w:rFonts w:ascii="Arial" w:eastAsia="Arial Unicode MS" w:hAnsi="Arial" w:cs="Arial"/>
          <w:color w:val="000000"/>
          <w:u w:color="000000"/>
          <w:bdr w:val="nil"/>
          <w:lang w:val="es-ES_tradnl" w:eastAsia="es-CO"/>
        </w:rPr>
        <w:t xml:space="preserve"> aplicables las disposiciones del C</w:t>
      </w:r>
      <w:r w:rsidR="008636AA" w:rsidRPr="00120424">
        <w:rPr>
          <w:rFonts w:ascii="Arial" w:eastAsia="Arial Unicode MS" w:hAnsi="Arial" w:cs="Arial"/>
          <w:color w:val="000000"/>
          <w:u w:color="000000"/>
          <w:bdr w:val="nil"/>
          <w:lang w:val="es-ES_tradnl" w:eastAsia="es-CO"/>
        </w:rPr>
        <w:t xml:space="preserve">ódigo de </w:t>
      </w:r>
      <w:r w:rsidRPr="00120424">
        <w:rPr>
          <w:rFonts w:ascii="Arial" w:eastAsia="Arial Unicode MS" w:hAnsi="Arial" w:cs="Arial"/>
          <w:color w:val="000000"/>
          <w:u w:color="000000"/>
          <w:bdr w:val="nil"/>
          <w:lang w:val="es-ES_tradnl" w:eastAsia="es-CO"/>
        </w:rPr>
        <w:t>P</w:t>
      </w:r>
      <w:r w:rsidR="008636AA" w:rsidRPr="00120424">
        <w:rPr>
          <w:rFonts w:ascii="Arial" w:eastAsia="Arial Unicode MS" w:hAnsi="Arial" w:cs="Arial"/>
          <w:color w:val="000000"/>
          <w:u w:color="000000"/>
          <w:bdr w:val="nil"/>
          <w:lang w:val="es-ES_tradnl" w:eastAsia="es-CO"/>
        </w:rPr>
        <w:t xml:space="preserve">rocedimiento </w:t>
      </w:r>
      <w:r w:rsidRPr="00120424">
        <w:rPr>
          <w:rFonts w:ascii="Arial" w:eastAsia="Arial Unicode MS" w:hAnsi="Arial" w:cs="Arial"/>
          <w:color w:val="000000"/>
          <w:u w:color="000000"/>
          <w:bdr w:val="nil"/>
          <w:lang w:val="es-ES_tradnl" w:eastAsia="es-CO"/>
        </w:rPr>
        <w:t>C</w:t>
      </w:r>
      <w:r w:rsidR="008636AA" w:rsidRPr="00120424">
        <w:rPr>
          <w:rFonts w:ascii="Arial" w:eastAsia="Arial Unicode MS" w:hAnsi="Arial" w:cs="Arial"/>
          <w:color w:val="000000"/>
          <w:u w:color="000000"/>
          <w:bdr w:val="nil"/>
          <w:lang w:val="es-ES_tradnl" w:eastAsia="es-CO"/>
        </w:rPr>
        <w:t xml:space="preserve">ivil (CPC) </w:t>
      </w:r>
      <w:r w:rsidRPr="00120424">
        <w:rPr>
          <w:rFonts w:ascii="Arial" w:eastAsia="Arial Unicode MS" w:hAnsi="Arial" w:cs="Arial"/>
          <w:color w:val="000000"/>
          <w:u w:color="000000"/>
          <w:bdr w:val="nil"/>
          <w:lang w:val="es-ES_tradnl" w:eastAsia="es-CO"/>
        </w:rPr>
        <w:t>y no las del C</w:t>
      </w:r>
      <w:r w:rsidR="008636AA" w:rsidRPr="00120424">
        <w:rPr>
          <w:rFonts w:ascii="Arial" w:eastAsia="Arial Unicode MS" w:hAnsi="Arial" w:cs="Arial"/>
          <w:color w:val="000000"/>
          <w:u w:color="000000"/>
          <w:bdr w:val="nil"/>
          <w:lang w:val="es-ES_tradnl" w:eastAsia="es-CO"/>
        </w:rPr>
        <w:t xml:space="preserve">ódigo </w:t>
      </w:r>
      <w:r w:rsidRPr="00120424">
        <w:rPr>
          <w:rFonts w:ascii="Arial" w:eastAsia="Arial Unicode MS" w:hAnsi="Arial" w:cs="Arial"/>
          <w:color w:val="000000"/>
          <w:u w:color="000000"/>
          <w:bdr w:val="nil"/>
          <w:lang w:val="es-ES_tradnl" w:eastAsia="es-CO"/>
        </w:rPr>
        <w:t>G</w:t>
      </w:r>
      <w:r w:rsidR="008636AA" w:rsidRPr="00120424">
        <w:rPr>
          <w:rFonts w:ascii="Arial" w:eastAsia="Arial Unicode MS" w:hAnsi="Arial" w:cs="Arial"/>
          <w:color w:val="000000"/>
          <w:u w:color="000000"/>
          <w:bdr w:val="nil"/>
          <w:lang w:val="es-ES_tradnl" w:eastAsia="es-CO"/>
        </w:rPr>
        <w:t xml:space="preserve">eneral del </w:t>
      </w:r>
      <w:r w:rsidRPr="00120424">
        <w:rPr>
          <w:rFonts w:ascii="Arial" w:eastAsia="Arial Unicode MS" w:hAnsi="Arial" w:cs="Arial"/>
          <w:color w:val="000000"/>
          <w:u w:color="000000"/>
          <w:bdr w:val="nil"/>
          <w:lang w:val="es-ES_tradnl" w:eastAsia="es-CO"/>
        </w:rPr>
        <w:t>P</w:t>
      </w:r>
      <w:r w:rsidR="008636AA" w:rsidRPr="00120424">
        <w:rPr>
          <w:rFonts w:ascii="Arial" w:eastAsia="Arial Unicode MS" w:hAnsi="Arial" w:cs="Arial"/>
          <w:color w:val="000000"/>
          <w:u w:color="000000"/>
          <w:bdr w:val="nil"/>
          <w:lang w:val="es-ES_tradnl" w:eastAsia="es-CO"/>
        </w:rPr>
        <w:t>roceso (CGP)</w:t>
      </w:r>
      <w:r w:rsidRPr="00120424">
        <w:rPr>
          <w:rFonts w:ascii="Arial" w:eastAsia="Arial Unicode MS" w:hAnsi="Arial" w:cs="Arial"/>
          <w:color w:val="000000"/>
          <w:u w:color="000000"/>
          <w:bdr w:val="nil"/>
          <w:vertAlign w:val="superscript"/>
          <w:lang w:val="es-ES_tradnl" w:eastAsia="es-CO"/>
        </w:rPr>
        <w:footnoteReference w:id="9"/>
      </w:r>
      <w:r w:rsidRPr="00120424">
        <w:rPr>
          <w:rFonts w:ascii="Arial" w:eastAsia="Arial Unicode MS" w:hAnsi="Arial" w:cs="Arial"/>
          <w:color w:val="000000"/>
          <w:u w:color="000000"/>
          <w:bdr w:val="nil"/>
          <w:lang w:val="es-ES_tradnl" w:eastAsia="es-CO"/>
        </w:rPr>
        <w:t>.</w:t>
      </w:r>
    </w:p>
    <w:p w14:paraId="368AAF01" w14:textId="77777777" w:rsidR="00A4147F" w:rsidRPr="00120424" w:rsidRDefault="00A4147F" w:rsidP="00531A93">
      <w:pPr>
        <w:pBdr>
          <w:top w:val="nil"/>
          <w:left w:val="nil"/>
          <w:bottom w:val="nil"/>
          <w:right w:val="nil"/>
          <w:between w:val="nil"/>
          <w:bar w:val="nil"/>
        </w:pBdr>
        <w:suppressAutoHyphens/>
        <w:spacing w:line="360" w:lineRule="auto"/>
        <w:jc w:val="both"/>
        <w:rPr>
          <w:rFonts w:ascii="Arial" w:eastAsia="Arial Unicode MS" w:hAnsi="Arial" w:cs="Arial"/>
          <w:color w:val="000000"/>
          <w:u w:color="000000"/>
          <w:bdr w:val="nil"/>
          <w:lang w:val="es-ES_tradnl" w:eastAsia="es-CO"/>
        </w:rPr>
      </w:pPr>
    </w:p>
    <w:p w14:paraId="01689AC6" w14:textId="77777777" w:rsidR="00A4147F" w:rsidRPr="00120424" w:rsidRDefault="00A4147F" w:rsidP="00401C37">
      <w:pPr>
        <w:spacing w:line="360" w:lineRule="auto"/>
        <w:jc w:val="both"/>
        <w:rPr>
          <w:rFonts w:ascii="Arial" w:eastAsia="Calibri" w:hAnsi="Arial" w:cs="Arial"/>
          <w:lang w:eastAsia="en-US"/>
        </w:rPr>
      </w:pPr>
      <w:r w:rsidRPr="00120424">
        <w:rPr>
          <w:rFonts w:ascii="Arial" w:eastAsia="Calibri" w:hAnsi="Arial" w:cs="Arial"/>
          <w:lang w:eastAsia="en-US"/>
        </w:rPr>
        <w:t xml:space="preserve">En relación con lo anterior, se advierte que el Despacho no está desconociendo la aplicación general e inmediata del CGP, lo que ocurre es que </w:t>
      </w:r>
      <w:r w:rsidR="00FE1521" w:rsidRPr="00120424">
        <w:rPr>
          <w:rFonts w:ascii="Arial" w:eastAsia="Calibri" w:hAnsi="Arial" w:cs="Arial"/>
          <w:lang w:eastAsia="en-US"/>
        </w:rPr>
        <w:t>el presente asunto</w:t>
      </w:r>
      <w:r w:rsidRPr="00120424">
        <w:rPr>
          <w:rFonts w:ascii="Arial" w:eastAsia="Calibri" w:hAnsi="Arial" w:cs="Arial"/>
          <w:lang w:eastAsia="en-US"/>
        </w:rPr>
        <w:t xml:space="preserve"> se encuentra frente a una excepción legislativa sobre las demandas y los procesos en curso a la entrada en vigencia del CPACA, razón por la cual el régimen jurídico </w:t>
      </w:r>
      <w:r w:rsidR="00FE1521" w:rsidRPr="00120424">
        <w:rPr>
          <w:rFonts w:ascii="Arial" w:eastAsia="Calibri" w:hAnsi="Arial" w:cs="Arial"/>
          <w:lang w:eastAsia="en-US"/>
        </w:rPr>
        <w:t>que opera sobre él</w:t>
      </w:r>
      <w:r w:rsidRPr="00120424">
        <w:rPr>
          <w:rFonts w:ascii="Arial" w:eastAsia="Calibri" w:hAnsi="Arial" w:cs="Arial"/>
          <w:lang w:eastAsia="en-US"/>
        </w:rPr>
        <w:t xml:space="preserve"> es el correspondiente a la época de presentación de la demanda, lo cual se traduce en que la controversia ha de analizarse a la luz de las disposiciones contenidas en el CCA y en el CPC.</w:t>
      </w:r>
    </w:p>
    <w:p w14:paraId="25065681" w14:textId="77777777" w:rsidR="00401C37" w:rsidRPr="00120424" w:rsidRDefault="00401C37" w:rsidP="00401C37">
      <w:pPr>
        <w:widowControl w:val="0"/>
        <w:spacing w:line="360" w:lineRule="auto"/>
        <w:ind w:right="-142"/>
        <w:jc w:val="both"/>
        <w:rPr>
          <w:rFonts w:ascii="Arial" w:eastAsia="Calibri" w:hAnsi="Arial" w:cs="Arial"/>
          <w:b/>
          <w:lang w:val="es-CO" w:eastAsia="en-US"/>
        </w:rPr>
      </w:pPr>
    </w:p>
    <w:p w14:paraId="7F314BA8" w14:textId="77777777" w:rsidR="00A4147F" w:rsidRPr="00120424" w:rsidRDefault="00A4147F" w:rsidP="00401C37">
      <w:pPr>
        <w:widowControl w:val="0"/>
        <w:spacing w:line="360" w:lineRule="auto"/>
        <w:ind w:right="-142"/>
        <w:jc w:val="both"/>
        <w:rPr>
          <w:rFonts w:ascii="Arial" w:eastAsia="Calibri" w:hAnsi="Arial" w:cs="Arial"/>
          <w:b/>
          <w:lang w:val="es-CO" w:eastAsia="en-US"/>
        </w:rPr>
      </w:pPr>
      <w:r w:rsidRPr="00120424">
        <w:rPr>
          <w:rFonts w:ascii="Arial" w:eastAsia="Calibri" w:hAnsi="Arial" w:cs="Arial"/>
          <w:b/>
          <w:lang w:val="es-CO" w:eastAsia="en-US"/>
        </w:rPr>
        <w:t>2. Competencia del Despacho para adoptar la presente decisión</w:t>
      </w:r>
    </w:p>
    <w:p w14:paraId="21306B99" w14:textId="77777777" w:rsidR="00A4147F" w:rsidRPr="00120424" w:rsidRDefault="00A4147F" w:rsidP="00401C37">
      <w:pPr>
        <w:widowControl w:val="0"/>
        <w:spacing w:line="360" w:lineRule="auto"/>
        <w:ind w:right="-142"/>
        <w:jc w:val="both"/>
        <w:rPr>
          <w:rFonts w:ascii="Arial" w:eastAsia="Calibri" w:hAnsi="Arial" w:cs="Arial"/>
          <w:b/>
          <w:lang w:val="es-CO" w:eastAsia="en-US"/>
        </w:rPr>
      </w:pPr>
    </w:p>
    <w:p w14:paraId="599C9CAE" w14:textId="77777777" w:rsidR="00A4147F" w:rsidRPr="00120424" w:rsidRDefault="00A4147F" w:rsidP="00401C37">
      <w:pPr>
        <w:widowControl w:val="0"/>
        <w:spacing w:line="360" w:lineRule="auto"/>
        <w:ind w:right="-142"/>
        <w:jc w:val="both"/>
        <w:rPr>
          <w:rFonts w:ascii="Arial" w:eastAsia="Calibri" w:hAnsi="Arial" w:cs="Arial"/>
          <w:lang w:val="es-CO" w:eastAsia="en-US"/>
        </w:rPr>
      </w:pPr>
      <w:r w:rsidRPr="00120424">
        <w:rPr>
          <w:rFonts w:ascii="Arial" w:eastAsia="Calibri" w:hAnsi="Arial" w:cs="Arial"/>
          <w:lang w:val="es-CO" w:eastAsia="en-US"/>
        </w:rPr>
        <w:t>El artículo 61 de la Ley 1395 de 2010</w:t>
      </w:r>
      <w:r w:rsidRPr="00120424">
        <w:rPr>
          <w:rFonts w:ascii="Arial" w:eastAsia="Calibri" w:hAnsi="Arial" w:cs="Arial"/>
          <w:vertAlign w:val="superscript"/>
          <w:lang w:val="es-CO" w:eastAsia="en-US"/>
        </w:rPr>
        <w:footnoteReference w:id="10"/>
      </w:r>
      <w:r w:rsidRPr="00120424">
        <w:rPr>
          <w:rFonts w:ascii="Arial" w:eastAsia="Calibri" w:hAnsi="Arial" w:cs="Arial"/>
          <w:lang w:val="es-CO" w:eastAsia="en-US"/>
        </w:rPr>
        <w:t>, que adicionó el artículo 146 del CCA, estableció que las decisiones interlocutorias del proceso, excepto las contenidas en los numerales 1, 2 y 3 del artículo 181 del CCA, deben ser adoptadas por el magistrado ponente.</w:t>
      </w:r>
    </w:p>
    <w:p w14:paraId="68339FB7" w14:textId="77777777" w:rsidR="00A4147F" w:rsidRPr="00120424" w:rsidRDefault="00A4147F" w:rsidP="00A4147F">
      <w:pPr>
        <w:widowControl w:val="0"/>
        <w:spacing w:line="360" w:lineRule="auto"/>
        <w:ind w:right="-142"/>
        <w:jc w:val="both"/>
        <w:rPr>
          <w:rFonts w:ascii="Arial" w:eastAsia="Calibri" w:hAnsi="Arial" w:cs="Arial"/>
          <w:lang w:val="es-CO" w:eastAsia="en-US"/>
        </w:rPr>
      </w:pPr>
    </w:p>
    <w:p w14:paraId="1F832DE3" w14:textId="77777777" w:rsidR="00A4147F" w:rsidRPr="00120424" w:rsidRDefault="00A4147F" w:rsidP="00454237">
      <w:pPr>
        <w:widowControl w:val="0"/>
        <w:spacing w:line="360" w:lineRule="auto"/>
        <w:ind w:right="-142"/>
        <w:jc w:val="both"/>
        <w:rPr>
          <w:rFonts w:ascii="Arial" w:eastAsia="Calibri" w:hAnsi="Arial" w:cs="Arial"/>
          <w:lang w:val="es-CO" w:eastAsia="en-US"/>
        </w:rPr>
      </w:pPr>
      <w:r w:rsidRPr="00120424">
        <w:rPr>
          <w:rFonts w:ascii="Arial" w:eastAsia="Calibri" w:hAnsi="Arial" w:cs="Arial"/>
          <w:lang w:val="es-CO" w:eastAsia="en-US"/>
        </w:rPr>
        <w:t>En este caso, como se trata de la declaratoria de nulidad</w:t>
      </w:r>
      <w:r w:rsidR="00FE1521" w:rsidRPr="00120424">
        <w:rPr>
          <w:rFonts w:ascii="Arial" w:eastAsia="Calibri" w:hAnsi="Arial" w:cs="Arial"/>
          <w:lang w:val="es-CO" w:eastAsia="en-US"/>
        </w:rPr>
        <w:t xml:space="preserve"> procesal</w:t>
      </w:r>
      <w:r w:rsidRPr="00120424">
        <w:rPr>
          <w:rFonts w:ascii="Arial" w:eastAsia="Calibri" w:hAnsi="Arial" w:cs="Arial"/>
          <w:lang w:val="es-CO" w:eastAsia="en-US"/>
        </w:rPr>
        <w:t xml:space="preserve">, decisión </w:t>
      </w:r>
      <w:r w:rsidR="00D3017B" w:rsidRPr="00120424">
        <w:rPr>
          <w:rFonts w:ascii="Arial" w:eastAsia="Calibri" w:hAnsi="Arial" w:cs="Arial"/>
          <w:lang w:val="es-CO" w:eastAsia="en-US"/>
        </w:rPr>
        <w:t>que está prevista</w:t>
      </w:r>
      <w:r w:rsidRPr="00120424">
        <w:rPr>
          <w:rFonts w:ascii="Arial" w:eastAsia="Calibri" w:hAnsi="Arial" w:cs="Arial"/>
          <w:lang w:val="es-CO" w:eastAsia="en-US"/>
        </w:rPr>
        <w:t xml:space="preserve"> en el numeral 6 del artículo 181 del CCA, es viable concluir que se trata de una providencia que debe ser </w:t>
      </w:r>
      <w:r w:rsidR="00D3017B" w:rsidRPr="00120424">
        <w:rPr>
          <w:rFonts w:ascii="Arial" w:eastAsia="Calibri" w:hAnsi="Arial" w:cs="Arial"/>
          <w:lang w:val="es-CO" w:eastAsia="en-US"/>
        </w:rPr>
        <w:t>dictada</w:t>
      </w:r>
      <w:r w:rsidRPr="00120424">
        <w:rPr>
          <w:rFonts w:ascii="Arial" w:eastAsia="Calibri" w:hAnsi="Arial" w:cs="Arial"/>
          <w:lang w:val="es-CO" w:eastAsia="en-US"/>
        </w:rPr>
        <w:t xml:space="preserve"> por la magistrada ponente.</w:t>
      </w:r>
    </w:p>
    <w:p w14:paraId="0684215B" w14:textId="77777777" w:rsidR="00A4147F" w:rsidRPr="00120424" w:rsidRDefault="00A4147F" w:rsidP="00A4147F">
      <w:pPr>
        <w:widowControl w:val="0"/>
        <w:spacing w:line="360" w:lineRule="auto"/>
        <w:ind w:right="-142"/>
        <w:jc w:val="both"/>
        <w:rPr>
          <w:rFonts w:ascii="Arial" w:eastAsia="Calibri" w:hAnsi="Arial" w:cs="Arial"/>
          <w:lang w:val="es-CO" w:eastAsia="en-US"/>
        </w:rPr>
      </w:pPr>
    </w:p>
    <w:p w14:paraId="160042E7" w14:textId="77777777" w:rsidR="00A4147F" w:rsidRPr="00120424" w:rsidRDefault="00A4147F" w:rsidP="00A4147F">
      <w:pPr>
        <w:jc w:val="both"/>
        <w:rPr>
          <w:rFonts w:ascii="Arial" w:hAnsi="Arial" w:cs="Arial"/>
          <w:b/>
        </w:rPr>
      </w:pPr>
      <w:r w:rsidRPr="00120424">
        <w:rPr>
          <w:rFonts w:ascii="Arial" w:hAnsi="Arial" w:cs="Arial"/>
          <w:b/>
        </w:rPr>
        <w:t xml:space="preserve">3. </w:t>
      </w:r>
      <w:r w:rsidR="00FA5B9C" w:rsidRPr="00120424">
        <w:rPr>
          <w:rFonts w:ascii="Arial" w:hAnsi="Arial" w:cs="Arial"/>
          <w:b/>
        </w:rPr>
        <w:t xml:space="preserve">Los requisitos de las sentencias y su relación con la competencia </w:t>
      </w:r>
      <w:r w:rsidR="007420F0" w:rsidRPr="00120424">
        <w:rPr>
          <w:rFonts w:ascii="Arial" w:hAnsi="Arial" w:cs="Arial"/>
          <w:b/>
        </w:rPr>
        <w:t xml:space="preserve">funcional </w:t>
      </w:r>
      <w:r w:rsidR="00FA5B9C" w:rsidRPr="00120424">
        <w:rPr>
          <w:rFonts w:ascii="Arial" w:hAnsi="Arial" w:cs="Arial"/>
          <w:b/>
        </w:rPr>
        <w:t>para proferirlas</w:t>
      </w:r>
    </w:p>
    <w:p w14:paraId="23135D27" w14:textId="77777777" w:rsidR="00A4147F" w:rsidRPr="00120424" w:rsidRDefault="00A4147F" w:rsidP="00A4147F">
      <w:pPr>
        <w:spacing w:line="360" w:lineRule="auto"/>
        <w:jc w:val="both"/>
        <w:rPr>
          <w:rFonts w:ascii="Arial" w:hAnsi="Arial" w:cs="Arial"/>
          <w:b/>
        </w:rPr>
      </w:pPr>
    </w:p>
    <w:p w14:paraId="38E974B7" w14:textId="77777777" w:rsidR="00D3017B" w:rsidRPr="00120424" w:rsidRDefault="00454237" w:rsidP="00454237">
      <w:pPr>
        <w:spacing w:line="360" w:lineRule="auto"/>
        <w:jc w:val="both"/>
        <w:rPr>
          <w:rFonts w:ascii="Arial" w:hAnsi="Arial" w:cs="Arial"/>
        </w:rPr>
      </w:pPr>
      <w:r w:rsidRPr="00120424">
        <w:rPr>
          <w:rFonts w:ascii="Arial" w:hAnsi="Arial" w:cs="Arial"/>
        </w:rPr>
        <w:t xml:space="preserve">Como lo define claramente el artículo 302 del Código de Procedimiento Civil, la sentencia es aquella categoría de providencia judicial en la cual se decide </w:t>
      </w:r>
      <w:r w:rsidRPr="00120424">
        <w:rPr>
          <w:rFonts w:ascii="Arial" w:hAnsi="Arial" w:cs="Arial"/>
          <w:i/>
        </w:rPr>
        <w:t>“sobre las pretensiones de la demanda o las excepciones que no tengan carácter de previas”</w:t>
      </w:r>
      <w:r w:rsidRPr="00120424">
        <w:rPr>
          <w:rFonts w:ascii="Arial" w:hAnsi="Arial" w:cs="Arial"/>
        </w:rPr>
        <w:t xml:space="preserve"> y las que </w:t>
      </w:r>
      <w:r w:rsidR="000036A8" w:rsidRPr="00120424">
        <w:rPr>
          <w:rFonts w:ascii="Arial" w:hAnsi="Arial" w:cs="Arial"/>
          <w:i/>
        </w:rPr>
        <w:t>“</w:t>
      </w:r>
      <w:r w:rsidRPr="00120424">
        <w:rPr>
          <w:rFonts w:ascii="Arial" w:hAnsi="Arial" w:cs="Arial"/>
          <w:i/>
        </w:rPr>
        <w:t xml:space="preserve">resuelvan los recursos de casación y revisión”. </w:t>
      </w:r>
    </w:p>
    <w:p w14:paraId="6F2F5842" w14:textId="77777777" w:rsidR="00621DC7" w:rsidRPr="00120424" w:rsidRDefault="00621DC7" w:rsidP="00454237">
      <w:pPr>
        <w:spacing w:line="360" w:lineRule="auto"/>
        <w:jc w:val="both"/>
        <w:rPr>
          <w:rFonts w:ascii="Arial" w:hAnsi="Arial" w:cs="Arial"/>
        </w:rPr>
      </w:pPr>
    </w:p>
    <w:p w14:paraId="0659DCA2" w14:textId="77777777" w:rsidR="00621DC7" w:rsidRPr="00120424" w:rsidRDefault="00621DC7" w:rsidP="00454237">
      <w:pPr>
        <w:spacing w:line="360" w:lineRule="auto"/>
        <w:jc w:val="both"/>
        <w:rPr>
          <w:rFonts w:ascii="Arial" w:hAnsi="Arial" w:cs="Arial"/>
        </w:rPr>
      </w:pPr>
      <w:r w:rsidRPr="00120424">
        <w:rPr>
          <w:rFonts w:ascii="Arial" w:hAnsi="Arial" w:cs="Arial"/>
        </w:rPr>
        <w:t xml:space="preserve">La Ley 270 de 1996, Estatutaria de la Administración de Justicia, establece en su artículo 55 que las sentencias judiciales </w:t>
      </w:r>
      <w:r w:rsidRPr="00120424">
        <w:rPr>
          <w:rFonts w:ascii="Arial" w:hAnsi="Arial" w:cs="Arial"/>
          <w:i/>
        </w:rPr>
        <w:t>“deberán referirse a todos los hechos y asuntos planteados en el proceso por los sujetos procesales”</w:t>
      </w:r>
      <w:r w:rsidRPr="00120424">
        <w:rPr>
          <w:rFonts w:ascii="Arial" w:hAnsi="Arial" w:cs="Arial"/>
        </w:rPr>
        <w:t>, lo cual guarda entera consonancia con lo dispuesto en el artículo 170 del C.C.A., a cuyo tenor:</w:t>
      </w:r>
    </w:p>
    <w:p w14:paraId="4071E1AF" w14:textId="77777777" w:rsidR="00621DC7" w:rsidRPr="00120424" w:rsidRDefault="00621DC7" w:rsidP="00454237">
      <w:pPr>
        <w:spacing w:line="360" w:lineRule="auto"/>
        <w:jc w:val="both"/>
        <w:rPr>
          <w:rFonts w:ascii="Arial" w:hAnsi="Arial" w:cs="Arial"/>
        </w:rPr>
      </w:pPr>
    </w:p>
    <w:p w14:paraId="6BEBBE34" w14:textId="77777777" w:rsidR="00621DC7" w:rsidRPr="00120424" w:rsidRDefault="00621DC7" w:rsidP="00621DC7">
      <w:pPr>
        <w:ind w:left="567" w:right="476"/>
        <w:jc w:val="both"/>
        <w:rPr>
          <w:rFonts w:ascii="Arial" w:hAnsi="Arial" w:cs="Arial"/>
          <w:i/>
        </w:rPr>
      </w:pPr>
      <w:r w:rsidRPr="00120424">
        <w:rPr>
          <w:rFonts w:ascii="Arial" w:hAnsi="Arial" w:cs="Arial"/>
          <w:i/>
        </w:rPr>
        <w:t>“La sentencia tiene que ser motivada. Debe analizar los hechos en que se funda la controversia, las pruebas, las normas jurídicas pertinentes, los argumentos de las partes y las excepciones con el objeto de resolver todas las peticiones…”.</w:t>
      </w:r>
    </w:p>
    <w:p w14:paraId="4DECC39B" w14:textId="77777777" w:rsidR="00D3017B" w:rsidRPr="00120424" w:rsidRDefault="00D3017B" w:rsidP="00A4147F">
      <w:pPr>
        <w:spacing w:line="360" w:lineRule="auto"/>
        <w:jc w:val="both"/>
        <w:rPr>
          <w:rFonts w:ascii="Arial" w:hAnsi="Arial" w:cs="Arial"/>
        </w:rPr>
      </w:pPr>
    </w:p>
    <w:p w14:paraId="0F18EEBF" w14:textId="77777777" w:rsidR="003656C0" w:rsidRPr="00120424" w:rsidRDefault="003656C0" w:rsidP="00A4147F">
      <w:pPr>
        <w:spacing w:line="360" w:lineRule="auto"/>
        <w:jc w:val="both"/>
        <w:rPr>
          <w:rFonts w:ascii="Arial" w:hAnsi="Arial" w:cs="Arial"/>
        </w:rPr>
      </w:pPr>
      <w:r w:rsidRPr="00120424">
        <w:rPr>
          <w:rFonts w:ascii="Arial" w:hAnsi="Arial" w:cs="Arial"/>
        </w:rPr>
        <w:t>De tales preceptos normativos se desprende que la sentencia judicial concreta y condensa, de manera fundamental, la función jurisdiccional y el ejercicio de la</w:t>
      </w:r>
      <w:r w:rsidR="00FD3D35" w:rsidRPr="00120424">
        <w:rPr>
          <w:rFonts w:ascii="Arial" w:hAnsi="Arial" w:cs="Arial"/>
        </w:rPr>
        <w:t>s</w:t>
      </w:r>
      <w:r w:rsidRPr="00120424">
        <w:rPr>
          <w:rFonts w:ascii="Arial" w:hAnsi="Arial" w:cs="Arial"/>
        </w:rPr>
        <w:t xml:space="preserve"> competencia</w:t>
      </w:r>
      <w:r w:rsidR="00FD3D35" w:rsidRPr="00120424">
        <w:rPr>
          <w:rFonts w:ascii="Arial" w:hAnsi="Arial" w:cs="Arial"/>
        </w:rPr>
        <w:t>s</w:t>
      </w:r>
      <w:r w:rsidRPr="00120424">
        <w:rPr>
          <w:rFonts w:ascii="Arial" w:hAnsi="Arial" w:cs="Arial"/>
        </w:rPr>
        <w:t xml:space="preserve"> que la ley le</w:t>
      </w:r>
      <w:r w:rsidR="00FD3D35" w:rsidRPr="00120424">
        <w:rPr>
          <w:rFonts w:ascii="Arial" w:hAnsi="Arial" w:cs="Arial"/>
        </w:rPr>
        <w:t>s</w:t>
      </w:r>
      <w:r w:rsidRPr="00120424">
        <w:rPr>
          <w:rFonts w:ascii="Arial" w:hAnsi="Arial" w:cs="Arial"/>
        </w:rPr>
        <w:t xml:space="preserve"> asigna </w:t>
      </w:r>
      <w:r w:rsidR="00FD3D35" w:rsidRPr="00120424">
        <w:rPr>
          <w:rFonts w:ascii="Arial" w:hAnsi="Arial" w:cs="Arial"/>
        </w:rPr>
        <w:t>a los jueces</w:t>
      </w:r>
      <w:r w:rsidRPr="00120424">
        <w:rPr>
          <w:rFonts w:ascii="Arial" w:hAnsi="Arial" w:cs="Arial"/>
        </w:rPr>
        <w:t>. A este respecto, la doctrina ha señalado:</w:t>
      </w:r>
    </w:p>
    <w:p w14:paraId="4A8BDC45" w14:textId="77777777" w:rsidR="003656C0" w:rsidRPr="00120424" w:rsidRDefault="003656C0" w:rsidP="00A4147F">
      <w:pPr>
        <w:spacing w:line="360" w:lineRule="auto"/>
        <w:jc w:val="both"/>
        <w:rPr>
          <w:rFonts w:ascii="Arial" w:hAnsi="Arial" w:cs="Arial"/>
        </w:rPr>
      </w:pPr>
    </w:p>
    <w:p w14:paraId="728E1675" w14:textId="77777777" w:rsidR="003656C0" w:rsidRPr="00120424" w:rsidRDefault="003656C0" w:rsidP="003656C0">
      <w:pPr>
        <w:ind w:left="567" w:right="335"/>
        <w:jc w:val="both"/>
        <w:rPr>
          <w:rFonts w:ascii="Arial" w:hAnsi="Arial" w:cs="Arial"/>
          <w:i/>
        </w:rPr>
      </w:pPr>
      <w:r w:rsidRPr="00120424">
        <w:rPr>
          <w:rFonts w:ascii="Arial" w:hAnsi="Arial" w:cs="Arial"/>
          <w:i/>
        </w:rPr>
        <w:t xml:space="preserve">“El análisis del concepto de sentencia, junto con los de jurisdicción y acción, constituyen los pilares básicos de la teoría del derecho procesal, por </w:t>
      </w:r>
      <w:r w:rsidRPr="00120424">
        <w:rPr>
          <w:rFonts w:ascii="Arial" w:hAnsi="Arial" w:cs="Arial"/>
          <w:i/>
        </w:rPr>
        <w:lastRenderedPageBreak/>
        <w:t xml:space="preserve">cuanto, como lo anota Couture, ‘el contenido y la función de la sentencia son el contenido y la función de la jurisdicción’. </w:t>
      </w:r>
    </w:p>
    <w:p w14:paraId="50008D13" w14:textId="77777777" w:rsidR="003656C0" w:rsidRPr="00120424" w:rsidRDefault="003656C0" w:rsidP="003656C0">
      <w:pPr>
        <w:ind w:left="567" w:right="335"/>
        <w:jc w:val="both"/>
        <w:rPr>
          <w:rFonts w:ascii="Arial" w:hAnsi="Arial" w:cs="Arial"/>
          <w:i/>
        </w:rPr>
      </w:pPr>
    </w:p>
    <w:p w14:paraId="4030F46F" w14:textId="77777777" w:rsidR="003656C0" w:rsidRPr="00120424" w:rsidRDefault="007B55E7" w:rsidP="003656C0">
      <w:pPr>
        <w:ind w:left="567" w:right="335"/>
        <w:jc w:val="both"/>
        <w:rPr>
          <w:rFonts w:ascii="Arial" w:hAnsi="Arial" w:cs="Arial"/>
        </w:rPr>
      </w:pPr>
      <w:r w:rsidRPr="00120424">
        <w:rPr>
          <w:rFonts w:ascii="Arial" w:hAnsi="Arial" w:cs="Arial"/>
          <w:i/>
        </w:rPr>
        <w:t>“</w:t>
      </w:r>
      <w:r w:rsidR="003656C0" w:rsidRPr="00120424">
        <w:rPr>
          <w:rFonts w:ascii="Arial" w:hAnsi="Arial" w:cs="Arial"/>
          <w:i/>
        </w:rPr>
        <w:t>Etimológicamente, sentencia significa dictamen o parecer que uno tiene o sigue, y en verdad que tal acepción informa en mucho el alcance del concepto desde el punto de vista procesal, puesto que la sentencia es precisamente el parecer que el juez tiene respecto de las pretensiones o excepciones sometidas a su decisión”</w:t>
      </w:r>
      <w:r w:rsidR="003656C0" w:rsidRPr="00120424">
        <w:rPr>
          <w:rStyle w:val="Refdenotaalpie"/>
          <w:rFonts w:ascii="Arial" w:hAnsi="Arial" w:cs="Arial"/>
          <w:i/>
        </w:rPr>
        <w:footnoteReference w:id="11"/>
      </w:r>
      <w:r w:rsidR="003656C0" w:rsidRPr="00120424">
        <w:rPr>
          <w:rFonts w:ascii="Arial" w:hAnsi="Arial" w:cs="Arial"/>
          <w:i/>
        </w:rPr>
        <w:t>.</w:t>
      </w:r>
      <w:r w:rsidR="003656C0" w:rsidRPr="00120424">
        <w:rPr>
          <w:rFonts w:ascii="Arial" w:hAnsi="Arial" w:cs="Arial"/>
        </w:rPr>
        <w:t xml:space="preserve"> </w:t>
      </w:r>
    </w:p>
    <w:p w14:paraId="311E1AB2" w14:textId="77777777" w:rsidR="003656C0" w:rsidRPr="00120424" w:rsidRDefault="003656C0" w:rsidP="00A4147F">
      <w:pPr>
        <w:spacing w:line="360" w:lineRule="auto"/>
        <w:jc w:val="both"/>
        <w:rPr>
          <w:rFonts w:ascii="Arial" w:hAnsi="Arial" w:cs="Arial"/>
        </w:rPr>
      </w:pPr>
    </w:p>
    <w:p w14:paraId="6AF2E65E" w14:textId="77777777" w:rsidR="00C63AAF" w:rsidRPr="00120424" w:rsidRDefault="00CF442F" w:rsidP="00A4147F">
      <w:pPr>
        <w:spacing w:line="360" w:lineRule="auto"/>
        <w:jc w:val="both"/>
        <w:rPr>
          <w:rFonts w:ascii="Arial" w:hAnsi="Arial" w:cs="Arial"/>
        </w:rPr>
      </w:pPr>
      <w:r w:rsidRPr="00120424">
        <w:rPr>
          <w:rFonts w:ascii="Arial" w:hAnsi="Arial" w:cs="Arial"/>
        </w:rPr>
        <w:t xml:space="preserve">Ahora bien, tratándose de sentencias que deban ser proferidas por los jueces colegiados –como es el caso de los Tribunales Administrativos y del Consejo de Estado-, </w:t>
      </w:r>
      <w:r w:rsidR="00C63AAF" w:rsidRPr="00120424">
        <w:rPr>
          <w:rFonts w:ascii="Arial" w:hAnsi="Arial" w:cs="Arial"/>
        </w:rPr>
        <w:t>tales providencias requieren el voto de la mayoría absoluta de sus miembros. Así se desprende del artículo 54 de la Ley 270 de 1996, que dispone:</w:t>
      </w:r>
    </w:p>
    <w:p w14:paraId="037C9DD6" w14:textId="77777777" w:rsidR="00C63AAF" w:rsidRPr="00120424" w:rsidRDefault="00C63AAF" w:rsidP="00531A93">
      <w:pPr>
        <w:spacing w:line="360" w:lineRule="auto"/>
        <w:jc w:val="both"/>
        <w:rPr>
          <w:rFonts w:ascii="Arial" w:hAnsi="Arial" w:cs="Arial"/>
        </w:rPr>
      </w:pPr>
    </w:p>
    <w:p w14:paraId="5EBFCD9E" w14:textId="77777777" w:rsidR="00C63AAF" w:rsidRPr="00120424" w:rsidRDefault="00C63AAF" w:rsidP="00C63AAF">
      <w:pPr>
        <w:ind w:left="567" w:right="476"/>
        <w:jc w:val="both"/>
        <w:rPr>
          <w:rFonts w:ascii="Arial" w:hAnsi="Arial" w:cs="Arial"/>
          <w:i/>
        </w:rPr>
      </w:pPr>
      <w:r w:rsidRPr="00120424">
        <w:rPr>
          <w:rFonts w:ascii="Arial" w:hAnsi="Arial" w:cs="Arial"/>
          <w:i/>
        </w:rPr>
        <w:t xml:space="preserve">“Todas las decisiones que las Corporaciones judiciales en pleno o cualquiera de sus salas o secciones deban tomar, requerirán para su deliberación y decisión, de la asistencia y </w:t>
      </w:r>
      <w:r w:rsidRPr="00120424">
        <w:rPr>
          <w:rFonts w:ascii="Arial" w:hAnsi="Arial" w:cs="Arial"/>
          <w:b/>
          <w:i/>
        </w:rPr>
        <w:t>voto de la mayoría de los miembros de la Corporación, sala o sección</w:t>
      </w:r>
      <w:r w:rsidRPr="00120424">
        <w:rPr>
          <w:rFonts w:ascii="Arial" w:hAnsi="Arial" w:cs="Arial"/>
          <w:i/>
        </w:rPr>
        <w:t>”.</w:t>
      </w:r>
    </w:p>
    <w:p w14:paraId="7F400D0C" w14:textId="77777777" w:rsidR="00C63AAF" w:rsidRPr="00120424" w:rsidRDefault="00C63AAF" w:rsidP="00A4147F">
      <w:pPr>
        <w:spacing w:line="360" w:lineRule="auto"/>
        <w:jc w:val="both"/>
        <w:rPr>
          <w:rFonts w:ascii="Arial" w:hAnsi="Arial" w:cs="Arial"/>
        </w:rPr>
      </w:pPr>
    </w:p>
    <w:p w14:paraId="57417FB7" w14:textId="77777777" w:rsidR="003656C0" w:rsidRPr="00120424" w:rsidRDefault="00C63AAF" w:rsidP="00A4147F">
      <w:pPr>
        <w:spacing w:line="360" w:lineRule="auto"/>
        <w:jc w:val="both"/>
        <w:rPr>
          <w:rFonts w:ascii="Arial" w:hAnsi="Arial" w:cs="Arial"/>
        </w:rPr>
      </w:pPr>
      <w:r w:rsidRPr="00120424">
        <w:rPr>
          <w:rFonts w:ascii="Arial" w:hAnsi="Arial" w:cs="Arial"/>
        </w:rPr>
        <w:t>En ese mismo sentido, el artículo 102 del C.C.A. establece:</w:t>
      </w:r>
    </w:p>
    <w:p w14:paraId="06CD8127" w14:textId="77777777" w:rsidR="00C63AAF" w:rsidRPr="00120424" w:rsidRDefault="00C63AAF" w:rsidP="00A4147F">
      <w:pPr>
        <w:spacing w:line="360" w:lineRule="auto"/>
        <w:jc w:val="both"/>
        <w:rPr>
          <w:rFonts w:ascii="Arial" w:hAnsi="Arial" w:cs="Arial"/>
        </w:rPr>
      </w:pPr>
    </w:p>
    <w:p w14:paraId="14E05757" w14:textId="77777777" w:rsidR="00C63AAF" w:rsidRPr="00120424" w:rsidRDefault="00C63AAF" w:rsidP="00C63AAF">
      <w:pPr>
        <w:ind w:left="567" w:right="476"/>
        <w:jc w:val="both"/>
        <w:rPr>
          <w:rFonts w:ascii="Arial" w:hAnsi="Arial" w:cs="Arial"/>
          <w:i/>
        </w:rPr>
      </w:pPr>
      <w:r w:rsidRPr="00120424">
        <w:rPr>
          <w:rFonts w:ascii="Arial" w:hAnsi="Arial" w:cs="Arial"/>
          <w:i/>
        </w:rPr>
        <w:t>“</w:t>
      </w:r>
      <w:r w:rsidRPr="00120424">
        <w:rPr>
          <w:rFonts w:ascii="Arial" w:hAnsi="Arial" w:cs="Arial"/>
          <w:b/>
          <w:i/>
        </w:rPr>
        <w:t>Toda decisión de carácter jurisdiccional o no</w:t>
      </w:r>
      <w:r w:rsidRPr="00120424">
        <w:rPr>
          <w:rFonts w:ascii="Arial" w:hAnsi="Arial" w:cs="Arial"/>
          <w:i/>
        </w:rPr>
        <w:t xml:space="preserve"> (…),</w:t>
      </w:r>
      <w:r w:rsidR="00BE488B" w:rsidRPr="00120424">
        <w:rPr>
          <w:rFonts w:ascii="Arial" w:hAnsi="Arial" w:cs="Arial"/>
          <w:i/>
        </w:rPr>
        <w:t xml:space="preserve"> </w:t>
      </w:r>
      <w:r w:rsidRPr="00120424">
        <w:rPr>
          <w:rFonts w:ascii="Arial" w:hAnsi="Arial" w:cs="Arial"/>
          <w:i/>
        </w:rPr>
        <w:t xml:space="preserve">que tome el Consejo de Estado o cualquiera de sus salas o secciones requiere el </w:t>
      </w:r>
      <w:r w:rsidRPr="00120424">
        <w:rPr>
          <w:rFonts w:ascii="Arial" w:hAnsi="Arial" w:cs="Arial"/>
          <w:b/>
          <w:i/>
        </w:rPr>
        <w:t>voto de la mayoría absoluta</w:t>
      </w:r>
      <w:r w:rsidRPr="00120424">
        <w:rPr>
          <w:rFonts w:ascii="Arial" w:hAnsi="Arial" w:cs="Arial"/>
          <w:i/>
        </w:rPr>
        <w:t xml:space="preserve"> de sus miembros.</w:t>
      </w:r>
    </w:p>
    <w:p w14:paraId="7D83517C" w14:textId="77777777" w:rsidR="00C63AAF" w:rsidRPr="00120424" w:rsidRDefault="00C63AAF" w:rsidP="00C63AAF">
      <w:pPr>
        <w:ind w:left="567" w:right="476"/>
        <w:jc w:val="both"/>
        <w:rPr>
          <w:rFonts w:ascii="Arial" w:hAnsi="Arial" w:cs="Arial"/>
          <w:i/>
        </w:rPr>
      </w:pPr>
    </w:p>
    <w:p w14:paraId="31D9FAAF" w14:textId="77777777" w:rsidR="00C63AAF" w:rsidRPr="00120424" w:rsidRDefault="002F0F7B" w:rsidP="00C63AAF">
      <w:pPr>
        <w:ind w:left="567" w:right="476"/>
        <w:jc w:val="both"/>
        <w:rPr>
          <w:rFonts w:ascii="Arial" w:hAnsi="Arial" w:cs="Arial"/>
          <w:i/>
        </w:rPr>
      </w:pPr>
      <w:r w:rsidRPr="00120424">
        <w:rPr>
          <w:rFonts w:ascii="Arial" w:hAnsi="Arial" w:cs="Arial"/>
          <w:i/>
        </w:rPr>
        <w:t>“</w:t>
      </w:r>
      <w:r w:rsidR="00C63AAF" w:rsidRPr="00120424">
        <w:rPr>
          <w:rFonts w:ascii="Arial" w:hAnsi="Arial" w:cs="Arial"/>
          <w:i/>
        </w:rPr>
        <w:t>Si en la votación no se lograre la mayoría absoluta, se repetirá aquella, y si tampoco se obtuviere, se procederá al sorteo de conjuez o conjueces, según el caso, para dirimir el empate o para conseguir tal mayoría”.</w:t>
      </w:r>
    </w:p>
    <w:p w14:paraId="1272D023" w14:textId="77777777" w:rsidR="00C30E0F" w:rsidRPr="00120424" w:rsidRDefault="00C30E0F" w:rsidP="00A4147F">
      <w:pPr>
        <w:spacing w:line="360" w:lineRule="auto"/>
        <w:jc w:val="both"/>
        <w:rPr>
          <w:rFonts w:ascii="Arial" w:hAnsi="Arial" w:cs="Arial"/>
        </w:rPr>
      </w:pPr>
    </w:p>
    <w:p w14:paraId="59A789E8" w14:textId="77777777" w:rsidR="00C40924" w:rsidRPr="00120424" w:rsidRDefault="00C30E0F" w:rsidP="00A4147F">
      <w:pPr>
        <w:spacing w:line="360" w:lineRule="auto"/>
        <w:jc w:val="both"/>
        <w:rPr>
          <w:rFonts w:ascii="Arial" w:hAnsi="Arial" w:cs="Arial"/>
        </w:rPr>
      </w:pPr>
      <w:r w:rsidRPr="00120424">
        <w:rPr>
          <w:rFonts w:ascii="Arial" w:hAnsi="Arial" w:cs="Arial"/>
        </w:rPr>
        <w:t xml:space="preserve">Así pues, las decisiones </w:t>
      </w:r>
      <w:r w:rsidR="00FD3D35" w:rsidRPr="00120424">
        <w:rPr>
          <w:rFonts w:ascii="Arial" w:hAnsi="Arial" w:cs="Arial"/>
        </w:rPr>
        <w:t>que las corporaciones judiciales adopten</w:t>
      </w:r>
      <w:r w:rsidRPr="00120424">
        <w:rPr>
          <w:rFonts w:ascii="Arial" w:hAnsi="Arial" w:cs="Arial"/>
        </w:rPr>
        <w:t xml:space="preserve"> en las sentencias –y señaladas expresamente en su parte resolutiva- deberán contar con la aprobación de la mayoría de los miembros de la respectiva </w:t>
      </w:r>
      <w:r w:rsidR="00F25274" w:rsidRPr="00120424">
        <w:rPr>
          <w:rFonts w:ascii="Arial" w:hAnsi="Arial" w:cs="Arial"/>
        </w:rPr>
        <w:t>S</w:t>
      </w:r>
      <w:r w:rsidRPr="00120424">
        <w:rPr>
          <w:rFonts w:ascii="Arial" w:hAnsi="Arial" w:cs="Arial"/>
        </w:rPr>
        <w:t xml:space="preserve">ala, so pena de que la providencia </w:t>
      </w:r>
      <w:r w:rsidR="008E63F1" w:rsidRPr="00120424">
        <w:rPr>
          <w:rFonts w:ascii="Arial" w:hAnsi="Arial" w:cs="Arial"/>
        </w:rPr>
        <w:t>carezca de validez</w:t>
      </w:r>
      <w:r w:rsidR="00C40924" w:rsidRPr="00120424">
        <w:rPr>
          <w:rFonts w:ascii="Arial" w:hAnsi="Arial" w:cs="Arial"/>
        </w:rPr>
        <w:t xml:space="preserve">. Con todo, esta exigencia no excluye la posibilidad de que uno de los magistrados que integra la colegiatura </w:t>
      </w:r>
      <w:r w:rsidR="00F25274" w:rsidRPr="00120424">
        <w:rPr>
          <w:rFonts w:ascii="Arial" w:hAnsi="Arial" w:cs="Arial"/>
        </w:rPr>
        <w:t>se aparte</w:t>
      </w:r>
      <w:r w:rsidR="00C40924" w:rsidRPr="00120424">
        <w:rPr>
          <w:rFonts w:ascii="Arial" w:hAnsi="Arial" w:cs="Arial"/>
        </w:rPr>
        <w:t xml:space="preserve"> de la decisión de la mayoría; por el contrario, la ley le otorga el derecho de expresar su disentimiento con el salvamento de voto, acto este que, </w:t>
      </w:r>
      <w:r w:rsidR="00C40924" w:rsidRPr="00120424">
        <w:rPr>
          <w:rFonts w:ascii="Arial" w:hAnsi="Arial" w:cs="Arial"/>
          <w:u w:val="single"/>
        </w:rPr>
        <w:t>al no afectar el quórum decisorio de carácter mayoritario</w:t>
      </w:r>
      <w:r w:rsidR="00C40924" w:rsidRPr="00120424">
        <w:rPr>
          <w:rFonts w:ascii="Arial" w:hAnsi="Arial" w:cs="Arial"/>
        </w:rPr>
        <w:t>, no vicia de nulidad la respectiva sentencia.</w:t>
      </w:r>
    </w:p>
    <w:p w14:paraId="0B627628" w14:textId="77777777" w:rsidR="00C40924" w:rsidRPr="00120424" w:rsidRDefault="00C40924" w:rsidP="00A4147F">
      <w:pPr>
        <w:spacing w:line="360" w:lineRule="auto"/>
        <w:jc w:val="both"/>
        <w:rPr>
          <w:rFonts w:ascii="Arial" w:hAnsi="Arial" w:cs="Arial"/>
        </w:rPr>
      </w:pPr>
    </w:p>
    <w:p w14:paraId="5B5B8D15" w14:textId="77777777" w:rsidR="00C40924" w:rsidRPr="00120424" w:rsidRDefault="00C40924" w:rsidP="00A4147F">
      <w:pPr>
        <w:spacing w:line="360" w:lineRule="auto"/>
        <w:jc w:val="both"/>
        <w:rPr>
          <w:rFonts w:ascii="Arial" w:hAnsi="Arial" w:cs="Arial"/>
        </w:rPr>
      </w:pPr>
      <w:r w:rsidRPr="00120424">
        <w:rPr>
          <w:rFonts w:ascii="Arial" w:hAnsi="Arial" w:cs="Arial"/>
        </w:rPr>
        <w:t>En efecto, el artículo 103 del mismo C.C.A. preceptúa:</w:t>
      </w:r>
    </w:p>
    <w:p w14:paraId="62405371" w14:textId="77777777" w:rsidR="00C40924" w:rsidRPr="00120424" w:rsidRDefault="00C40924" w:rsidP="00A4147F">
      <w:pPr>
        <w:spacing w:line="360" w:lineRule="auto"/>
        <w:jc w:val="both"/>
        <w:rPr>
          <w:rFonts w:ascii="Arial" w:hAnsi="Arial" w:cs="Arial"/>
        </w:rPr>
      </w:pPr>
    </w:p>
    <w:p w14:paraId="58CDF6B5" w14:textId="77777777" w:rsidR="00C40924" w:rsidRPr="00120424" w:rsidRDefault="00C40924" w:rsidP="00C40924">
      <w:pPr>
        <w:ind w:left="567" w:right="476"/>
        <w:jc w:val="both"/>
        <w:rPr>
          <w:rFonts w:ascii="Arial" w:hAnsi="Arial" w:cs="Arial"/>
          <w:i/>
        </w:rPr>
      </w:pPr>
      <w:r w:rsidRPr="00120424">
        <w:rPr>
          <w:rFonts w:ascii="Arial" w:hAnsi="Arial" w:cs="Arial"/>
          <w:i/>
        </w:rPr>
        <w:t xml:space="preserve">“Las providencias, conceptos o dictámenes del Consejo de Estado, o de sus salas y secciones, una vez acordados, deberán ser firmados por los </w:t>
      </w:r>
      <w:r w:rsidRPr="00120424">
        <w:rPr>
          <w:rFonts w:ascii="Arial" w:hAnsi="Arial" w:cs="Arial"/>
          <w:i/>
        </w:rPr>
        <w:lastRenderedPageBreak/>
        <w:t xml:space="preserve">miembros de la corporación que hubieren intervenido en su adopción, </w:t>
      </w:r>
      <w:r w:rsidRPr="00120424">
        <w:rPr>
          <w:rFonts w:ascii="Arial" w:hAnsi="Arial" w:cs="Arial"/>
          <w:b/>
          <w:i/>
        </w:rPr>
        <w:t xml:space="preserve">aun por los que hayan disentido </w:t>
      </w:r>
      <w:r w:rsidRPr="00120424">
        <w:rPr>
          <w:rFonts w:ascii="Arial" w:hAnsi="Arial" w:cs="Arial"/>
          <w:i/>
        </w:rPr>
        <w:t>(…).</w:t>
      </w:r>
    </w:p>
    <w:p w14:paraId="707E63BB" w14:textId="77777777" w:rsidR="00C40924" w:rsidRPr="00120424" w:rsidRDefault="00C40924" w:rsidP="00C40924">
      <w:pPr>
        <w:ind w:left="567" w:right="476"/>
        <w:jc w:val="both"/>
        <w:rPr>
          <w:rFonts w:ascii="Arial" w:hAnsi="Arial" w:cs="Arial"/>
          <w:i/>
        </w:rPr>
      </w:pPr>
    </w:p>
    <w:p w14:paraId="3BC4DEF1" w14:textId="77777777" w:rsidR="00C40924" w:rsidRPr="00120424" w:rsidRDefault="008A62EF" w:rsidP="00C40924">
      <w:pPr>
        <w:ind w:left="567" w:right="476"/>
        <w:jc w:val="both"/>
        <w:rPr>
          <w:rFonts w:ascii="Arial" w:hAnsi="Arial" w:cs="Arial"/>
          <w:i/>
        </w:rPr>
      </w:pPr>
      <w:r w:rsidRPr="00120424">
        <w:rPr>
          <w:rFonts w:ascii="Arial" w:hAnsi="Arial" w:cs="Arial"/>
          <w:i/>
        </w:rPr>
        <w:t>“</w:t>
      </w:r>
      <w:r w:rsidR="00C40924" w:rsidRPr="00120424">
        <w:rPr>
          <w:rFonts w:ascii="Arial" w:hAnsi="Arial" w:cs="Arial"/>
          <w:i/>
        </w:rPr>
        <w:t>Los consejeros discrepantes tendrán derecho a salvar el voto. Para este efecto, una vez firmada la providencia, concepto o dictamen, se pasará el expediente a cada uno de ellos, en orden alfabético, por el término de dos días…”.</w:t>
      </w:r>
    </w:p>
    <w:p w14:paraId="0AA98D82" w14:textId="77777777" w:rsidR="00C63AAF" w:rsidRPr="00120424" w:rsidRDefault="00C63AAF" w:rsidP="00A4147F">
      <w:pPr>
        <w:spacing w:line="360" w:lineRule="auto"/>
        <w:jc w:val="both"/>
        <w:rPr>
          <w:rFonts w:ascii="Arial" w:hAnsi="Arial" w:cs="Arial"/>
        </w:rPr>
      </w:pPr>
    </w:p>
    <w:p w14:paraId="25A6726B" w14:textId="77777777" w:rsidR="00C40924" w:rsidRPr="00120424" w:rsidRDefault="00C40924" w:rsidP="00A4147F">
      <w:pPr>
        <w:spacing w:line="360" w:lineRule="auto"/>
        <w:jc w:val="both"/>
        <w:rPr>
          <w:rFonts w:ascii="Arial" w:hAnsi="Arial" w:cs="Arial"/>
        </w:rPr>
      </w:pPr>
      <w:r w:rsidRPr="00120424">
        <w:rPr>
          <w:rFonts w:ascii="Arial" w:hAnsi="Arial" w:cs="Arial"/>
        </w:rPr>
        <w:t xml:space="preserve">Ya el Decreto 1265 de 1970 venía </w:t>
      </w:r>
      <w:r w:rsidR="000036A8" w:rsidRPr="00120424">
        <w:rPr>
          <w:rFonts w:ascii="Arial" w:hAnsi="Arial" w:cs="Arial"/>
        </w:rPr>
        <w:t>previendo</w:t>
      </w:r>
      <w:r w:rsidRPr="00120424">
        <w:rPr>
          <w:rFonts w:ascii="Arial" w:hAnsi="Arial" w:cs="Arial"/>
        </w:rPr>
        <w:t xml:space="preserve"> el salvamento de voto </w:t>
      </w:r>
      <w:r w:rsidR="000036A8" w:rsidRPr="00120424">
        <w:rPr>
          <w:rFonts w:ascii="Arial" w:hAnsi="Arial" w:cs="Arial"/>
        </w:rPr>
        <w:t>en términos más imperativos y perentorios, al indicar en el</w:t>
      </w:r>
      <w:r w:rsidRPr="00120424">
        <w:rPr>
          <w:rFonts w:ascii="Arial" w:hAnsi="Arial" w:cs="Arial"/>
        </w:rPr>
        <w:t xml:space="preserve"> artículo 11:</w:t>
      </w:r>
    </w:p>
    <w:p w14:paraId="7D804391" w14:textId="77777777" w:rsidR="008A62EF" w:rsidRPr="00120424" w:rsidRDefault="008A62EF" w:rsidP="00C40924">
      <w:pPr>
        <w:ind w:left="567" w:right="335"/>
        <w:jc w:val="both"/>
        <w:rPr>
          <w:rFonts w:ascii="Arial" w:hAnsi="Arial" w:cs="Arial"/>
          <w:i/>
        </w:rPr>
      </w:pPr>
    </w:p>
    <w:p w14:paraId="3CAD0391" w14:textId="77777777" w:rsidR="00C40924" w:rsidRPr="00120424" w:rsidRDefault="00C40924" w:rsidP="00C40924">
      <w:pPr>
        <w:ind w:left="567" w:right="335"/>
        <w:jc w:val="both"/>
        <w:rPr>
          <w:rFonts w:ascii="Arial" w:hAnsi="Arial" w:cs="Arial"/>
          <w:i/>
        </w:rPr>
      </w:pPr>
      <w:r w:rsidRPr="00120424">
        <w:rPr>
          <w:rFonts w:ascii="Arial" w:hAnsi="Arial" w:cs="Arial"/>
          <w:i/>
        </w:rPr>
        <w:t xml:space="preserve">“Las providencias que profieran las salas requieren mayoría absoluta de votos y serán suscritas por todos los Magistrados y Conjueces que concurran a dictarlas, aun por aquellos que hayan disentido. </w:t>
      </w:r>
      <w:r w:rsidRPr="00120424">
        <w:rPr>
          <w:rFonts w:ascii="Arial" w:hAnsi="Arial" w:cs="Arial"/>
          <w:b/>
          <w:i/>
        </w:rPr>
        <w:t>El disidente deberá salvar su voto</w:t>
      </w:r>
      <w:r w:rsidRPr="00120424">
        <w:rPr>
          <w:rFonts w:ascii="Arial" w:hAnsi="Arial" w:cs="Arial"/>
          <w:i/>
        </w:rPr>
        <w:t xml:space="preserve"> dentro de los dos días siguientes a la fecha de la providencia, pero su retardo no impide la notificación de esta y la prosecución del trámite”.</w:t>
      </w:r>
    </w:p>
    <w:p w14:paraId="546EAF1C" w14:textId="77777777" w:rsidR="00C40924" w:rsidRPr="00120424" w:rsidRDefault="00C40924" w:rsidP="00F25274">
      <w:pPr>
        <w:spacing w:line="360" w:lineRule="auto"/>
        <w:ind w:left="567" w:right="335"/>
        <w:jc w:val="both"/>
        <w:rPr>
          <w:rFonts w:ascii="Arial" w:hAnsi="Arial" w:cs="Arial"/>
          <w:i/>
        </w:rPr>
      </w:pPr>
    </w:p>
    <w:p w14:paraId="3540B26B" w14:textId="77777777" w:rsidR="00FD3D35" w:rsidRPr="00120424" w:rsidRDefault="00FD3D35" w:rsidP="00A4147F">
      <w:pPr>
        <w:spacing w:line="360" w:lineRule="auto"/>
        <w:jc w:val="both"/>
        <w:rPr>
          <w:rFonts w:ascii="Arial" w:hAnsi="Arial" w:cs="Arial"/>
        </w:rPr>
      </w:pPr>
      <w:r w:rsidRPr="00120424">
        <w:rPr>
          <w:rFonts w:ascii="Arial" w:hAnsi="Arial" w:cs="Arial"/>
        </w:rPr>
        <w:t>Pues bien, de conformidad con el artículo 120 del C.C.A., los artículos 102 y 103 de ese mismo estatuto les son aplicables a los Tribunales Administrativos, corporaciones que</w:t>
      </w:r>
      <w:r w:rsidR="00F25274" w:rsidRPr="00120424">
        <w:rPr>
          <w:rFonts w:ascii="Arial" w:hAnsi="Arial" w:cs="Arial"/>
        </w:rPr>
        <w:t>,</w:t>
      </w:r>
      <w:r w:rsidRPr="00120424">
        <w:rPr>
          <w:rFonts w:ascii="Arial" w:hAnsi="Arial" w:cs="Arial"/>
        </w:rPr>
        <w:t xml:space="preserve"> según el artículo 106 </w:t>
      </w:r>
      <w:r w:rsidRPr="00120424">
        <w:rPr>
          <w:rFonts w:ascii="Arial" w:hAnsi="Arial" w:cs="Arial"/>
          <w:i/>
        </w:rPr>
        <w:t>ejusdem,</w:t>
      </w:r>
      <w:r w:rsidRPr="00120424">
        <w:rPr>
          <w:rFonts w:ascii="Arial" w:hAnsi="Arial" w:cs="Arial"/>
        </w:rPr>
        <w:t xml:space="preserve"> ejercen sus funciones </w:t>
      </w:r>
      <w:r w:rsidRPr="00120424">
        <w:rPr>
          <w:rFonts w:ascii="Arial" w:hAnsi="Arial" w:cs="Arial"/>
          <w:i/>
        </w:rPr>
        <w:t xml:space="preserve">“por conducto de la Sala Plena (…), por la Sala de Gobierno, por las Salas especializadas y </w:t>
      </w:r>
      <w:r w:rsidRPr="00120424">
        <w:rPr>
          <w:rFonts w:ascii="Arial" w:hAnsi="Arial" w:cs="Arial"/>
          <w:b/>
          <w:i/>
        </w:rPr>
        <w:t xml:space="preserve">por las demás Salas de Decisión </w:t>
      </w:r>
      <w:r w:rsidRPr="00120424">
        <w:rPr>
          <w:rFonts w:ascii="Arial" w:hAnsi="Arial" w:cs="Arial"/>
          <w:b/>
          <w:i/>
          <w:u w:val="single"/>
        </w:rPr>
        <w:t>plurales e impares</w:t>
      </w:r>
      <w:r w:rsidRPr="00120424">
        <w:rPr>
          <w:rFonts w:ascii="Arial" w:hAnsi="Arial" w:cs="Arial"/>
          <w:i/>
        </w:rPr>
        <w:t>, de acuerdo con la ley”.</w:t>
      </w:r>
      <w:r w:rsidR="00F25274" w:rsidRPr="00120424">
        <w:rPr>
          <w:rFonts w:ascii="Arial" w:hAnsi="Arial" w:cs="Arial"/>
        </w:rPr>
        <w:t xml:space="preserve"> Por tanto, toda sentencia dictada por los Tribunales Administrativos también deberá contar con el voto de la mayoría absoluta de los miembros de la Sala que la haya proferido.</w:t>
      </w:r>
    </w:p>
    <w:p w14:paraId="0E098645" w14:textId="77777777" w:rsidR="00F25274" w:rsidRPr="00120424" w:rsidRDefault="00F25274" w:rsidP="00A4147F">
      <w:pPr>
        <w:spacing w:line="360" w:lineRule="auto"/>
        <w:jc w:val="both"/>
        <w:rPr>
          <w:rFonts w:ascii="Arial" w:hAnsi="Arial" w:cs="Arial"/>
        </w:rPr>
      </w:pPr>
    </w:p>
    <w:p w14:paraId="1E70BEEA" w14:textId="77777777" w:rsidR="00F25274" w:rsidRPr="00120424" w:rsidRDefault="00F25274" w:rsidP="00A4147F">
      <w:pPr>
        <w:spacing w:line="360" w:lineRule="auto"/>
        <w:jc w:val="both"/>
        <w:rPr>
          <w:rFonts w:ascii="Arial" w:hAnsi="Arial" w:cs="Arial"/>
        </w:rPr>
      </w:pPr>
      <w:r w:rsidRPr="00120424">
        <w:rPr>
          <w:rFonts w:ascii="Arial" w:hAnsi="Arial" w:cs="Arial"/>
        </w:rPr>
        <w:t xml:space="preserve">Las mencionadas reglas de mayoría que el ordenamiento procesal impone </w:t>
      </w:r>
      <w:r w:rsidR="005121DF" w:rsidRPr="00120424">
        <w:rPr>
          <w:rFonts w:ascii="Arial" w:hAnsi="Arial" w:cs="Arial"/>
        </w:rPr>
        <w:t xml:space="preserve">a </w:t>
      </w:r>
      <w:r w:rsidRPr="00120424">
        <w:rPr>
          <w:rFonts w:ascii="Arial" w:hAnsi="Arial" w:cs="Arial"/>
        </w:rPr>
        <w:t>los fallos dictados po</w:t>
      </w:r>
      <w:r w:rsidR="005121DF" w:rsidRPr="00120424">
        <w:rPr>
          <w:rFonts w:ascii="Arial" w:hAnsi="Arial" w:cs="Arial"/>
        </w:rPr>
        <w:t>r las corporaciones judiciales se orientan a salvaguardar el debido proceso, en la medida en que garantizan, entre otras cosas, la competencia funcional de los jueces que deben proferir tales decisiones.</w:t>
      </w:r>
    </w:p>
    <w:p w14:paraId="6658D32C" w14:textId="77777777" w:rsidR="005121DF" w:rsidRPr="00120424" w:rsidRDefault="005121DF" w:rsidP="00A4147F">
      <w:pPr>
        <w:spacing w:line="360" w:lineRule="auto"/>
        <w:jc w:val="both"/>
        <w:rPr>
          <w:rFonts w:ascii="Arial" w:hAnsi="Arial" w:cs="Arial"/>
        </w:rPr>
      </w:pPr>
    </w:p>
    <w:p w14:paraId="78AA39B7" w14:textId="77777777" w:rsidR="005121DF" w:rsidRPr="00120424" w:rsidRDefault="00C3577B" w:rsidP="00A4147F">
      <w:pPr>
        <w:spacing w:line="360" w:lineRule="auto"/>
        <w:jc w:val="both"/>
        <w:rPr>
          <w:rFonts w:ascii="Arial" w:hAnsi="Arial" w:cs="Arial"/>
        </w:rPr>
      </w:pPr>
      <w:r w:rsidRPr="00120424">
        <w:rPr>
          <w:rFonts w:ascii="Arial" w:hAnsi="Arial" w:cs="Arial"/>
        </w:rPr>
        <w:t xml:space="preserve">El factor funcional de la competencia es aquel que atiende al criterio jerárquico y a la regla de la doble instancia en la distribución de los asuntos que deben conocer los jueces de acuerdo al grado o categoría a la que pertenezcan. La Corte Suprema de Justicia ha </w:t>
      </w:r>
      <w:r w:rsidR="00DD5862" w:rsidRPr="00120424">
        <w:rPr>
          <w:rFonts w:ascii="Arial" w:hAnsi="Arial" w:cs="Arial"/>
        </w:rPr>
        <w:t>expuesto</w:t>
      </w:r>
      <w:r w:rsidRPr="00120424">
        <w:rPr>
          <w:rFonts w:ascii="Arial" w:hAnsi="Arial" w:cs="Arial"/>
        </w:rPr>
        <w:t xml:space="preserve"> sobre el particular:</w:t>
      </w:r>
    </w:p>
    <w:p w14:paraId="35750F8D" w14:textId="77777777" w:rsidR="00FD3D35" w:rsidRPr="00120424" w:rsidRDefault="00FD3D35" w:rsidP="00A4147F">
      <w:pPr>
        <w:spacing w:line="360" w:lineRule="auto"/>
        <w:jc w:val="both"/>
        <w:rPr>
          <w:rFonts w:ascii="Arial" w:hAnsi="Arial" w:cs="Arial"/>
        </w:rPr>
      </w:pPr>
    </w:p>
    <w:p w14:paraId="66E2679E" w14:textId="77777777" w:rsidR="00C3577B" w:rsidRPr="00120424" w:rsidRDefault="00DD5862" w:rsidP="00DD5862">
      <w:pPr>
        <w:widowControl w:val="0"/>
        <w:ind w:left="705" w:right="618"/>
        <w:jc w:val="both"/>
        <w:rPr>
          <w:rFonts w:ascii="Arial" w:hAnsi="Arial" w:cs="Arial"/>
        </w:rPr>
      </w:pPr>
      <w:r w:rsidRPr="00120424">
        <w:rPr>
          <w:rFonts w:ascii="Arial" w:hAnsi="Arial" w:cs="Arial"/>
          <w:i/>
        </w:rPr>
        <w:t xml:space="preserve">“… para la distribución de la competencia entre los distintos funcionarios judiciales, deben tenerse en cuenta ciertos criterios que en el derecho procesal se conocen como factores determinantes de competencia, uno de los cuales es el funcional, </w:t>
      </w:r>
      <w:r w:rsidR="00C3577B" w:rsidRPr="00120424">
        <w:rPr>
          <w:rFonts w:ascii="Arial" w:hAnsi="Arial" w:cs="Arial"/>
          <w:b/>
          <w:i/>
        </w:rPr>
        <w:t>referido al repartimiento vertical o por grado de la competencia, en consideración a estadios procesales</w:t>
      </w:r>
      <w:r w:rsidR="00C3577B" w:rsidRPr="00120424">
        <w:rPr>
          <w:rFonts w:ascii="Arial" w:hAnsi="Arial" w:cs="Arial"/>
          <w:i/>
        </w:rPr>
        <w:t xml:space="preserve">. Sin duda alguna, la noción distintiva entre jueces a quo y ad quem, nace de la aplicación de este </w:t>
      </w:r>
      <w:r w:rsidR="00C3577B" w:rsidRPr="00120424">
        <w:rPr>
          <w:rFonts w:ascii="Arial" w:hAnsi="Arial" w:cs="Arial"/>
          <w:i/>
        </w:rPr>
        <w:lastRenderedPageBreak/>
        <w:t xml:space="preserve">criterio distributivo, porque entre uno de sus roles está, precisamente, el de </w:t>
      </w:r>
      <w:r w:rsidR="00C3577B" w:rsidRPr="00120424">
        <w:rPr>
          <w:rFonts w:ascii="Arial" w:hAnsi="Arial" w:cs="Arial"/>
          <w:b/>
          <w:i/>
        </w:rPr>
        <w:t xml:space="preserve">poner en vigencia el principio constitucional de la doble instancia, </w:t>
      </w:r>
      <w:r w:rsidR="00C3577B" w:rsidRPr="00120424">
        <w:rPr>
          <w:rFonts w:ascii="Arial" w:hAnsi="Arial" w:cs="Arial"/>
          <w:i/>
        </w:rPr>
        <w:t>según el cual al superior jerárquico funcional le corresponde conocer, entre otros, del recurso de apelación interpuesto contra las providencias dictadas por sus inferiores…</w:t>
      </w:r>
      <w:r w:rsidRPr="00120424">
        <w:rPr>
          <w:rFonts w:ascii="Arial" w:hAnsi="Arial" w:cs="Arial"/>
          <w:i/>
        </w:rPr>
        <w:t>”</w:t>
      </w:r>
      <w:r w:rsidRPr="00120424">
        <w:rPr>
          <w:rStyle w:val="Refdenotaalpie"/>
          <w:rFonts w:ascii="Arial" w:hAnsi="Arial" w:cs="Arial"/>
          <w:i/>
        </w:rPr>
        <w:footnoteReference w:id="12"/>
      </w:r>
      <w:r w:rsidRPr="00120424">
        <w:rPr>
          <w:rFonts w:ascii="Arial" w:hAnsi="Arial" w:cs="Arial"/>
        </w:rPr>
        <w:t xml:space="preserve"> (énfasis fuera de texto).</w:t>
      </w:r>
    </w:p>
    <w:p w14:paraId="16ADF89C" w14:textId="77777777" w:rsidR="00FD3D35" w:rsidRPr="00120424" w:rsidRDefault="00FD3D35" w:rsidP="00A4147F">
      <w:pPr>
        <w:spacing w:line="360" w:lineRule="auto"/>
        <w:jc w:val="both"/>
        <w:rPr>
          <w:rFonts w:ascii="Arial" w:hAnsi="Arial" w:cs="Arial"/>
        </w:rPr>
      </w:pPr>
    </w:p>
    <w:p w14:paraId="2B2734D7" w14:textId="77777777" w:rsidR="00DD5862" w:rsidRPr="00120424" w:rsidRDefault="00DD5862" w:rsidP="00A4147F">
      <w:pPr>
        <w:spacing w:line="360" w:lineRule="auto"/>
        <w:jc w:val="both"/>
        <w:rPr>
          <w:rFonts w:ascii="Arial" w:hAnsi="Arial" w:cs="Arial"/>
        </w:rPr>
      </w:pPr>
      <w:r w:rsidRPr="00120424">
        <w:rPr>
          <w:rFonts w:ascii="Arial" w:hAnsi="Arial" w:cs="Arial"/>
        </w:rPr>
        <w:t>Bajo esta óptica, el tratadista López Blanco ha explicado:</w:t>
      </w:r>
    </w:p>
    <w:p w14:paraId="1A22F07A" w14:textId="77777777" w:rsidR="00DD55D2" w:rsidRPr="00120424" w:rsidRDefault="00DD55D2" w:rsidP="00DD5862">
      <w:pPr>
        <w:ind w:left="567" w:right="335"/>
        <w:jc w:val="both"/>
        <w:rPr>
          <w:rFonts w:ascii="Arial" w:hAnsi="Arial" w:cs="Arial"/>
          <w:i/>
        </w:rPr>
      </w:pPr>
    </w:p>
    <w:p w14:paraId="49704007" w14:textId="77777777" w:rsidR="00DD5862" w:rsidRPr="00120424" w:rsidRDefault="00DD5862" w:rsidP="00DD5862">
      <w:pPr>
        <w:ind w:left="567" w:right="335"/>
        <w:jc w:val="both"/>
        <w:rPr>
          <w:rFonts w:ascii="Arial" w:hAnsi="Arial" w:cs="Arial"/>
          <w:i/>
        </w:rPr>
      </w:pPr>
      <w:r w:rsidRPr="00120424">
        <w:rPr>
          <w:rFonts w:ascii="Arial" w:hAnsi="Arial" w:cs="Arial"/>
          <w:i/>
        </w:rPr>
        <w:t>“… cuando la ley dispone que un funcionario judicial debe conocer de un proceso en determinada oportunidad, en primera instancia, ora en segunda, bien en única instancia (…), está asignando la competencia en virtud del factor funcional y es por eso que todo artículo que señala competencia, acude al mismo…”</w:t>
      </w:r>
      <w:r w:rsidRPr="00120424">
        <w:rPr>
          <w:rStyle w:val="Refdenotaalpie"/>
          <w:rFonts w:ascii="Arial" w:hAnsi="Arial" w:cs="Arial"/>
          <w:i/>
        </w:rPr>
        <w:footnoteReference w:id="13"/>
      </w:r>
      <w:r w:rsidRPr="00120424">
        <w:rPr>
          <w:rFonts w:ascii="Arial" w:hAnsi="Arial" w:cs="Arial"/>
          <w:i/>
        </w:rPr>
        <w:t>.</w:t>
      </w:r>
    </w:p>
    <w:p w14:paraId="72551FDC" w14:textId="77777777" w:rsidR="00A4147F" w:rsidRPr="00120424" w:rsidRDefault="00A4147F" w:rsidP="00A4147F">
      <w:pPr>
        <w:spacing w:line="360" w:lineRule="auto"/>
        <w:jc w:val="both"/>
        <w:rPr>
          <w:rFonts w:ascii="Arial" w:eastAsia="Calibri" w:hAnsi="Arial" w:cs="Arial"/>
          <w:color w:val="000000"/>
          <w:lang w:val="es-ES_tradnl"/>
        </w:rPr>
      </w:pPr>
    </w:p>
    <w:p w14:paraId="46B43A86" w14:textId="77777777" w:rsidR="00A4147F" w:rsidRPr="00120424" w:rsidRDefault="00717EAE" w:rsidP="00A4147F">
      <w:pPr>
        <w:overflowPunct w:val="0"/>
        <w:autoSpaceDE w:val="0"/>
        <w:autoSpaceDN w:val="0"/>
        <w:adjustRightInd w:val="0"/>
        <w:spacing w:line="360" w:lineRule="auto"/>
        <w:jc w:val="both"/>
        <w:textAlignment w:val="baseline"/>
        <w:rPr>
          <w:rFonts w:ascii="Arial" w:eastAsia="Calibri" w:hAnsi="Arial" w:cs="Arial"/>
        </w:rPr>
      </w:pPr>
      <w:r w:rsidRPr="00120424">
        <w:rPr>
          <w:rFonts w:ascii="Arial" w:eastAsia="Calibri" w:hAnsi="Arial" w:cs="Arial"/>
        </w:rPr>
        <w:t xml:space="preserve">En ese sentido, y en lo que respecta a la jurisdicción de lo contencioso administrativo, </w:t>
      </w:r>
      <w:r w:rsidR="00C74EA2" w:rsidRPr="00120424">
        <w:rPr>
          <w:rFonts w:ascii="Arial" w:eastAsia="Calibri" w:hAnsi="Arial" w:cs="Arial"/>
        </w:rPr>
        <w:t xml:space="preserve">al enunciar los artículos 131, 132 y 133 del C.C.A. los asuntos o procesos que deben conocer los Tribunales Administrativos en única, primera y segunda instancia, </w:t>
      </w:r>
      <w:r w:rsidR="00176462" w:rsidRPr="00120424">
        <w:rPr>
          <w:rFonts w:ascii="Arial" w:eastAsia="Calibri" w:hAnsi="Arial" w:cs="Arial"/>
        </w:rPr>
        <w:t xml:space="preserve">le están asignando a dichas corporaciones determinadas competencias por el </w:t>
      </w:r>
      <w:r w:rsidR="00176462" w:rsidRPr="00120424">
        <w:rPr>
          <w:rFonts w:ascii="Arial" w:eastAsia="Calibri" w:hAnsi="Arial" w:cs="Arial"/>
          <w:i/>
        </w:rPr>
        <w:t>factor funcional.</w:t>
      </w:r>
      <w:r w:rsidR="00176462" w:rsidRPr="00120424">
        <w:rPr>
          <w:rFonts w:ascii="Arial" w:eastAsia="Calibri" w:hAnsi="Arial" w:cs="Arial"/>
        </w:rPr>
        <w:t xml:space="preserve"> </w:t>
      </w:r>
    </w:p>
    <w:p w14:paraId="0B360D69" w14:textId="77777777" w:rsidR="00176462" w:rsidRPr="00120424" w:rsidRDefault="00176462" w:rsidP="00A4147F">
      <w:pPr>
        <w:overflowPunct w:val="0"/>
        <w:autoSpaceDE w:val="0"/>
        <w:autoSpaceDN w:val="0"/>
        <w:adjustRightInd w:val="0"/>
        <w:spacing w:line="360" w:lineRule="auto"/>
        <w:jc w:val="both"/>
        <w:textAlignment w:val="baseline"/>
        <w:rPr>
          <w:rFonts w:ascii="Arial" w:eastAsia="Calibri" w:hAnsi="Arial" w:cs="Arial"/>
        </w:rPr>
      </w:pPr>
    </w:p>
    <w:p w14:paraId="33AD29BF" w14:textId="77777777" w:rsidR="00176462" w:rsidRPr="00120424" w:rsidRDefault="00176462" w:rsidP="00A4147F">
      <w:pPr>
        <w:overflowPunct w:val="0"/>
        <w:autoSpaceDE w:val="0"/>
        <w:autoSpaceDN w:val="0"/>
        <w:adjustRightInd w:val="0"/>
        <w:spacing w:line="360" w:lineRule="auto"/>
        <w:jc w:val="both"/>
        <w:textAlignment w:val="baseline"/>
        <w:rPr>
          <w:rFonts w:ascii="Arial" w:eastAsia="Calibri" w:hAnsi="Arial" w:cs="Arial"/>
        </w:rPr>
      </w:pPr>
      <w:r w:rsidRPr="00120424">
        <w:rPr>
          <w:rFonts w:ascii="Arial" w:eastAsia="Calibri" w:hAnsi="Arial" w:cs="Arial"/>
        </w:rPr>
        <w:t>Como consecuencia, al decidir los Tribunales Administrativos tales asuntos en la instancia correspondiente y a trav</w:t>
      </w:r>
      <w:r w:rsidR="0043616F" w:rsidRPr="00120424">
        <w:rPr>
          <w:rFonts w:ascii="Arial" w:eastAsia="Calibri" w:hAnsi="Arial" w:cs="Arial"/>
        </w:rPr>
        <w:t>és de sentencia, deben expedir dicha providencia bajo las reglas de mayoría decisoria, previstas en las</w:t>
      </w:r>
      <w:r w:rsidR="00674AD1" w:rsidRPr="00120424">
        <w:rPr>
          <w:rFonts w:ascii="Arial" w:eastAsia="Calibri" w:hAnsi="Arial" w:cs="Arial"/>
        </w:rPr>
        <w:t xml:space="preserve"> normas anteriormente referidas, lo cual implica, como ya se anotó, </w:t>
      </w:r>
      <w:r w:rsidR="00903734" w:rsidRPr="00120424">
        <w:rPr>
          <w:rFonts w:ascii="Arial" w:eastAsia="Calibri" w:hAnsi="Arial" w:cs="Arial"/>
        </w:rPr>
        <w:t xml:space="preserve">que las resoluciones contenidas en el fallo hayan sido aprobadas </w:t>
      </w:r>
      <w:r w:rsidR="00DF585E" w:rsidRPr="00120424">
        <w:rPr>
          <w:rFonts w:ascii="Arial" w:eastAsia="Calibri" w:hAnsi="Arial" w:cs="Arial"/>
        </w:rPr>
        <w:t>y</w:t>
      </w:r>
      <w:r w:rsidR="00903734" w:rsidRPr="00120424">
        <w:rPr>
          <w:rFonts w:ascii="Arial" w:eastAsia="Calibri" w:hAnsi="Arial" w:cs="Arial"/>
        </w:rPr>
        <w:t xml:space="preserve"> acogidas por la mayoría absoluta de los</w:t>
      </w:r>
      <w:r w:rsidR="007D3EE4" w:rsidRPr="00120424">
        <w:rPr>
          <w:rFonts w:ascii="Arial" w:eastAsia="Calibri" w:hAnsi="Arial" w:cs="Arial"/>
        </w:rPr>
        <w:t xml:space="preserve"> miembros de la respectiva Sala</w:t>
      </w:r>
      <w:r w:rsidR="00903734" w:rsidRPr="00120424">
        <w:rPr>
          <w:rFonts w:ascii="Arial" w:eastAsia="Calibri" w:hAnsi="Arial" w:cs="Arial"/>
        </w:rPr>
        <w:t xml:space="preserve"> y que</w:t>
      </w:r>
      <w:r w:rsidR="007D3EE4" w:rsidRPr="00120424">
        <w:rPr>
          <w:rFonts w:ascii="Arial" w:eastAsia="Calibri" w:hAnsi="Arial" w:cs="Arial"/>
        </w:rPr>
        <w:t xml:space="preserve">, </w:t>
      </w:r>
      <w:r w:rsidR="00903734" w:rsidRPr="00120424">
        <w:rPr>
          <w:rFonts w:ascii="Arial" w:eastAsia="Calibri" w:hAnsi="Arial" w:cs="Arial"/>
        </w:rPr>
        <w:t xml:space="preserve">de no lograrse tal margen de acuerdo, </w:t>
      </w:r>
      <w:r w:rsidR="00DF585E" w:rsidRPr="00120424">
        <w:rPr>
          <w:rFonts w:ascii="Arial" w:eastAsia="Calibri" w:hAnsi="Arial" w:cs="Arial"/>
        </w:rPr>
        <w:t>se deba repetir la votación o procederse a la designación de conjueces.</w:t>
      </w:r>
      <w:r w:rsidR="00903734" w:rsidRPr="00120424">
        <w:rPr>
          <w:rFonts w:ascii="Arial" w:eastAsia="Calibri" w:hAnsi="Arial" w:cs="Arial"/>
        </w:rPr>
        <w:t xml:space="preserve"> </w:t>
      </w:r>
    </w:p>
    <w:p w14:paraId="15274B7F" w14:textId="77777777" w:rsidR="00DF585E" w:rsidRPr="00120424" w:rsidRDefault="00DF585E" w:rsidP="00A4147F">
      <w:pPr>
        <w:overflowPunct w:val="0"/>
        <w:autoSpaceDE w:val="0"/>
        <w:autoSpaceDN w:val="0"/>
        <w:adjustRightInd w:val="0"/>
        <w:spacing w:line="360" w:lineRule="auto"/>
        <w:jc w:val="both"/>
        <w:textAlignment w:val="baseline"/>
        <w:rPr>
          <w:rFonts w:ascii="Arial" w:eastAsia="Calibri" w:hAnsi="Arial" w:cs="Arial"/>
        </w:rPr>
      </w:pPr>
    </w:p>
    <w:p w14:paraId="1F880913" w14:textId="77777777" w:rsidR="00DF585E" w:rsidRPr="00120424" w:rsidRDefault="00DF585E" w:rsidP="00A4147F">
      <w:pPr>
        <w:overflowPunct w:val="0"/>
        <w:autoSpaceDE w:val="0"/>
        <w:autoSpaceDN w:val="0"/>
        <w:adjustRightInd w:val="0"/>
        <w:spacing w:line="360" w:lineRule="auto"/>
        <w:jc w:val="both"/>
        <w:textAlignment w:val="baseline"/>
        <w:rPr>
          <w:rFonts w:ascii="Arial" w:eastAsia="Calibri" w:hAnsi="Arial" w:cs="Arial"/>
          <w:i/>
        </w:rPr>
      </w:pPr>
      <w:r w:rsidRPr="00120424">
        <w:rPr>
          <w:rFonts w:ascii="Arial" w:eastAsia="Calibri" w:hAnsi="Arial" w:cs="Arial"/>
        </w:rPr>
        <w:t xml:space="preserve">En ese orden de ideas, la inobservancia de los mencionados requisitos </w:t>
      </w:r>
      <w:r w:rsidR="0035727E" w:rsidRPr="00120424">
        <w:rPr>
          <w:rFonts w:ascii="Arial" w:eastAsia="Calibri" w:hAnsi="Arial" w:cs="Arial"/>
        </w:rPr>
        <w:t xml:space="preserve">acarrea la nulidad de la </w:t>
      </w:r>
      <w:r w:rsidR="007420F0" w:rsidRPr="00120424">
        <w:rPr>
          <w:rFonts w:ascii="Arial" w:eastAsia="Calibri" w:hAnsi="Arial" w:cs="Arial"/>
        </w:rPr>
        <w:t>sentencia</w:t>
      </w:r>
      <w:r w:rsidR="0035727E" w:rsidRPr="00120424">
        <w:rPr>
          <w:rFonts w:ascii="Arial" w:eastAsia="Calibri" w:hAnsi="Arial" w:cs="Arial"/>
        </w:rPr>
        <w:t xml:space="preserve"> por </w:t>
      </w:r>
      <w:r w:rsidR="0035727E" w:rsidRPr="00120424">
        <w:rPr>
          <w:rFonts w:ascii="Arial" w:eastAsia="Calibri" w:hAnsi="Arial" w:cs="Arial"/>
          <w:i/>
        </w:rPr>
        <w:t>falta de competencia,</w:t>
      </w:r>
      <w:r w:rsidR="0035727E" w:rsidRPr="00120424">
        <w:rPr>
          <w:rFonts w:ascii="Arial" w:eastAsia="Calibri" w:hAnsi="Arial" w:cs="Arial"/>
        </w:rPr>
        <w:t xml:space="preserve"> causal </w:t>
      </w:r>
      <w:r w:rsidR="007420F0" w:rsidRPr="00120424">
        <w:rPr>
          <w:rFonts w:ascii="Arial" w:eastAsia="Calibri" w:hAnsi="Arial" w:cs="Arial"/>
        </w:rPr>
        <w:t>prevista en el artículo 140 – numeral 2 del Código de Procedimiento Civil</w:t>
      </w:r>
      <w:r w:rsidR="007326E9" w:rsidRPr="00120424">
        <w:rPr>
          <w:rStyle w:val="Refdenotaalpie"/>
          <w:rFonts w:ascii="Arial" w:eastAsia="Calibri" w:hAnsi="Arial" w:cs="Arial"/>
        </w:rPr>
        <w:footnoteReference w:id="14"/>
      </w:r>
      <w:r w:rsidR="007420F0" w:rsidRPr="00120424">
        <w:rPr>
          <w:rFonts w:ascii="Arial" w:eastAsia="Calibri" w:hAnsi="Arial" w:cs="Arial"/>
        </w:rPr>
        <w:t xml:space="preserve"> y que, de acuerdo </w:t>
      </w:r>
      <w:r w:rsidR="00A11E9D" w:rsidRPr="00120424">
        <w:rPr>
          <w:rFonts w:ascii="Arial" w:eastAsia="Calibri" w:hAnsi="Arial" w:cs="Arial"/>
        </w:rPr>
        <w:t>con</w:t>
      </w:r>
      <w:r w:rsidR="007420F0" w:rsidRPr="00120424">
        <w:rPr>
          <w:rFonts w:ascii="Arial" w:eastAsia="Calibri" w:hAnsi="Arial" w:cs="Arial"/>
        </w:rPr>
        <w:t xml:space="preserve"> lo previsto en el artículo 144 del mismo estatuto, es insaneable cuando el factor de competencia afectado con el vicio es precisamente el </w:t>
      </w:r>
      <w:r w:rsidR="007420F0" w:rsidRPr="00120424">
        <w:rPr>
          <w:rFonts w:ascii="Arial" w:eastAsia="Calibri" w:hAnsi="Arial" w:cs="Arial"/>
          <w:i/>
        </w:rPr>
        <w:t>funcional</w:t>
      </w:r>
      <w:r w:rsidR="007326E9" w:rsidRPr="00120424">
        <w:rPr>
          <w:rStyle w:val="Refdenotaalpie"/>
          <w:rFonts w:ascii="Arial" w:eastAsia="Calibri" w:hAnsi="Arial" w:cs="Arial"/>
          <w:i/>
        </w:rPr>
        <w:footnoteReference w:id="15"/>
      </w:r>
      <w:r w:rsidR="007420F0" w:rsidRPr="00120424">
        <w:rPr>
          <w:rFonts w:ascii="Arial" w:eastAsia="Calibri" w:hAnsi="Arial" w:cs="Arial"/>
          <w:i/>
        </w:rPr>
        <w:t>.</w:t>
      </w:r>
    </w:p>
    <w:p w14:paraId="40D0F1BF" w14:textId="77777777" w:rsidR="00176462" w:rsidRPr="00120424" w:rsidRDefault="00176462" w:rsidP="00A4147F">
      <w:pPr>
        <w:overflowPunct w:val="0"/>
        <w:autoSpaceDE w:val="0"/>
        <w:autoSpaceDN w:val="0"/>
        <w:adjustRightInd w:val="0"/>
        <w:spacing w:line="360" w:lineRule="auto"/>
        <w:jc w:val="both"/>
        <w:textAlignment w:val="baseline"/>
        <w:rPr>
          <w:rFonts w:ascii="Arial" w:eastAsia="Calibri" w:hAnsi="Arial" w:cs="Arial"/>
        </w:rPr>
      </w:pPr>
    </w:p>
    <w:p w14:paraId="2AD7100B" w14:textId="77777777" w:rsidR="00A4147F" w:rsidRPr="00120424" w:rsidRDefault="00A4147F" w:rsidP="00A4147F">
      <w:pPr>
        <w:overflowPunct w:val="0"/>
        <w:autoSpaceDE w:val="0"/>
        <w:autoSpaceDN w:val="0"/>
        <w:adjustRightInd w:val="0"/>
        <w:spacing w:line="360" w:lineRule="auto"/>
        <w:jc w:val="both"/>
        <w:textAlignment w:val="baseline"/>
        <w:rPr>
          <w:rFonts w:ascii="Arial" w:eastAsia="Calibri" w:hAnsi="Arial" w:cs="Arial"/>
          <w:b/>
        </w:rPr>
      </w:pPr>
      <w:r w:rsidRPr="00120424">
        <w:rPr>
          <w:rFonts w:ascii="Arial" w:eastAsia="Calibri" w:hAnsi="Arial" w:cs="Arial"/>
          <w:b/>
        </w:rPr>
        <w:t>4. Caso concreto</w:t>
      </w:r>
    </w:p>
    <w:p w14:paraId="178F3FCE" w14:textId="77777777" w:rsidR="00A4147F" w:rsidRPr="00120424" w:rsidRDefault="00A4147F"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6D8F7216" w14:textId="77777777" w:rsidR="009B65A2" w:rsidRPr="00120424" w:rsidRDefault="000A42B0"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Como se señaló en la exposición de los antecedentes, </w:t>
      </w:r>
      <w:r w:rsidR="001B7AC6" w:rsidRPr="00120424">
        <w:rPr>
          <w:rFonts w:ascii="Arial" w:eastAsia="Calibri" w:hAnsi="Arial" w:cs="Arial"/>
          <w:lang w:val="es-ES_tradnl"/>
        </w:rPr>
        <w:t xml:space="preserve">la sentencia </w:t>
      </w:r>
      <w:r w:rsidR="00050DC9" w:rsidRPr="00120424">
        <w:rPr>
          <w:rFonts w:ascii="Arial" w:eastAsia="Calibri" w:hAnsi="Arial" w:cs="Arial"/>
          <w:lang w:val="es-ES_tradnl"/>
        </w:rPr>
        <w:t xml:space="preserve">contra la cual se interpuso el recurso de apelación </w:t>
      </w:r>
      <w:r w:rsidR="009B65A2" w:rsidRPr="00120424">
        <w:rPr>
          <w:rFonts w:ascii="Arial" w:eastAsia="Calibri" w:hAnsi="Arial" w:cs="Arial"/>
          <w:lang w:val="es-ES_tradnl"/>
        </w:rPr>
        <w:t xml:space="preserve">en el presente proceso fue proferida por el Tribunal Administrativo de Cundinamarca – Sección Tercera – Subsección B, el 3 de noviembre de 2004, con la firma de los tres magistrados integrantes de dicha Sala, dos de los cuales </w:t>
      </w:r>
      <w:r w:rsidR="00162D25" w:rsidRPr="00120424">
        <w:rPr>
          <w:rFonts w:ascii="Arial" w:eastAsia="Calibri" w:hAnsi="Arial" w:cs="Arial"/>
          <w:lang w:val="es-ES_tradnl"/>
        </w:rPr>
        <w:t>manifestaron</w:t>
      </w:r>
      <w:r w:rsidR="009B65A2" w:rsidRPr="00120424">
        <w:rPr>
          <w:rFonts w:ascii="Arial" w:eastAsia="Calibri" w:hAnsi="Arial" w:cs="Arial"/>
          <w:lang w:val="es-ES_tradnl"/>
        </w:rPr>
        <w:t xml:space="preserve"> </w:t>
      </w:r>
      <w:r w:rsidR="00162D25" w:rsidRPr="00120424">
        <w:rPr>
          <w:rFonts w:ascii="Arial" w:eastAsia="Calibri" w:hAnsi="Arial" w:cs="Arial"/>
          <w:lang w:val="es-ES_tradnl"/>
        </w:rPr>
        <w:t>que aclararían</w:t>
      </w:r>
      <w:r w:rsidR="009B65A2" w:rsidRPr="00120424">
        <w:rPr>
          <w:rFonts w:ascii="Arial" w:eastAsia="Calibri" w:hAnsi="Arial" w:cs="Arial"/>
          <w:lang w:val="es-ES_tradnl"/>
        </w:rPr>
        <w:t xml:space="preserve"> sus votos.</w:t>
      </w:r>
    </w:p>
    <w:p w14:paraId="3318B54C" w14:textId="77777777" w:rsidR="009B65A2" w:rsidRPr="00120424" w:rsidRDefault="009B65A2"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55EFEF76" w14:textId="77777777" w:rsidR="000A42B0" w:rsidRPr="00120424" w:rsidRDefault="009B65A2"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Sin embargo, se advierte en forma palmaria que la decisión contenida en el indicado fallo de primer grado </w:t>
      </w:r>
      <w:r w:rsidR="00F53EDB" w:rsidRPr="00120424">
        <w:rPr>
          <w:rFonts w:ascii="Arial" w:eastAsia="Calibri" w:hAnsi="Arial" w:cs="Arial"/>
          <w:lang w:val="es-ES_tradnl"/>
        </w:rPr>
        <w:t>solo</w:t>
      </w:r>
      <w:r w:rsidRPr="00120424">
        <w:rPr>
          <w:rFonts w:ascii="Arial" w:eastAsia="Calibri" w:hAnsi="Arial" w:cs="Arial"/>
          <w:lang w:val="es-ES_tradnl"/>
        </w:rPr>
        <w:t xml:space="preserve"> fue adoptada por el magistrado ponente, ya que los demás miembros de la </w:t>
      </w:r>
      <w:r w:rsidR="00A711F8" w:rsidRPr="00120424">
        <w:rPr>
          <w:rFonts w:ascii="Arial" w:eastAsia="Calibri" w:hAnsi="Arial" w:cs="Arial"/>
          <w:lang w:val="es-ES_tradnl"/>
        </w:rPr>
        <w:t>referida Subsección</w:t>
      </w:r>
      <w:r w:rsidR="00162D25" w:rsidRPr="00120424">
        <w:rPr>
          <w:rFonts w:ascii="Arial" w:eastAsia="Calibri" w:hAnsi="Arial" w:cs="Arial"/>
          <w:lang w:val="es-ES_tradnl"/>
        </w:rPr>
        <w:t>, en realidad,</w:t>
      </w:r>
      <w:r w:rsidRPr="00120424">
        <w:rPr>
          <w:rFonts w:ascii="Arial" w:eastAsia="Calibri" w:hAnsi="Arial" w:cs="Arial"/>
          <w:lang w:val="es-ES_tradnl"/>
        </w:rPr>
        <w:t xml:space="preserve"> se apartaron de lo resuelto en el</w:t>
      </w:r>
      <w:r w:rsidR="00A711F8" w:rsidRPr="00120424">
        <w:rPr>
          <w:rFonts w:ascii="Arial" w:eastAsia="Calibri" w:hAnsi="Arial" w:cs="Arial"/>
          <w:lang w:val="es-ES_tradnl"/>
        </w:rPr>
        <w:t xml:space="preserve"> acápite resolutivo de la providencia y de las consideraciones que en ella quedaron expuestas, de modo que se trató de una sentencia que </w:t>
      </w:r>
      <w:r w:rsidR="00A711F8" w:rsidRPr="00120424">
        <w:rPr>
          <w:rFonts w:ascii="Arial" w:eastAsia="Calibri" w:hAnsi="Arial" w:cs="Arial"/>
          <w:b/>
          <w:lang w:val="es-ES_tradnl"/>
        </w:rPr>
        <w:t xml:space="preserve">no obtuvo el voto de la mayoría absoluta </w:t>
      </w:r>
      <w:r w:rsidR="00A711F8" w:rsidRPr="00120424">
        <w:rPr>
          <w:rFonts w:ascii="Arial" w:eastAsia="Calibri" w:hAnsi="Arial" w:cs="Arial"/>
          <w:lang w:val="es-ES_tradnl"/>
        </w:rPr>
        <w:t xml:space="preserve">de los integrantes de la Sala y que, por tanto, </w:t>
      </w:r>
      <w:r w:rsidR="000D458E" w:rsidRPr="00120424">
        <w:rPr>
          <w:rFonts w:ascii="Arial" w:eastAsia="Calibri" w:hAnsi="Arial" w:cs="Arial"/>
          <w:lang w:val="es-ES_tradnl"/>
        </w:rPr>
        <w:t>se profirió con infracción de las reglas de competencia funcional.</w:t>
      </w:r>
    </w:p>
    <w:p w14:paraId="70C26D50" w14:textId="77777777" w:rsidR="000D458E" w:rsidRPr="00120424" w:rsidRDefault="000D458E"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6DE88208" w14:textId="77777777" w:rsidR="000D458E" w:rsidRPr="00120424" w:rsidRDefault="000D458E"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En efecto, </w:t>
      </w:r>
      <w:r w:rsidR="00162D25" w:rsidRPr="00120424">
        <w:rPr>
          <w:rFonts w:ascii="Arial" w:eastAsia="Calibri" w:hAnsi="Arial" w:cs="Arial"/>
          <w:lang w:val="es-ES_tradnl"/>
        </w:rPr>
        <w:t xml:space="preserve">la controversia sometida a juicio fue resuelta en la sentencia con la declaratoria de nulidad absoluta del contrato objeto de debate, decisión que </w:t>
      </w:r>
      <w:r w:rsidR="002610D5" w:rsidRPr="00120424">
        <w:rPr>
          <w:rFonts w:ascii="Arial" w:eastAsia="Calibri" w:hAnsi="Arial" w:cs="Arial"/>
          <w:lang w:val="es-ES_tradnl"/>
        </w:rPr>
        <w:t xml:space="preserve">fue sustentada </w:t>
      </w:r>
      <w:r w:rsidR="00162D25" w:rsidRPr="00120424">
        <w:rPr>
          <w:rFonts w:ascii="Arial" w:eastAsia="Calibri" w:hAnsi="Arial" w:cs="Arial"/>
          <w:lang w:val="es-ES_tradnl"/>
        </w:rPr>
        <w:t xml:space="preserve">en las consideraciones del fallo sobre la base de que dicha contratación no contó con la expresa autorización del </w:t>
      </w:r>
      <w:r w:rsidR="009E74EF" w:rsidRPr="00120424">
        <w:rPr>
          <w:rFonts w:ascii="Arial" w:eastAsia="Calibri" w:hAnsi="Arial" w:cs="Arial"/>
          <w:lang w:val="es-ES_tradnl"/>
        </w:rPr>
        <w:t>concejo mu</w:t>
      </w:r>
      <w:r w:rsidR="00162D25" w:rsidRPr="00120424">
        <w:rPr>
          <w:rFonts w:ascii="Arial" w:eastAsia="Calibri" w:hAnsi="Arial" w:cs="Arial"/>
          <w:lang w:val="es-ES_tradnl"/>
        </w:rPr>
        <w:t>nicipal de Facatativá, tal como lo exigía</w:t>
      </w:r>
      <w:r w:rsidR="00567917" w:rsidRPr="00120424">
        <w:rPr>
          <w:rFonts w:ascii="Arial" w:eastAsia="Calibri" w:hAnsi="Arial" w:cs="Arial"/>
          <w:lang w:val="es-ES_tradnl"/>
        </w:rPr>
        <w:t>n</w:t>
      </w:r>
      <w:r w:rsidR="00162D25" w:rsidRPr="00120424">
        <w:rPr>
          <w:rFonts w:ascii="Arial" w:eastAsia="Calibri" w:hAnsi="Arial" w:cs="Arial"/>
          <w:lang w:val="es-ES_tradnl"/>
        </w:rPr>
        <w:t xml:space="preserve"> la Constitución Nacional de 1886 –en vigor para la época de los hechos-</w:t>
      </w:r>
      <w:r w:rsidR="00567917" w:rsidRPr="00120424">
        <w:rPr>
          <w:rFonts w:ascii="Arial" w:eastAsia="Calibri" w:hAnsi="Arial" w:cs="Arial"/>
          <w:lang w:val="es-ES_tradnl"/>
        </w:rPr>
        <w:t>, el Decreto 1333 de 1986 y el Acuerdo municipal N° 012 de 1990.</w:t>
      </w:r>
      <w:r w:rsidR="002610D5" w:rsidRPr="00120424">
        <w:rPr>
          <w:rFonts w:ascii="Arial" w:eastAsia="Calibri" w:hAnsi="Arial" w:cs="Arial"/>
          <w:lang w:val="es-ES_tradnl"/>
        </w:rPr>
        <w:t xml:space="preserve"> </w:t>
      </w:r>
    </w:p>
    <w:p w14:paraId="0BD1635F" w14:textId="77777777" w:rsidR="002610D5" w:rsidRPr="00120424" w:rsidRDefault="002610D5"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7ADDEDBA" w14:textId="77777777" w:rsidR="002610D5" w:rsidRPr="00120424" w:rsidRDefault="002610D5"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lastRenderedPageBreak/>
        <w:t xml:space="preserve">Con fundamento en lo anterior, se concluyó que el alcalde del Municipio demandado  </w:t>
      </w:r>
      <w:r w:rsidR="0074058B" w:rsidRPr="00120424">
        <w:rPr>
          <w:rFonts w:ascii="Arial" w:eastAsia="Calibri" w:hAnsi="Arial" w:cs="Arial"/>
          <w:lang w:val="es-ES_tradnl"/>
        </w:rPr>
        <w:t xml:space="preserve">carecía de competencia para celebrar el contrato </w:t>
      </w:r>
      <w:r w:rsidR="006F0845" w:rsidRPr="00120424">
        <w:rPr>
          <w:rFonts w:ascii="Arial" w:eastAsia="Calibri" w:hAnsi="Arial" w:cs="Arial"/>
          <w:lang w:val="es-ES_tradnl"/>
        </w:rPr>
        <w:t>reprochado</w:t>
      </w:r>
      <w:r w:rsidR="00B96773" w:rsidRPr="00120424">
        <w:rPr>
          <w:rFonts w:ascii="Arial" w:eastAsia="Calibri" w:hAnsi="Arial" w:cs="Arial"/>
          <w:lang w:val="es-ES_tradnl"/>
        </w:rPr>
        <w:t xml:space="preserve">, razón por la cual la decisión que </w:t>
      </w:r>
      <w:r w:rsidR="0074096A" w:rsidRPr="00120424">
        <w:rPr>
          <w:rFonts w:ascii="Arial" w:eastAsia="Calibri" w:hAnsi="Arial" w:cs="Arial"/>
          <w:lang w:val="es-ES_tradnl"/>
        </w:rPr>
        <w:t>se debía</w:t>
      </w:r>
      <w:r w:rsidR="00B96773" w:rsidRPr="00120424">
        <w:rPr>
          <w:rFonts w:ascii="Arial" w:eastAsia="Calibri" w:hAnsi="Arial" w:cs="Arial"/>
          <w:lang w:val="es-ES_tradnl"/>
        </w:rPr>
        <w:t xml:space="preserve"> adoptar en el caso bajo análisis era la referida declaratoria de nulidad absoluta del negocio jurídico, como en efecto se dispuso en el apartado resolutivo.</w:t>
      </w:r>
    </w:p>
    <w:p w14:paraId="2EF5FDF2" w14:textId="77777777" w:rsidR="00B96773" w:rsidRPr="00120424" w:rsidRDefault="00B96773"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2E1BECAE" w14:textId="77777777" w:rsidR="0074096A" w:rsidRPr="00120424" w:rsidRDefault="00B96773"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Ahora bien, los dos magistrados que </w:t>
      </w:r>
      <w:r w:rsidR="00070FC7" w:rsidRPr="00120424">
        <w:rPr>
          <w:rFonts w:ascii="Arial" w:eastAsia="Calibri" w:hAnsi="Arial" w:cs="Arial"/>
          <w:lang w:val="es-ES_tradnl"/>
        </w:rPr>
        <w:t xml:space="preserve">presentaron aclaración de voto manifestaron expresamente que, en su sentir, </w:t>
      </w:r>
      <w:r w:rsidR="0074096A" w:rsidRPr="00120424">
        <w:rPr>
          <w:rFonts w:ascii="Arial" w:eastAsia="Calibri" w:hAnsi="Arial" w:cs="Arial"/>
          <w:lang w:val="es-ES_tradnl"/>
        </w:rPr>
        <w:t>el contrato de compraventa objeto de demanda era plenamente válido y se ajustaba a las normas que lo regulaban.</w:t>
      </w:r>
    </w:p>
    <w:p w14:paraId="005398CB" w14:textId="77777777" w:rsidR="0074096A" w:rsidRPr="00120424" w:rsidRDefault="0074096A"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22196576" w14:textId="77777777" w:rsidR="00B96773" w:rsidRPr="00120424" w:rsidRDefault="0074096A"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En la primera aclaración de voto se consideró que, contrario a lo señalado en la sentencia, el mencionado acuerdo de voluntades sí cumplía y atendía los parámetros establecidos en el Acuerdo municipal N° 012 de 1990, de modo que no resultaba necesaria una nueva autorización expresa y específica del Concejo para su celebración y perfeccionamiento, en particular, porque el valor fijado como precio del inmueble correspondía al avalúo realizado por el </w:t>
      </w:r>
      <w:r w:rsidRPr="00120424">
        <w:rPr>
          <w:rFonts w:ascii="Arial" w:eastAsia="Calibri" w:hAnsi="Arial" w:cs="Arial"/>
          <w:lang w:val="es-ES_tradnl"/>
        </w:rPr>
        <w:tab/>
        <w:t>IGAC, mientras que las obligaciones adicionales asumidas por el Municipio acrecentarían el patrimonio del Estado y no el de la sociedad vendedora.</w:t>
      </w:r>
    </w:p>
    <w:p w14:paraId="43561ECF" w14:textId="77777777" w:rsidR="0074096A" w:rsidRPr="00120424" w:rsidRDefault="0074096A"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59E8C33D" w14:textId="77777777" w:rsidR="0074096A" w:rsidRPr="00120424" w:rsidRDefault="0074096A"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Por otro lado, en la segunda aclaración de voto se expresó que el contrato objeto de litigio no adolecía de nulidad absoluta, puesto que el alcalde municipal de Facatativá contaba con la competencia para celebrarlo. </w:t>
      </w:r>
    </w:p>
    <w:p w14:paraId="5196E568" w14:textId="77777777" w:rsidR="00750558" w:rsidRPr="00120424" w:rsidRDefault="00750558"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24EBB65A" w14:textId="77777777" w:rsidR="00750558" w:rsidRPr="00120424" w:rsidRDefault="00750558"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Los magistrados que emitieron tales aclaraciones fueron unánimes en señalar que las restituciones mutuas ordenadas en el fallo debieron derivarse de un incumplimiento de las cláusulas por parte del Municipio, pero no de la nulidad absoluta que se predicó en la sentencia, vicio que, según su criterio, nunca se configuró.</w:t>
      </w:r>
      <w:r w:rsidR="00847BDF" w:rsidRPr="00120424">
        <w:rPr>
          <w:rFonts w:ascii="Arial" w:eastAsia="Calibri" w:hAnsi="Arial" w:cs="Arial"/>
          <w:lang w:val="es-ES_tradnl"/>
        </w:rPr>
        <w:t xml:space="preserve"> En torno a este punto resulta del caso señalar, además, que el incumplimiento de los contratos estatales por parte de la entidad pública no da lugar a la resolución del negocio jurídico y mucho menos </w:t>
      </w:r>
      <w:r w:rsidR="00FE3658" w:rsidRPr="00120424">
        <w:rPr>
          <w:rFonts w:ascii="Arial" w:eastAsia="Calibri" w:hAnsi="Arial" w:cs="Arial"/>
          <w:lang w:val="es-ES_tradnl"/>
        </w:rPr>
        <w:t>obliga a las partes a realizar restituciones mutuas para que las cosas retornen a su estado inicial, sino que su efecto se traduce en la responsabilidad civil y la obligación de indemnizar perjuicios, de conformidad con el Decreto 222 de 1983</w:t>
      </w:r>
      <w:r w:rsidR="00AF6BE4" w:rsidRPr="00120424">
        <w:rPr>
          <w:rStyle w:val="Refdenotaalpie"/>
          <w:rFonts w:ascii="Arial" w:eastAsia="Calibri" w:hAnsi="Arial" w:cs="Arial"/>
          <w:lang w:val="es-ES_tradnl"/>
        </w:rPr>
        <w:footnoteReference w:id="16"/>
      </w:r>
      <w:r w:rsidR="00FE3658" w:rsidRPr="00120424">
        <w:rPr>
          <w:rFonts w:ascii="Arial" w:eastAsia="Calibri" w:hAnsi="Arial" w:cs="Arial"/>
          <w:lang w:val="es-ES_tradnl"/>
        </w:rPr>
        <w:t xml:space="preserve">, </w:t>
      </w:r>
      <w:r w:rsidR="00AF6BE4" w:rsidRPr="00120424">
        <w:rPr>
          <w:rFonts w:ascii="Arial" w:eastAsia="Calibri" w:hAnsi="Arial" w:cs="Arial"/>
          <w:lang w:val="es-ES_tradnl"/>
        </w:rPr>
        <w:t>vigente</w:t>
      </w:r>
      <w:r w:rsidR="00FE3658" w:rsidRPr="00120424">
        <w:rPr>
          <w:rFonts w:ascii="Arial" w:eastAsia="Calibri" w:hAnsi="Arial" w:cs="Arial"/>
          <w:lang w:val="es-ES_tradnl"/>
        </w:rPr>
        <w:t xml:space="preserve"> para la época de los hechos.</w:t>
      </w:r>
    </w:p>
    <w:p w14:paraId="01BF5FEF" w14:textId="77777777" w:rsidR="006C792D" w:rsidRPr="00120424" w:rsidRDefault="006C792D"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25D00102" w14:textId="77777777" w:rsidR="006C792D" w:rsidRPr="00120424" w:rsidRDefault="006C792D"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En ese sentido, </w:t>
      </w:r>
      <w:r w:rsidR="00600238" w:rsidRPr="00120424">
        <w:rPr>
          <w:rFonts w:ascii="Arial" w:eastAsia="Calibri" w:hAnsi="Arial" w:cs="Arial"/>
          <w:lang w:val="es-ES_tradnl"/>
        </w:rPr>
        <w:t xml:space="preserve">mal podría </w:t>
      </w:r>
      <w:r w:rsidR="00450613" w:rsidRPr="00120424">
        <w:rPr>
          <w:rFonts w:ascii="Arial" w:eastAsia="Calibri" w:hAnsi="Arial" w:cs="Arial"/>
          <w:lang w:val="es-ES_tradnl"/>
        </w:rPr>
        <w:t>tenerse como simple aclaración de voto el que se manifieste conformidad con la orden de hacer mutuas restituciones, pese a no compartirse lo decidido sobre el hecho que legalmente les da origen, esto es, la nulidad absoluta del negocio jurídico, según lo previsto en la norma civil</w:t>
      </w:r>
      <w:r w:rsidR="00450613" w:rsidRPr="00120424">
        <w:rPr>
          <w:rStyle w:val="Refdenotaalpie"/>
          <w:rFonts w:ascii="Arial" w:eastAsia="Calibri" w:hAnsi="Arial" w:cs="Arial"/>
          <w:lang w:val="es-ES_tradnl"/>
        </w:rPr>
        <w:footnoteReference w:id="17"/>
      </w:r>
      <w:r w:rsidR="00450613" w:rsidRPr="00120424">
        <w:rPr>
          <w:rFonts w:ascii="Arial" w:eastAsia="Calibri" w:hAnsi="Arial" w:cs="Arial"/>
          <w:lang w:val="es-ES_tradnl"/>
        </w:rPr>
        <w:t>.</w:t>
      </w:r>
    </w:p>
    <w:p w14:paraId="37C37183" w14:textId="77777777" w:rsidR="00750558" w:rsidRPr="00120424" w:rsidRDefault="00750558"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5FE67984" w14:textId="77777777" w:rsidR="00750558" w:rsidRPr="00120424" w:rsidRDefault="00750558"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Así las cosas, salta a la vista que </w:t>
      </w:r>
      <w:r w:rsidR="00591372" w:rsidRPr="00120424">
        <w:rPr>
          <w:rFonts w:ascii="Arial" w:eastAsia="Calibri" w:hAnsi="Arial" w:cs="Arial"/>
          <w:lang w:val="es-ES_tradnl"/>
        </w:rPr>
        <w:t xml:space="preserve">lo expresado por los </w:t>
      </w:r>
      <w:r w:rsidR="002C0807" w:rsidRPr="00120424">
        <w:rPr>
          <w:rFonts w:ascii="Arial" w:eastAsia="Calibri" w:hAnsi="Arial" w:cs="Arial"/>
          <w:lang w:val="es-ES_tradnl"/>
        </w:rPr>
        <w:t>dos togados</w:t>
      </w:r>
      <w:r w:rsidR="00591372" w:rsidRPr="00120424">
        <w:rPr>
          <w:rFonts w:ascii="Arial" w:eastAsia="Calibri" w:hAnsi="Arial" w:cs="Arial"/>
          <w:lang w:val="es-ES_tradnl"/>
        </w:rPr>
        <w:t xml:space="preserve"> en sus aclaraciones de voto fue un inequívoco disenso frente a la forma como el fallo de primera </w:t>
      </w:r>
      <w:r w:rsidR="00CE500D" w:rsidRPr="00120424">
        <w:rPr>
          <w:rFonts w:ascii="Arial" w:eastAsia="Calibri" w:hAnsi="Arial" w:cs="Arial"/>
          <w:lang w:val="es-ES_tradnl"/>
        </w:rPr>
        <w:t>instancia resolvió la controversia de fondo</w:t>
      </w:r>
      <w:r w:rsidR="002C0807" w:rsidRPr="00120424">
        <w:rPr>
          <w:rFonts w:ascii="Arial" w:eastAsia="Calibri" w:hAnsi="Arial" w:cs="Arial"/>
          <w:lang w:val="es-ES_tradnl"/>
        </w:rPr>
        <w:t>. Por tanto, huelga reiterar que la decisión adoptada en la providencia no fue acogida con el voto de la mayoría absoluta</w:t>
      </w:r>
      <w:r w:rsidR="002C0807" w:rsidRPr="00120424">
        <w:rPr>
          <w:rFonts w:ascii="Arial" w:eastAsia="Calibri" w:hAnsi="Arial" w:cs="Arial"/>
          <w:b/>
          <w:lang w:val="es-ES_tradnl"/>
        </w:rPr>
        <w:t xml:space="preserve"> </w:t>
      </w:r>
      <w:r w:rsidR="002C0807" w:rsidRPr="00120424">
        <w:rPr>
          <w:rFonts w:ascii="Arial" w:eastAsia="Calibri" w:hAnsi="Arial" w:cs="Arial"/>
          <w:lang w:val="es-ES_tradnl"/>
        </w:rPr>
        <w:t xml:space="preserve">de los integrantes de la Sala sino que contó únicamente con la avenencia del ponente, con lo cual resultó infringida la regla de competencia funcional </w:t>
      </w:r>
      <w:r w:rsidR="00730551" w:rsidRPr="00120424">
        <w:rPr>
          <w:rFonts w:ascii="Arial" w:eastAsia="Calibri" w:hAnsi="Arial" w:cs="Arial"/>
          <w:lang w:val="es-ES_tradnl"/>
        </w:rPr>
        <w:t xml:space="preserve">establecida en el artículo 132 numeral 8 del C.C.A., que dispone que los Tribunales Administrativos –los cuales ejercen sus funciones en Salas de Decisión de carácter plural- conocen en primera instancia, entre otros asuntos, de los de reparación directa cuya cuantía supera los 500 s.m.l.m.v. </w:t>
      </w:r>
    </w:p>
    <w:p w14:paraId="27D0AF5F" w14:textId="77777777" w:rsidR="00AA2C94" w:rsidRPr="00120424" w:rsidRDefault="00AA2C94"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0BE49101" w14:textId="77777777" w:rsidR="00762C5B" w:rsidRPr="00120424" w:rsidRDefault="00AA2C94"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Es pertinente </w:t>
      </w:r>
      <w:r w:rsidR="00C818D1" w:rsidRPr="00120424">
        <w:rPr>
          <w:rFonts w:ascii="Arial" w:eastAsia="Calibri" w:hAnsi="Arial" w:cs="Arial"/>
          <w:lang w:val="es-ES_tradnl"/>
        </w:rPr>
        <w:t xml:space="preserve">subrayar que, al rendir su concepto sobre la presente causa, el Ministerio Público advirtió que las aludidas aclaraciones de voto constituían, en realidad, salvamentos de voto, aspecto este que </w:t>
      </w:r>
      <w:r w:rsidR="00D346D1" w:rsidRPr="00120424">
        <w:rPr>
          <w:rFonts w:ascii="Arial" w:eastAsia="Calibri" w:hAnsi="Arial" w:cs="Arial"/>
          <w:lang w:val="es-ES_tradnl"/>
        </w:rPr>
        <w:t xml:space="preserve">no deja margen de duda sobre su verdadera naturaleza, como se viene de analizar. </w:t>
      </w:r>
    </w:p>
    <w:p w14:paraId="5A9B7D66" w14:textId="77777777" w:rsidR="00762C5B" w:rsidRPr="00120424" w:rsidRDefault="00762C5B" w:rsidP="00A4147F">
      <w:pPr>
        <w:overflowPunct w:val="0"/>
        <w:autoSpaceDE w:val="0"/>
        <w:autoSpaceDN w:val="0"/>
        <w:adjustRightInd w:val="0"/>
        <w:spacing w:line="360" w:lineRule="auto"/>
        <w:jc w:val="both"/>
        <w:textAlignment w:val="baseline"/>
        <w:rPr>
          <w:rFonts w:ascii="Arial" w:eastAsia="Calibri" w:hAnsi="Arial" w:cs="Arial"/>
          <w:lang w:val="es-ES_tradnl"/>
        </w:rPr>
      </w:pPr>
    </w:p>
    <w:p w14:paraId="1A268813" w14:textId="77777777" w:rsidR="00AA2C94" w:rsidRPr="00120424" w:rsidRDefault="00D346D1" w:rsidP="00A4147F">
      <w:pPr>
        <w:overflowPunct w:val="0"/>
        <w:autoSpaceDE w:val="0"/>
        <w:autoSpaceDN w:val="0"/>
        <w:adjustRightInd w:val="0"/>
        <w:spacing w:line="360" w:lineRule="auto"/>
        <w:jc w:val="both"/>
        <w:textAlignment w:val="baseline"/>
        <w:rPr>
          <w:rFonts w:ascii="Arial" w:eastAsia="Calibri" w:hAnsi="Arial" w:cs="Arial"/>
          <w:lang w:val="es-ES_tradnl"/>
        </w:rPr>
      </w:pPr>
      <w:r w:rsidRPr="00120424">
        <w:rPr>
          <w:rFonts w:ascii="Arial" w:eastAsia="Calibri" w:hAnsi="Arial" w:cs="Arial"/>
          <w:lang w:val="es-ES_tradnl"/>
        </w:rPr>
        <w:t xml:space="preserve">Con todo, esta Sala se aparta de las conclusiones de la Procuraduría Delegada relativas </w:t>
      </w:r>
      <w:r w:rsidR="00497748" w:rsidRPr="00120424">
        <w:rPr>
          <w:rFonts w:ascii="Arial" w:eastAsia="Calibri" w:hAnsi="Arial" w:cs="Arial"/>
          <w:lang w:val="es-ES_tradnl"/>
        </w:rPr>
        <w:t xml:space="preserve">a los efectos del disenso referido, pues considera </w:t>
      </w:r>
      <w:r w:rsidR="00970B4A" w:rsidRPr="00120424">
        <w:rPr>
          <w:rFonts w:ascii="Arial" w:eastAsia="Calibri" w:hAnsi="Arial" w:cs="Arial"/>
          <w:lang w:val="es-ES_tradnl"/>
        </w:rPr>
        <w:t xml:space="preserve">dicha Agencia </w:t>
      </w:r>
      <w:r w:rsidR="00762C5B" w:rsidRPr="00120424">
        <w:rPr>
          <w:rFonts w:ascii="Arial" w:eastAsia="Calibri" w:hAnsi="Arial" w:cs="Arial"/>
          <w:lang w:val="es-ES_tradnl"/>
        </w:rPr>
        <w:t xml:space="preserve">que la decisión mayoritaria adoptada en primera instancia resultó contenida en los escritos de salvamento de voto presentados como aclaración, cuando lo cierto es que tales actos en manera alguna pueden equipararse a una sentencia, dado que no contienen las motivaciones, los análisis probatorios, las decisiones, ni las ritualidades exigidas por la normativa procesal para dicha clase de providencias. Asimismo, es claro que la ley no les otorga carácter vinculante a las aclaraciones ni a los salvamentos de voto, de modo que no es posible derivar de ellos una decisión </w:t>
      </w:r>
      <w:r w:rsidR="00762C5B" w:rsidRPr="00120424">
        <w:rPr>
          <w:rFonts w:ascii="Arial" w:eastAsia="Calibri" w:hAnsi="Arial" w:cs="Arial"/>
          <w:lang w:val="es-ES_tradnl"/>
        </w:rPr>
        <w:lastRenderedPageBreak/>
        <w:t xml:space="preserve">judicial que sea susceptible de ser recurrida por las partes </w:t>
      </w:r>
      <w:r w:rsidR="003162D6" w:rsidRPr="00120424">
        <w:rPr>
          <w:rFonts w:ascii="Arial" w:eastAsia="Calibri" w:hAnsi="Arial" w:cs="Arial"/>
          <w:lang w:val="es-ES_tradnl"/>
        </w:rPr>
        <w:t xml:space="preserve">ni revisada </w:t>
      </w:r>
      <w:r w:rsidR="00762C5B" w:rsidRPr="00120424">
        <w:rPr>
          <w:rFonts w:ascii="Arial" w:eastAsia="Calibri" w:hAnsi="Arial" w:cs="Arial"/>
          <w:lang w:val="es-ES_tradnl"/>
        </w:rPr>
        <w:t xml:space="preserve">por el superior jerárquico </w:t>
      </w:r>
      <w:r w:rsidR="003162D6" w:rsidRPr="00120424">
        <w:rPr>
          <w:rFonts w:ascii="Arial" w:eastAsia="Calibri" w:hAnsi="Arial" w:cs="Arial"/>
          <w:lang w:val="es-ES_tradnl"/>
        </w:rPr>
        <w:t>en sede de segunda instancia.</w:t>
      </w:r>
    </w:p>
    <w:p w14:paraId="533F0875" w14:textId="77777777" w:rsidR="00CE500D" w:rsidRPr="00120424" w:rsidRDefault="00CE500D" w:rsidP="00A4147F">
      <w:pPr>
        <w:overflowPunct w:val="0"/>
        <w:autoSpaceDE w:val="0"/>
        <w:autoSpaceDN w:val="0"/>
        <w:adjustRightInd w:val="0"/>
        <w:spacing w:line="360" w:lineRule="auto"/>
        <w:jc w:val="both"/>
        <w:textAlignment w:val="baseline"/>
        <w:rPr>
          <w:rFonts w:ascii="Arial" w:eastAsia="Calibri" w:hAnsi="Arial" w:cs="Arial"/>
          <w:i/>
          <w:lang w:val="es-ES_tradnl"/>
        </w:rPr>
      </w:pPr>
    </w:p>
    <w:p w14:paraId="34345C40" w14:textId="77777777" w:rsidR="00A4147F" w:rsidRPr="00120424" w:rsidRDefault="00A4147F" w:rsidP="00A4147F">
      <w:pPr>
        <w:spacing w:line="360" w:lineRule="auto"/>
        <w:ind w:right="-142"/>
        <w:jc w:val="both"/>
        <w:rPr>
          <w:rFonts w:ascii="Arial" w:eastAsia="Calibri" w:hAnsi="Arial" w:cs="Arial"/>
          <w:b/>
          <w:lang w:val="es-CO" w:eastAsia="en-US"/>
        </w:rPr>
      </w:pPr>
      <w:r w:rsidRPr="00120424">
        <w:rPr>
          <w:rFonts w:ascii="Arial" w:eastAsia="Calibri" w:hAnsi="Arial" w:cs="Arial"/>
          <w:b/>
          <w:lang w:val="es-CO" w:eastAsia="en-US"/>
        </w:rPr>
        <w:t>5. Conclusiones</w:t>
      </w:r>
    </w:p>
    <w:p w14:paraId="57C3E4BB" w14:textId="77777777" w:rsidR="00A4147F" w:rsidRPr="00120424" w:rsidRDefault="00A4147F" w:rsidP="00A4147F">
      <w:pPr>
        <w:spacing w:line="360" w:lineRule="auto"/>
        <w:ind w:right="-142"/>
        <w:jc w:val="both"/>
        <w:rPr>
          <w:rFonts w:ascii="Arial" w:eastAsia="Calibri" w:hAnsi="Arial" w:cs="Arial"/>
          <w:lang w:eastAsia="en-US"/>
        </w:rPr>
      </w:pPr>
    </w:p>
    <w:p w14:paraId="112ABFD7" w14:textId="77777777" w:rsidR="00A4147F" w:rsidRPr="00120424" w:rsidRDefault="00A4147F" w:rsidP="00A4147F">
      <w:pPr>
        <w:spacing w:line="360" w:lineRule="auto"/>
        <w:ind w:right="-142"/>
        <w:jc w:val="both"/>
        <w:rPr>
          <w:rFonts w:ascii="Arial" w:eastAsia="Calibri" w:hAnsi="Arial" w:cs="Arial"/>
          <w:lang w:eastAsia="en-US"/>
        </w:rPr>
      </w:pPr>
      <w:r w:rsidRPr="00120424">
        <w:rPr>
          <w:rFonts w:ascii="Arial" w:eastAsia="Calibri" w:hAnsi="Arial" w:cs="Arial"/>
          <w:lang w:eastAsia="en-US"/>
        </w:rPr>
        <w:t xml:space="preserve">La medida que aquí deberá proferirse no impide la solución de la controversia citada en la referencia, </w:t>
      </w:r>
      <w:r w:rsidR="00132BE3" w:rsidRPr="00120424">
        <w:rPr>
          <w:rFonts w:ascii="Arial" w:eastAsia="Calibri" w:hAnsi="Arial" w:cs="Arial"/>
          <w:lang w:eastAsia="en-US"/>
        </w:rPr>
        <w:t>por el contrario, se orienta a que la decisión por la cual debe resolverse el litigio en cierre de la primera instancia</w:t>
      </w:r>
      <w:r w:rsidR="00A3394E" w:rsidRPr="00120424">
        <w:rPr>
          <w:rFonts w:ascii="Arial" w:eastAsia="Calibri" w:hAnsi="Arial" w:cs="Arial"/>
          <w:lang w:eastAsia="en-US"/>
        </w:rPr>
        <w:t xml:space="preserve"> provenga del juez llamado por la ley a adoptarla y se profiera bajo las reglas de mayoría y de competencia, anteriormente señaladas.</w:t>
      </w:r>
    </w:p>
    <w:p w14:paraId="300E4FC8" w14:textId="77777777" w:rsidR="00A4147F" w:rsidRPr="00120424" w:rsidRDefault="00A4147F" w:rsidP="00A4147F">
      <w:pPr>
        <w:spacing w:line="360" w:lineRule="auto"/>
        <w:ind w:right="-142"/>
        <w:jc w:val="both"/>
        <w:rPr>
          <w:rFonts w:ascii="Arial" w:eastAsia="Calibri" w:hAnsi="Arial" w:cs="Arial"/>
          <w:lang w:eastAsia="en-US"/>
        </w:rPr>
      </w:pPr>
    </w:p>
    <w:p w14:paraId="301779BC" w14:textId="77777777" w:rsidR="00A4147F" w:rsidRPr="00120424" w:rsidRDefault="00A4147F" w:rsidP="00A4147F">
      <w:pPr>
        <w:spacing w:line="360" w:lineRule="auto"/>
        <w:ind w:right="-142"/>
        <w:jc w:val="both"/>
        <w:rPr>
          <w:rFonts w:ascii="Arial" w:eastAsia="Calibri" w:hAnsi="Arial" w:cs="Arial"/>
          <w:lang w:val="es-CO" w:eastAsia="en-US"/>
        </w:rPr>
      </w:pPr>
      <w:r w:rsidRPr="00120424">
        <w:rPr>
          <w:rFonts w:ascii="Arial" w:eastAsia="Calibri" w:hAnsi="Arial" w:cs="Arial"/>
          <w:lang w:eastAsia="en-US"/>
        </w:rPr>
        <w:t xml:space="preserve">En esta línea, </w:t>
      </w:r>
      <w:r w:rsidR="00A3394E" w:rsidRPr="00120424">
        <w:rPr>
          <w:rFonts w:ascii="Arial" w:eastAsia="Calibri" w:hAnsi="Arial" w:cs="Arial"/>
          <w:lang w:eastAsia="en-US"/>
        </w:rPr>
        <w:t>la Sala recalca nuevamente</w:t>
      </w:r>
      <w:r w:rsidRPr="00120424">
        <w:rPr>
          <w:rFonts w:ascii="Arial" w:eastAsia="Calibri" w:hAnsi="Arial" w:cs="Arial"/>
          <w:lang w:eastAsia="en-US"/>
        </w:rPr>
        <w:t xml:space="preserve"> que el artículo 140 del Código de Procedimiento Civil determina que la actuación es nula cuando se adelanta </w:t>
      </w:r>
      <w:r w:rsidR="00A3394E" w:rsidRPr="00120424">
        <w:rPr>
          <w:rFonts w:ascii="Arial" w:eastAsia="Calibri" w:hAnsi="Arial" w:cs="Arial"/>
          <w:lang w:eastAsia="en-US"/>
        </w:rPr>
        <w:t>por quien carece de competencia</w:t>
      </w:r>
      <w:r w:rsidRPr="00120424">
        <w:rPr>
          <w:rFonts w:ascii="Arial" w:eastAsia="Calibri" w:hAnsi="Arial" w:cs="Arial"/>
          <w:lang w:eastAsia="en-US"/>
        </w:rPr>
        <w:t xml:space="preserve">, de conformidad con los dictados de su numeral </w:t>
      </w:r>
      <w:r w:rsidR="00A3394E" w:rsidRPr="00120424">
        <w:rPr>
          <w:rFonts w:ascii="Arial" w:eastAsia="Calibri" w:hAnsi="Arial" w:cs="Arial"/>
          <w:lang w:eastAsia="en-US"/>
        </w:rPr>
        <w:t>2</w:t>
      </w:r>
      <w:r w:rsidRPr="00120424">
        <w:rPr>
          <w:rFonts w:ascii="Arial" w:eastAsia="Calibri" w:hAnsi="Arial" w:cs="Arial"/>
          <w:lang w:eastAsia="en-US"/>
        </w:rPr>
        <w:t>, a cuyo tenor:</w:t>
      </w:r>
    </w:p>
    <w:p w14:paraId="0FA5DF1E" w14:textId="77777777" w:rsidR="00A4147F" w:rsidRPr="00120424" w:rsidRDefault="00A4147F" w:rsidP="00A4147F">
      <w:pPr>
        <w:spacing w:line="360" w:lineRule="auto"/>
        <w:ind w:left="600" w:right="-142"/>
        <w:jc w:val="both"/>
        <w:rPr>
          <w:rFonts w:ascii="Arial" w:eastAsia="Calibri" w:hAnsi="Arial" w:cs="Arial"/>
          <w:lang w:val="es-CO" w:eastAsia="en-US"/>
        </w:rPr>
      </w:pPr>
    </w:p>
    <w:p w14:paraId="696D2FC1" w14:textId="77777777" w:rsidR="00A4147F" w:rsidRPr="00120424" w:rsidRDefault="00A4147F" w:rsidP="00A4147F">
      <w:pPr>
        <w:spacing w:line="276" w:lineRule="auto"/>
        <w:ind w:left="567" w:right="567"/>
        <w:jc w:val="both"/>
        <w:rPr>
          <w:rFonts w:ascii="Arial" w:eastAsia="Calibri" w:hAnsi="Arial" w:cs="Arial"/>
          <w:i/>
          <w:lang w:eastAsia="en-US"/>
        </w:rPr>
      </w:pPr>
      <w:r w:rsidRPr="00120424">
        <w:rPr>
          <w:rFonts w:ascii="Arial" w:eastAsia="Calibri" w:hAnsi="Arial" w:cs="Arial"/>
          <w:i/>
          <w:lang w:eastAsia="en-US"/>
        </w:rPr>
        <w:t xml:space="preserve">“Artículo 140.- </w:t>
      </w:r>
      <w:r w:rsidRPr="00120424">
        <w:rPr>
          <w:rFonts w:ascii="Arial" w:eastAsia="Calibri" w:hAnsi="Arial" w:cs="Arial"/>
          <w:b/>
          <w:lang w:eastAsia="en-US"/>
        </w:rPr>
        <w:t>Causales de nulidad</w:t>
      </w:r>
      <w:r w:rsidRPr="00120424">
        <w:rPr>
          <w:rFonts w:ascii="Arial" w:eastAsia="Calibri" w:hAnsi="Arial" w:cs="Arial"/>
          <w:b/>
          <w:i/>
          <w:lang w:eastAsia="en-US"/>
        </w:rPr>
        <w:t xml:space="preserve">. </w:t>
      </w:r>
      <w:r w:rsidRPr="00120424">
        <w:rPr>
          <w:rFonts w:ascii="Arial" w:eastAsia="Calibri" w:hAnsi="Arial" w:cs="Arial"/>
          <w:i/>
          <w:lang w:eastAsia="en-US"/>
        </w:rPr>
        <w:t>El proceso es nulo en todo o en parte, solamente en los siguientes casos:</w:t>
      </w:r>
    </w:p>
    <w:p w14:paraId="1CCDDF40" w14:textId="77777777" w:rsidR="00A4147F" w:rsidRPr="00120424" w:rsidRDefault="00A4147F" w:rsidP="00A4147F">
      <w:pPr>
        <w:spacing w:line="276" w:lineRule="auto"/>
        <w:ind w:left="567" w:right="567"/>
        <w:jc w:val="both"/>
        <w:rPr>
          <w:rFonts w:ascii="Arial" w:eastAsia="Calibri" w:hAnsi="Arial" w:cs="Arial"/>
          <w:i/>
          <w:lang w:eastAsia="en-US"/>
        </w:rPr>
      </w:pPr>
    </w:p>
    <w:p w14:paraId="20FA4F74" w14:textId="77777777" w:rsidR="00A4147F" w:rsidRPr="00120424" w:rsidRDefault="00A4147F" w:rsidP="00A4147F">
      <w:pPr>
        <w:spacing w:line="276" w:lineRule="auto"/>
        <w:ind w:left="567" w:right="567"/>
        <w:jc w:val="both"/>
        <w:rPr>
          <w:rFonts w:ascii="Arial" w:eastAsia="Calibri" w:hAnsi="Arial" w:cs="Arial"/>
          <w:i/>
          <w:lang w:eastAsia="en-US"/>
        </w:rPr>
      </w:pPr>
      <w:r w:rsidRPr="00120424">
        <w:rPr>
          <w:rFonts w:ascii="Arial" w:eastAsia="Calibri" w:hAnsi="Arial" w:cs="Arial"/>
          <w:i/>
          <w:lang w:eastAsia="en-US"/>
        </w:rPr>
        <w:t>“</w:t>
      </w:r>
      <w:r w:rsidR="00A3394E" w:rsidRPr="00120424">
        <w:rPr>
          <w:rFonts w:ascii="Arial" w:eastAsia="Calibri" w:hAnsi="Arial" w:cs="Arial"/>
          <w:i/>
          <w:lang w:eastAsia="en-US"/>
        </w:rPr>
        <w:t>2</w:t>
      </w:r>
      <w:r w:rsidRPr="00120424">
        <w:rPr>
          <w:rFonts w:ascii="Arial" w:eastAsia="Calibri" w:hAnsi="Arial" w:cs="Arial"/>
          <w:i/>
          <w:lang w:eastAsia="en-US"/>
        </w:rPr>
        <w:t xml:space="preserve">.- Cuando </w:t>
      </w:r>
      <w:r w:rsidR="00A3394E" w:rsidRPr="00120424">
        <w:rPr>
          <w:rFonts w:ascii="Arial" w:eastAsia="Calibri" w:hAnsi="Arial" w:cs="Arial"/>
          <w:i/>
          <w:lang w:eastAsia="en-US"/>
        </w:rPr>
        <w:t>el juez carece de competencia</w:t>
      </w:r>
      <w:r w:rsidRPr="00120424">
        <w:rPr>
          <w:rFonts w:ascii="Arial" w:eastAsia="Calibri" w:hAnsi="Arial" w:cs="Arial"/>
          <w:i/>
          <w:lang w:eastAsia="en-US"/>
        </w:rPr>
        <w:t>”.</w:t>
      </w:r>
    </w:p>
    <w:p w14:paraId="3DC6C745" w14:textId="77777777" w:rsidR="00A4147F" w:rsidRPr="00120424" w:rsidRDefault="00A4147F" w:rsidP="00A4147F">
      <w:pPr>
        <w:spacing w:line="276" w:lineRule="auto"/>
        <w:ind w:right="902"/>
        <w:jc w:val="both"/>
        <w:rPr>
          <w:rFonts w:ascii="Arial" w:eastAsia="Calibri" w:hAnsi="Arial" w:cs="Arial"/>
          <w:lang w:val="es-CO" w:eastAsia="en-US"/>
        </w:rPr>
      </w:pPr>
    </w:p>
    <w:p w14:paraId="0DD76967" w14:textId="77777777" w:rsidR="00A4147F" w:rsidRPr="00120424" w:rsidRDefault="00A4147F" w:rsidP="00A4147F">
      <w:pPr>
        <w:spacing w:line="360" w:lineRule="auto"/>
        <w:ind w:right="-142"/>
        <w:jc w:val="both"/>
        <w:rPr>
          <w:rFonts w:ascii="Arial" w:eastAsia="Calibri" w:hAnsi="Arial" w:cs="Arial"/>
          <w:lang w:val="es-CO" w:eastAsia="en-US"/>
        </w:rPr>
      </w:pPr>
      <w:r w:rsidRPr="00120424">
        <w:rPr>
          <w:rFonts w:ascii="Arial" w:eastAsia="Calibri" w:hAnsi="Arial" w:cs="Arial"/>
          <w:lang w:eastAsia="en-US"/>
        </w:rPr>
        <w:t xml:space="preserve">A su turno, se observa que el inciso final del artículo 144 del mismo Estatuto Procesal establece la imposibilidad de que puedan sanearse las nulidades que se configuren por razón de la falta de </w:t>
      </w:r>
      <w:r w:rsidR="00A3394E" w:rsidRPr="00120424">
        <w:rPr>
          <w:rFonts w:ascii="Arial" w:eastAsia="Calibri" w:hAnsi="Arial" w:cs="Arial"/>
          <w:lang w:eastAsia="en-US"/>
        </w:rPr>
        <w:t>competencia funcional</w:t>
      </w:r>
      <w:r w:rsidRPr="00120424">
        <w:rPr>
          <w:rFonts w:ascii="Arial" w:eastAsia="Calibri" w:hAnsi="Arial" w:cs="Arial"/>
          <w:lang w:eastAsia="en-US"/>
        </w:rPr>
        <w:t>, de conformidad con los siguientes términos:</w:t>
      </w:r>
    </w:p>
    <w:p w14:paraId="1BF344E6" w14:textId="77777777" w:rsidR="00A4147F" w:rsidRPr="00120424" w:rsidRDefault="00A4147F" w:rsidP="00A4147F">
      <w:pPr>
        <w:spacing w:line="360" w:lineRule="auto"/>
        <w:ind w:right="-142"/>
        <w:jc w:val="both"/>
        <w:rPr>
          <w:rFonts w:ascii="Arial" w:eastAsia="Calibri" w:hAnsi="Arial" w:cs="Arial"/>
          <w:lang w:val="es-CO" w:eastAsia="en-US"/>
        </w:rPr>
      </w:pPr>
    </w:p>
    <w:p w14:paraId="5EA6F309" w14:textId="77777777" w:rsidR="00A4147F" w:rsidRPr="00120424" w:rsidRDefault="00A4147F" w:rsidP="00A4147F">
      <w:pPr>
        <w:spacing w:line="276" w:lineRule="auto"/>
        <w:ind w:left="556" w:right="618"/>
        <w:jc w:val="both"/>
        <w:rPr>
          <w:rFonts w:ascii="Arial" w:eastAsia="Calibri" w:hAnsi="Arial" w:cs="Arial"/>
          <w:lang w:val="es-CO" w:eastAsia="en-US"/>
        </w:rPr>
      </w:pPr>
      <w:r w:rsidRPr="00120424">
        <w:rPr>
          <w:rFonts w:ascii="Arial" w:eastAsia="Calibri" w:hAnsi="Arial" w:cs="Arial"/>
          <w:i/>
          <w:lang w:eastAsia="en-US"/>
        </w:rPr>
        <w:t>“</w:t>
      </w:r>
      <w:r w:rsidRPr="00120424">
        <w:rPr>
          <w:rFonts w:ascii="Arial" w:eastAsia="Calibri" w:hAnsi="Arial" w:cs="Arial"/>
          <w:b/>
          <w:i/>
          <w:lang w:eastAsia="en-US"/>
        </w:rPr>
        <w:t xml:space="preserve">No podrán sanearse las nulidades </w:t>
      </w:r>
      <w:r w:rsidRPr="00120424">
        <w:rPr>
          <w:rFonts w:ascii="Arial" w:eastAsia="Calibri" w:hAnsi="Arial" w:cs="Arial"/>
          <w:i/>
          <w:lang w:eastAsia="en-US"/>
        </w:rPr>
        <w:t>de que tratan las nulidades (sic) 3 y 4 del artículo 140, ni la proveniente de falta de jurisdicción</w:t>
      </w:r>
      <w:r w:rsidRPr="00120424">
        <w:rPr>
          <w:rFonts w:ascii="Arial" w:eastAsia="Calibri" w:hAnsi="Arial" w:cs="Arial"/>
          <w:b/>
          <w:i/>
          <w:lang w:eastAsia="en-US"/>
        </w:rPr>
        <w:t xml:space="preserve"> </w:t>
      </w:r>
      <w:r w:rsidRPr="00120424">
        <w:rPr>
          <w:rFonts w:ascii="Arial" w:eastAsia="Calibri" w:hAnsi="Arial" w:cs="Arial"/>
          <w:i/>
          <w:lang w:eastAsia="en-US"/>
        </w:rPr>
        <w:t xml:space="preserve">o </w:t>
      </w:r>
      <w:r w:rsidRPr="00120424">
        <w:rPr>
          <w:rFonts w:ascii="Arial" w:eastAsia="Calibri" w:hAnsi="Arial" w:cs="Arial"/>
          <w:b/>
          <w:i/>
          <w:lang w:eastAsia="en-US"/>
        </w:rPr>
        <w:t>de competencia funcional</w:t>
      </w:r>
      <w:r w:rsidRPr="00120424">
        <w:rPr>
          <w:rFonts w:ascii="Arial" w:eastAsia="Calibri" w:hAnsi="Arial" w:cs="Arial"/>
          <w:i/>
          <w:lang w:eastAsia="en-US"/>
        </w:rPr>
        <w:t xml:space="preserve">” </w:t>
      </w:r>
      <w:r w:rsidRPr="00120424">
        <w:rPr>
          <w:rFonts w:ascii="Arial" w:eastAsia="Calibri" w:hAnsi="Arial" w:cs="Arial"/>
          <w:lang w:eastAsia="en-US"/>
        </w:rPr>
        <w:t>(</w:t>
      </w:r>
      <w:r w:rsidR="00130B82" w:rsidRPr="00120424">
        <w:rPr>
          <w:rFonts w:ascii="Arial" w:eastAsia="Calibri" w:hAnsi="Arial" w:cs="Arial"/>
          <w:lang w:eastAsia="en-US"/>
        </w:rPr>
        <w:t>s</w:t>
      </w:r>
      <w:r w:rsidRPr="00120424">
        <w:rPr>
          <w:rFonts w:ascii="Arial" w:eastAsia="Calibri" w:hAnsi="Arial" w:cs="Arial"/>
          <w:lang w:eastAsia="en-US"/>
        </w:rPr>
        <w:t>e deja resaltado).</w:t>
      </w:r>
    </w:p>
    <w:p w14:paraId="45C6850C" w14:textId="77777777" w:rsidR="00A4147F" w:rsidRPr="00120424" w:rsidRDefault="00A4147F" w:rsidP="00A4147F">
      <w:pPr>
        <w:spacing w:line="360" w:lineRule="auto"/>
        <w:ind w:right="-142"/>
        <w:jc w:val="both"/>
        <w:rPr>
          <w:rFonts w:ascii="Arial" w:eastAsia="Calibri" w:hAnsi="Arial" w:cs="Arial"/>
          <w:lang w:val="es-CO" w:eastAsia="en-US"/>
        </w:rPr>
      </w:pPr>
    </w:p>
    <w:p w14:paraId="6BEB02F6" w14:textId="77777777" w:rsidR="00A4147F" w:rsidRPr="00120424" w:rsidRDefault="00A4147F" w:rsidP="00A4147F">
      <w:pPr>
        <w:spacing w:line="360" w:lineRule="auto"/>
        <w:ind w:right="-142"/>
        <w:jc w:val="both"/>
        <w:rPr>
          <w:rFonts w:ascii="Arial" w:eastAsia="Calibri" w:hAnsi="Arial" w:cs="Arial"/>
          <w:lang w:val="es-CO" w:eastAsia="en-US"/>
        </w:rPr>
      </w:pPr>
      <w:r w:rsidRPr="00120424">
        <w:rPr>
          <w:rFonts w:ascii="Arial" w:eastAsia="Calibri" w:hAnsi="Arial" w:cs="Arial"/>
          <w:lang w:eastAsia="en-US"/>
        </w:rPr>
        <w:t>Añádase a lo anterior que el juez de la causa se encuentra en el deber legal de declarar de manera oficiosa las nulidades procesales que advierta con anterioridad a la expedición de la sentencia correspondiente, según lo ordena el artículo 145 del referido Código de Procedimiento Civil:</w:t>
      </w:r>
    </w:p>
    <w:p w14:paraId="31DD7CE5" w14:textId="77777777" w:rsidR="00A4147F" w:rsidRPr="00120424" w:rsidRDefault="00A4147F" w:rsidP="00A4147F">
      <w:pPr>
        <w:spacing w:line="360" w:lineRule="auto"/>
        <w:ind w:right="-142"/>
        <w:jc w:val="both"/>
        <w:rPr>
          <w:rFonts w:ascii="Arial" w:eastAsia="Calibri" w:hAnsi="Arial" w:cs="Arial"/>
          <w:color w:val="525252"/>
          <w:lang w:val="es-CO" w:eastAsia="en-US"/>
        </w:rPr>
      </w:pPr>
    </w:p>
    <w:p w14:paraId="190D3BD4" w14:textId="77777777" w:rsidR="00A4147F" w:rsidRPr="00120424" w:rsidRDefault="00A4147F" w:rsidP="00A4147F">
      <w:pPr>
        <w:spacing w:line="276" w:lineRule="auto"/>
        <w:ind w:left="556" w:right="618"/>
        <w:jc w:val="both"/>
        <w:rPr>
          <w:rFonts w:ascii="Arial" w:eastAsia="Calibri" w:hAnsi="Arial" w:cs="Arial"/>
          <w:lang w:eastAsia="en-US"/>
        </w:rPr>
      </w:pPr>
      <w:r w:rsidRPr="00120424">
        <w:rPr>
          <w:rFonts w:ascii="Arial" w:eastAsia="Calibri" w:hAnsi="Arial" w:cs="Arial"/>
          <w:i/>
          <w:lang w:eastAsia="en-US"/>
        </w:rPr>
        <w:t xml:space="preserve">“Artículo 145.- </w:t>
      </w:r>
      <w:r w:rsidRPr="00120424">
        <w:rPr>
          <w:rFonts w:ascii="Arial" w:eastAsia="Calibri" w:hAnsi="Arial" w:cs="Arial"/>
          <w:b/>
          <w:i/>
          <w:lang w:eastAsia="en-US"/>
        </w:rPr>
        <w:t>Declaración oficiosa de la nulidad.</w:t>
      </w:r>
      <w:r w:rsidRPr="00120424">
        <w:rPr>
          <w:rFonts w:ascii="Arial" w:eastAsia="Calibri" w:hAnsi="Arial" w:cs="Arial"/>
          <w:i/>
          <w:lang w:eastAsia="en-US"/>
        </w:rPr>
        <w:t xml:space="preserve"> </w:t>
      </w:r>
      <w:r w:rsidRPr="00120424">
        <w:rPr>
          <w:rFonts w:ascii="Arial" w:eastAsia="Calibri" w:hAnsi="Arial" w:cs="Arial"/>
          <w:b/>
          <w:i/>
          <w:lang w:eastAsia="en-US"/>
        </w:rPr>
        <w:t xml:space="preserve">En cualquier estado del proceso antes de dictar sentencia, el juez deberá declarar de oficio las nulidades que observe. Si la nulidad fuere saneable ordenará ponerla en conocimiento de la parte afectada </w:t>
      </w:r>
      <w:r w:rsidRPr="00120424">
        <w:rPr>
          <w:rFonts w:ascii="Arial" w:eastAsia="Calibri" w:hAnsi="Arial" w:cs="Arial"/>
          <w:i/>
          <w:lang w:eastAsia="en-US"/>
        </w:rPr>
        <w:t xml:space="preserve">por auto que se le notificará como se indica en los numerales 1º y 2º del </w:t>
      </w:r>
      <w:r w:rsidRPr="00120424">
        <w:rPr>
          <w:rFonts w:ascii="Arial" w:eastAsia="Calibri" w:hAnsi="Arial" w:cs="Arial"/>
          <w:i/>
          <w:lang w:eastAsia="en-US"/>
        </w:rPr>
        <w:lastRenderedPageBreak/>
        <w:t xml:space="preserve">artículo 320 (…) en caso contrario, el juez la declarará” </w:t>
      </w:r>
      <w:r w:rsidRPr="00120424">
        <w:rPr>
          <w:rFonts w:ascii="Arial" w:eastAsia="Calibri" w:hAnsi="Arial" w:cs="Arial"/>
          <w:lang w:eastAsia="en-US"/>
        </w:rPr>
        <w:t>(</w:t>
      </w:r>
      <w:r w:rsidR="00A3394E" w:rsidRPr="00120424">
        <w:rPr>
          <w:rFonts w:ascii="Arial" w:eastAsia="Calibri" w:hAnsi="Arial" w:cs="Arial"/>
          <w:lang w:eastAsia="en-US"/>
        </w:rPr>
        <w:t>énfasis fuera de texto</w:t>
      </w:r>
      <w:r w:rsidRPr="00120424">
        <w:rPr>
          <w:rFonts w:ascii="Arial" w:eastAsia="Calibri" w:hAnsi="Arial" w:cs="Arial"/>
          <w:lang w:eastAsia="en-US"/>
        </w:rPr>
        <w:t>).</w:t>
      </w:r>
    </w:p>
    <w:p w14:paraId="2BBCF74E" w14:textId="77777777" w:rsidR="00A4147F" w:rsidRPr="00120424" w:rsidRDefault="00A4147F" w:rsidP="00A4147F">
      <w:pPr>
        <w:spacing w:line="360" w:lineRule="auto"/>
        <w:ind w:right="-142"/>
        <w:jc w:val="both"/>
        <w:rPr>
          <w:rFonts w:ascii="Arial" w:eastAsia="Calibri" w:hAnsi="Arial" w:cs="Arial"/>
          <w:lang w:eastAsia="en-US"/>
        </w:rPr>
      </w:pPr>
    </w:p>
    <w:p w14:paraId="0B682329" w14:textId="77777777" w:rsidR="00A4147F" w:rsidRPr="00120424" w:rsidRDefault="00A4147F" w:rsidP="00A4147F">
      <w:pPr>
        <w:spacing w:line="360" w:lineRule="auto"/>
        <w:ind w:right="-142"/>
        <w:jc w:val="both"/>
        <w:rPr>
          <w:rFonts w:ascii="Arial" w:eastAsia="Calibri" w:hAnsi="Arial" w:cs="Arial"/>
          <w:lang w:eastAsia="en-US"/>
        </w:rPr>
      </w:pPr>
      <w:r w:rsidRPr="00120424">
        <w:rPr>
          <w:rFonts w:ascii="Arial" w:eastAsia="Calibri" w:hAnsi="Arial" w:cs="Arial"/>
          <w:lang w:eastAsia="en-US"/>
        </w:rPr>
        <w:t xml:space="preserve">Así las cosas y dado que las normas legales transcritas, por ser procesales, </w:t>
      </w:r>
      <w:r w:rsidRPr="00120424">
        <w:rPr>
          <w:rFonts w:ascii="Arial" w:eastAsia="Calibri" w:hAnsi="Arial" w:cs="Arial"/>
          <w:i/>
          <w:lang w:eastAsia="en-US"/>
        </w:rPr>
        <w:t>“… son  de orden público y, por consiguiente, de obligatorio cumplimiento…”,</w:t>
      </w:r>
      <w:r w:rsidRPr="00120424">
        <w:rPr>
          <w:rFonts w:ascii="Arial" w:eastAsia="Calibri" w:hAnsi="Arial" w:cs="Arial"/>
          <w:lang w:eastAsia="en-US"/>
        </w:rPr>
        <w:t xml:space="preserve"> según los precisos y perentorios mandatos del artículo 6º de esa misma codificación, en esta oportunidad el Despacho se encuentra en el imperativo de declarar la nulidad de todo lo actuado </w:t>
      </w:r>
      <w:r w:rsidR="00A3394E" w:rsidRPr="00120424">
        <w:rPr>
          <w:rFonts w:ascii="Arial" w:eastAsia="Calibri" w:hAnsi="Arial" w:cs="Arial"/>
          <w:lang w:eastAsia="en-US"/>
        </w:rPr>
        <w:t>en el proceso de la referencia a partir de la sentencia dictada por el Tribunal Administrativo de Cundinamarca el 3 de noviembre de 2004, inclusive</w:t>
      </w:r>
      <w:r w:rsidRPr="00120424">
        <w:rPr>
          <w:rFonts w:ascii="Arial" w:eastAsia="Calibri" w:hAnsi="Arial" w:cs="Arial"/>
          <w:lang w:eastAsia="en-US"/>
        </w:rPr>
        <w:t xml:space="preserve">, al verificar la configuración de la aludida causal </w:t>
      </w:r>
      <w:r w:rsidR="00A3394E" w:rsidRPr="00120424">
        <w:rPr>
          <w:rFonts w:ascii="Arial" w:eastAsia="Calibri" w:hAnsi="Arial" w:cs="Arial"/>
          <w:lang w:eastAsia="en-US"/>
        </w:rPr>
        <w:t>2</w:t>
      </w:r>
      <w:r w:rsidRPr="00120424">
        <w:rPr>
          <w:rFonts w:ascii="Arial" w:eastAsia="Calibri" w:hAnsi="Arial" w:cs="Arial"/>
          <w:lang w:eastAsia="en-US"/>
        </w:rPr>
        <w:t xml:space="preserve"> del artículo 140 del Código de Procedimiento Civil.</w:t>
      </w:r>
    </w:p>
    <w:p w14:paraId="35199BBC" w14:textId="77777777" w:rsidR="00A4147F" w:rsidRPr="00120424" w:rsidRDefault="00A4147F" w:rsidP="00A4147F">
      <w:pPr>
        <w:spacing w:line="360" w:lineRule="auto"/>
        <w:ind w:right="-142"/>
        <w:jc w:val="both"/>
        <w:rPr>
          <w:rFonts w:ascii="Arial" w:eastAsia="Calibri" w:hAnsi="Arial" w:cs="Arial"/>
          <w:color w:val="525252"/>
          <w:lang w:val="es-CO" w:eastAsia="en-US"/>
        </w:rPr>
      </w:pPr>
    </w:p>
    <w:p w14:paraId="32784BD9" w14:textId="77777777" w:rsidR="00A4147F" w:rsidRPr="00120424" w:rsidRDefault="00A4147F" w:rsidP="00A4147F">
      <w:pPr>
        <w:spacing w:line="360" w:lineRule="auto"/>
        <w:ind w:right="-142"/>
        <w:jc w:val="both"/>
        <w:rPr>
          <w:rFonts w:ascii="Arial" w:eastAsia="Calibri" w:hAnsi="Arial" w:cs="Arial"/>
          <w:lang w:val="es-CO" w:eastAsia="en-US"/>
        </w:rPr>
      </w:pPr>
      <w:r w:rsidRPr="00120424">
        <w:rPr>
          <w:rFonts w:ascii="Arial" w:eastAsia="Calibri" w:hAnsi="Arial" w:cs="Arial"/>
          <w:lang w:val="es-CO" w:eastAsia="en-US"/>
        </w:rPr>
        <w:t xml:space="preserve">Es de importancia en el presente caso, con el fin de garantizar la efectividad del derecho fundamental de acceso a la Administración de Justicia, establecer que para todos los efectos legales debe tenerse en cuenta la fecha de presentación de la demanda ante esta Jurisdicción de lo Contencioso Administrativo, esto es, el </w:t>
      </w:r>
      <w:r w:rsidR="00A3394E" w:rsidRPr="00120424">
        <w:rPr>
          <w:rFonts w:ascii="Arial" w:eastAsia="Calibri" w:hAnsi="Arial" w:cs="Arial"/>
          <w:lang w:val="es-CO" w:eastAsia="en-US"/>
        </w:rPr>
        <w:t>29 de octubre de 1997.</w:t>
      </w:r>
    </w:p>
    <w:p w14:paraId="4C02816C" w14:textId="77777777" w:rsidR="00A4147F" w:rsidRPr="00120424" w:rsidRDefault="00A4147F" w:rsidP="00A4147F">
      <w:pPr>
        <w:spacing w:line="360" w:lineRule="auto"/>
        <w:ind w:right="-142"/>
        <w:jc w:val="both"/>
        <w:rPr>
          <w:rFonts w:ascii="Arial" w:eastAsia="Calibri" w:hAnsi="Arial" w:cs="Arial"/>
          <w:color w:val="525252"/>
          <w:lang w:val="es-CO" w:eastAsia="en-US"/>
        </w:rPr>
      </w:pPr>
    </w:p>
    <w:p w14:paraId="172BF1EA" w14:textId="77777777" w:rsidR="00A4147F" w:rsidRPr="00120424" w:rsidRDefault="00A4147F" w:rsidP="00A4147F">
      <w:pPr>
        <w:spacing w:line="360" w:lineRule="auto"/>
        <w:ind w:right="-142"/>
        <w:jc w:val="both"/>
        <w:rPr>
          <w:rFonts w:ascii="Arial" w:eastAsia="Calibri" w:hAnsi="Arial" w:cs="Arial"/>
          <w:lang w:eastAsia="en-US"/>
        </w:rPr>
      </w:pPr>
      <w:r w:rsidRPr="00120424">
        <w:rPr>
          <w:rFonts w:ascii="Arial" w:eastAsia="Calibri" w:hAnsi="Arial" w:cs="Arial"/>
          <w:lang w:eastAsia="en-US"/>
        </w:rPr>
        <w:t xml:space="preserve">De conformidad con lo anterior, se impone ordenar la remisión del expediente </w:t>
      </w:r>
      <w:r w:rsidR="008236A3" w:rsidRPr="00120424">
        <w:rPr>
          <w:rFonts w:ascii="Arial" w:eastAsia="Calibri" w:hAnsi="Arial" w:cs="Arial"/>
          <w:lang w:eastAsia="en-US"/>
        </w:rPr>
        <w:t>al Tribunal de origen</w:t>
      </w:r>
      <w:r w:rsidRPr="00120424">
        <w:rPr>
          <w:rFonts w:ascii="Arial" w:eastAsia="Calibri" w:hAnsi="Arial" w:cs="Arial"/>
          <w:lang w:eastAsia="en-US"/>
        </w:rPr>
        <w:t xml:space="preserve">, con el fin de que </w:t>
      </w:r>
      <w:r w:rsidR="008236A3" w:rsidRPr="00120424">
        <w:rPr>
          <w:rFonts w:ascii="Arial" w:eastAsia="Calibri" w:hAnsi="Arial" w:cs="Arial"/>
          <w:lang w:eastAsia="en-US"/>
        </w:rPr>
        <w:t>profiera la sentencia respectiva,</w:t>
      </w:r>
      <w:r w:rsidRPr="00120424">
        <w:rPr>
          <w:rFonts w:ascii="Arial" w:eastAsia="Calibri" w:hAnsi="Arial" w:cs="Arial"/>
          <w:lang w:eastAsia="en-US"/>
        </w:rPr>
        <w:t xml:space="preserve"> atendiendo a las consideraciones y precisiones expuestas en precedencia.</w:t>
      </w:r>
    </w:p>
    <w:p w14:paraId="0BEC6425" w14:textId="77777777" w:rsidR="00A4147F" w:rsidRPr="00120424" w:rsidRDefault="00A4147F" w:rsidP="00A4147F">
      <w:pPr>
        <w:spacing w:line="360" w:lineRule="auto"/>
        <w:ind w:right="-142"/>
        <w:jc w:val="both"/>
        <w:rPr>
          <w:rFonts w:ascii="Arial" w:eastAsia="Calibri" w:hAnsi="Arial" w:cs="Arial"/>
          <w:lang w:eastAsia="en-US"/>
        </w:rPr>
      </w:pPr>
    </w:p>
    <w:p w14:paraId="06CA9385" w14:textId="77777777" w:rsidR="00A4147F" w:rsidRPr="00120424" w:rsidRDefault="00A4147F" w:rsidP="00A4147F">
      <w:pPr>
        <w:spacing w:line="360" w:lineRule="auto"/>
        <w:ind w:right="-142"/>
        <w:jc w:val="both"/>
        <w:rPr>
          <w:rFonts w:ascii="Arial" w:eastAsia="Calibri" w:hAnsi="Arial" w:cs="Arial"/>
          <w:lang w:eastAsia="en-US"/>
        </w:rPr>
      </w:pPr>
      <w:r w:rsidRPr="00120424">
        <w:rPr>
          <w:rFonts w:ascii="Arial" w:eastAsia="Calibri" w:hAnsi="Arial" w:cs="Arial"/>
          <w:lang w:eastAsia="en-US"/>
        </w:rPr>
        <w:t>En mérito de lo expuesto, el Despacho</w:t>
      </w:r>
    </w:p>
    <w:p w14:paraId="248A1203" w14:textId="77777777" w:rsidR="00A4147F" w:rsidRPr="00120424" w:rsidRDefault="00A4147F" w:rsidP="00A4147F">
      <w:pPr>
        <w:spacing w:line="360" w:lineRule="auto"/>
        <w:ind w:right="-142"/>
        <w:jc w:val="both"/>
        <w:rPr>
          <w:rFonts w:ascii="Arial" w:eastAsia="Calibri" w:hAnsi="Arial" w:cs="Arial"/>
          <w:lang w:eastAsia="en-US"/>
        </w:rPr>
      </w:pPr>
    </w:p>
    <w:p w14:paraId="5FE1B582" w14:textId="77777777" w:rsidR="00A4147F" w:rsidRPr="00120424" w:rsidRDefault="00A4147F" w:rsidP="00A4147F">
      <w:pPr>
        <w:spacing w:line="360" w:lineRule="auto"/>
        <w:ind w:right="-142"/>
        <w:jc w:val="both"/>
        <w:rPr>
          <w:rFonts w:ascii="Arial" w:eastAsia="Calibri" w:hAnsi="Arial" w:cs="Arial"/>
          <w:lang w:eastAsia="en-US"/>
        </w:rPr>
      </w:pPr>
    </w:p>
    <w:p w14:paraId="70FD33CF" w14:textId="77777777" w:rsidR="00A4147F" w:rsidRPr="00120424" w:rsidRDefault="00A4147F" w:rsidP="00A4147F">
      <w:pPr>
        <w:widowControl w:val="0"/>
        <w:autoSpaceDE w:val="0"/>
        <w:autoSpaceDN w:val="0"/>
        <w:adjustRightInd w:val="0"/>
        <w:spacing w:line="360" w:lineRule="auto"/>
        <w:ind w:right="-142"/>
        <w:jc w:val="center"/>
        <w:rPr>
          <w:rFonts w:ascii="Arial" w:eastAsia="Calibri" w:hAnsi="Arial" w:cs="Arial"/>
          <w:b/>
          <w:bCs/>
          <w:iCs/>
          <w:lang w:eastAsia="en-US"/>
        </w:rPr>
      </w:pPr>
      <w:r w:rsidRPr="00120424">
        <w:rPr>
          <w:rFonts w:ascii="Arial" w:eastAsia="Calibri" w:hAnsi="Arial" w:cs="Arial"/>
          <w:b/>
          <w:bCs/>
          <w:iCs/>
          <w:lang w:eastAsia="en-US"/>
        </w:rPr>
        <w:t>R E S U E L V E:</w:t>
      </w:r>
    </w:p>
    <w:p w14:paraId="3CB98881" w14:textId="77777777" w:rsidR="00A4147F" w:rsidRPr="00120424" w:rsidRDefault="00A4147F" w:rsidP="00A4147F">
      <w:pPr>
        <w:widowControl w:val="0"/>
        <w:autoSpaceDE w:val="0"/>
        <w:autoSpaceDN w:val="0"/>
        <w:adjustRightInd w:val="0"/>
        <w:spacing w:line="360" w:lineRule="auto"/>
        <w:ind w:right="-142"/>
        <w:jc w:val="both"/>
        <w:rPr>
          <w:rFonts w:ascii="Arial" w:eastAsia="Calibri" w:hAnsi="Arial" w:cs="Arial"/>
          <w:b/>
          <w:bCs/>
          <w:iCs/>
          <w:lang w:eastAsia="en-US"/>
        </w:rPr>
      </w:pPr>
    </w:p>
    <w:p w14:paraId="34B6A3E4" w14:textId="77777777" w:rsidR="00A4147F" w:rsidRPr="00120424" w:rsidRDefault="00A4147F" w:rsidP="00A4147F">
      <w:pPr>
        <w:widowControl w:val="0"/>
        <w:autoSpaceDE w:val="0"/>
        <w:autoSpaceDN w:val="0"/>
        <w:adjustRightInd w:val="0"/>
        <w:spacing w:line="360" w:lineRule="auto"/>
        <w:ind w:right="-142"/>
        <w:jc w:val="both"/>
        <w:rPr>
          <w:rFonts w:ascii="Arial" w:eastAsia="Calibri" w:hAnsi="Arial" w:cs="Arial"/>
          <w:b/>
          <w:bCs/>
          <w:iCs/>
          <w:lang w:eastAsia="en-US"/>
        </w:rPr>
      </w:pPr>
    </w:p>
    <w:p w14:paraId="5DBA324D" w14:textId="77777777" w:rsidR="00A4147F" w:rsidRPr="00120424" w:rsidRDefault="00A4147F" w:rsidP="00A4147F">
      <w:pPr>
        <w:widowControl w:val="0"/>
        <w:autoSpaceDE w:val="0"/>
        <w:autoSpaceDN w:val="0"/>
        <w:adjustRightInd w:val="0"/>
        <w:spacing w:line="360" w:lineRule="auto"/>
        <w:jc w:val="both"/>
        <w:rPr>
          <w:rFonts w:ascii="Arial" w:eastAsia="Calibri" w:hAnsi="Arial" w:cs="Arial"/>
          <w:bCs/>
          <w:iCs/>
          <w:lang w:eastAsia="en-US"/>
        </w:rPr>
      </w:pPr>
      <w:r w:rsidRPr="00120424">
        <w:rPr>
          <w:rFonts w:ascii="Arial" w:eastAsia="Calibri" w:hAnsi="Arial" w:cs="Arial"/>
          <w:b/>
          <w:bCs/>
          <w:iCs/>
          <w:lang w:eastAsia="en-US"/>
        </w:rPr>
        <w:t xml:space="preserve">PRIMERO: DECLARAR </w:t>
      </w:r>
      <w:r w:rsidRPr="00120424">
        <w:rPr>
          <w:rFonts w:ascii="Arial" w:eastAsia="Calibri" w:hAnsi="Arial" w:cs="Arial"/>
          <w:bCs/>
          <w:iCs/>
          <w:lang w:eastAsia="en-US"/>
        </w:rPr>
        <w:t>la nulidad de todo lo actuado dentro del proceso de la referencia</w:t>
      </w:r>
      <w:r w:rsidR="008236A3" w:rsidRPr="00120424">
        <w:rPr>
          <w:rFonts w:ascii="Arial" w:eastAsia="Calibri" w:hAnsi="Arial" w:cs="Arial"/>
          <w:bCs/>
          <w:iCs/>
          <w:lang w:eastAsia="en-US"/>
        </w:rPr>
        <w:t xml:space="preserve"> a partir de la sentencia dictada por el Tribunal Administrativo de Cundinamarca el 3 de noviembre de 2004, inclusive</w:t>
      </w:r>
      <w:r w:rsidRPr="00120424">
        <w:rPr>
          <w:rFonts w:ascii="Arial" w:eastAsia="Calibri" w:hAnsi="Arial" w:cs="Arial"/>
          <w:bCs/>
          <w:iCs/>
          <w:lang w:eastAsia="en-US"/>
        </w:rPr>
        <w:t xml:space="preserve">, por </w:t>
      </w:r>
      <w:r w:rsidR="008236A3" w:rsidRPr="00120424">
        <w:rPr>
          <w:rFonts w:ascii="Arial" w:eastAsia="Calibri" w:hAnsi="Arial" w:cs="Arial"/>
          <w:bCs/>
          <w:iCs/>
          <w:lang w:eastAsia="en-US"/>
        </w:rPr>
        <w:t>haberse emitido dicha decisión sin la debida competencia funcional</w:t>
      </w:r>
      <w:r w:rsidRPr="00120424">
        <w:rPr>
          <w:rFonts w:ascii="Arial" w:eastAsia="Calibri" w:hAnsi="Arial" w:cs="Arial"/>
          <w:bCs/>
          <w:iCs/>
          <w:lang w:eastAsia="en-US"/>
        </w:rPr>
        <w:t>.</w:t>
      </w:r>
    </w:p>
    <w:p w14:paraId="4B2890F5" w14:textId="77777777" w:rsidR="00A4147F" w:rsidRPr="00120424" w:rsidRDefault="00A4147F" w:rsidP="00A4147F">
      <w:pPr>
        <w:widowControl w:val="0"/>
        <w:autoSpaceDE w:val="0"/>
        <w:autoSpaceDN w:val="0"/>
        <w:adjustRightInd w:val="0"/>
        <w:spacing w:line="360" w:lineRule="auto"/>
        <w:jc w:val="both"/>
        <w:rPr>
          <w:rFonts w:ascii="Arial" w:eastAsia="Calibri" w:hAnsi="Arial" w:cs="Arial"/>
          <w:b/>
          <w:bCs/>
          <w:iCs/>
          <w:lang w:eastAsia="en-US"/>
        </w:rPr>
      </w:pPr>
    </w:p>
    <w:p w14:paraId="6E4DF0CD" w14:textId="77777777" w:rsidR="00A4147F" w:rsidRPr="00120424" w:rsidRDefault="00A4147F" w:rsidP="00A4147F">
      <w:pPr>
        <w:widowControl w:val="0"/>
        <w:autoSpaceDE w:val="0"/>
        <w:autoSpaceDN w:val="0"/>
        <w:adjustRightInd w:val="0"/>
        <w:spacing w:line="360" w:lineRule="auto"/>
        <w:jc w:val="both"/>
        <w:rPr>
          <w:rFonts w:ascii="Arial" w:eastAsia="Calibri" w:hAnsi="Arial" w:cs="Arial"/>
          <w:lang w:eastAsia="en-US"/>
        </w:rPr>
      </w:pPr>
      <w:r w:rsidRPr="00120424">
        <w:rPr>
          <w:rFonts w:ascii="Arial" w:eastAsia="Calibri" w:hAnsi="Arial" w:cs="Arial"/>
          <w:b/>
          <w:bCs/>
          <w:iCs/>
          <w:lang w:eastAsia="en-US"/>
        </w:rPr>
        <w:t>SEGUNDO: SEÑALAR</w:t>
      </w:r>
      <w:r w:rsidRPr="00120424">
        <w:rPr>
          <w:rFonts w:ascii="Arial" w:eastAsia="Calibri" w:hAnsi="Arial" w:cs="Arial"/>
          <w:bCs/>
          <w:lang w:eastAsia="en-US"/>
        </w:rPr>
        <w:t xml:space="preserve"> que, para todos los efectos, se tendrá en cuenta la fecha de presentación de la demanda ante esta jurisdicción, es decir, el </w:t>
      </w:r>
      <w:r w:rsidR="008236A3" w:rsidRPr="00120424">
        <w:rPr>
          <w:rFonts w:ascii="Arial" w:eastAsia="Calibri" w:hAnsi="Arial" w:cs="Arial"/>
          <w:bCs/>
          <w:lang w:eastAsia="en-US"/>
        </w:rPr>
        <w:t>29 de octubre de 1997</w:t>
      </w:r>
      <w:r w:rsidRPr="00120424">
        <w:rPr>
          <w:rFonts w:ascii="Arial" w:eastAsia="Calibri" w:hAnsi="Arial" w:cs="Arial"/>
          <w:bCs/>
          <w:lang w:eastAsia="en-US"/>
        </w:rPr>
        <w:t>.</w:t>
      </w:r>
    </w:p>
    <w:p w14:paraId="3F1BD498" w14:textId="77777777" w:rsidR="00A4147F" w:rsidRPr="00120424" w:rsidRDefault="00A4147F" w:rsidP="00A4147F">
      <w:pPr>
        <w:widowControl w:val="0"/>
        <w:autoSpaceDE w:val="0"/>
        <w:autoSpaceDN w:val="0"/>
        <w:adjustRightInd w:val="0"/>
        <w:spacing w:line="360" w:lineRule="auto"/>
        <w:jc w:val="both"/>
        <w:rPr>
          <w:rFonts w:ascii="Arial" w:eastAsia="Calibri" w:hAnsi="Arial" w:cs="Arial"/>
          <w:b/>
          <w:bCs/>
          <w:iCs/>
          <w:lang w:eastAsia="en-US"/>
        </w:rPr>
      </w:pPr>
    </w:p>
    <w:p w14:paraId="29B7A941" w14:textId="77777777" w:rsidR="00A4147F" w:rsidRPr="00120424" w:rsidRDefault="00A4147F" w:rsidP="00A4147F">
      <w:pPr>
        <w:widowControl w:val="0"/>
        <w:autoSpaceDE w:val="0"/>
        <w:autoSpaceDN w:val="0"/>
        <w:adjustRightInd w:val="0"/>
        <w:spacing w:line="360" w:lineRule="auto"/>
        <w:jc w:val="both"/>
        <w:rPr>
          <w:rFonts w:ascii="Arial" w:eastAsia="Calibri" w:hAnsi="Arial" w:cs="Arial"/>
          <w:lang w:eastAsia="en-US"/>
        </w:rPr>
      </w:pPr>
      <w:r w:rsidRPr="00120424">
        <w:rPr>
          <w:rFonts w:ascii="Arial" w:eastAsia="Calibri" w:hAnsi="Arial" w:cs="Arial"/>
          <w:b/>
          <w:bCs/>
          <w:iCs/>
          <w:lang w:eastAsia="en-US"/>
        </w:rPr>
        <w:lastRenderedPageBreak/>
        <w:t xml:space="preserve">TERCERO: </w:t>
      </w:r>
      <w:r w:rsidRPr="00120424">
        <w:rPr>
          <w:rFonts w:ascii="Arial" w:eastAsia="Calibri" w:hAnsi="Arial" w:cs="Arial"/>
          <w:b/>
          <w:bCs/>
          <w:lang w:eastAsia="en-US"/>
        </w:rPr>
        <w:t xml:space="preserve">REMITIR </w:t>
      </w:r>
      <w:r w:rsidRPr="00120424">
        <w:rPr>
          <w:rFonts w:ascii="Arial" w:eastAsia="Calibri" w:hAnsi="Arial" w:cs="Arial"/>
          <w:bCs/>
          <w:lang w:eastAsia="en-US"/>
        </w:rPr>
        <w:t>el expediente a</w:t>
      </w:r>
      <w:r w:rsidR="008236A3" w:rsidRPr="00120424">
        <w:rPr>
          <w:rFonts w:ascii="Arial" w:eastAsia="Calibri" w:hAnsi="Arial" w:cs="Arial"/>
          <w:bCs/>
          <w:lang w:eastAsia="en-US"/>
        </w:rPr>
        <w:t>l Tribunal de origen</w:t>
      </w:r>
      <w:r w:rsidRPr="00120424">
        <w:rPr>
          <w:rFonts w:ascii="Arial" w:eastAsia="Calibri" w:hAnsi="Arial" w:cs="Arial"/>
          <w:bCs/>
          <w:lang w:eastAsia="en-US"/>
        </w:rPr>
        <w:t>,  para lo de su cargo.</w:t>
      </w:r>
    </w:p>
    <w:p w14:paraId="05E4FAE2" w14:textId="77777777" w:rsidR="00A4147F" w:rsidRPr="00120424" w:rsidRDefault="00A4147F" w:rsidP="00A4147F">
      <w:pPr>
        <w:keepNext/>
        <w:spacing w:line="360" w:lineRule="auto"/>
        <w:ind w:left="2124" w:right="-142"/>
        <w:jc w:val="both"/>
        <w:outlineLvl w:val="4"/>
        <w:rPr>
          <w:rFonts w:ascii="Arial" w:hAnsi="Arial" w:cs="Arial"/>
          <w:b/>
        </w:rPr>
      </w:pPr>
    </w:p>
    <w:p w14:paraId="3C796287" w14:textId="77777777" w:rsidR="00A4147F" w:rsidRPr="00120424" w:rsidRDefault="00A4147F" w:rsidP="00A4147F">
      <w:pPr>
        <w:keepNext/>
        <w:spacing w:line="360" w:lineRule="auto"/>
        <w:ind w:left="2124" w:right="-142"/>
        <w:jc w:val="both"/>
        <w:outlineLvl w:val="4"/>
        <w:rPr>
          <w:rFonts w:ascii="Arial" w:hAnsi="Arial" w:cs="Arial"/>
          <w:b/>
        </w:rPr>
      </w:pPr>
    </w:p>
    <w:p w14:paraId="17C5B840" w14:textId="77777777" w:rsidR="00A4147F" w:rsidRPr="00120424" w:rsidRDefault="00A4147F" w:rsidP="00120424">
      <w:pPr>
        <w:keepNext/>
        <w:spacing w:line="360" w:lineRule="auto"/>
        <w:ind w:left="2124" w:right="-142"/>
        <w:jc w:val="both"/>
        <w:outlineLvl w:val="4"/>
        <w:rPr>
          <w:rFonts w:ascii="Arial" w:hAnsi="Arial" w:cs="Arial"/>
          <w:b/>
        </w:rPr>
      </w:pPr>
      <w:r w:rsidRPr="00120424">
        <w:rPr>
          <w:rFonts w:ascii="Arial" w:hAnsi="Arial" w:cs="Arial"/>
          <w:b/>
        </w:rPr>
        <w:t>CÓPIESE, NOTIFÍQUESE Y CÚMPLASE</w:t>
      </w:r>
    </w:p>
    <w:p w14:paraId="173A359C" w14:textId="77777777" w:rsidR="00A4147F" w:rsidRPr="00120424" w:rsidRDefault="00A4147F" w:rsidP="00A4147F">
      <w:pPr>
        <w:spacing w:line="360" w:lineRule="auto"/>
        <w:ind w:right="-142"/>
        <w:jc w:val="center"/>
        <w:rPr>
          <w:rFonts w:ascii="Arial" w:eastAsia="Calibri" w:hAnsi="Arial" w:cs="Arial"/>
          <w:i/>
          <w:lang w:eastAsia="en-US"/>
        </w:rPr>
      </w:pPr>
      <w:r w:rsidRPr="00120424">
        <w:rPr>
          <w:rFonts w:ascii="Arial" w:eastAsia="Calibri" w:hAnsi="Arial" w:cs="Arial"/>
          <w:b/>
          <w:lang w:eastAsia="en-US"/>
        </w:rPr>
        <w:t>MARTA NUBIA VELÁSQUEZ RICO</w:t>
      </w:r>
    </w:p>
    <w:p w14:paraId="2F276AA7" w14:textId="77777777" w:rsidR="00120424" w:rsidRPr="00120424" w:rsidRDefault="00120424">
      <w:pPr>
        <w:spacing w:line="360" w:lineRule="auto"/>
        <w:ind w:right="-142"/>
        <w:jc w:val="center"/>
        <w:rPr>
          <w:rFonts w:ascii="Arial" w:eastAsia="Calibri" w:hAnsi="Arial" w:cs="Arial"/>
          <w:i/>
          <w:lang w:eastAsia="en-US"/>
        </w:rPr>
      </w:pPr>
    </w:p>
    <w:sectPr w:rsidR="00120424" w:rsidRPr="00120424" w:rsidSect="00120424">
      <w:footerReference w:type="first" r:id="rId11"/>
      <w:pgSz w:w="12242" w:h="18722" w:code="121"/>
      <w:pgMar w:top="1701" w:right="1701" w:bottom="1701" w:left="1701"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27AFBE" w14:textId="77777777" w:rsidR="00B904BD" w:rsidRDefault="00B904BD" w:rsidP="00A4147F">
      <w:r>
        <w:separator/>
      </w:r>
    </w:p>
  </w:endnote>
  <w:endnote w:type="continuationSeparator" w:id="0">
    <w:p w14:paraId="7C2736DA" w14:textId="77777777" w:rsidR="00B904BD" w:rsidRDefault="00B904BD" w:rsidP="00A41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B4AC" w14:textId="77777777" w:rsidR="00BA5942" w:rsidRDefault="00BA5942">
    <w:pPr>
      <w:pStyle w:val="Piedepgina"/>
      <w:jc w:val="center"/>
    </w:pPr>
    <w:r>
      <w:fldChar w:fldCharType="begin"/>
    </w:r>
    <w:r>
      <w:instrText>PAGE   \* MERGEFORMAT</w:instrText>
    </w:r>
    <w:r>
      <w:fldChar w:fldCharType="separate"/>
    </w:r>
    <w:r w:rsidR="00120424">
      <w:rPr>
        <w:noProof/>
      </w:rPr>
      <w:t>1</w:t>
    </w:r>
    <w:r>
      <w:fldChar w:fldCharType="end"/>
    </w:r>
  </w:p>
  <w:p w14:paraId="34B91230" w14:textId="77777777" w:rsidR="0003605C" w:rsidRDefault="0003605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771570" w14:textId="77777777" w:rsidR="00B904BD" w:rsidRDefault="00B904BD" w:rsidP="00A4147F">
      <w:r>
        <w:separator/>
      </w:r>
    </w:p>
  </w:footnote>
  <w:footnote w:type="continuationSeparator" w:id="0">
    <w:p w14:paraId="1B166B2A" w14:textId="77777777" w:rsidR="00B904BD" w:rsidRDefault="00B904BD" w:rsidP="00A4147F">
      <w:r>
        <w:continuationSeparator/>
      </w:r>
    </w:p>
  </w:footnote>
  <w:footnote w:id="1">
    <w:p w14:paraId="3FBA1EBC" w14:textId="77777777" w:rsidR="00391F3D" w:rsidRPr="00391F3D" w:rsidRDefault="00391F3D" w:rsidP="00AE14F1">
      <w:pPr>
        <w:pStyle w:val="Textonotapie"/>
        <w:jc w:val="both"/>
        <w:rPr>
          <w:lang w:val="es-CO"/>
        </w:rPr>
      </w:pPr>
      <w:r w:rsidRPr="00AE14F1">
        <w:rPr>
          <w:rStyle w:val="Refdenotaalpie"/>
          <w:rFonts w:ascii="Arial" w:hAnsi="Arial" w:cs="Arial"/>
        </w:rPr>
        <w:footnoteRef/>
      </w:r>
      <w:r w:rsidRPr="00AE14F1">
        <w:rPr>
          <w:rFonts w:ascii="Arial" w:hAnsi="Arial" w:cs="Arial"/>
        </w:rPr>
        <w:t xml:space="preserve"> </w:t>
      </w:r>
      <w:r w:rsidRPr="00AE14F1">
        <w:rPr>
          <w:rFonts w:ascii="Arial" w:hAnsi="Arial" w:cs="Arial"/>
          <w:lang w:val="es-CO"/>
        </w:rPr>
        <w:t xml:space="preserve">El libelo fue adicionado el 15 de diciembre de 1998, con la invocación de nuevas normas que se consideraron infringidas por el ente demandado y con la </w:t>
      </w:r>
      <w:r w:rsidR="00AE14F1" w:rsidRPr="00AE14F1">
        <w:rPr>
          <w:rFonts w:ascii="Arial" w:hAnsi="Arial" w:cs="Arial"/>
          <w:lang w:val="es-CO"/>
        </w:rPr>
        <w:t>agregación</w:t>
      </w:r>
      <w:r w:rsidRPr="00AE14F1">
        <w:rPr>
          <w:rFonts w:ascii="Arial" w:hAnsi="Arial" w:cs="Arial"/>
          <w:lang w:val="es-CO"/>
        </w:rPr>
        <w:t xml:space="preserve"> de </w:t>
      </w:r>
      <w:r w:rsidR="00AE14F1" w:rsidRPr="00AE14F1">
        <w:rPr>
          <w:rFonts w:ascii="Arial" w:hAnsi="Arial" w:cs="Arial"/>
          <w:lang w:val="es-CO"/>
        </w:rPr>
        <w:t>pruebas</w:t>
      </w:r>
      <w:r w:rsidR="00AE14F1">
        <w:rPr>
          <w:lang w:val="es-CO"/>
        </w:rPr>
        <w:t>.</w:t>
      </w:r>
    </w:p>
  </w:footnote>
  <w:footnote w:id="2">
    <w:p w14:paraId="6239DEB9" w14:textId="77777777" w:rsidR="00401C37" w:rsidRPr="00401C37" w:rsidRDefault="00401C37">
      <w:pPr>
        <w:pStyle w:val="Textonotapie"/>
        <w:rPr>
          <w:rFonts w:ascii="Arial" w:hAnsi="Arial" w:cs="Arial"/>
        </w:rPr>
      </w:pPr>
      <w:r w:rsidRPr="00401C37">
        <w:rPr>
          <w:rStyle w:val="Refdenotaalpie"/>
          <w:rFonts w:ascii="Arial" w:hAnsi="Arial" w:cs="Arial"/>
        </w:rPr>
        <w:footnoteRef/>
      </w:r>
      <w:r w:rsidRPr="00401C37">
        <w:rPr>
          <w:rFonts w:ascii="Arial" w:hAnsi="Arial" w:cs="Arial"/>
        </w:rPr>
        <w:t xml:space="preserve"> Fl. 73 c.1.</w:t>
      </w:r>
    </w:p>
  </w:footnote>
  <w:footnote w:id="3">
    <w:p w14:paraId="61224389" w14:textId="77777777" w:rsidR="00757E62" w:rsidRPr="00757E62" w:rsidRDefault="00757E62" w:rsidP="00A40939">
      <w:pPr>
        <w:pStyle w:val="Textonotapie"/>
        <w:jc w:val="both"/>
        <w:rPr>
          <w:rFonts w:ascii="Arial" w:hAnsi="Arial" w:cs="Arial"/>
        </w:rPr>
      </w:pPr>
      <w:r w:rsidRPr="00757E62">
        <w:rPr>
          <w:rStyle w:val="Refdenotaalpie"/>
          <w:rFonts w:ascii="Arial" w:hAnsi="Arial" w:cs="Arial"/>
        </w:rPr>
        <w:footnoteRef/>
      </w:r>
      <w:r w:rsidRPr="00757E62">
        <w:rPr>
          <w:rFonts w:ascii="Arial" w:hAnsi="Arial" w:cs="Arial"/>
        </w:rPr>
        <w:t xml:space="preserve"> Fl. 275 del cuaderno de segunda instancia.</w:t>
      </w:r>
    </w:p>
  </w:footnote>
  <w:footnote w:id="4">
    <w:p w14:paraId="7A85C0EC" w14:textId="77777777" w:rsidR="008124F9" w:rsidRPr="008124F9" w:rsidRDefault="008124F9" w:rsidP="008124F9">
      <w:pPr>
        <w:pStyle w:val="Textonotapie"/>
        <w:jc w:val="both"/>
        <w:rPr>
          <w:rFonts w:ascii="Arial" w:hAnsi="Arial" w:cs="Arial"/>
        </w:rPr>
      </w:pPr>
      <w:r w:rsidRPr="008124F9">
        <w:rPr>
          <w:rStyle w:val="Refdenotaalpie"/>
          <w:rFonts w:ascii="Arial" w:hAnsi="Arial" w:cs="Arial"/>
        </w:rPr>
        <w:footnoteRef/>
      </w:r>
      <w:r w:rsidRPr="008124F9">
        <w:rPr>
          <w:rFonts w:ascii="Arial" w:hAnsi="Arial" w:cs="Arial"/>
        </w:rPr>
        <w:t xml:space="preserve"> Fls. 270 y 271 del cuaderno de segunda instancia.</w:t>
      </w:r>
    </w:p>
  </w:footnote>
  <w:footnote w:id="5">
    <w:p w14:paraId="78471BFC" w14:textId="77777777" w:rsidR="005E61B0" w:rsidRPr="005E61B0" w:rsidRDefault="005E61B0">
      <w:pPr>
        <w:pStyle w:val="Textonotapie"/>
        <w:rPr>
          <w:rFonts w:ascii="Arial" w:hAnsi="Arial" w:cs="Arial"/>
        </w:rPr>
      </w:pPr>
      <w:r w:rsidRPr="005E61B0">
        <w:rPr>
          <w:rStyle w:val="Refdenotaalpie"/>
          <w:rFonts w:ascii="Arial" w:hAnsi="Arial" w:cs="Arial"/>
        </w:rPr>
        <w:footnoteRef/>
      </w:r>
      <w:r w:rsidRPr="005E61B0">
        <w:rPr>
          <w:rFonts w:ascii="Arial" w:hAnsi="Arial" w:cs="Arial"/>
        </w:rPr>
        <w:t xml:space="preserve"> Fls. 277 – 280 del cuaderno de segunda instancia.</w:t>
      </w:r>
    </w:p>
  </w:footnote>
  <w:footnote w:id="6">
    <w:p w14:paraId="5B09954C" w14:textId="77777777" w:rsidR="008F52AD" w:rsidRPr="008F52AD" w:rsidRDefault="008F52AD">
      <w:pPr>
        <w:pStyle w:val="Textonotapie"/>
        <w:rPr>
          <w:rFonts w:ascii="Arial" w:hAnsi="Arial" w:cs="Arial"/>
        </w:rPr>
      </w:pPr>
      <w:r w:rsidRPr="008F52AD">
        <w:rPr>
          <w:rStyle w:val="Refdenotaalpie"/>
          <w:rFonts w:ascii="Arial" w:hAnsi="Arial" w:cs="Arial"/>
        </w:rPr>
        <w:footnoteRef/>
      </w:r>
      <w:r w:rsidRPr="008F52AD">
        <w:rPr>
          <w:rFonts w:ascii="Arial" w:hAnsi="Arial" w:cs="Arial"/>
        </w:rPr>
        <w:t xml:space="preserve"> Fl. 282 del cuaderno de segunda instancia.</w:t>
      </w:r>
    </w:p>
  </w:footnote>
  <w:footnote w:id="7">
    <w:p w14:paraId="19B15D1A" w14:textId="77777777" w:rsidR="00B41DA7" w:rsidRPr="00B41DA7" w:rsidRDefault="00B41DA7">
      <w:pPr>
        <w:pStyle w:val="Textonotapie"/>
        <w:rPr>
          <w:rFonts w:ascii="Arial" w:hAnsi="Arial" w:cs="Arial"/>
        </w:rPr>
      </w:pPr>
      <w:r w:rsidRPr="00B41DA7">
        <w:rPr>
          <w:rStyle w:val="Refdenotaalpie"/>
          <w:rFonts w:ascii="Arial" w:hAnsi="Arial" w:cs="Arial"/>
        </w:rPr>
        <w:footnoteRef/>
      </w:r>
      <w:r w:rsidRPr="00B41DA7">
        <w:rPr>
          <w:rFonts w:ascii="Arial" w:hAnsi="Arial" w:cs="Arial"/>
        </w:rPr>
        <w:t xml:space="preserve"> Fl. 328 del cuaderno de segunda instancia.</w:t>
      </w:r>
    </w:p>
  </w:footnote>
  <w:footnote w:id="8">
    <w:p w14:paraId="444D75C7" w14:textId="77777777" w:rsidR="00A4147F" w:rsidRPr="00A612BB" w:rsidRDefault="00A4147F" w:rsidP="00A4147F">
      <w:pPr>
        <w:pStyle w:val="Sinespaciado"/>
        <w:jc w:val="both"/>
        <w:rPr>
          <w:rFonts w:ascii="Arial" w:hAnsi="Arial" w:cs="Arial"/>
          <w:i/>
          <w:sz w:val="20"/>
          <w:szCs w:val="20"/>
        </w:rPr>
      </w:pPr>
      <w:r w:rsidRPr="00A612BB">
        <w:rPr>
          <w:rStyle w:val="Refdenotaalpie"/>
          <w:rFonts w:ascii="Arial" w:hAnsi="Arial" w:cs="Arial"/>
          <w:sz w:val="20"/>
          <w:szCs w:val="20"/>
        </w:rPr>
        <w:footnoteRef/>
      </w:r>
      <w:r w:rsidRPr="00A612BB">
        <w:rPr>
          <w:rFonts w:ascii="Arial" w:hAnsi="Arial" w:cs="Arial"/>
          <w:sz w:val="20"/>
          <w:szCs w:val="20"/>
        </w:rPr>
        <w:t xml:space="preserve"> </w:t>
      </w:r>
      <w:r>
        <w:rPr>
          <w:rFonts w:ascii="Arial" w:hAnsi="Arial" w:cs="Arial"/>
          <w:bCs/>
          <w:i/>
          <w:sz w:val="20"/>
          <w:szCs w:val="20"/>
        </w:rPr>
        <w:t>Artículo 308 Régimen de Transición y V</w:t>
      </w:r>
      <w:r w:rsidRPr="00A612BB">
        <w:rPr>
          <w:rFonts w:ascii="Arial" w:hAnsi="Arial" w:cs="Arial"/>
          <w:bCs/>
          <w:i/>
          <w:sz w:val="20"/>
          <w:szCs w:val="20"/>
        </w:rPr>
        <w:t>igencia.</w:t>
      </w:r>
      <w:r w:rsidRPr="00A612BB">
        <w:rPr>
          <w:rStyle w:val="apple-converted-space"/>
          <w:rFonts w:ascii="Arial" w:hAnsi="Arial" w:cs="Arial"/>
          <w:i/>
          <w:sz w:val="20"/>
          <w:szCs w:val="20"/>
        </w:rPr>
        <w:t> </w:t>
      </w:r>
      <w:r w:rsidR="00CF0322" w:rsidRPr="00A612BB">
        <w:rPr>
          <w:rFonts w:ascii="Arial" w:hAnsi="Arial" w:cs="Arial"/>
          <w:i/>
          <w:sz w:val="20"/>
          <w:szCs w:val="20"/>
        </w:rPr>
        <w:t>“</w:t>
      </w:r>
      <w:r w:rsidRPr="00A612BB">
        <w:rPr>
          <w:rFonts w:ascii="Arial" w:hAnsi="Arial" w:cs="Arial"/>
          <w:i/>
          <w:sz w:val="20"/>
          <w:szCs w:val="20"/>
        </w:rPr>
        <w:t>El presente Código comenzará a regir el dos (2) de julio del año 2012</w:t>
      </w:r>
      <w:r w:rsidR="00CF0322">
        <w:rPr>
          <w:rFonts w:ascii="Arial" w:hAnsi="Arial" w:cs="Arial"/>
          <w:i/>
          <w:sz w:val="20"/>
          <w:szCs w:val="20"/>
        </w:rPr>
        <w:t>”</w:t>
      </w:r>
      <w:r w:rsidRPr="00A612BB">
        <w:rPr>
          <w:rFonts w:ascii="Arial" w:hAnsi="Arial" w:cs="Arial"/>
          <w:i/>
          <w:sz w:val="20"/>
          <w:szCs w:val="20"/>
        </w:rPr>
        <w:t>.</w:t>
      </w:r>
    </w:p>
    <w:p w14:paraId="6AAC2A22" w14:textId="77777777" w:rsidR="00A4147F" w:rsidRPr="00A612BB" w:rsidRDefault="00A4147F" w:rsidP="00A4147F">
      <w:pPr>
        <w:pStyle w:val="Sinespaciado"/>
        <w:jc w:val="both"/>
        <w:rPr>
          <w:rFonts w:ascii="Arial" w:hAnsi="Arial" w:cs="Arial"/>
          <w:i/>
          <w:sz w:val="20"/>
          <w:szCs w:val="20"/>
        </w:rPr>
      </w:pPr>
      <w:r w:rsidRPr="00A612BB">
        <w:rPr>
          <w:rFonts w:ascii="Arial" w:hAnsi="Arial" w:cs="Arial"/>
          <w:i/>
          <w:sz w:val="20"/>
          <w:szCs w:val="20"/>
        </w:rPr>
        <w:t xml:space="preserve">“Este Código </w:t>
      </w:r>
      <w:r w:rsidR="00F53EDB">
        <w:rPr>
          <w:rFonts w:ascii="Arial" w:hAnsi="Arial" w:cs="Arial"/>
          <w:i/>
          <w:sz w:val="20"/>
          <w:szCs w:val="20"/>
        </w:rPr>
        <w:t>solo</w:t>
      </w:r>
      <w:r w:rsidRPr="00A612BB">
        <w:rPr>
          <w:rFonts w:ascii="Arial" w:hAnsi="Arial" w:cs="Arial"/>
          <w:i/>
          <w:sz w:val="20"/>
          <w:szCs w:val="20"/>
        </w:rPr>
        <w:t xml:space="preserve"> se aplicará a los procedimientos y las actuaciones administrativas que se inicien, así como a las demandas y procesos que se instauren con posterioridad a la entrada en vigencia.</w:t>
      </w:r>
    </w:p>
    <w:p w14:paraId="69D94832" w14:textId="77777777" w:rsidR="00A4147F" w:rsidRPr="00AD5DB8" w:rsidRDefault="00A4147F" w:rsidP="00A4147F">
      <w:pPr>
        <w:pStyle w:val="Sinespaciado"/>
        <w:jc w:val="both"/>
        <w:rPr>
          <w:rFonts w:ascii="Arial" w:hAnsi="Arial" w:cs="Arial"/>
          <w:sz w:val="20"/>
          <w:szCs w:val="20"/>
        </w:rPr>
      </w:pPr>
      <w:r w:rsidRPr="00A612BB">
        <w:rPr>
          <w:rFonts w:ascii="Arial" w:hAnsi="Arial" w:cs="Arial"/>
          <w:i/>
          <w:sz w:val="20"/>
          <w:szCs w:val="20"/>
        </w:rPr>
        <w:t xml:space="preserve">“Los procedimientos y las actuaciones administrativas, </w:t>
      </w:r>
      <w:r w:rsidRPr="00205CEC">
        <w:rPr>
          <w:rFonts w:ascii="Arial" w:hAnsi="Arial" w:cs="Arial"/>
          <w:b/>
          <w:i/>
          <w:sz w:val="20"/>
          <w:szCs w:val="20"/>
        </w:rPr>
        <w:t xml:space="preserve">así como las demandas y procesos en curso a la vigencia de la presente ley seguirán rigiéndose y culminarán de conformidad con </w:t>
      </w:r>
      <w:r w:rsidRPr="00F973BE">
        <w:rPr>
          <w:rFonts w:ascii="Arial" w:hAnsi="Arial" w:cs="Arial"/>
          <w:b/>
          <w:i/>
          <w:sz w:val="20"/>
          <w:szCs w:val="20"/>
        </w:rPr>
        <w:t>el</w:t>
      </w:r>
      <w:r w:rsidRPr="005B799D">
        <w:rPr>
          <w:rFonts w:ascii="Arial" w:hAnsi="Arial" w:cs="Arial"/>
          <w:b/>
          <w:sz w:val="20"/>
          <w:szCs w:val="20"/>
        </w:rPr>
        <w:t xml:space="preserve"> </w:t>
      </w:r>
      <w:r w:rsidRPr="00205CEC">
        <w:rPr>
          <w:rFonts w:ascii="Arial" w:hAnsi="Arial" w:cs="Arial"/>
          <w:b/>
          <w:i/>
          <w:sz w:val="20"/>
          <w:szCs w:val="20"/>
          <w:u w:val="single"/>
        </w:rPr>
        <w:t>régimen jurídico anterior</w:t>
      </w:r>
      <w:r w:rsidRPr="00205CEC">
        <w:rPr>
          <w:rFonts w:ascii="Arial" w:hAnsi="Arial" w:cs="Arial"/>
          <w:i/>
          <w:sz w:val="20"/>
          <w:szCs w:val="20"/>
        </w:rPr>
        <w:t>”</w:t>
      </w:r>
      <w:r w:rsidRPr="00205CEC">
        <w:rPr>
          <w:rFonts w:ascii="Arial" w:hAnsi="Arial" w:cs="Arial"/>
          <w:sz w:val="20"/>
          <w:szCs w:val="20"/>
        </w:rPr>
        <w:t xml:space="preserve"> (</w:t>
      </w:r>
      <w:r w:rsidR="008A2C93">
        <w:rPr>
          <w:rFonts w:ascii="Arial" w:hAnsi="Arial" w:cs="Arial"/>
          <w:sz w:val="20"/>
          <w:szCs w:val="20"/>
        </w:rPr>
        <w:t>s</w:t>
      </w:r>
      <w:r w:rsidRPr="00205CEC">
        <w:rPr>
          <w:rFonts w:ascii="Arial" w:hAnsi="Arial" w:cs="Arial"/>
          <w:sz w:val="20"/>
          <w:szCs w:val="20"/>
        </w:rPr>
        <w:t>e destaca).</w:t>
      </w:r>
    </w:p>
  </w:footnote>
  <w:footnote w:id="9">
    <w:p w14:paraId="4FB38AF1" w14:textId="77777777" w:rsidR="00A4147F" w:rsidRPr="00713104" w:rsidRDefault="00A4147F" w:rsidP="00A4147F">
      <w:pPr>
        <w:pStyle w:val="Textonotapie"/>
        <w:jc w:val="both"/>
        <w:rPr>
          <w:rFonts w:ascii="Arial" w:hAnsi="Arial" w:cs="Arial"/>
        </w:rPr>
      </w:pPr>
      <w:r w:rsidRPr="003472DE">
        <w:rPr>
          <w:rStyle w:val="Refdenotaalpie"/>
          <w:rFonts w:ascii="Arial" w:hAnsi="Arial" w:cs="Arial"/>
        </w:rPr>
        <w:footnoteRef/>
      </w:r>
      <w:r w:rsidRPr="003472DE">
        <w:rPr>
          <w:rFonts w:ascii="Arial" w:hAnsi="Arial" w:cs="Arial"/>
        </w:rPr>
        <w:t xml:space="preserve"> El CPC se encontraba vigente antes del 2 de julio de 2012 -fecha de en</w:t>
      </w:r>
      <w:r>
        <w:rPr>
          <w:rFonts w:ascii="Arial" w:hAnsi="Arial" w:cs="Arial"/>
        </w:rPr>
        <w:t xml:space="preserve">trada en vigencia del CPACA-, época en la cual aún </w:t>
      </w:r>
      <w:r w:rsidRPr="003472DE">
        <w:rPr>
          <w:rFonts w:ascii="Arial" w:hAnsi="Arial" w:cs="Arial"/>
        </w:rPr>
        <w:t xml:space="preserve">no se había expedido el CGP (Ley 1564 de 2012), </w:t>
      </w:r>
      <w:r>
        <w:rPr>
          <w:rFonts w:ascii="Arial" w:hAnsi="Arial" w:cs="Arial"/>
        </w:rPr>
        <w:t xml:space="preserve">pues este </w:t>
      </w:r>
      <w:r w:rsidRPr="00713104">
        <w:rPr>
          <w:rFonts w:ascii="Arial" w:hAnsi="Arial" w:cs="Arial"/>
        </w:rPr>
        <w:t>estatuto procesal se expidió el 12 de julio de 2012, el cual, además, entró a regir pl</w:t>
      </w:r>
      <w:r>
        <w:rPr>
          <w:rFonts w:ascii="Arial" w:hAnsi="Arial" w:cs="Arial"/>
        </w:rPr>
        <w:t>enamente el 1º de enero de 2014 para la Jurisdicción Contenciosa Administrativa.</w:t>
      </w:r>
    </w:p>
  </w:footnote>
  <w:footnote w:id="10">
    <w:p w14:paraId="35E62528" w14:textId="77777777" w:rsidR="00A4147F" w:rsidRPr="00BD280B" w:rsidRDefault="00A4147F" w:rsidP="00A4147F">
      <w:pPr>
        <w:pStyle w:val="NormalWeb"/>
        <w:spacing w:before="0" w:beforeAutospacing="0" w:after="0" w:afterAutospacing="0"/>
        <w:jc w:val="both"/>
        <w:rPr>
          <w:rFonts w:ascii="Arial" w:hAnsi="Arial" w:cs="Arial"/>
          <w:i/>
          <w:sz w:val="20"/>
          <w:szCs w:val="20"/>
        </w:rPr>
      </w:pPr>
      <w:r w:rsidRPr="00BD280B">
        <w:rPr>
          <w:rStyle w:val="Refdenotaalpie"/>
          <w:rFonts w:ascii="Arial" w:hAnsi="Arial" w:cs="Arial"/>
          <w:sz w:val="20"/>
          <w:szCs w:val="20"/>
        </w:rPr>
        <w:footnoteRef/>
      </w:r>
      <w:r w:rsidRPr="00BD280B">
        <w:rPr>
          <w:rFonts w:ascii="Arial" w:hAnsi="Arial" w:cs="Arial"/>
          <w:sz w:val="20"/>
          <w:szCs w:val="20"/>
        </w:rPr>
        <w:t xml:space="preserve"> A cuyo tenor: “</w:t>
      </w:r>
      <w:r w:rsidRPr="00BD280B">
        <w:rPr>
          <w:rFonts w:ascii="Arial" w:hAnsi="Arial" w:cs="Arial"/>
          <w:i/>
          <w:sz w:val="20"/>
          <w:szCs w:val="20"/>
        </w:rPr>
        <w:t>El Código Contencioso Administrativo tendrá un nuevo artículo, cuyo texto será el siguiente:</w:t>
      </w:r>
    </w:p>
    <w:p w14:paraId="592C2EB2" w14:textId="77777777" w:rsidR="00A4147F" w:rsidRPr="00BD280B" w:rsidRDefault="00C56494" w:rsidP="00A4147F">
      <w:pPr>
        <w:pStyle w:val="NormalWeb"/>
        <w:spacing w:before="0" w:beforeAutospacing="0" w:after="0" w:afterAutospacing="0"/>
        <w:jc w:val="both"/>
        <w:rPr>
          <w:rFonts w:ascii="Arial" w:hAnsi="Arial" w:cs="Arial"/>
          <w:i/>
          <w:sz w:val="20"/>
          <w:szCs w:val="20"/>
        </w:rPr>
      </w:pPr>
      <w:r w:rsidRPr="00C56494">
        <w:rPr>
          <w:rStyle w:val="baj"/>
          <w:rFonts w:ascii="Arial" w:hAnsi="Arial" w:cs="Arial"/>
          <w:bCs/>
          <w:i/>
          <w:sz w:val="20"/>
          <w:szCs w:val="20"/>
        </w:rPr>
        <w:t>“</w:t>
      </w:r>
      <w:r w:rsidR="00A4147F" w:rsidRPr="00BD280B">
        <w:rPr>
          <w:rStyle w:val="baj"/>
          <w:rFonts w:ascii="Arial" w:hAnsi="Arial" w:cs="Arial"/>
          <w:b/>
          <w:bCs/>
          <w:i/>
          <w:sz w:val="20"/>
          <w:szCs w:val="20"/>
        </w:rPr>
        <w:t>Artículo</w:t>
      </w:r>
      <w:r w:rsidR="00A4147F" w:rsidRPr="00BD280B">
        <w:rPr>
          <w:rStyle w:val="apple-converted-space"/>
          <w:rFonts w:ascii="Arial" w:hAnsi="Arial" w:cs="Arial"/>
          <w:b/>
          <w:bCs/>
          <w:i/>
          <w:sz w:val="20"/>
          <w:szCs w:val="20"/>
        </w:rPr>
        <w:t> </w:t>
      </w:r>
      <w:hyperlink r:id="rId1" w:anchor="146-A" w:history="1">
        <w:r w:rsidR="00A4147F" w:rsidRPr="00BD280B">
          <w:rPr>
            <w:rStyle w:val="Hipervnculo"/>
            <w:rFonts w:cs="Arial"/>
            <w:b/>
            <w:bCs/>
            <w:i/>
            <w:sz w:val="20"/>
            <w:szCs w:val="20"/>
          </w:rPr>
          <w:t>146-A</w:t>
        </w:r>
      </w:hyperlink>
      <w:r w:rsidR="00A4147F" w:rsidRPr="00BD280B">
        <w:rPr>
          <w:rStyle w:val="baj"/>
          <w:rFonts w:ascii="Arial" w:hAnsi="Arial" w:cs="Arial"/>
          <w:b/>
          <w:bCs/>
          <w:i/>
          <w:sz w:val="20"/>
          <w:szCs w:val="20"/>
        </w:rPr>
        <w:t>.</w:t>
      </w:r>
      <w:r w:rsidR="00A4147F" w:rsidRPr="00BD280B">
        <w:rPr>
          <w:rStyle w:val="apple-converted-space"/>
          <w:rFonts w:ascii="Arial" w:hAnsi="Arial" w:cs="Arial"/>
          <w:b/>
          <w:bCs/>
          <w:i/>
          <w:sz w:val="20"/>
          <w:szCs w:val="20"/>
        </w:rPr>
        <w:t> </w:t>
      </w:r>
      <w:r w:rsidR="00A4147F" w:rsidRPr="00BD280B">
        <w:rPr>
          <w:rFonts w:ascii="Arial" w:hAnsi="Arial" w:cs="Arial"/>
          <w:i/>
          <w:sz w:val="20"/>
          <w:szCs w:val="20"/>
        </w:rPr>
        <w:t>Las decisiones interlocutorias del proceso, en única, primera o segunda instancia, proferidas por los tribunales administrativos y el Consejo de Estado, serán adoptadas por el magistrado ponente.</w:t>
      </w:r>
    </w:p>
    <w:p w14:paraId="0F08413A" w14:textId="77777777" w:rsidR="00A4147F" w:rsidRPr="00BD280B" w:rsidRDefault="00C56494" w:rsidP="00A4147F">
      <w:pPr>
        <w:pStyle w:val="NormalWeb"/>
        <w:spacing w:before="0" w:beforeAutospacing="0" w:after="0" w:afterAutospacing="0"/>
        <w:jc w:val="both"/>
        <w:rPr>
          <w:rFonts w:ascii="Arial" w:hAnsi="Arial" w:cs="Arial"/>
          <w:i/>
          <w:sz w:val="20"/>
          <w:szCs w:val="20"/>
        </w:rPr>
      </w:pPr>
      <w:r>
        <w:rPr>
          <w:rFonts w:ascii="Arial" w:hAnsi="Arial" w:cs="Arial"/>
          <w:i/>
          <w:sz w:val="20"/>
          <w:szCs w:val="20"/>
        </w:rPr>
        <w:t>“</w:t>
      </w:r>
      <w:r w:rsidR="00A4147F" w:rsidRPr="00BD280B">
        <w:rPr>
          <w:rFonts w:ascii="Arial" w:hAnsi="Arial" w:cs="Arial"/>
          <w:i/>
          <w:sz w:val="20"/>
          <w:szCs w:val="20"/>
        </w:rPr>
        <w:t>Sin embargo, las decisiones a que se refieren los numerales 1, 2, 3 del artículo</w:t>
      </w:r>
      <w:r w:rsidR="00A4147F" w:rsidRPr="00BD280B">
        <w:rPr>
          <w:rStyle w:val="apple-converted-space"/>
          <w:rFonts w:ascii="Arial" w:hAnsi="Arial" w:cs="Arial"/>
          <w:i/>
          <w:sz w:val="20"/>
          <w:szCs w:val="20"/>
        </w:rPr>
        <w:t> </w:t>
      </w:r>
      <w:hyperlink r:id="rId2" w:anchor="181" w:history="1">
        <w:r w:rsidR="00A4147F" w:rsidRPr="00BD280B">
          <w:rPr>
            <w:rStyle w:val="Hipervnculo"/>
            <w:rFonts w:cs="Arial"/>
            <w:i/>
            <w:sz w:val="20"/>
            <w:szCs w:val="20"/>
          </w:rPr>
          <w:t>181</w:t>
        </w:r>
      </w:hyperlink>
      <w:r w:rsidR="00A4147F" w:rsidRPr="00BD280B">
        <w:rPr>
          <w:rStyle w:val="apple-converted-space"/>
          <w:rFonts w:ascii="Arial" w:hAnsi="Arial" w:cs="Arial"/>
          <w:i/>
          <w:sz w:val="20"/>
          <w:szCs w:val="20"/>
        </w:rPr>
        <w:t> </w:t>
      </w:r>
      <w:r w:rsidR="00A4147F" w:rsidRPr="00BD280B">
        <w:rPr>
          <w:rFonts w:ascii="Arial" w:hAnsi="Arial" w:cs="Arial"/>
          <w:i/>
          <w:sz w:val="20"/>
          <w:szCs w:val="20"/>
        </w:rPr>
        <w:t>serán de Sala excepto en los procesos de única instancia”.</w:t>
      </w:r>
    </w:p>
  </w:footnote>
  <w:footnote w:id="11">
    <w:p w14:paraId="4ABB0A63" w14:textId="77777777" w:rsidR="003656C0" w:rsidRPr="003656C0" w:rsidRDefault="003656C0" w:rsidP="003656C0">
      <w:pPr>
        <w:pStyle w:val="Textonotapie"/>
        <w:jc w:val="both"/>
        <w:rPr>
          <w:rFonts w:ascii="Arial" w:hAnsi="Arial" w:cs="Arial"/>
          <w:lang w:val="es-CO"/>
        </w:rPr>
      </w:pPr>
      <w:r w:rsidRPr="003656C0">
        <w:rPr>
          <w:rStyle w:val="Refdenotaalpie"/>
          <w:rFonts w:ascii="Arial" w:hAnsi="Arial" w:cs="Arial"/>
        </w:rPr>
        <w:footnoteRef/>
      </w:r>
      <w:r w:rsidRPr="003656C0">
        <w:rPr>
          <w:rFonts w:ascii="Arial" w:hAnsi="Arial" w:cs="Arial"/>
        </w:rPr>
        <w:t xml:space="preserve"> </w:t>
      </w:r>
      <w:r w:rsidRPr="003656C0">
        <w:rPr>
          <w:rFonts w:ascii="Arial" w:hAnsi="Arial" w:cs="Arial"/>
          <w:lang w:val="es-CO"/>
        </w:rPr>
        <w:t>LÓPEZ BLANCO, Hernán F</w:t>
      </w:r>
      <w:r w:rsidR="00717EAE">
        <w:rPr>
          <w:rFonts w:ascii="Arial" w:hAnsi="Arial" w:cs="Arial"/>
          <w:lang w:val="es-CO"/>
        </w:rPr>
        <w:t>abio</w:t>
      </w:r>
      <w:r w:rsidRPr="003656C0">
        <w:rPr>
          <w:rFonts w:ascii="Arial" w:hAnsi="Arial" w:cs="Arial"/>
          <w:lang w:val="es-CO"/>
        </w:rPr>
        <w:t xml:space="preserve">. </w:t>
      </w:r>
      <w:r w:rsidRPr="003656C0">
        <w:rPr>
          <w:rFonts w:ascii="Arial" w:hAnsi="Arial" w:cs="Arial"/>
          <w:i/>
          <w:lang w:val="es-CO"/>
        </w:rPr>
        <w:t>“Procedimiento Civil”</w:t>
      </w:r>
      <w:r w:rsidRPr="003656C0">
        <w:rPr>
          <w:rFonts w:ascii="Arial" w:hAnsi="Arial" w:cs="Arial"/>
          <w:lang w:val="es-CO"/>
        </w:rPr>
        <w:t xml:space="preserve"> Tomo I, Parte General. Dupré Editores, Bogotá, 2012, p. 636.</w:t>
      </w:r>
    </w:p>
  </w:footnote>
  <w:footnote w:id="12">
    <w:p w14:paraId="048A5A46" w14:textId="77777777" w:rsidR="00DD5862" w:rsidRPr="00DD5862" w:rsidRDefault="00DD5862" w:rsidP="00DD5862">
      <w:pPr>
        <w:pStyle w:val="Textonotapie"/>
        <w:jc w:val="both"/>
        <w:rPr>
          <w:rFonts w:ascii="Arial" w:hAnsi="Arial" w:cs="Arial"/>
          <w:lang w:val="es-CO"/>
        </w:rPr>
      </w:pPr>
      <w:r w:rsidRPr="00DD5862">
        <w:rPr>
          <w:rStyle w:val="Refdenotaalpie"/>
          <w:rFonts w:ascii="Arial" w:hAnsi="Arial" w:cs="Arial"/>
        </w:rPr>
        <w:footnoteRef/>
      </w:r>
      <w:r w:rsidRPr="00DD5862">
        <w:rPr>
          <w:rFonts w:ascii="Arial" w:hAnsi="Arial" w:cs="Arial"/>
        </w:rPr>
        <w:t xml:space="preserve"> C</w:t>
      </w:r>
      <w:r>
        <w:rPr>
          <w:rFonts w:ascii="Arial" w:hAnsi="Arial" w:cs="Arial"/>
        </w:rPr>
        <w:t>orte Suprema de Justicia – Sala de Casación Civil. Sentencia del</w:t>
      </w:r>
      <w:r w:rsidRPr="00DD5862">
        <w:rPr>
          <w:rFonts w:ascii="Arial" w:hAnsi="Arial" w:cs="Arial"/>
        </w:rPr>
        <w:t xml:space="preserve"> 22 de septiembre de 2000</w:t>
      </w:r>
      <w:r>
        <w:rPr>
          <w:rFonts w:ascii="Arial" w:hAnsi="Arial" w:cs="Arial"/>
        </w:rPr>
        <w:t>, exp. N°</w:t>
      </w:r>
      <w:r w:rsidRPr="00DD5862">
        <w:rPr>
          <w:rFonts w:ascii="Arial" w:hAnsi="Arial" w:cs="Arial"/>
        </w:rPr>
        <w:t xml:space="preserve"> 5362</w:t>
      </w:r>
      <w:r>
        <w:rPr>
          <w:rFonts w:ascii="Arial" w:hAnsi="Arial" w:cs="Arial"/>
        </w:rPr>
        <w:t>. M.P. José Fernando Ramírez Gómez.</w:t>
      </w:r>
    </w:p>
  </w:footnote>
  <w:footnote w:id="13">
    <w:p w14:paraId="4AB5EEE5" w14:textId="77777777" w:rsidR="00DD5862" w:rsidRPr="007326E9" w:rsidRDefault="00DD5862" w:rsidP="00717EAE">
      <w:pPr>
        <w:pStyle w:val="Textonotapie"/>
        <w:jc w:val="both"/>
        <w:rPr>
          <w:rFonts w:ascii="Arial" w:hAnsi="Arial" w:cs="Arial"/>
        </w:rPr>
      </w:pPr>
      <w:r w:rsidRPr="007326E9">
        <w:rPr>
          <w:rStyle w:val="Refdenotaalpie"/>
          <w:rFonts w:ascii="Arial" w:hAnsi="Arial" w:cs="Arial"/>
        </w:rPr>
        <w:footnoteRef/>
      </w:r>
      <w:r w:rsidRPr="007326E9">
        <w:rPr>
          <w:rFonts w:ascii="Arial" w:hAnsi="Arial" w:cs="Arial"/>
        </w:rPr>
        <w:t xml:space="preserve"> LÓPEZ BLANCO, Hernán Fabio, </w:t>
      </w:r>
      <w:r w:rsidRPr="007326E9">
        <w:rPr>
          <w:rFonts w:ascii="Arial" w:hAnsi="Arial" w:cs="Arial"/>
          <w:i/>
        </w:rPr>
        <w:t xml:space="preserve">ob. cit. </w:t>
      </w:r>
      <w:r w:rsidR="00717EAE" w:rsidRPr="007326E9">
        <w:rPr>
          <w:rFonts w:ascii="Arial" w:hAnsi="Arial" w:cs="Arial"/>
        </w:rPr>
        <w:t>p. 236.</w:t>
      </w:r>
    </w:p>
  </w:footnote>
  <w:footnote w:id="14">
    <w:p w14:paraId="409A9B43" w14:textId="77777777" w:rsidR="007326E9" w:rsidRPr="007326E9" w:rsidRDefault="007326E9">
      <w:pPr>
        <w:pStyle w:val="Textonotapie"/>
        <w:rPr>
          <w:rFonts w:ascii="Arial" w:hAnsi="Arial" w:cs="Arial"/>
          <w:i/>
        </w:rPr>
      </w:pPr>
      <w:r w:rsidRPr="007326E9">
        <w:rPr>
          <w:rStyle w:val="Refdenotaalpie"/>
          <w:rFonts w:ascii="Arial" w:hAnsi="Arial" w:cs="Arial"/>
        </w:rPr>
        <w:footnoteRef/>
      </w:r>
      <w:r w:rsidRPr="007326E9">
        <w:rPr>
          <w:rFonts w:ascii="Arial" w:hAnsi="Arial" w:cs="Arial"/>
        </w:rPr>
        <w:t xml:space="preserve"> </w:t>
      </w:r>
      <w:r w:rsidRPr="007326E9">
        <w:rPr>
          <w:rFonts w:ascii="Arial" w:hAnsi="Arial" w:cs="Arial"/>
          <w:i/>
        </w:rPr>
        <w:t>“El proceso es nulo en todo o en parte, solamente en los siguientes casos:</w:t>
      </w:r>
    </w:p>
    <w:p w14:paraId="06432B8A" w14:textId="77777777" w:rsidR="007326E9" w:rsidRPr="007326E9" w:rsidRDefault="00A11E9D">
      <w:pPr>
        <w:pStyle w:val="Textonotapie"/>
        <w:rPr>
          <w:rFonts w:ascii="Arial" w:hAnsi="Arial" w:cs="Arial"/>
          <w:i/>
        </w:rPr>
      </w:pPr>
      <w:r>
        <w:rPr>
          <w:rFonts w:ascii="Arial" w:hAnsi="Arial" w:cs="Arial"/>
          <w:i/>
        </w:rPr>
        <w:t>“</w:t>
      </w:r>
      <w:r w:rsidR="007326E9" w:rsidRPr="007326E9">
        <w:rPr>
          <w:rFonts w:ascii="Arial" w:hAnsi="Arial" w:cs="Arial"/>
          <w:i/>
        </w:rPr>
        <w:t>(…)</w:t>
      </w:r>
    </w:p>
    <w:p w14:paraId="59EA0A93" w14:textId="77777777" w:rsidR="007326E9" w:rsidRPr="007326E9" w:rsidRDefault="00A11E9D">
      <w:pPr>
        <w:pStyle w:val="Textonotapie"/>
        <w:rPr>
          <w:rFonts w:ascii="Arial" w:hAnsi="Arial" w:cs="Arial"/>
          <w:i/>
          <w:lang w:val="es-CO"/>
        </w:rPr>
      </w:pPr>
      <w:r>
        <w:rPr>
          <w:rFonts w:ascii="Arial" w:hAnsi="Arial" w:cs="Arial"/>
          <w:i/>
        </w:rPr>
        <w:t>“</w:t>
      </w:r>
      <w:r w:rsidR="007326E9" w:rsidRPr="007326E9">
        <w:rPr>
          <w:rFonts w:ascii="Arial" w:hAnsi="Arial" w:cs="Arial"/>
          <w:i/>
        </w:rPr>
        <w:t>2°. Cuando el juez carece de competencia”.</w:t>
      </w:r>
    </w:p>
  </w:footnote>
  <w:footnote w:id="15">
    <w:p w14:paraId="02A48126" w14:textId="77777777" w:rsidR="007326E9" w:rsidRPr="000A42B0" w:rsidRDefault="007326E9" w:rsidP="000A42B0">
      <w:pPr>
        <w:pStyle w:val="Ttulo2"/>
        <w:spacing w:before="0" w:after="0"/>
        <w:jc w:val="both"/>
        <w:rPr>
          <w:rFonts w:ascii="Arial" w:hAnsi="Arial" w:cs="Arial"/>
          <w:b w:val="0"/>
          <w:i w:val="0"/>
          <w:sz w:val="20"/>
          <w:szCs w:val="20"/>
        </w:rPr>
      </w:pPr>
      <w:r w:rsidRPr="00BE08E7">
        <w:rPr>
          <w:rStyle w:val="Refdenotaalpie"/>
          <w:rFonts w:ascii="Arial" w:hAnsi="Arial" w:cs="Arial"/>
          <w:b w:val="0"/>
          <w:i w:val="0"/>
          <w:sz w:val="20"/>
          <w:szCs w:val="20"/>
        </w:rPr>
        <w:footnoteRef/>
      </w:r>
      <w:r w:rsidRPr="00BE08E7">
        <w:rPr>
          <w:rFonts w:ascii="Arial" w:hAnsi="Arial" w:cs="Arial"/>
          <w:b w:val="0"/>
          <w:i w:val="0"/>
          <w:sz w:val="20"/>
          <w:szCs w:val="20"/>
        </w:rPr>
        <w:t xml:space="preserve"> Sobre la nulidad configurada en la sentencia</w:t>
      </w:r>
      <w:r w:rsidR="000A42B0">
        <w:rPr>
          <w:rFonts w:ascii="Arial" w:hAnsi="Arial" w:cs="Arial"/>
          <w:b w:val="0"/>
          <w:i w:val="0"/>
          <w:sz w:val="20"/>
          <w:szCs w:val="20"/>
        </w:rPr>
        <w:t xml:space="preserve">, </w:t>
      </w:r>
      <w:r w:rsidRPr="00BE08E7">
        <w:rPr>
          <w:rFonts w:ascii="Arial" w:hAnsi="Arial" w:cs="Arial"/>
          <w:b w:val="0"/>
          <w:i w:val="0"/>
          <w:sz w:val="20"/>
          <w:szCs w:val="20"/>
        </w:rPr>
        <w:t xml:space="preserve">ha dicho que tal vicio se configura, entre otros eventos, cuando </w:t>
      </w:r>
      <w:r w:rsidRPr="00BE08E7">
        <w:rPr>
          <w:rFonts w:ascii="Arial" w:hAnsi="Arial" w:cs="Arial"/>
          <w:b w:val="0"/>
          <w:sz w:val="20"/>
          <w:szCs w:val="20"/>
        </w:rPr>
        <w:t>“</w:t>
      </w:r>
      <w:r w:rsidRPr="00BE08E7">
        <w:rPr>
          <w:rFonts w:ascii="Arial" w:hAnsi="Arial" w:cs="Arial"/>
          <w:b w:val="0"/>
          <w:w w:val="104"/>
          <w:sz w:val="20"/>
          <w:szCs w:val="20"/>
        </w:rPr>
        <w:t>por la vía de la aclaración se reforma la misma</w:t>
      </w:r>
      <w:r w:rsidR="00BE08E7" w:rsidRPr="00BE08E7">
        <w:rPr>
          <w:rFonts w:ascii="Arial" w:hAnsi="Arial" w:cs="Arial"/>
          <w:b w:val="0"/>
          <w:w w:val="104"/>
          <w:sz w:val="20"/>
          <w:szCs w:val="20"/>
        </w:rPr>
        <w:t>”</w:t>
      </w:r>
      <w:r w:rsidR="00BE08E7" w:rsidRPr="00BE08E7">
        <w:rPr>
          <w:rFonts w:ascii="Arial" w:hAnsi="Arial" w:cs="Arial"/>
          <w:b w:val="0"/>
          <w:i w:val="0"/>
          <w:w w:val="104"/>
          <w:sz w:val="20"/>
          <w:szCs w:val="20"/>
        </w:rPr>
        <w:t xml:space="preserve"> y cuando el fallo “</w:t>
      </w:r>
      <w:r w:rsidRPr="00BE08E7">
        <w:rPr>
          <w:rFonts w:ascii="Arial" w:hAnsi="Arial" w:cs="Arial"/>
          <w:b w:val="0"/>
          <w:w w:val="104"/>
          <w:sz w:val="20"/>
          <w:szCs w:val="20"/>
        </w:rPr>
        <w:t>se dicta por un número de magistrados menor al estableci</w:t>
      </w:r>
      <w:r w:rsidR="00BE08E7" w:rsidRPr="00BE08E7">
        <w:rPr>
          <w:rFonts w:ascii="Arial" w:hAnsi="Arial" w:cs="Arial"/>
          <w:b w:val="0"/>
          <w:w w:val="104"/>
          <w:sz w:val="20"/>
          <w:szCs w:val="20"/>
        </w:rPr>
        <w:t>do por el ordenamiento jurídico”</w:t>
      </w:r>
      <w:r w:rsidR="00BE08E7" w:rsidRPr="00BE08E7">
        <w:rPr>
          <w:rFonts w:ascii="Arial" w:hAnsi="Arial" w:cs="Arial"/>
          <w:b w:val="0"/>
          <w:i w:val="0"/>
          <w:w w:val="104"/>
          <w:sz w:val="20"/>
          <w:szCs w:val="20"/>
        </w:rPr>
        <w:t xml:space="preserve"> (Sala de Casación Civil, sentencia del 1° de junio de 2010, exp. N° </w:t>
      </w:r>
      <w:r w:rsidR="00BE08E7" w:rsidRPr="00BE08E7">
        <w:rPr>
          <w:rFonts w:ascii="Arial" w:hAnsi="Arial" w:cs="Arial"/>
          <w:b w:val="0"/>
          <w:i w:val="0"/>
          <w:sz w:val="20"/>
          <w:szCs w:val="20"/>
        </w:rPr>
        <w:t>11002030002008-00825-00</w:t>
      </w:r>
      <w:r w:rsidR="00BE08E7">
        <w:rPr>
          <w:rFonts w:ascii="Arial" w:hAnsi="Arial" w:cs="Arial"/>
          <w:b w:val="0"/>
          <w:i w:val="0"/>
          <w:sz w:val="20"/>
          <w:szCs w:val="20"/>
        </w:rPr>
        <w:t xml:space="preserve">. M.P. Ruth Marina Díaz </w:t>
      </w:r>
      <w:r w:rsidR="003C32FF">
        <w:rPr>
          <w:rFonts w:ascii="Arial" w:hAnsi="Arial" w:cs="Arial"/>
          <w:b w:val="0"/>
          <w:i w:val="0"/>
          <w:sz w:val="20"/>
          <w:szCs w:val="20"/>
        </w:rPr>
        <w:t>Rueda).</w:t>
      </w:r>
    </w:p>
  </w:footnote>
  <w:footnote w:id="16">
    <w:p w14:paraId="7BFB36D0" w14:textId="77777777" w:rsidR="00AF6BE4" w:rsidRPr="00640705" w:rsidRDefault="00AF6BE4" w:rsidP="00AF6BE4">
      <w:pPr>
        <w:pStyle w:val="NormalWeb"/>
        <w:spacing w:before="0" w:beforeAutospacing="0" w:after="0" w:afterAutospacing="0"/>
        <w:jc w:val="both"/>
        <w:rPr>
          <w:rFonts w:ascii="Arial" w:hAnsi="Arial" w:cs="Arial"/>
          <w:i/>
          <w:sz w:val="20"/>
          <w:szCs w:val="20"/>
        </w:rPr>
      </w:pPr>
      <w:r w:rsidRPr="00AF6BE4">
        <w:rPr>
          <w:rStyle w:val="Refdenotaalpie"/>
          <w:rFonts w:ascii="Arial" w:hAnsi="Arial" w:cs="Arial"/>
          <w:sz w:val="20"/>
          <w:szCs w:val="20"/>
        </w:rPr>
        <w:footnoteRef/>
      </w:r>
      <w:r w:rsidRPr="00AF6BE4">
        <w:rPr>
          <w:rFonts w:ascii="Arial" w:hAnsi="Arial" w:cs="Arial"/>
          <w:sz w:val="20"/>
          <w:szCs w:val="20"/>
        </w:rPr>
        <w:t xml:space="preserve"> </w:t>
      </w:r>
      <w:bookmarkStart w:id="1" w:name="291"/>
      <w:r w:rsidR="00640705">
        <w:rPr>
          <w:rFonts w:ascii="Arial" w:hAnsi="Arial" w:cs="Arial"/>
          <w:i/>
          <w:sz w:val="20"/>
          <w:szCs w:val="20"/>
        </w:rPr>
        <w:t>“</w:t>
      </w:r>
      <w:r w:rsidR="00640705" w:rsidRPr="00640705">
        <w:rPr>
          <w:rFonts w:ascii="Arial" w:hAnsi="Arial" w:cs="Arial"/>
          <w:i/>
          <w:sz w:val="20"/>
          <w:szCs w:val="20"/>
        </w:rPr>
        <w:t>Artículo</w:t>
      </w:r>
      <w:r w:rsidRPr="00640705">
        <w:rPr>
          <w:rFonts w:ascii="Arial" w:hAnsi="Arial" w:cs="Arial"/>
          <w:i/>
          <w:sz w:val="20"/>
          <w:szCs w:val="20"/>
        </w:rPr>
        <w:t xml:space="preserve"> 291. </w:t>
      </w:r>
      <w:r w:rsidR="00640705" w:rsidRPr="00640705">
        <w:rPr>
          <w:rFonts w:ascii="Arial" w:hAnsi="Arial" w:cs="Arial"/>
          <w:i/>
          <w:sz w:val="20"/>
          <w:szCs w:val="20"/>
          <w:u w:val="single"/>
        </w:rPr>
        <w:t>De la responsabilidad en caso de ejecución indebida</w:t>
      </w:r>
      <w:r w:rsidR="00640705" w:rsidRPr="00640705">
        <w:rPr>
          <w:rFonts w:ascii="Arial" w:hAnsi="Arial" w:cs="Arial"/>
          <w:i/>
          <w:sz w:val="20"/>
          <w:szCs w:val="20"/>
        </w:rPr>
        <w:t>.</w:t>
      </w:r>
      <w:r w:rsidRPr="00640705">
        <w:rPr>
          <w:rFonts w:ascii="Arial" w:hAnsi="Arial" w:cs="Arial"/>
          <w:i/>
          <w:sz w:val="20"/>
          <w:szCs w:val="20"/>
        </w:rPr>
        <w:t xml:space="preserve"> </w:t>
      </w:r>
      <w:bookmarkEnd w:id="1"/>
      <w:r w:rsidRPr="00640705">
        <w:rPr>
          <w:rFonts w:ascii="Arial" w:hAnsi="Arial" w:cs="Arial"/>
          <w:i/>
          <w:sz w:val="20"/>
          <w:szCs w:val="20"/>
        </w:rPr>
        <w:t>En responsabilidad igual a la se</w:t>
      </w:r>
      <w:r w:rsidR="00640705" w:rsidRPr="00640705">
        <w:rPr>
          <w:rFonts w:ascii="Tahoma" w:hAnsi="Tahoma" w:cs="Tahoma"/>
          <w:i/>
          <w:sz w:val="20"/>
          <w:szCs w:val="20"/>
        </w:rPr>
        <w:t>ñ</w:t>
      </w:r>
      <w:r w:rsidRPr="00640705">
        <w:rPr>
          <w:rFonts w:ascii="Arial" w:hAnsi="Arial" w:cs="Arial"/>
          <w:i/>
          <w:sz w:val="20"/>
          <w:szCs w:val="20"/>
        </w:rPr>
        <w:t>alada en el art</w:t>
      </w:r>
      <w:r w:rsidR="00640705" w:rsidRPr="00640705">
        <w:rPr>
          <w:rFonts w:ascii="Tahoma" w:hAnsi="Tahoma" w:cs="Tahoma"/>
          <w:i/>
          <w:sz w:val="20"/>
          <w:szCs w:val="20"/>
        </w:rPr>
        <w:t>í</w:t>
      </w:r>
      <w:r w:rsidRPr="00640705">
        <w:rPr>
          <w:rFonts w:ascii="Arial" w:hAnsi="Arial" w:cs="Arial"/>
          <w:i/>
          <w:sz w:val="20"/>
          <w:szCs w:val="20"/>
        </w:rPr>
        <w:t>culo anterior incurrir</w:t>
      </w:r>
      <w:r w:rsidR="00640705" w:rsidRPr="00640705">
        <w:rPr>
          <w:rFonts w:ascii="Tahoma" w:hAnsi="Tahoma" w:cs="Tahoma"/>
          <w:i/>
          <w:sz w:val="20"/>
          <w:szCs w:val="20"/>
        </w:rPr>
        <w:t>á</w:t>
      </w:r>
      <w:r w:rsidRPr="00640705">
        <w:rPr>
          <w:rFonts w:ascii="Arial" w:hAnsi="Arial" w:cs="Arial"/>
          <w:i/>
          <w:sz w:val="20"/>
          <w:szCs w:val="20"/>
        </w:rPr>
        <w:t>n quienes ocasionen perjuicios con motivo de la ejecuci</w:t>
      </w:r>
      <w:r w:rsidR="00640705" w:rsidRPr="00640705">
        <w:rPr>
          <w:rFonts w:ascii="Tahoma" w:hAnsi="Tahoma" w:cs="Tahoma"/>
          <w:i/>
          <w:sz w:val="20"/>
          <w:szCs w:val="20"/>
        </w:rPr>
        <w:t>ó</w:t>
      </w:r>
      <w:r w:rsidRPr="00640705">
        <w:rPr>
          <w:rFonts w:ascii="Arial" w:hAnsi="Arial" w:cs="Arial"/>
          <w:i/>
          <w:sz w:val="20"/>
          <w:szCs w:val="20"/>
        </w:rPr>
        <w:t>n indebida o la falta injustificada de ejecuci</w:t>
      </w:r>
      <w:r w:rsidR="00640705" w:rsidRPr="00640705">
        <w:rPr>
          <w:rFonts w:ascii="Tahoma" w:hAnsi="Tahoma" w:cs="Tahoma"/>
          <w:i/>
          <w:sz w:val="20"/>
          <w:szCs w:val="20"/>
        </w:rPr>
        <w:t>ó</w:t>
      </w:r>
      <w:r w:rsidRPr="00640705">
        <w:rPr>
          <w:rFonts w:ascii="Arial" w:hAnsi="Arial" w:cs="Arial"/>
          <w:i/>
          <w:sz w:val="20"/>
          <w:szCs w:val="20"/>
        </w:rPr>
        <w:t>n de los contratos</w:t>
      </w:r>
      <w:r w:rsidR="00640705">
        <w:rPr>
          <w:rFonts w:ascii="Arial" w:hAnsi="Arial" w:cs="Arial"/>
          <w:i/>
          <w:sz w:val="20"/>
          <w:szCs w:val="20"/>
        </w:rPr>
        <w:t>”</w:t>
      </w:r>
      <w:r w:rsidR="00A11E9D">
        <w:rPr>
          <w:rFonts w:ascii="Arial" w:hAnsi="Arial" w:cs="Arial"/>
          <w:i/>
          <w:sz w:val="20"/>
          <w:szCs w:val="20"/>
        </w:rPr>
        <w:t>.</w:t>
      </w:r>
    </w:p>
    <w:p w14:paraId="6F72C99D" w14:textId="77777777" w:rsidR="00AF6BE4" w:rsidRPr="00640705" w:rsidRDefault="00640705" w:rsidP="00AF6BE4">
      <w:pPr>
        <w:pStyle w:val="NormalWeb"/>
        <w:spacing w:before="0" w:beforeAutospacing="0" w:after="0" w:afterAutospacing="0"/>
        <w:jc w:val="both"/>
        <w:rPr>
          <w:rFonts w:ascii="Arial" w:hAnsi="Arial" w:cs="Arial"/>
          <w:i/>
          <w:color w:val="666666"/>
          <w:sz w:val="21"/>
          <w:szCs w:val="21"/>
        </w:rPr>
      </w:pPr>
      <w:bookmarkStart w:id="2" w:name="293"/>
      <w:r>
        <w:rPr>
          <w:rFonts w:ascii="Arial" w:hAnsi="Arial" w:cs="Arial"/>
          <w:i/>
          <w:sz w:val="20"/>
          <w:szCs w:val="20"/>
        </w:rPr>
        <w:t>“</w:t>
      </w:r>
      <w:r w:rsidR="00AF6BE4" w:rsidRPr="00640705">
        <w:rPr>
          <w:rFonts w:ascii="Arial" w:hAnsi="Arial" w:cs="Arial"/>
          <w:i/>
          <w:sz w:val="20"/>
          <w:szCs w:val="20"/>
        </w:rPr>
        <w:t>A</w:t>
      </w:r>
      <w:r w:rsidRPr="00640705">
        <w:rPr>
          <w:rFonts w:ascii="Arial" w:hAnsi="Arial" w:cs="Arial"/>
          <w:i/>
          <w:sz w:val="20"/>
          <w:szCs w:val="20"/>
        </w:rPr>
        <w:t>rtículo</w:t>
      </w:r>
      <w:r w:rsidR="00AF6BE4" w:rsidRPr="00640705">
        <w:rPr>
          <w:rFonts w:ascii="Arial" w:hAnsi="Arial" w:cs="Arial"/>
          <w:i/>
          <w:sz w:val="20"/>
          <w:szCs w:val="20"/>
        </w:rPr>
        <w:t xml:space="preserve"> 293. </w:t>
      </w:r>
      <w:r w:rsidRPr="00640705">
        <w:rPr>
          <w:rFonts w:ascii="Arial" w:hAnsi="Arial" w:cs="Arial"/>
          <w:i/>
          <w:sz w:val="20"/>
          <w:szCs w:val="20"/>
          <w:u w:val="single"/>
        </w:rPr>
        <w:t>De los perjuicios causados a los contratistas o a terceros</w:t>
      </w:r>
      <w:r w:rsidRPr="00640705">
        <w:rPr>
          <w:rFonts w:ascii="Arial" w:hAnsi="Arial" w:cs="Arial"/>
          <w:i/>
          <w:sz w:val="20"/>
          <w:szCs w:val="20"/>
        </w:rPr>
        <w:t>.</w:t>
      </w:r>
      <w:bookmarkEnd w:id="2"/>
      <w:r w:rsidRPr="00640705">
        <w:rPr>
          <w:rFonts w:ascii="Arial" w:hAnsi="Arial" w:cs="Arial"/>
          <w:i/>
          <w:sz w:val="20"/>
          <w:szCs w:val="20"/>
        </w:rPr>
        <w:t xml:space="preserve"> </w:t>
      </w:r>
      <w:r w:rsidR="00AF6BE4" w:rsidRPr="00640705">
        <w:rPr>
          <w:rFonts w:ascii="Arial" w:hAnsi="Arial" w:cs="Arial"/>
          <w:i/>
          <w:sz w:val="20"/>
          <w:szCs w:val="20"/>
        </w:rPr>
        <w:t xml:space="preserve">El contratista o el tercero lesionado por la </w:t>
      </w:r>
      <w:r w:rsidRPr="00640705">
        <w:rPr>
          <w:rFonts w:ascii="Arial" w:hAnsi="Arial" w:cs="Arial"/>
          <w:i/>
          <w:sz w:val="20"/>
          <w:szCs w:val="20"/>
        </w:rPr>
        <w:t>celebración, ejecución o inejecución</w:t>
      </w:r>
      <w:r w:rsidR="00AF6BE4" w:rsidRPr="00640705">
        <w:rPr>
          <w:rFonts w:ascii="Arial" w:hAnsi="Arial" w:cs="Arial"/>
          <w:i/>
          <w:sz w:val="20"/>
          <w:szCs w:val="20"/>
        </w:rPr>
        <w:t xml:space="preserve"> de un contrato podr</w:t>
      </w:r>
      <w:r w:rsidRPr="00640705">
        <w:rPr>
          <w:rFonts w:ascii="Tahoma" w:hAnsi="Tahoma" w:cs="Tahoma"/>
          <w:i/>
          <w:sz w:val="20"/>
          <w:szCs w:val="20"/>
        </w:rPr>
        <w:t>á</w:t>
      </w:r>
      <w:r w:rsidR="00AF6BE4" w:rsidRPr="00640705">
        <w:rPr>
          <w:rFonts w:ascii="Arial" w:hAnsi="Arial" w:cs="Arial"/>
          <w:i/>
          <w:sz w:val="20"/>
          <w:szCs w:val="20"/>
        </w:rPr>
        <w:t>n demandar, a su elecci</w:t>
      </w:r>
      <w:r w:rsidRPr="00640705">
        <w:rPr>
          <w:rFonts w:ascii="Tahoma" w:hAnsi="Tahoma" w:cs="Tahoma"/>
          <w:i/>
          <w:sz w:val="20"/>
          <w:szCs w:val="20"/>
        </w:rPr>
        <w:t>ó</w:t>
      </w:r>
      <w:r w:rsidR="00AF6BE4" w:rsidRPr="00640705">
        <w:rPr>
          <w:rFonts w:ascii="Arial" w:hAnsi="Arial" w:cs="Arial"/>
          <w:i/>
          <w:sz w:val="20"/>
          <w:szCs w:val="20"/>
        </w:rPr>
        <w:t>n, a la entidad contratante, al funcionario o exfuncionarios responsables o a los dos en forma solidaria</w:t>
      </w:r>
      <w:r>
        <w:rPr>
          <w:rFonts w:ascii="Arial" w:hAnsi="Arial" w:cs="Arial"/>
          <w:i/>
          <w:sz w:val="20"/>
          <w:szCs w:val="20"/>
        </w:rPr>
        <w:t>”</w:t>
      </w:r>
      <w:r w:rsidR="00AF6BE4" w:rsidRPr="00640705">
        <w:rPr>
          <w:rFonts w:ascii="Arial" w:hAnsi="Arial" w:cs="Arial"/>
          <w:i/>
          <w:sz w:val="20"/>
          <w:szCs w:val="20"/>
        </w:rPr>
        <w:t>.</w:t>
      </w:r>
    </w:p>
  </w:footnote>
  <w:footnote w:id="17">
    <w:p w14:paraId="21AD8D24" w14:textId="77777777" w:rsidR="00450613" w:rsidRPr="00450613" w:rsidRDefault="00450613" w:rsidP="00450613">
      <w:pPr>
        <w:pStyle w:val="Textonotapie"/>
        <w:jc w:val="both"/>
        <w:rPr>
          <w:rFonts w:ascii="Arial" w:hAnsi="Arial" w:cs="Arial"/>
          <w:i/>
          <w:u w:val="single"/>
        </w:rPr>
      </w:pPr>
      <w:r w:rsidRPr="00450613">
        <w:rPr>
          <w:rStyle w:val="Refdenotaalpie"/>
          <w:rFonts w:ascii="Arial" w:hAnsi="Arial" w:cs="Arial"/>
        </w:rPr>
        <w:footnoteRef/>
      </w:r>
      <w:r w:rsidRPr="00450613">
        <w:rPr>
          <w:rFonts w:ascii="Arial" w:hAnsi="Arial" w:cs="Arial"/>
        </w:rPr>
        <w:t xml:space="preserve"> Código Civil, artículo 1746: </w:t>
      </w:r>
      <w:r w:rsidRPr="00450613">
        <w:rPr>
          <w:rFonts w:ascii="Arial" w:hAnsi="Arial" w:cs="Arial"/>
          <w:i/>
        </w:rPr>
        <w:t>“</w:t>
      </w:r>
      <w:r w:rsidRPr="00450613">
        <w:rPr>
          <w:rFonts w:ascii="Arial" w:hAnsi="Arial" w:cs="Arial"/>
          <w:i/>
          <w:u w:val="single"/>
        </w:rPr>
        <w:t>Efectos de la declaratoria de nulidad</w:t>
      </w:r>
      <w:r w:rsidRPr="00450613">
        <w:rPr>
          <w:rFonts w:ascii="Arial" w:hAnsi="Arial" w:cs="Arial"/>
          <w:i/>
        </w:rPr>
        <w:t xml:space="preserve">. </w:t>
      </w:r>
      <w:r w:rsidRPr="00450613">
        <w:rPr>
          <w:rFonts w:ascii="Arial" w:hAnsi="Arial" w:cs="Arial"/>
          <w:i/>
          <w:color w:val="000000"/>
          <w:shd w:val="clear" w:color="auto" w:fill="FFFFFF"/>
        </w:rPr>
        <w:t>La nulidad pronunciada en sentencia que tiene la fuerza de cosa juzgada, da a las partes derecho para ser restituidas al mismo estado en que se hallarían si no hubiese existido el acto o contrato nulo; sin perjuicio de lo prevenido sobre el objeto o causa ilícita</w:t>
      </w:r>
      <w:r>
        <w:rPr>
          <w:rFonts w:ascii="Arial" w:hAnsi="Arial" w:cs="Arial"/>
          <w:i/>
          <w:color w:val="000000"/>
          <w:shd w:val="clear" w:color="auto" w:fill="FFFFFF"/>
        </w:rPr>
        <w:t>…</w:t>
      </w:r>
      <w:r>
        <w:rPr>
          <w:rFonts w:ascii="Arial" w:hAnsi="Arial" w:cs="Arial"/>
          <w:color w:val="000000"/>
          <w:shd w:val="clear" w:color="auto" w:fill="FFFFFF"/>
        </w:rPr>
        <w:t>”</w:t>
      </w:r>
      <w:r w:rsidRPr="00450613">
        <w:rPr>
          <w:rFonts w:ascii="Arial" w:hAnsi="Arial" w:cs="Arial"/>
          <w:color w:val="000000"/>
          <w:shd w:val="clear" w:color="auto" w:fill="FFFFFF"/>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845586"/>
    <w:multiLevelType w:val="multilevel"/>
    <w:tmpl w:val="0B728696"/>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47F"/>
    <w:rsid w:val="000036A8"/>
    <w:rsid w:val="00027EE2"/>
    <w:rsid w:val="0003605C"/>
    <w:rsid w:val="000455EA"/>
    <w:rsid w:val="00050DC9"/>
    <w:rsid w:val="00070FC7"/>
    <w:rsid w:val="00085B5F"/>
    <w:rsid w:val="000A42B0"/>
    <w:rsid w:val="000D458E"/>
    <w:rsid w:val="000E0BA8"/>
    <w:rsid w:val="000E65DF"/>
    <w:rsid w:val="000F2280"/>
    <w:rsid w:val="000F61A1"/>
    <w:rsid w:val="00120424"/>
    <w:rsid w:val="00130B82"/>
    <w:rsid w:val="00132BE3"/>
    <w:rsid w:val="00162D25"/>
    <w:rsid w:val="00176462"/>
    <w:rsid w:val="001A255E"/>
    <w:rsid w:val="001B7AC6"/>
    <w:rsid w:val="001C469F"/>
    <w:rsid w:val="00211E19"/>
    <w:rsid w:val="00244753"/>
    <w:rsid w:val="002610D5"/>
    <w:rsid w:val="00277630"/>
    <w:rsid w:val="002872D4"/>
    <w:rsid w:val="00293BC3"/>
    <w:rsid w:val="002A5EFE"/>
    <w:rsid w:val="002B23C6"/>
    <w:rsid w:val="002C0807"/>
    <w:rsid w:val="002E0E21"/>
    <w:rsid w:val="002F0F7B"/>
    <w:rsid w:val="003162D6"/>
    <w:rsid w:val="00327757"/>
    <w:rsid w:val="00333F9C"/>
    <w:rsid w:val="0035727E"/>
    <w:rsid w:val="003656C0"/>
    <w:rsid w:val="0037785C"/>
    <w:rsid w:val="00384172"/>
    <w:rsid w:val="00391F3D"/>
    <w:rsid w:val="003C32FF"/>
    <w:rsid w:val="003C4596"/>
    <w:rsid w:val="003D0D0F"/>
    <w:rsid w:val="003D4E70"/>
    <w:rsid w:val="00401C37"/>
    <w:rsid w:val="0041502B"/>
    <w:rsid w:val="0043616F"/>
    <w:rsid w:val="00450613"/>
    <w:rsid w:val="00454237"/>
    <w:rsid w:val="00497748"/>
    <w:rsid w:val="004C3FA8"/>
    <w:rsid w:val="004E1AF2"/>
    <w:rsid w:val="004F4FE5"/>
    <w:rsid w:val="005121DF"/>
    <w:rsid w:val="00531A93"/>
    <w:rsid w:val="005577AA"/>
    <w:rsid w:val="00567917"/>
    <w:rsid w:val="005702D2"/>
    <w:rsid w:val="005727DA"/>
    <w:rsid w:val="005757A7"/>
    <w:rsid w:val="0058483E"/>
    <w:rsid w:val="00591372"/>
    <w:rsid w:val="005E0562"/>
    <w:rsid w:val="005E61B0"/>
    <w:rsid w:val="00600238"/>
    <w:rsid w:val="0060198B"/>
    <w:rsid w:val="006030A0"/>
    <w:rsid w:val="00606314"/>
    <w:rsid w:val="00621DC7"/>
    <w:rsid w:val="006349A1"/>
    <w:rsid w:val="00640705"/>
    <w:rsid w:val="006418D1"/>
    <w:rsid w:val="00650557"/>
    <w:rsid w:val="00674AD1"/>
    <w:rsid w:val="006942CC"/>
    <w:rsid w:val="006A4FBC"/>
    <w:rsid w:val="006C792D"/>
    <w:rsid w:val="006E347E"/>
    <w:rsid w:val="006F0459"/>
    <w:rsid w:val="006F0845"/>
    <w:rsid w:val="006F311B"/>
    <w:rsid w:val="00717EAE"/>
    <w:rsid w:val="00730551"/>
    <w:rsid w:val="007307D6"/>
    <w:rsid w:val="007326E9"/>
    <w:rsid w:val="0074058B"/>
    <w:rsid w:val="0074096A"/>
    <w:rsid w:val="007420F0"/>
    <w:rsid w:val="00750558"/>
    <w:rsid w:val="00757E62"/>
    <w:rsid w:val="00762C5B"/>
    <w:rsid w:val="00772DF2"/>
    <w:rsid w:val="007B55E7"/>
    <w:rsid w:val="007D3EE4"/>
    <w:rsid w:val="007F31C5"/>
    <w:rsid w:val="008124F9"/>
    <w:rsid w:val="00817DD9"/>
    <w:rsid w:val="008236A3"/>
    <w:rsid w:val="00844CEA"/>
    <w:rsid w:val="00847BDF"/>
    <w:rsid w:val="0086059D"/>
    <w:rsid w:val="008636AA"/>
    <w:rsid w:val="008A2C93"/>
    <w:rsid w:val="008A62EF"/>
    <w:rsid w:val="008C384B"/>
    <w:rsid w:val="008C4B15"/>
    <w:rsid w:val="008E63F1"/>
    <w:rsid w:val="008F52AD"/>
    <w:rsid w:val="00903734"/>
    <w:rsid w:val="00930D16"/>
    <w:rsid w:val="009320E5"/>
    <w:rsid w:val="00970B4A"/>
    <w:rsid w:val="00996BF6"/>
    <w:rsid w:val="009B65A2"/>
    <w:rsid w:val="009D0281"/>
    <w:rsid w:val="009E74EF"/>
    <w:rsid w:val="009F3696"/>
    <w:rsid w:val="00A11E9D"/>
    <w:rsid w:val="00A3394E"/>
    <w:rsid w:val="00A40939"/>
    <w:rsid w:val="00A4147F"/>
    <w:rsid w:val="00A711F8"/>
    <w:rsid w:val="00A76702"/>
    <w:rsid w:val="00A82428"/>
    <w:rsid w:val="00A86F44"/>
    <w:rsid w:val="00A9338A"/>
    <w:rsid w:val="00AA2C94"/>
    <w:rsid w:val="00AC3F8F"/>
    <w:rsid w:val="00AE14F1"/>
    <w:rsid w:val="00AF6BE4"/>
    <w:rsid w:val="00B41DA7"/>
    <w:rsid w:val="00B839CD"/>
    <w:rsid w:val="00B904BD"/>
    <w:rsid w:val="00B90B43"/>
    <w:rsid w:val="00B96773"/>
    <w:rsid w:val="00BA5942"/>
    <w:rsid w:val="00BC5DD5"/>
    <w:rsid w:val="00BE08E7"/>
    <w:rsid w:val="00BE488B"/>
    <w:rsid w:val="00C06EC0"/>
    <w:rsid w:val="00C25B7A"/>
    <w:rsid w:val="00C30E0F"/>
    <w:rsid w:val="00C3577B"/>
    <w:rsid w:val="00C363E6"/>
    <w:rsid w:val="00C40924"/>
    <w:rsid w:val="00C56494"/>
    <w:rsid w:val="00C63AAF"/>
    <w:rsid w:val="00C65240"/>
    <w:rsid w:val="00C731B5"/>
    <w:rsid w:val="00C74EA2"/>
    <w:rsid w:val="00C818D1"/>
    <w:rsid w:val="00CB7A86"/>
    <w:rsid w:val="00CE0046"/>
    <w:rsid w:val="00CE500D"/>
    <w:rsid w:val="00CF0322"/>
    <w:rsid w:val="00CF442F"/>
    <w:rsid w:val="00CF484E"/>
    <w:rsid w:val="00D3017B"/>
    <w:rsid w:val="00D3385F"/>
    <w:rsid w:val="00D34119"/>
    <w:rsid w:val="00D346D1"/>
    <w:rsid w:val="00D5180B"/>
    <w:rsid w:val="00D70BBB"/>
    <w:rsid w:val="00D82DE3"/>
    <w:rsid w:val="00DB531C"/>
    <w:rsid w:val="00DB6818"/>
    <w:rsid w:val="00DC69E4"/>
    <w:rsid w:val="00DD55D2"/>
    <w:rsid w:val="00DD5862"/>
    <w:rsid w:val="00DE2074"/>
    <w:rsid w:val="00DF585E"/>
    <w:rsid w:val="00E10820"/>
    <w:rsid w:val="00E117E2"/>
    <w:rsid w:val="00E15D3E"/>
    <w:rsid w:val="00E31765"/>
    <w:rsid w:val="00E64484"/>
    <w:rsid w:val="00E708F0"/>
    <w:rsid w:val="00E72B1D"/>
    <w:rsid w:val="00E80D37"/>
    <w:rsid w:val="00EA42B6"/>
    <w:rsid w:val="00EE4005"/>
    <w:rsid w:val="00EF48FE"/>
    <w:rsid w:val="00F25274"/>
    <w:rsid w:val="00F3414C"/>
    <w:rsid w:val="00F53EDB"/>
    <w:rsid w:val="00F92106"/>
    <w:rsid w:val="00FA5B9C"/>
    <w:rsid w:val="00FB53E3"/>
    <w:rsid w:val="00FD3D35"/>
    <w:rsid w:val="00FE1521"/>
    <w:rsid w:val="00FE36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41CD1E"/>
  <w15:chartTrackingRefBased/>
  <w15:docId w15:val="{75F55473-4294-4E81-9F1C-ACC615B89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Arial"/>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385F"/>
    <w:rPr>
      <w:rFonts w:ascii="Times New Roman" w:eastAsia="Times New Roman" w:hAnsi="Times New Roman" w:cs="Times New Roman"/>
      <w:sz w:val="24"/>
      <w:szCs w:val="24"/>
      <w:lang w:val="es-ES" w:eastAsia="es-ES"/>
    </w:rPr>
  </w:style>
  <w:style w:type="paragraph" w:styleId="Ttulo2">
    <w:name w:val="heading 2"/>
    <w:basedOn w:val="Normal"/>
    <w:next w:val="Normal"/>
    <w:link w:val="Ttulo2Car"/>
    <w:uiPriority w:val="9"/>
    <w:unhideWhenUsed/>
    <w:qFormat/>
    <w:rsid w:val="00C63AAF"/>
    <w:pPr>
      <w:keepNext/>
      <w:spacing w:before="240" w:after="60"/>
      <w:outlineLvl w:val="1"/>
    </w:pPr>
    <w:rPr>
      <w:rFonts w:ascii="Cambria" w:hAnsi="Cambria"/>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rsid w:val="00A4147F"/>
  </w:style>
  <w:style w:type="paragraph" w:styleId="Piedepgina">
    <w:name w:val="footer"/>
    <w:basedOn w:val="Normal"/>
    <w:link w:val="PiedepginaCar"/>
    <w:uiPriority w:val="99"/>
    <w:rsid w:val="00A4147F"/>
    <w:pPr>
      <w:tabs>
        <w:tab w:val="center" w:pos="4252"/>
        <w:tab w:val="right" w:pos="8504"/>
      </w:tabs>
    </w:pPr>
  </w:style>
  <w:style w:type="character" w:customStyle="1" w:styleId="PiedepginaCar">
    <w:name w:val="Pie de página Car"/>
    <w:link w:val="Piedepgina"/>
    <w:uiPriority w:val="99"/>
    <w:rsid w:val="00A4147F"/>
    <w:rPr>
      <w:rFonts w:ascii="Times New Roman" w:eastAsia="Times New Roman" w:hAnsi="Times New Roman" w:cs="Times New Roman"/>
      <w:sz w:val="24"/>
      <w:szCs w:val="24"/>
      <w:lang w:val="es-ES" w:eastAsia="es-ES"/>
    </w:rPr>
  </w:style>
  <w:style w:type="paragraph" w:styleId="Textonotapie">
    <w:name w:val="footnote text"/>
    <w:aliases w:val="Footnote Text Char Char Char Char Char,Footnote Text Char Char Char Char,Ref. de nota al pie1,FA Fu,Footnote Text Cha,Footnote Text Char Char Char,FA Fußnotentext,FA Fuﬂnotentext,Footnote Text Char Char,texto de nota al p,Footnote referen"/>
    <w:basedOn w:val="Normal"/>
    <w:link w:val="TextonotapieCar"/>
    <w:uiPriority w:val="99"/>
    <w:qFormat/>
    <w:rsid w:val="00A4147F"/>
    <w:rPr>
      <w:sz w:val="20"/>
      <w:szCs w:val="20"/>
    </w:rPr>
  </w:style>
  <w:style w:type="character" w:customStyle="1" w:styleId="TextonotapieCar">
    <w:name w:val="Texto nota pie Car"/>
    <w:aliases w:val="Footnote Text Char Char Char Char Char Car,Footnote Text Char Char Char Char Car,Ref. de nota al pie1 Car,FA Fu Car,Footnote Text Cha Car,Footnote Text Char Char Char Car,FA Fußnotentext Car,FA Fuﬂnotentext Car,texto de nota al p Car"/>
    <w:link w:val="Textonotapie"/>
    <w:uiPriority w:val="99"/>
    <w:rsid w:val="00A4147F"/>
    <w:rPr>
      <w:rFonts w:ascii="Times New Roman" w:eastAsia="Times New Roman" w:hAnsi="Times New Roman" w:cs="Times New Roman"/>
      <w:lang w:val="es-ES" w:eastAsia="es-ES"/>
    </w:rPr>
  </w:style>
  <w:style w:type="character" w:styleId="Refdenotaalpie">
    <w:name w:val="footnote reference"/>
    <w:aliases w:val="Ref. de nota al pie 2,Pie de Página,FC,Texto de nota al pie,referencia nota al pie,Nota de pie,Texto nota al pie,Appel note de bas de page,Footnotes refss,Footnote number,BVI fnr,f,4_G,16 Point,Superscript 6 Point,Texto de nota al pi"/>
    <w:uiPriority w:val="99"/>
    <w:qFormat/>
    <w:rsid w:val="00A4147F"/>
    <w:rPr>
      <w:vertAlign w:val="superscript"/>
    </w:rPr>
  </w:style>
  <w:style w:type="paragraph" w:styleId="NormalWeb">
    <w:name w:val="Normal (Web)"/>
    <w:basedOn w:val="Normal"/>
    <w:uiPriority w:val="99"/>
    <w:unhideWhenUsed/>
    <w:rsid w:val="00A4147F"/>
    <w:pPr>
      <w:spacing w:before="100" w:beforeAutospacing="1" w:after="100" w:afterAutospacing="1"/>
    </w:pPr>
    <w:rPr>
      <w:lang w:val="es-CO" w:eastAsia="es-CO"/>
    </w:rPr>
  </w:style>
  <w:style w:type="paragraph" w:styleId="Sinespaciado">
    <w:name w:val="No Spacing"/>
    <w:uiPriority w:val="1"/>
    <w:qFormat/>
    <w:rsid w:val="00A4147F"/>
    <w:rPr>
      <w:rFonts w:ascii="Calibri" w:hAnsi="Calibri" w:cs="Times New Roman"/>
      <w:sz w:val="22"/>
      <w:szCs w:val="22"/>
      <w:lang w:val="es-CO" w:eastAsia="en-US"/>
    </w:rPr>
  </w:style>
  <w:style w:type="character" w:customStyle="1" w:styleId="apple-converted-space">
    <w:name w:val="apple-converted-space"/>
    <w:rsid w:val="00A4147F"/>
  </w:style>
  <w:style w:type="character" w:styleId="Hipervnculo">
    <w:name w:val="Hyperlink"/>
    <w:uiPriority w:val="99"/>
    <w:rsid w:val="00A4147F"/>
    <w:rPr>
      <w:rFonts w:ascii="Arial" w:hAnsi="Arial" w:cs="Times New Roman"/>
      <w:color w:val="auto"/>
      <w:sz w:val="18"/>
      <w:u w:val="none"/>
      <w:effect w:val="none"/>
    </w:rPr>
  </w:style>
  <w:style w:type="character" w:customStyle="1" w:styleId="baj">
    <w:name w:val="b_aj"/>
    <w:rsid w:val="00A4147F"/>
  </w:style>
  <w:style w:type="paragraph" w:styleId="Encabezado">
    <w:name w:val="header"/>
    <w:basedOn w:val="Normal"/>
    <w:link w:val="EncabezadoCar"/>
    <w:uiPriority w:val="99"/>
    <w:unhideWhenUsed/>
    <w:rsid w:val="00930D16"/>
    <w:pPr>
      <w:tabs>
        <w:tab w:val="center" w:pos="4419"/>
        <w:tab w:val="right" w:pos="8838"/>
      </w:tabs>
    </w:pPr>
  </w:style>
  <w:style w:type="character" w:customStyle="1" w:styleId="EncabezadoCar">
    <w:name w:val="Encabezado Car"/>
    <w:link w:val="Encabezado"/>
    <w:uiPriority w:val="99"/>
    <w:rsid w:val="00930D16"/>
    <w:rPr>
      <w:rFonts w:ascii="Times New Roman" w:eastAsia="Times New Roman" w:hAnsi="Times New Roman" w:cs="Times New Roman"/>
      <w:sz w:val="24"/>
      <w:szCs w:val="24"/>
      <w:lang w:val="es-ES" w:eastAsia="es-ES"/>
    </w:rPr>
  </w:style>
  <w:style w:type="character" w:customStyle="1" w:styleId="Ttulo2Car">
    <w:name w:val="Título 2 Car"/>
    <w:link w:val="Ttulo2"/>
    <w:uiPriority w:val="9"/>
    <w:rsid w:val="00C63AAF"/>
    <w:rPr>
      <w:rFonts w:ascii="Cambria" w:eastAsia="Times New Roman" w:hAnsi="Cambria" w:cs="Times New Roman"/>
      <w:b/>
      <w:bCs/>
      <w:i/>
      <w:iCs/>
      <w:sz w:val="28"/>
      <w:szCs w:val="2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0229161">
      <w:bodyDiv w:val="1"/>
      <w:marLeft w:val="0"/>
      <w:marRight w:val="0"/>
      <w:marTop w:val="0"/>
      <w:marBottom w:val="0"/>
      <w:divBdr>
        <w:top w:val="none" w:sz="0" w:space="0" w:color="auto"/>
        <w:left w:val="none" w:sz="0" w:space="0" w:color="auto"/>
        <w:bottom w:val="none" w:sz="0" w:space="0" w:color="auto"/>
        <w:right w:val="none" w:sz="0" w:space="0" w:color="auto"/>
      </w:divBdr>
    </w:div>
    <w:div w:id="558901007">
      <w:bodyDiv w:val="1"/>
      <w:marLeft w:val="0"/>
      <w:marRight w:val="0"/>
      <w:marTop w:val="0"/>
      <w:marBottom w:val="0"/>
      <w:divBdr>
        <w:top w:val="none" w:sz="0" w:space="0" w:color="auto"/>
        <w:left w:val="none" w:sz="0" w:space="0" w:color="auto"/>
        <w:bottom w:val="none" w:sz="0" w:space="0" w:color="auto"/>
        <w:right w:val="none" w:sz="0" w:space="0" w:color="auto"/>
      </w:divBdr>
    </w:div>
    <w:div w:id="576205194">
      <w:bodyDiv w:val="1"/>
      <w:marLeft w:val="0"/>
      <w:marRight w:val="0"/>
      <w:marTop w:val="0"/>
      <w:marBottom w:val="0"/>
      <w:divBdr>
        <w:top w:val="none" w:sz="0" w:space="0" w:color="auto"/>
        <w:left w:val="none" w:sz="0" w:space="0" w:color="auto"/>
        <w:bottom w:val="none" w:sz="0" w:space="0" w:color="auto"/>
        <w:right w:val="none" w:sz="0" w:space="0" w:color="auto"/>
      </w:divBdr>
    </w:div>
    <w:div w:id="771776605">
      <w:bodyDiv w:val="1"/>
      <w:marLeft w:val="0"/>
      <w:marRight w:val="0"/>
      <w:marTop w:val="0"/>
      <w:marBottom w:val="0"/>
      <w:divBdr>
        <w:top w:val="none" w:sz="0" w:space="0" w:color="auto"/>
        <w:left w:val="none" w:sz="0" w:space="0" w:color="auto"/>
        <w:bottom w:val="none" w:sz="0" w:space="0" w:color="auto"/>
        <w:right w:val="none" w:sz="0" w:space="0" w:color="auto"/>
      </w:divBdr>
    </w:div>
    <w:div w:id="783576585">
      <w:bodyDiv w:val="1"/>
      <w:marLeft w:val="0"/>
      <w:marRight w:val="0"/>
      <w:marTop w:val="0"/>
      <w:marBottom w:val="0"/>
      <w:divBdr>
        <w:top w:val="none" w:sz="0" w:space="0" w:color="auto"/>
        <w:left w:val="none" w:sz="0" w:space="0" w:color="auto"/>
        <w:bottom w:val="none" w:sz="0" w:space="0" w:color="auto"/>
        <w:right w:val="none" w:sz="0" w:space="0" w:color="auto"/>
      </w:divBdr>
    </w:div>
    <w:div w:id="984898925">
      <w:bodyDiv w:val="1"/>
      <w:marLeft w:val="0"/>
      <w:marRight w:val="0"/>
      <w:marTop w:val="0"/>
      <w:marBottom w:val="0"/>
      <w:divBdr>
        <w:top w:val="none" w:sz="0" w:space="0" w:color="auto"/>
        <w:left w:val="none" w:sz="0" w:space="0" w:color="auto"/>
        <w:bottom w:val="none" w:sz="0" w:space="0" w:color="auto"/>
        <w:right w:val="none" w:sz="0" w:space="0" w:color="auto"/>
      </w:divBdr>
    </w:div>
    <w:div w:id="1237520997">
      <w:bodyDiv w:val="1"/>
      <w:marLeft w:val="0"/>
      <w:marRight w:val="0"/>
      <w:marTop w:val="0"/>
      <w:marBottom w:val="0"/>
      <w:divBdr>
        <w:top w:val="none" w:sz="0" w:space="0" w:color="auto"/>
        <w:left w:val="none" w:sz="0" w:space="0" w:color="auto"/>
        <w:bottom w:val="none" w:sz="0" w:space="0" w:color="auto"/>
        <w:right w:val="none" w:sz="0" w:space="0" w:color="auto"/>
      </w:divBdr>
    </w:div>
    <w:div w:id="1251547719">
      <w:bodyDiv w:val="1"/>
      <w:marLeft w:val="0"/>
      <w:marRight w:val="0"/>
      <w:marTop w:val="0"/>
      <w:marBottom w:val="0"/>
      <w:divBdr>
        <w:top w:val="none" w:sz="0" w:space="0" w:color="auto"/>
        <w:left w:val="none" w:sz="0" w:space="0" w:color="auto"/>
        <w:bottom w:val="none" w:sz="0" w:space="0" w:color="auto"/>
        <w:right w:val="none" w:sz="0" w:space="0" w:color="auto"/>
      </w:divBdr>
    </w:div>
    <w:div w:id="1601989336">
      <w:bodyDiv w:val="1"/>
      <w:marLeft w:val="0"/>
      <w:marRight w:val="0"/>
      <w:marTop w:val="0"/>
      <w:marBottom w:val="0"/>
      <w:divBdr>
        <w:top w:val="none" w:sz="0" w:space="0" w:color="auto"/>
        <w:left w:val="none" w:sz="0" w:space="0" w:color="auto"/>
        <w:bottom w:val="none" w:sz="0" w:space="0" w:color="auto"/>
        <w:right w:val="none" w:sz="0" w:space="0" w:color="auto"/>
      </w:divBdr>
    </w:div>
    <w:div w:id="1751075086">
      <w:bodyDiv w:val="1"/>
      <w:marLeft w:val="0"/>
      <w:marRight w:val="0"/>
      <w:marTop w:val="0"/>
      <w:marBottom w:val="0"/>
      <w:divBdr>
        <w:top w:val="none" w:sz="0" w:space="0" w:color="auto"/>
        <w:left w:val="none" w:sz="0" w:space="0" w:color="auto"/>
        <w:bottom w:val="none" w:sz="0" w:space="0" w:color="auto"/>
        <w:right w:val="none" w:sz="0" w:space="0" w:color="auto"/>
      </w:divBdr>
    </w:div>
    <w:div w:id="1768235870">
      <w:bodyDiv w:val="1"/>
      <w:marLeft w:val="0"/>
      <w:marRight w:val="0"/>
      <w:marTop w:val="0"/>
      <w:marBottom w:val="0"/>
      <w:divBdr>
        <w:top w:val="none" w:sz="0" w:space="0" w:color="auto"/>
        <w:left w:val="none" w:sz="0" w:space="0" w:color="auto"/>
        <w:bottom w:val="none" w:sz="0" w:space="0" w:color="auto"/>
        <w:right w:val="none" w:sz="0" w:space="0" w:color="auto"/>
      </w:divBdr>
    </w:div>
    <w:div w:id="194919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codigo_contencioso_administrativo_pr004.html" TargetMode="External"/><Relationship Id="rId1" Type="http://schemas.openxmlformats.org/officeDocument/2006/relationships/hyperlink" Target="http://www.secretariasenado.gov.co/senado/basedoc/codigo_contencioso_administrativo.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872746-3CD8-4DF5-A9C3-0931C2F4BD8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D70F9B8-C40F-42B3-87F2-0D9981422F59}">
  <ds:schemaRefs>
    <ds:schemaRef ds:uri="http://schemas.microsoft.com/sharepoint/v3/contenttype/forms"/>
  </ds:schemaRefs>
</ds:datastoreItem>
</file>

<file path=customXml/itemProps3.xml><?xml version="1.0" encoding="utf-8"?>
<ds:datastoreItem xmlns:ds="http://schemas.openxmlformats.org/officeDocument/2006/customXml" ds:itemID="{B0B2AED8-0868-468B-89DB-AFF0169DE4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D2E6DC-C434-4690-AD6E-1106E1B3B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6695</Words>
  <Characters>38167</Characters>
  <Application>Microsoft Office Word</Application>
  <DocSecurity>0</DocSecurity>
  <Lines>318</Lines>
  <Paragraphs>89</Paragraphs>
  <ScaleCrop>false</ScaleCrop>
  <HeadingPairs>
    <vt:vector size="2" baseType="variant">
      <vt:variant>
        <vt:lpstr>Título</vt:lpstr>
      </vt:variant>
      <vt:variant>
        <vt:i4>1</vt:i4>
      </vt:variant>
    </vt:vector>
  </HeadingPairs>
  <TitlesOfParts>
    <vt:vector size="1" baseType="lpstr">
      <vt:lpstr/>
    </vt:vector>
  </TitlesOfParts>
  <Company>CONSEJO SUPERIOR DE LA JUDICATURA</Company>
  <LinksUpToDate>false</LinksUpToDate>
  <CharactersWithSpaces>44773</CharactersWithSpaces>
  <SharedDoc>false</SharedDoc>
  <HLinks>
    <vt:vector size="12" baseType="variant">
      <vt:variant>
        <vt:i4>2949203</vt:i4>
      </vt:variant>
      <vt:variant>
        <vt:i4>3</vt:i4>
      </vt:variant>
      <vt:variant>
        <vt:i4>0</vt:i4>
      </vt:variant>
      <vt:variant>
        <vt:i4>5</vt:i4>
      </vt:variant>
      <vt:variant>
        <vt:lpwstr>http://www.secretariasenado.gov.co/senado/basedoc/codigo_contencioso_administrativo_pr004.html</vt:lpwstr>
      </vt:variant>
      <vt:variant>
        <vt:lpwstr>181</vt:lpwstr>
      </vt:variant>
      <vt:variant>
        <vt:i4>1114129</vt:i4>
      </vt:variant>
      <vt:variant>
        <vt:i4>0</vt:i4>
      </vt:variant>
      <vt:variant>
        <vt:i4>0</vt:i4>
      </vt:variant>
      <vt:variant>
        <vt:i4>5</vt:i4>
      </vt:variant>
      <vt:variant>
        <vt:lpwstr>http://www.secretariasenado.gov.co/senado/basedoc/codigo_contencioso_administrativo.html</vt:lpwstr>
      </vt:variant>
      <vt:variant>
        <vt:lpwstr>146-A</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CRISTHIAN MEJIA NIETO</dc:creator>
  <cp:keywords/>
  <cp:lastModifiedBy>Nina María Padrón</cp:lastModifiedBy>
  <cp:revision>2</cp:revision>
  <dcterms:created xsi:type="dcterms:W3CDTF">2020-06-27T12:37:00Z</dcterms:created>
  <dcterms:modified xsi:type="dcterms:W3CDTF">2020-06-27T12:37:00Z</dcterms:modified>
</cp:coreProperties>
</file>