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9CC3A3" w14:textId="1B9DA43D" w:rsidR="0012777D" w:rsidRPr="00BF3A49" w:rsidRDefault="0012777D" w:rsidP="0012777D">
      <w:pPr>
        <w:spacing w:after="0" w:line="240" w:lineRule="auto"/>
        <w:ind w:left="1701" w:right="1581"/>
        <w:jc w:val="both"/>
        <w:rPr>
          <w:rFonts w:ascii="Arial" w:eastAsia="Arial" w:hAnsi="Arial" w:cs="Arial"/>
          <w:color w:val="FF0000"/>
          <w:sz w:val="20"/>
          <w:szCs w:val="20"/>
          <w:lang w:val="es-CO"/>
        </w:rPr>
      </w:pPr>
      <w:bookmarkStart w:id="0" w:name="_Hlk46840473"/>
      <w:r w:rsidRPr="00BF3A49">
        <w:rPr>
          <w:rFonts w:ascii="Arial" w:eastAsia="Arial" w:hAnsi="Arial" w:cs="Arial"/>
          <w:b/>
          <w:bCs/>
          <w:color w:val="FF0000"/>
          <w:sz w:val="20"/>
          <w:szCs w:val="20"/>
          <w:lang w:val="es-CO"/>
        </w:rPr>
        <w:t>Nota:</w:t>
      </w:r>
      <w:r w:rsidRPr="00BF3A49">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7 y 10.</w:t>
      </w:r>
    </w:p>
    <w:p w14:paraId="670A1942" w14:textId="77777777" w:rsidR="0012777D" w:rsidRPr="00BF3A49" w:rsidRDefault="0012777D" w:rsidP="0012777D">
      <w:pPr>
        <w:spacing w:after="0" w:line="240" w:lineRule="auto"/>
        <w:ind w:left="1701" w:right="1581"/>
        <w:jc w:val="both"/>
        <w:rPr>
          <w:rFonts w:ascii="Arial" w:eastAsia="Arial" w:hAnsi="Arial" w:cs="Arial"/>
          <w:color w:val="FF0000"/>
          <w:sz w:val="20"/>
          <w:szCs w:val="20"/>
          <w:lang w:val="es-CO"/>
        </w:rPr>
      </w:pPr>
    </w:p>
    <w:p w14:paraId="0977D90A" w14:textId="77777777" w:rsidR="0012777D" w:rsidRPr="00BF3A49" w:rsidRDefault="0012777D" w:rsidP="0012777D">
      <w:pPr>
        <w:spacing w:after="0" w:line="240" w:lineRule="auto"/>
        <w:ind w:left="1701" w:right="1581"/>
        <w:jc w:val="both"/>
        <w:rPr>
          <w:rFonts w:ascii="Arial" w:eastAsia="Arial" w:hAnsi="Arial" w:cs="Arial"/>
          <w:color w:val="FF0000"/>
          <w:sz w:val="20"/>
          <w:szCs w:val="20"/>
          <w:lang w:val="es-CO"/>
        </w:rPr>
      </w:pPr>
      <w:r w:rsidRPr="00BF3A49">
        <w:rPr>
          <w:rFonts w:ascii="Arial" w:eastAsia="Arial" w:hAnsi="Arial" w:cs="Arial"/>
          <w:color w:val="FF0000"/>
          <w:sz w:val="20"/>
          <w:szCs w:val="20"/>
          <w:lang w:val="es-CO"/>
        </w:rPr>
        <w:t>Los conceptos se relacionan al pie de cada disposición, y abren dando “clic” en el hipervínculo.</w:t>
      </w:r>
    </w:p>
    <w:p w14:paraId="09310937" w14:textId="5D5CF4F2" w:rsidR="00B34819" w:rsidRDefault="00B34819" w:rsidP="00756A38">
      <w:pPr>
        <w:pStyle w:val="xmsonormal"/>
        <w:rPr>
          <w:rStyle w:val="eop"/>
          <w:rFonts w:ascii="Arial" w:hAnsi="Arial" w:cs="Arial"/>
          <w:color w:val="000000"/>
          <w:sz w:val="20"/>
          <w:szCs w:val="20"/>
          <w:shd w:val="clear" w:color="auto" w:fill="FFFFFF"/>
        </w:rPr>
      </w:pPr>
    </w:p>
    <w:p w14:paraId="522DC08E" w14:textId="77777777" w:rsidR="0073469D" w:rsidRPr="0012777D" w:rsidRDefault="0073469D" w:rsidP="00756A38">
      <w:pPr>
        <w:pStyle w:val="xmsonormal"/>
        <w:rPr>
          <w:rStyle w:val="eop"/>
          <w:rFonts w:ascii="Arial" w:hAnsi="Arial" w:cs="Arial"/>
          <w:color w:val="000000"/>
          <w:sz w:val="20"/>
          <w:szCs w:val="20"/>
          <w:shd w:val="clear" w:color="auto" w:fill="FFFFFF"/>
        </w:rPr>
      </w:pPr>
    </w:p>
    <w:bookmarkEnd w:id="0"/>
    <w:p w14:paraId="17CEBF14" w14:textId="39BEC920" w:rsidR="00B6568D" w:rsidRDefault="00B6568D" w:rsidP="00B6568D">
      <w:pPr>
        <w:spacing w:after="0" w:line="390" w:lineRule="atLeast"/>
        <w:jc w:val="center"/>
        <w:rPr>
          <w:rFonts w:ascii="Arial" w:eastAsia="Times New Roman" w:hAnsi="Arial" w:cs="Arial"/>
          <w:b/>
          <w:bCs/>
          <w:lang w:val="es-CO" w:eastAsia="es-CO"/>
        </w:rPr>
      </w:pPr>
      <w:r w:rsidRPr="0012777D">
        <w:rPr>
          <w:rFonts w:ascii="Arial" w:eastAsia="Times New Roman" w:hAnsi="Arial" w:cs="Arial"/>
          <w:b/>
          <w:bCs/>
          <w:lang w:val="es-CO" w:eastAsia="es-CO"/>
        </w:rPr>
        <w:t>DECRETO 4125 DE 2008</w:t>
      </w:r>
    </w:p>
    <w:p w14:paraId="6736AE5C" w14:textId="77777777" w:rsidR="0073469D" w:rsidRPr="0012777D" w:rsidRDefault="0073469D" w:rsidP="00B6568D">
      <w:pPr>
        <w:spacing w:after="0" w:line="390" w:lineRule="atLeast"/>
        <w:jc w:val="center"/>
        <w:rPr>
          <w:rFonts w:ascii="Arial" w:eastAsia="Times New Roman" w:hAnsi="Arial" w:cs="Arial"/>
          <w:b/>
          <w:bCs/>
          <w:lang w:val="es-CO" w:eastAsia="es-CO"/>
        </w:rPr>
      </w:pPr>
    </w:p>
    <w:p w14:paraId="1BBC5362" w14:textId="297CFD52" w:rsidR="00B6568D" w:rsidRPr="0012777D" w:rsidRDefault="00B6568D" w:rsidP="00B6568D">
      <w:pPr>
        <w:spacing w:after="150" w:line="254" w:lineRule="atLeast"/>
        <w:jc w:val="center"/>
        <w:rPr>
          <w:rFonts w:ascii="Arial" w:eastAsia="Times New Roman" w:hAnsi="Arial" w:cs="Arial"/>
          <w:b/>
          <w:bCs/>
          <w:lang w:val="es-CO" w:eastAsia="es-CO"/>
        </w:rPr>
      </w:pPr>
      <w:r w:rsidRPr="0012777D">
        <w:rPr>
          <w:rFonts w:ascii="Arial" w:eastAsia="Times New Roman" w:hAnsi="Arial" w:cs="Arial"/>
          <w:b/>
          <w:bCs/>
          <w:lang w:val="es-CO" w:eastAsia="es-CO"/>
        </w:rPr>
        <w:t>Por el cual se reglamenta el servicio público de transporte terrestre automotor mixto en motocarro.</w:t>
      </w:r>
    </w:p>
    <w:p w14:paraId="685E60B8" w14:textId="77777777" w:rsidR="00B6568D" w:rsidRPr="0012777D" w:rsidRDefault="00B6568D" w:rsidP="00B6568D">
      <w:pPr>
        <w:spacing w:after="0" w:line="254" w:lineRule="atLeast"/>
        <w:jc w:val="both"/>
        <w:rPr>
          <w:rFonts w:ascii="Arial" w:eastAsia="Times New Roman" w:hAnsi="Arial" w:cs="Arial"/>
          <w:b/>
          <w:bCs/>
          <w:lang w:val="es-CO" w:eastAsia="es-CO"/>
        </w:rPr>
      </w:pPr>
      <w:bookmarkStart w:id="1" w:name="ver_1542079"/>
      <w:bookmarkEnd w:id="1"/>
      <w:r w:rsidRPr="0012777D">
        <w:rPr>
          <w:rFonts w:ascii="Arial" w:eastAsia="Times New Roman" w:hAnsi="Arial" w:cs="Arial"/>
          <w:b/>
          <w:bCs/>
          <w:lang w:val="es-CO" w:eastAsia="es-CO"/>
        </w:rPr>
        <w:t xml:space="preserve">El </w:t>
      </w:r>
      <w:proofErr w:type="gramStart"/>
      <w:r w:rsidRPr="0012777D">
        <w:rPr>
          <w:rFonts w:ascii="Arial" w:eastAsia="Times New Roman" w:hAnsi="Arial" w:cs="Arial"/>
          <w:b/>
          <w:bCs/>
          <w:lang w:val="es-CO" w:eastAsia="es-CO"/>
        </w:rPr>
        <w:t>Presidente</w:t>
      </w:r>
      <w:proofErr w:type="gramEnd"/>
      <w:r w:rsidRPr="0012777D">
        <w:rPr>
          <w:rFonts w:ascii="Arial" w:eastAsia="Times New Roman" w:hAnsi="Arial" w:cs="Arial"/>
          <w:b/>
          <w:bCs/>
          <w:lang w:val="es-CO" w:eastAsia="es-CO"/>
        </w:rPr>
        <w:t xml:space="preserve"> de la República de Colombia, en ejercicio de sus facultades constitucionales y legales, en especial las conferidas por el numeral 11 del artículo 189 de la Constitución Política de Colombia y el numeral 5 del artículo 3º de la Ley 105 de 1993 y los artículos 11, 16, 17 y 19 de la Ley 336 de 1996, </w:t>
      </w:r>
    </w:p>
    <w:p w14:paraId="07B15394" w14:textId="77777777" w:rsidR="00B6568D" w:rsidRPr="0012777D" w:rsidRDefault="00B6568D" w:rsidP="00B6568D">
      <w:pPr>
        <w:spacing w:after="0" w:line="254" w:lineRule="atLeast"/>
        <w:rPr>
          <w:rFonts w:ascii="Arial" w:eastAsia="Times New Roman" w:hAnsi="Arial" w:cs="Arial"/>
          <w:b/>
          <w:bCs/>
          <w:lang w:val="es-CO" w:eastAsia="es-CO"/>
        </w:rPr>
      </w:pPr>
      <w:r w:rsidRPr="0012777D">
        <w:rPr>
          <w:rFonts w:ascii="Arial" w:eastAsia="Times New Roman" w:hAnsi="Arial" w:cs="Arial"/>
          <w:b/>
          <w:bCs/>
          <w:lang w:val="es-CO" w:eastAsia="es-CO"/>
        </w:rPr>
        <w:t>  </w:t>
      </w:r>
    </w:p>
    <w:p w14:paraId="38E01B59" w14:textId="4F00D278" w:rsidR="00B6568D" w:rsidRDefault="00B6568D" w:rsidP="00B6568D">
      <w:pPr>
        <w:spacing w:after="0" w:line="254" w:lineRule="atLeast"/>
        <w:jc w:val="center"/>
        <w:rPr>
          <w:rFonts w:ascii="Arial" w:eastAsia="Times New Roman" w:hAnsi="Arial" w:cs="Arial"/>
          <w:b/>
          <w:bCs/>
          <w:lang w:val="es-CO" w:eastAsia="es-CO"/>
        </w:rPr>
      </w:pPr>
      <w:r w:rsidRPr="0012777D">
        <w:rPr>
          <w:rFonts w:ascii="Arial" w:eastAsia="Times New Roman" w:hAnsi="Arial" w:cs="Arial"/>
          <w:b/>
          <w:bCs/>
          <w:lang w:val="es-CO" w:eastAsia="es-CO"/>
        </w:rPr>
        <w:t>DECRETA: </w:t>
      </w:r>
    </w:p>
    <w:p w14:paraId="6D971A09" w14:textId="77777777" w:rsidR="0073469D" w:rsidRPr="0012777D" w:rsidRDefault="0073469D" w:rsidP="00B6568D">
      <w:pPr>
        <w:spacing w:after="0" w:line="254" w:lineRule="atLeast"/>
        <w:jc w:val="center"/>
        <w:rPr>
          <w:rFonts w:ascii="Arial" w:eastAsia="Times New Roman" w:hAnsi="Arial" w:cs="Arial"/>
          <w:b/>
          <w:bCs/>
          <w:lang w:val="es-CO" w:eastAsia="es-CO"/>
        </w:rPr>
      </w:pPr>
    </w:p>
    <w:p w14:paraId="183645AD" w14:textId="22767A95" w:rsidR="00B6568D" w:rsidRPr="0012777D" w:rsidRDefault="00B6568D" w:rsidP="00B6568D">
      <w:pPr>
        <w:spacing w:after="0" w:line="254" w:lineRule="atLeast"/>
        <w:jc w:val="center"/>
        <w:rPr>
          <w:rFonts w:ascii="Arial" w:eastAsia="Times New Roman" w:hAnsi="Arial" w:cs="Arial"/>
          <w:b/>
          <w:bCs/>
          <w:lang w:val="es-CO" w:eastAsia="es-CO"/>
        </w:rPr>
      </w:pPr>
      <w:bookmarkStart w:id="2" w:name="ver_1542080"/>
      <w:bookmarkEnd w:id="2"/>
      <w:r w:rsidRPr="0012777D">
        <w:rPr>
          <w:rFonts w:ascii="Arial" w:eastAsia="Times New Roman" w:hAnsi="Arial" w:cs="Arial"/>
          <w:b/>
          <w:bCs/>
          <w:lang w:val="es-CO" w:eastAsia="es-CO"/>
        </w:rPr>
        <w:t>CAPITULO I</w:t>
      </w:r>
    </w:p>
    <w:p w14:paraId="751BB883" w14:textId="0EB4660D" w:rsidR="00B6568D" w:rsidRPr="0012777D" w:rsidRDefault="0073469D" w:rsidP="00B6568D">
      <w:pPr>
        <w:spacing w:line="293" w:lineRule="atLeast"/>
        <w:jc w:val="center"/>
        <w:rPr>
          <w:rFonts w:ascii="Arial" w:eastAsia="Times New Roman" w:hAnsi="Arial" w:cs="Arial"/>
          <w:b/>
          <w:bCs/>
          <w:lang w:val="es-CO" w:eastAsia="es-CO"/>
        </w:rPr>
      </w:pPr>
      <w:r w:rsidRPr="0012777D">
        <w:rPr>
          <w:rFonts w:ascii="Arial" w:eastAsia="Times New Roman" w:hAnsi="Arial" w:cs="Arial"/>
          <w:b/>
          <w:bCs/>
          <w:lang w:val="es-CO" w:eastAsia="es-CO"/>
        </w:rPr>
        <w:t>OBJETO Y DEFINICIONES</w:t>
      </w:r>
    </w:p>
    <w:p w14:paraId="43828269" w14:textId="77777777" w:rsidR="00B6568D" w:rsidRPr="0012777D" w:rsidRDefault="00B6568D" w:rsidP="00B6568D">
      <w:pPr>
        <w:spacing w:after="0" w:line="240" w:lineRule="auto"/>
        <w:rPr>
          <w:rFonts w:ascii="Arial" w:eastAsia="Times New Roman" w:hAnsi="Arial" w:cs="Arial"/>
          <w:lang w:val="es-CO" w:eastAsia="es-CO"/>
        </w:rPr>
      </w:pPr>
      <w:bookmarkStart w:id="3" w:name="ver_1542081"/>
      <w:bookmarkEnd w:id="3"/>
    </w:p>
    <w:p w14:paraId="00D1C3B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1º. Objeto. El presente decreto tiene por objeto reglamentar la habilitación de las empresas de servicio público de transporte terrestre automotor mixto en vehículos clase motocarro y el procedimiento para otorgar el permiso para la prestación de dicho servicio público de forma eficiente, segura, oportuna y económica, bajo los criterios básicos de cumplimiento de los principios rectores de transporte tales como la libre competencia y la iniciativa privada. </w:t>
      </w:r>
    </w:p>
    <w:p w14:paraId="55060FAA" w14:textId="58BF292F"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bookmarkStart w:id="4" w:name="ver_1542082"/>
      <w:bookmarkEnd w:id="4"/>
    </w:p>
    <w:p w14:paraId="6493D5C5"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2º. Servicio público de transporte terrestre automotor mixto en motocarro. Es aquel que se presta bajo la responsabilidad de una empresa de transporte legalmente constituida y debidamente habilitada y autorizada, a través de un contrato celebrado entre la empresa de transporte y cada una de las personas que utilizan el servicio para su traslado simultáneo con el de sus bienes o carga del sector veredal al centro urbano de acopio dentro de la jurisdicción de un municipio. </w:t>
      </w:r>
    </w:p>
    <w:p w14:paraId="167CC308"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4B52C2ED" w14:textId="77777777" w:rsidR="00B6568D" w:rsidRPr="0012777D" w:rsidRDefault="00B6568D" w:rsidP="00B6568D">
      <w:pPr>
        <w:spacing w:after="0" w:line="293" w:lineRule="atLeast"/>
        <w:jc w:val="center"/>
        <w:rPr>
          <w:rFonts w:ascii="Arial" w:eastAsia="Times New Roman" w:hAnsi="Arial" w:cs="Arial"/>
          <w:b/>
          <w:bCs/>
          <w:lang w:val="es-CO" w:eastAsia="es-CO"/>
        </w:rPr>
      </w:pPr>
      <w:bookmarkStart w:id="5" w:name="ver_1542083"/>
      <w:bookmarkEnd w:id="5"/>
      <w:r w:rsidRPr="0012777D">
        <w:rPr>
          <w:rFonts w:ascii="Arial" w:eastAsia="Times New Roman" w:hAnsi="Arial" w:cs="Arial"/>
          <w:b/>
          <w:bCs/>
          <w:lang w:val="es-CO" w:eastAsia="es-CO"/>
        </w:rPr>
        <w:t>CAPITULO II</w:t>
      </w:r>
    </w:p>
    <w:p w14:paraId="410CE0B4" w14:textId="730AE288" w:rsidR="00B6568D" w:rsidRPr="0012777D" w:rsidRDefault="0073469D" w:rsidP="00B6568D">
      <w:pPr>
        <w:spacing w:line="293" w:lineRule="atLeast"/>
        <w:jc w:val="center"/>
        <w:rPr>
          <w:rFonts w:ascii="Arial" w:eastAsia="Times New Roman" w:hAnsi="Arial" w:cs="Arial"/>
          <w:b/>
          <w:bCs/>
          <w:lang w:val="es-CO" w:eastAsia="es-CO"/>
        </w:rPr>
      </w:pPr>
      <w:r w:rsidRPr="0012777D">
        <w:rPr>
          <w:rFonts w:ascii="Arial" w:eastAsia="Times New Roman" w:hAnsi="Arial" w:cs="Arial"/>
          <w:b/>
          <w:bCs/>
          <w:lang w:val="es-CO" w:eastAsia="es-CO"/>
        </w:rPr>
        <w:t>HABILITACIÓN Y PRESTACIÓN DEL SERVICIO</w:t>
      </w:r>
    </w:p>
    <w:p w14:paraId="261534BB" w14:textId="77777777" w:rsidR="00B6568D" w:rsidRPr="0012777D" w:rsidRDefault="00B6568D" w:rsidP="00B6568D">
      <w:pPr>
        <w:spacing w:after="0" w:line="240" w:lineRule="auto"/>
        <w:rPr>
          <w:rFonts w:ascii="Arial" w:eastAsia="Times New Roman" w:hAnsi="Arial" w:cs="Arial"/>
          <w:lang w:val="es-CO" w:eastAsia="es-CO"/>
        </w:rPr>
      </w:pPr>
      <w:bookmarkStart w:id="6" w:name="ver_1542084"/>
      <w:bookmarkEnd w:id="6"/>
    </w:p>
    <w:p w14:paraId="1694AD8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3º. Población. En los municipios del territorio nacional con población total inferior a 50.000 habitantes, a partir de la vigencia del presente decreto el servicio público de transporte mixto veredal podrá prestarse en motocarros a través de empresas o cooperativas legalmente constituidas y habilitadas en el municipio correspondiente que tengan por objeto único el transporte, en las cuales los propietarios del parque automotor de motocarros sean dueños del ciento por ciento (100%) de la empresa. </w:t>
      </w:r>
    </w:p>
    <w:p w14:paraId="60D19B02"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643497CE" w14:textId="30E3F91A"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lastRenderedPageBreak/>
        <w:t>Parágrafo. El servicio público de transporte en motocarro se autorizará para el radio de acción municipal. Excepcionalmente,</w:t>
      </w:r>
      <w:r w:rsidR="0012777D">
        <w:rPr>
          <w:rFonts w:ascii="Arial" w:eastAsia="Times New Roman" w:hAnsi="Arial" w:cs="Arial"/>
          <w:lang w:val="es-CO" w:eastAsia="es-CO"/>
        </w:rPr>
        <w:t xml:space="preserve"> </w:t>
      </w:r>
      <w:r w:rsidRPr="0012777D">
        <w:rPr>
          <w:rFonts w:ascii="Arial" w:eastAsia="Times New Roman" w:hAnsi="Arial" w:cs="Arial"/>
          <w:lang w:val="es-CO" w:eastAsia="es-CO"/>
        </w:rPr>
        <w:t>cuando la prestación del servicio de transporte sea insuficiente o precaria en zonas de operación conformadas por varios municipios del territorio nacional con población total inferior a 50.000 habitantes, el Ministerio de Transporte podrá autorizar la prestación del servicio público de transporte en motocarro, en las condiciones y mediante el mismo procedimiento previsto en el presente decreto. </w:t>
      </w:r>
    </w:p>
    <w:p w14:paraId="25B2F0C2" w14:textId="121A4F02" w:rsidR="00B6568D" w:rsidRPr="0012777D" w:rsidRDefault="00B6568D" w:rsidP="0073469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bookmarkStart w:id="7" w:name="ver_1542085"/>
      <w:bookmarkEnd w:id="7"/>
    </w:p>
    <w:p w14:paraId="5CCAFC1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Artículo 4º. Requisitos para la habilitación. Las personas jurídicas interesadas en obtener habilitación para la prestación del servicio público de transporte mixto en motocarro a las que se refiere el artículo </w:t>
      </w:r>
      <w:proofErr w:type="gramStart"/>
      <w:r w:rsidRPr="0012777D">
        <w:rPr>
          <w:rFonts w:ascii="Arial" w:eastAsia="Times New Roman" w:hAnsi="Arial" w:cs="Arial"/>
          <w:lang w:val="es-CO" w:eastAsia="es-CO"/>
        </w:rPr>
        <w:t>anterior,</w:t>
      </w:r>
      <w:proofErr w:type="gramEnd"/>
      <w:r w:rsidRPr="0012777D">
        <w:rPr>
          <w:rFonts w:ascii="Arial" w:eastAsia="Times New Roman" w:hAnsi="Arial" w:cs="Arial"/>
          <w:lang w:val="es-CO" w:eastAsia="es-CO"/>
        </w:rPr>
        <w:t xml:space="preserve"> deberán cumplir con los siguientes requisitos: </w:t>
      </w:r>
    </w:p>
    <w:p w14:paraId="723618B4"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205EB87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1. Solicitud dirigida a la autoridad de transporte competente suscrita por el representante legal. </w:t>
      </w:r>
    </w:p>
    <w:p w14:paraId="6CD85A11"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4304230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 Certificado de existencia y representación legal, expedido con una antelación máxima de 30 días hábiles. </w:t>
      </w:r>
    </w:p>
    <w:p w14:paraId="10C0B044"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4B36E9AF"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3. Descripción de la estructura organizacional de la empresa relacionando la preparación especializada y/o la experiencia laboral del personal administrativo profesional, técnico y tecnológico contratado por la empresa. </w:t>
      </w:r>
    </w:p>
    <w:p w14:paraId="14AFB545"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33C9D19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4. Relación del equipo de transporte con indicación del nombre y número de cédula del propietario, clase, marca, placa, modelo y demás especificaciones que permitan su identificación de acuerdo con las normas vigentes. </w:t>
      </w:r>
    </w:p>
    <w:p w14:paraId="607B3AB1"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72877D2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5. Descripción y diseño de los distintivos de la empresa. </w:t>
      </w:r>
    </w:p>
    <w:p w14:paraId="52D92DBD"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70BC8D24"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6. Certificación suscrita por el representante legal sobre la implantación de programas de revisión y mantenimiento de los equipos, sistemas de abastecimiento de combustible y los mecanismos de protección de pasajeros y carga. </w:t>
      </w:r>
    </w:p>
    <w:p w14:paraId="0C7F83FC"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12F70F3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7. Balance general a la fecha de solicitud firmado por el representante legal certificado por contador público y revisor fiscal si de conformidad con la ley está obligado a tenerlo. </w:t>
      </w:r>
    </w:p>
    <w:p w14:paraId="2B0FCBC9"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18099BD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8. Demostración de un capital pagado o patrimonio líquido, de un (1) salario mínimo mensual legal vigente por cada motocarro que haga parte de la capacidad transportadora de la empresa. </w:t>
      </w:r>
    </w:p>
    <w:p w14:paraId="43AC34F6" w14:textId="77777777"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p>
    <w:p w14:paraId="4078A180"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9. Duplicado de la consignación a favor de la autoridad de transporte competente por el pago de los derechos que se causen, debidamente registrado por la entidad recaudadora. </w:t>
      </w:r>
    </w:p>
    <w:p w14:paraId="03C2494F" w14:textId="03CDD79B"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bookmarkStart w:id="8" w:name="ver_1542086"/>
      <w:bookmarkEnd w:id="8"/>
    </w:p>
    <w:p w14:paraId="4F82FCBE"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5º. Trámite de habilitación. La autoridad competente dispondrá de un término no superior a 90 días para decidir sobre la solicitud de habilitación. La habilitación se concederá mediante resolución motivada en la que se especificará como mínimo el nombre, razón social o denominación, domicilio personal, capital pagado, patrimonio líquido, radio de acción y modalidad de la empresa. </w:t>
      </w:r>
    </w:p>
    <w:p w14:paraId="41D8EF1A" w14:textId="54E9BAA3" w:rsidR="00B6568D" w:rsidRPr="0012777D" w:rsidRDefault="00B6568D" w:rsidP="00B6568D">
      <w:pPr>
        <w:spacing w:after="0" w:line="254" w:lineRule="atLeast"/>
        <w:rPr>
          <w:rFonts w:ascii="Arial" w:eastAsia="Times New Roman" w:hAnsi="Arial" w:cs="Arial"/>
          <w:lang w:val="es-CO" w:eastAsia="es-CO"/>
        </w:rPr>
      </w:pPr>
      <w:r w:rsidRPr="0012777D">
        <w:rPr>
          <w:rFonts w:ascii="Arial" w:eastAsia="Times New Roman" w:hAnsi="Arial" w:cs="Arial"/>
          <w:lang w:val="es-CO" w:eastAsia="es-CO"/>
        </w:rPr>
        <w:t>  </w:t>
      </w:r>
      <w:bookmarkStart w:id="9" w:name="ver_1542087"/>
      <w:bookmarkEnd w:id="9"/>
    </w:p>
    <w:p w14:paraId="3A599DA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Artículo 6º. Homologación. La prestación del servicio público de transporte mixto en </w:t>
      </w:r>
      <w:proofErr w:type="gramStart"/>
      <w:r w:rsidRPr="0012777D">
        <w:rPr>
          <w:rFonts w:ascii="Arial" w:eastAsia="Times New Roman" w:hAnsi="Arial" w:cs="Arial"/>
          <w:lang w:val="es-CO" w:eastAsia="es-CO"/>
        </w:rPr>
        <w:t>motocarro,</w:t>
      </w:r>
      <w:proofErr w:type="gramEnd"/>
      <w:r w:rsidRPr="0012777D">
        <w:rPr>
          <w:rFonts w:ascii="Arial" w:eastAsia="Times New Roman" w:hAnsi="Arial" w:cs="Arial"/>
          <w:lang w:val="es-CO" w:eastAsia="es-CO"/>
        </w:rPr>
        <w:t xml:space="preserve"> deberá efectuarse con equipos homologados conforme a las características y especificaciones técnicas y de seguridad que determine el Ministerio de Transporte. </w:t>
      </w:r>
    </w:p>
    <w:p w14:paraId="526E2C92" w14:textId="02BC3098"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0" w:name="ver_1542088"/>
      <w:bookmarkEnd w:id="10"/>
    </w:p>
    <w:p w14:paraId="67B0BDD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lastRenderedPageBreak/>
        <w:t>Artículo 7º. Acceso al servicio. El permiso para la prestación del servicio público de transporte terrestre automotor mixto en motocarro se otorgará mediante concurso público en el que se garantice la libre concurrencia y la iniciativa privada, con arreglo a lo dispuesto en el presente decreto. </w:t>
      </w:r>
    </w:p>
    <w:p w14:paraId="026FFB6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D0BB85E"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El permiso es revocable e intransferible y obliga a su beneficiario a cumplir las condiciones establecidas en el acto que lo concedió. </w:t>
      </w:r>
    </w:p>
    <w:p w14:paraId="65ACB8DA"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2E3C77B6" w14:textId="3A43B7B6" w:rsidR="00B6568D" w:rsidRPr="0012777D" w:rsidRDefault="00B6568D" w:rsidP="00A00145">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Para participar en el concurso no es condición previa estar habilitado como empresa de transporte mixto en motocarro. En todo caso, si la empresa resulta favorecida con la adjudicación del servicio, deberá solicitar y obtener habilitación en esta modalidad de acuerdo con los requisitos y condiciones señalados en este decreto. </w:t>
      </w:r>
    </w:p>
    <w:p w14:paraId="52EB8899" w14:textId="30E43A5D" w:rsidR="00A00145" w:rsidRPr="0012777D" w:rsidRDefault="00A00145" w:rsidP="00A00145">
      <w:pPr>
        <w:spacing w:after="0" w:line="254" w:lineRule="atLeast"/>
        <w:jc w:val="both"/>
        <w:rPr>
          <w:rFonts w:ascii="Arial" w:eastAsia="Times New Roman" w:hAnsi="Arial" w:cs="Arial"/>
          <w:lang w:val="es-CO" w:eastAsia="es-CO"/>
        </w:rPr>
      </w:pPr>
    </w:p>
    <w:p w14:paraId="11BCE8B6" w14:textId="3FAE42E5" w:rsidR="00A00145" w:rsidRPr="009779A5" w:rsidRDefault="00A00145" w:rsidP="00A00145">
      <w:pPr>
        <w:spacing w:after="0"/>
        <w:jc w:val="both"/>
        <w:rPr>
          <w:rFonts w:ascii="Arial" w:hAnsi="Arial" w:cs="Arial"/>
          <w:sz w:val="20"/>
          <w:szCs w:val="20"/>
          <w:lang w:val="es-MX"/>
        </w:rPr>
      </w:pPr>
      <w:r w:rsidRPr="009779A5">
        <w:rPr>
          <w:rFonts w:ascii="Arial" w:hAnsi="Arial" w:cs="Arial"/>
          <w:sz w:val="20"/>
          <w:szCs w:val="20"/>
          <w:lang w:val="es-MX"/>
        </w:rPr>
        <w:t xml:space="preserve">(Ver conceptos: </w:t>
      </w:r>
      <w:hyperlink r:id="rId7" w:history="1">
        <w:r w:rsidRPr="009779A5">
          <w:rPr>
            <w:rStyle w:val="Hipervnculo"/>
            <w:rFonts w:ascii="Arial" w:hAnsi="Arial" w:cs="Arial"/>
            <w:sz w:val="20"/>
            <w:szCs w:val="20"/>
            <w:lang w:val="es-MX"/>
          </w:rPr>
          <w:t>4201912000006842 del 19/11/2019</w:t>
        </w:r>
      </w:hyperlink>
      <w:r w:rsidRPr="009779A5">
        <w:rPr>
          <w:rFonts w:ascii="Arial" w:hAnsi="Arial" w:cs="Arial"/>
          <w:sz w:val="20"/>
          <w:szCs w:val="20"/>
          <w:lang w:val="es-MX"/>
        </w:rPr>
        <w:t xml:space="preserve">) </w:t>
      </w:r>
    </w:p>
    <w:p w14:paraId="16949CF7" w14:textId="1207F309" w:rsidR="00B6568D" w:rsidRPr="0012777D" w:rsidRDefault="00B6568D" w:rsidP="00A00145">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1" w:name="ver_1542089"/>
      <w:bookmarkEnd w:id="11"/>
    </w:p>
    <w:p w14:paraId="5E566168" w14:textId="77777777" w:rsidR="00B6568D" w:rsidRPr="0012777D" w:rsidRDefault="00B6568D" w:rsidP="00A00145">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8º. Estudios previos de oferta y demanda. La autoridad municipal de transporte competente deberá elaborar los estudios de oferta y demanda de necesidades del servicio, de acuerdo con la metodología establecida por el Ministerio de Transporte para tales efectos. </w:t>
      </w:r>
    </w:p>
    <w:p w14:paraId="32E3BD0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65D7A51C"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Cuando los estudios determinen que existe demanda insatisfecha del servicio, la autoridad competente elaborará los términos de referencia correspondientes los cuales establecerán los aspectos relativos al objeto del concurso, fecha y hora de apertura y cierre, requisitos que deben llenar los proponentes, plazo del concurso, clase y número de vehículos, condiciones de la póliza de seriedad de la propuesta, reglas y criterios para la evaluación de las propuestas y el otorgamiento del permiso, la determinación y ponderación de los factores objetivos de selección, derechos y obligaciones de los adjudicatarios y todas las demás circunstancias de tiempo, modo y lugar que se consideren necesarias para garantizar reglas objetivas y claras. </w:t>
      </w:r>
    </w:p>
    <w:p w14:paraId="40D16F1D" w14:textId="452433C9"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2" w:name="ver_1542090"/>
      <w:bookmarkEnd w:id="12"/>
    </w:p>
    <w:p w14:paraId="3DA07351"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Artículo 9º. Aprobación previa del Ministerio de Transporte. Como requisito previo a la apertura del concurso, la autoridad competente deberá remitir los estudios a los que hace referencia el artículo 9º del presente </w:t>
      </w:r>
      <w:proofErr w:type="gramStart"/>
      <w:r w:rsidRPr="0012777D">
        <w:rPr>
          <w:rFonts w:ascii="Arial" w:eastAsia="Times New Roman" w:hAnsi="Arial" w:cs="Arial"/>
          <w:lang w:val="es-CO" w:eastAsia="es-CO"/>
        </w:rPr>
        <w:t>decreto</w:t>
      </w:r>
      <w:proofErr w:type="gramEnd"/>
      <w:r w:rsidRPr="0012777D">
        <w:rPr>
          <w:rFonts w:ascii="Arial" w:eastAsia="Times New Roman" w:hAnsi="Arial" w:cs="Arial"/>
          <w:lang w:val="es-CO" w:eastAsia="es-CO"/>
        </w:rPr>
        <w:t xml:space="preserve"> así como los términos de referencia al Ministerio de Transporte para su revisión y aprobación a través de acto administrativo. Una vez aprobados se podrá iniciar el concurso. </w:t>
      </w:r>
    </w:p>
    <w:p w14:paraId="24A01226" w14:textId="3600983F"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3" w:name="ver_1542091"/>
      <w:bookmarkEnd w:id="13"/>
    </w:p>
    <w:p w14:paraId="2BE4F26E"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10. Apertura del concurso público. Una vez aprobados los estudios previos y los términos de referencia la autoridad competente ordenará iniciar el concurso público. </w:t>
      </w:r>
    </w:p>
    <w:p w14:paraId="0935296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5781F3D0"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Dentro de los diez (10) días hábiles siguientes a la apertura del concurso, se publicará el aviso </w:t>
      </w:r>
      <w:proofErr w:type="gramStart"/>
      <w:r w:rsidRPr="0012777D">
        <w:rPr>
          <w:rFonts w:ascii="Arial" w:eastAsia="Times New Roman" w:hAnsi="Arial" w:cs="Arial"/>
          <w:lang w:val="es-CO" w:eastAsia="es-CO"/>
        </w:rPr>
        <w:t>del mismo</w:t>
      </w:r>
      <w:proofErr w:type="gramEnd"/>
      <w:r w:rsidRPr="0012777D">
        <w:rPr>
          <w:rFonts w:ascii="Arial" w:eastAsia="Times New Roman" w:hAnsi="Arial" w:cs="Arial"/>
          <w:lang w:val="es-CO" w:eastAsia="es-CO"/>
        </w:rPr>
        <w:t xml:space="preserve"> por una sola vez, el día martes, en un diario de circulación local o en el medio idóneo para publicar los actos del municipio. </w:t>
      </w:r>
    </w:p>
    <w:p w14:paraId="2F73508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5E4F5F9" w14:textId="1704AE9E" w:rsidR="00B6568D" w:rsidRPr="0012777D" w:rsidRDefault="00B6568D" w:rsidP="006947E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Las empresas presentarán sus propuestas dentro de los diez (10) días hábiles siguientes a la publicación del aviso. </w:t>
      </w:r>
    </w:p>
    <w:p w14:paraId="29ABB06D" w14:textId="3A9C14F3" w:rsidR="006947ED" w:rsidRPr="00540A4B" w:rsidRDefault="006947ED" w:rsidP="006947ED">
      <w:pPr>
        <w:spacing w:after="0" w:line="254" w:lineRule="atLeast"/>
        <w:jc w:val="both"/>
        <w:rPr>
          <w:rFonts w:ascii="Arial" w:eastAsia="Times New Roman" w:hAnsi="Arial" w:cs="Arial"/>
          <w:lang w:val="es-CO" w:eastAsia="es-CO"/>
        </w:rPr>
      </w:pPr>
    </w:p>
    <w:p w14:paraId="73AD031E" w14:textId="142EA84C" w:rsidR="006947ED" w:rsidRPr="009779A5" w:rsidRDefault="006947ED" w:rsidP="006947ED">
      <w:pPr>
        <w:spacing w:after="0"/>
        <w:jc w:val="both"/>
        <w:rPr>
          <w:rFonts w:ascii="Arial" w:hAnsi="Arial" w:cs="Arial"/>
          <w:sz w:val="20"/>
          <w:szCs w:val="20"/>
          <w:lang w:val="es-MX"/>
        </w:rPr>
      </w:pPr>
      <w:r w:rsidRPr="009779A5">
        <w:rPr>
          <w:rFonts w:ascii="Arial" w:hAnsi="Arial" w:cs="Arial"/>
          <w:sz w:val="20"/>
          <w:szCs w:val="20"/>
          <w:lang w:val="es-MX"/>
        </w:rPr>
        <w:t xml:space="preserve">(Ver conceptos: </w:t>
      </w:r>
      <w:hyperlink r:id="rId8" w:history="1">
        <w:r w:rsidRPr="009779A5">
          <w:rPr>
            <w:rStyle w:val="Hipervnculo"/>
            <w:rFonts w:ascii="Arial" w:hAnsi="Arial" w:cs="Arial"/>
            <w:sz w:val="20"/>
            <w:szCs w:val="20"/>
            <w:lang w:val="es-MX"/>
          </w:rPr>
          <w:t>4201912000006842 del 19/11/2019</w:t>
        </w:r>
      </w:hyperlink>
      <w:r w:rsidRPr="009779A5">
        <w:rPr>
          <w:rFonts w:ascii="Arial" w:hAnsi="Arial" w:cs="Arial"/>
          <w:sz w:val="20"/>
          <w:szCs w:val="20"/>
          <w:lang w:val="es-MX"/>
        </w:rPr>
        <w:t>)</w:t>
      </w:r>
    </w:p>
    <w:p w14:paraId="59686CC3" w14:textId="7A4848C0" w:rsidR="00B6568D" w:rsidRPr="0012777D" w:rsidRDefault="00B6568D" w:rsidP="006947E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4" w:name="ver_1542092"/>
      <w:bookmarkEnd w:id="14"/>
    </w:p>
    <w:p w14:paraId="16216529" w14:textId="77777777" w:rsidR="00B6568D" w:rsidRPr="0012777D" w:rsidRDefault="00B6568D" w:rsidP="006947E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Artículo 11. Seriedad de la propuesta. La empresa interesada en participar en el concurso deberá presentar con la propuesta una póliza expedida por una compañía de seguros legalmente autorizada que garantice las obligaciones surgidas de la propuesta hasta su </w:t>
      </w:r>
      <w:r w:rsidRPr="0012777D">
        <w:rPr>
          <w:rFonts w:ascii="Arial" w:eastAsia="Times New Roman" w:hAnsi="Arial" w:cs="Arial"/>
          <w:lang w:val="es-CO" w:eastAsia="es-CO"/>
        </w:rPr>
        <w:lastRenderedPageBreak/>
        <w:t>adjudicación, con una vigencia como mínimo igual al término del concurso y cuatro meses más y por un valor asegurado mínimo de cien (100) salarios mínimos mensuales legales vigentes. </w:t>
      </w:r>
    </w:p>
    <w:p w14:paraId="1A32941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2167E0B1"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La póliza se deberá ampliar cuando se extienda el término para adelantar el concurso. </w:t>
      </w:r>
    </w:p>
    <w:p w14:paraId="5969EF73" w14:textId="08305763"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5" w:name="ver_1542093"/>
      <w:bookmarkEnd w:id="15"/>
    </w:p>
    <w:p w14:paraId="5013FC0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12. Evaluación de propuestas. La evaluación de las propuestas se hará de acuerdo con los criterios objetivos del concurso, que en cada caso se determinen en los términos de referencia. </w:t>
      </w:r>
    </w:p>
    <w:p w14:paraId="29B84594"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D51F89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El acto de adjudicación se expedirá en audiencia pública mediante acto administrativo motivado que se notificará en los términos del Código Contencioso Administrativo </w:t>
      </w:r>
    </w:p>
    <w:p w14:paraId="6CBB5B3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6AA6AE42"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Parágrafo. Contra el acto administrativo que otorga el acto de adjudicación, proceden los recursos de la vía gubernativa de conformidad con el Código Contencioso Administrativo. </w:t>
      </w:r>
    </w:p>
    <w:p w14:paraId="7AC3CB3B" w14:textId="2D879996"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6" w:name="ver_1542094"/>
      <w:bookmarkEnd w:id="16"/>
    </w:p>
    <w:p w14:paraId="44587DE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13. Prestación del servicio. Las empresas adjudicatarias que cuenten con habilitación vigente dentro de un plazo no superior a tres (3) meses, contados a partir de la fecha de expedición del permiso, deberán iniciar la prestación del servicio por el término de tres (3) años, previa acreditación ante la autoridad competente de la existencia de los vehículos en la cantidad y las demás condiciones de la propuesta. </w:t>
      </w:r>
    </w:p>
    <w:p w14:paraId="11E327A4"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527489CE"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Las empresas adjudicatarias que no cuenten con habilitación, tendrán un plazo máximo de cuatro (4) meses para obtener habilitación e iniciar la prestación del servicio, contados a partir de la ejecutoria del acto de autorización del permiso. </w:t>
      </w:r>
    </w:p>
    <w:p w14:paraId="5BD78BC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7198F34"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Si el adjudicatario no entra a prestar el servicio dentro del plazo señalado en el presente artículo, se hará efectivo el valor de la garantía constituida para responder por la seriedad de la propuesta. </w:t>
      </w:r>
    </w:p>
    <w:p w14:paraId="2A97B62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933BE2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En este evento la entidad, dentro de los quince (15) días siguientes mediante acto administrativo debidamente motivado, podrá otorgar el permiso al proponente calificado en segundo lugar, siempre y cuando su propuesta cumpla con las condiciones establecidas en los términos de referencia para la prestación del servicio. </w:t>
      </w:r>
    </w:p>
    <w:p w14:paraId="161BE678" w14:textId="5BD4AB7D"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7" w:name="ver_1542095"/>
      <w:bookmarkEnd w:id="17"/>
    </w:p>
    <w:p w14:paraId="47654B75"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14. Renovación del permiso. La empresa deberá informar a la autoridad competente su interés en continuar con la prestación de este servicio, dentro de los seis (6) meses anteriores al vencimiento del permiso. Dentro de los cinco días siguientes a que se radique el documento en que el operador manifieste su interés, este hará pública su manifestación a través de un medio de comunicación escrito de amplia circulación local, de lo cual deberá allegar copia a la autoridad competente. Surtido el trámite anterior, la autoridad competente evaluará la calidad de la prestación del servicio para lo cual deberá implementar mecanismos de participación ciudadana para efectos de adoptar la decisión administrativa correspondiente. En caso de negarse la renovación del permiso, la autoridad competente iniciará de oficio la apertura del concurso público. </w:t>
      </w:r>
    </w:p>
    <w:p w14:paraId="41A53504" w14:textId="47B20775"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18" w:name="ver_1542096"/>
      <w:bookmarkEnd w:id="18"/>
    </w:p>
    <w:p w14:paraId="79EFA3E1"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15. Propiedad de los equipos. La prestación del servicio público de transporte en motocarro sólo podrá realizarse por la empresa a través del propietario del equipo para lo cual deberá acreditar los siguientes requisitos dentro de los términos previstos para iniciar la prestación del servicio, según el caso: </w:t>
      </w:r>
    </w:p>
    <w:p w14:paraId="796EEF3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2FDCE4C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lastRenderedPageBreak/>
        <w:t>1. Relación del equipo automotor con el que se prestará el servicio, con indicación del nombre y cédula del propietario, clase, marca, placa, modelo, número de chasis, capacidad, y demás especificaciones que permitan su identificación de acuerdo con las normas vigentes. </w:t>
      </w:r>
    </w:p>
    <w:p w14:paraId="48419C9B"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04DC5952" w14:textId="45C0579F"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 Copia de las pólizas de responsabilidad civil contractual y extracontractual exigidas en el presente decreto. </w:t>
      </w:r>
    </w:p>
    <w:p w14:paraId="145B48AD" w14:textId="77777777" w:rsidR="00B6568D" w:rsidRPr="0012777D" w:rsidRDefault="00B6568D" w:rsidP="00B6568D">
      <w:pPr>
        <w:spacing w:after="0" w:line="240" w:lineRule="auto"/>
        <w:jc w:val="both"/>
        <w:rPr>
          <w:rFonts w:ascii="Arial" w:eastAsia="Times New Roman" w:hAnsi="Arial" w:cs="Arial"/>
          <w:lang w:val="es-CO" w:eastAsia="es-CO"/>
        </w:rPr>
      </w:pPr>
      <w:bookmarkStart w:id="19" w:name="ver_1542097"/>
      <w:bookmarkEnd w:id="19"/>
    </w:p>
    <w:p w14:paraId="0CFFDCEF"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Artículo 16. Color de los equipos y tarjeta de operación. Los vehículos motocarro autorizados para la prestación del servicio público de transporte mixto deberán ser en su totalidad pintados en color blanco sin propaganda o publicidad alguna y para la operación de </w:t>
      </w:r>
      <w:proofErr w:type="gramStart"/>
      <w:r w:rsidRPr="0012777D">
        <w:rPr>
          <w:rFonts w:ascii="Arial" w:eastAsia="Times New Roman" w:hAnsi="Arial" w:cs="Arial"/>
          <w:lang w:val="es-CO" w:eastAsia="es-CO"/>
        </w:rPr>
        <w:t>los mismos</w:t>
      </w:r>
      <w:proofErr w:type="gramEnd"/>
      <w:r w:rsidRPr="0012777D">
        <w:rPr>
          <w:rFonts w:ascii="Arial" w:eastAsia="Times New Roman" w:hAnsi="Arial" w:cs="Arial"/>
          <w:lang w:val="es-CO" w:eastAsia="es-CO"/>
        </w:rPr>
        <w:t xml:space="preserve"> se requerirá la obtención de la tarjeta de operación. </w:t>
      </w:r>
    </w:p>
    <w:p w14:paraId="4ECB6642"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6C1EDCF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Para efectos del otorgamiento de la tarjeta de operación para esta modalidad de servicio se tendrán en cuenta los requisitos previstos en los artículos 46 a 53 del Decreto 175 del 2 de febrero de 2001. </w:t>
      </w:r>
    </w:p>
    <w:p w14:paraId="41679A02" w14:textId="50577F8F"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20" w:name="ver_1542098"/>
      <w:bookmarkEnd w:id="20"/>
    </w:p>
    <w:p w14:paraId="3E8C1D10"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17. Capacidad transportadora. La capacidad transportadora es el número de vehículos requeridos y exigidos para la adecuada y racional prestación de los servicios autorizados. </w:t>
      </w:r>
    </w:p>
    <w:p w14:paraId="2043BC9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61A6B52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La autoridad competente fijará la capacidad transportadora mínima y máxima con la cual la empresa prestará los servicios autorizados. </w:t>
      </w:r>
    </w:p>
    <w:p w14:paraId="5380CA9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0EE92E3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La capacidad transportadora máxima no podrá ser superior a la capacidad mínima incrementada en un veinte por ciento (20%). El parque automotor no podrá exceder los límites de la capacidad transportadora. </w:t>
      </w:r>
    </w:p>
    <w:p w14:paraId="229EDDA2"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43A947AC"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El incremento de la capacidad transportadora estará supeditado a la adjudicación de nuevos servicios. </w:t>
      </w:r>
    </w:p>
    <w:p w14:paraId="480F6B7C" w14:textId="60D1556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21" w:name="ver_1542099"/>
      <w:bookmarkEnd w:id="21"/>
    </w:p>
    <w:p w14:paraId="129B5801"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18. Seguros. De conformidad con los artículos 994 y 1003 del Código de Comercio, las empresas de transporte público terrestre automotor mixto en motocarro deberán tomar con una compañía de seguros autorizada para operar en Colombia, las pólizas de responsabilidad civil contractual y extracontractual que las ampare contra los riesgos inherentes a la actividad transportadora, así: </w:t>
      </w:r>
    </w:p>
    <w:p w14:paraId="6C8BDDA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4CC4225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1. Póliza de responsabilidad civil contractual, que deberá cubrir al menos los siguientes riesgos: </w:t>
      </w:r>
    </w:p>
    <w:p w14:paraId="1B66646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4226CCD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 Muerte; </w:t>
      </w:r>
    </w:p>
    <w:p w14:paraId="658D0C8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6F26684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b) Incapacidad permanente; </w:t>
      </w:r>
    </w:p>
    <w:p w14:paraId="2F7ACEA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55676F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c) Incapacidad temporal; </w:t>
      </w:r>
    </w:p>
    <w:p w14:paraId="311ED891"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07670FAA"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d) Gastos médicos, quirúrgicos, farmacéuticos y hospitalarios. </w:t>
      </w:r>
    </w:p>
    <w:p w14:paraId="17D0B032"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3C0433EC"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El monto asegurable por cada riesgo no podrá ser inferior a 60 </w:t>
      </w:r>
      <w:proofErr w:type="spellStart"/>
      <w:r w:rsidRPr="0012777D">
        <w:rPr>
          <w:rFonts w:ascii="Arial" w:eastAsia="Times New Roman" w:hAnsi="Arial" w:cs="Arial"/>
          <w:lang w:val="es-CO" w:eastAsia="es-CO"/>
        </w:rPr>
        <w:t>smmlv</w:t>
      </w:r>
      <w:proofErr w:type="spellEnd"/>
      <w:r w:rsidRPr="0012777D">
        <w:rPr>
          <w:rFonts w:ascii="Arial" w:eastAsia="Times New Roman" w:hAnsi="Arial" w:cs="Arial"/>
          <w:lang w:val="es-CO" w:eastAsia="es-CO"/>
        </w:rPr>
        <w:t>, por persona. </w:t>
      </w:r>
    </w:p>
    <w:p w14:paraId="0848C2B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6A61F7F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lastRenderedPageBreak/>
        <w:t>2. Póliza de responsabilidad civil extracontractual, que deberá cubrir al menos los siguientes riesgos: </w:t>
      </w:r>
    </w:p>
    <w:p w14:paraId="4B72754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010A07A1"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 Muerte o lesiones a una o más personas; </w:t>
      </w:r>
    </w:p>
    <w:p w14:paraId="78D34F00"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5D8AB6F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b) Daños a bienes de terceros. </w:t>
      </w:r>
    </w:p>
    <w:p w14:paraId="2D9968B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152DF30"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El monto asegurable por cada riesgo no podrá ser inferior a 60 </w:t>
      </w:r>
      <w:proofErr w:type="spellStart"/>
      <w:r w:rsidRPr="0012777D">
        <w:rPr>
          <w:rFonts w:ascii="Arial" w:eastAsia="Times New Roman" w:hAnsi="Arial" w:cs="Arial"/>
          <w:lang w:val="es-CO" w:eastAsia="es-CO"/>
        </w:rPr>
        <w:t>smmlv</w:t>
      </w:r>
      <w:proofErr w:type="spellEnd"/>
      <w:r w:rsidRPr="0012777D">
        <w:rPr>
          <w:rFonts w:ascii="Arial" w:eastAsia="Times New Roman" w:hAnsi="Arial" w:cs="Arial"/>
          <w:lang w:val="es-CO" w:eastAsia="es-CO"/>
        </w:rPr>
        <w:t>, por persona. </w:t>
      </w:r>
    </w:p>
    <w:p w14:paraId="77C9281A" w14:textId="79ACBFC2" w:rsidR="00B6568D" w:rsidRPr="0012777D" w:rsidRDefault="00B6568D" w:rsidP="0012777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22" w:name="ver_1542100"/>
      <w:bookmarkEnd w:id="22"/>
    </w:p>
    <w:p w14:paraId="7B14638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19. Vigencia de los seguros. La vigencia de las pólizas de responsabilidad civil contractual y extracontractual será condición para la operación de los vehículos vinculados legalmente a las empresas autorizadas para la prestación del servicio en esta modalidad. </w:t>
      </w:r>
    </w:p>
    <w:p w14:paraId="583B3C6F"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38A5B0B"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La compañía de seguros que ampare a la empresa de transporte con relación a los seguros de que trata el presente capítulo, deberá informar a las autoridades competentes la terminación automática del contrato de seguro por mora en el pago de la prima o la revocación unilateral del mismo, dentro de los 30 días hábiles siguientes a la fecha de terminación o de revocación, según el caso. </w:t>
      </w:r>
    </w:p>
    <w:p w14:paraId="1DD3A45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5B547472" w14:textId="435EF76F" w:rsidR="00B6568D" w:rsidRDefault="00B6568D" w:rsidP="00B6568D">
      <w:pPr>
        <w:spacing w:after="0" w:line="293" w:lineRule="atLeast"/>
        <w:jc w:val="center"/>
        <w:rPr>
          <w:rFonts w:ascii="Arial" w:eastAsia="Times New Roman" w:hAnsi="Arial" w:cs="Arial"/>
          <w:b/>
          <w:bCs/>
          <w:lang w:val="es-CO" w:eastAsia="es-CO"/>
        </w:rPr>
      </w:pPr>
      <w:bookmarkStart w:id="23" w:name="ver_1542101"/>
      <w:bookmarkEnd w:id="23"/>
      <w:r w:rsidRPr="0012777D">
        <w:rPr>
          <w:rFonts w:ascii="Arial" w:eastAsia="Times New Roman" w:hAnsi="Arial" w:cs="Arial"/>
          <w:b/>
          <w:bCs/>
          <w:lang w:val="es-CO" w:eastAsia="es-CO"/>
        </w:rPr>
        <w:t>CAPITULO III</w:t>
      </w:r>
    </w:p>
    <w:p w14:paraId="2D472F13" w14:textId="59D5CC2D" w:rsidR="00E478F6" w:rsidRPr="0012777D" w:rsidRDefault="00E478F6" w:rsidP="00B6568D">
      <w:pPr>
        <w:spacing w:after="0" w:line="293" w:lineRule="atLeast"/>
        <w:jc w:val="center"/>
        <w:rPr>
          <w:rFonts w:ascii="Arial" w:eastAsia="Times New Roman" w:hAnsi="Arial" w:cs="Arial"/>
          <w:b/>
          <w:bCs/>
          <w:lang w:val="es-CO" w:eastAsia="es-CO"/>
        </w:rPr>
      </w:pPr>
      <w:r>
        <w:rPr>
          <w:rStyle w:val="Textoennegrita"/>
          <w:rFonts w:ascii="Arial" w:hAnsi="Arial" w:cs="Arial"/>
          <w:color w:val="000000"/>
          <w:sz w:val="23"/>
          <w:szCs w:val="23"/>
        </w:rPr>
        <w:t xml:space="preserve">SANCIONES </w:t>
      </w:r>
      <w:proofErr w:type="gramStart"/>
      <w:r>
        <w:rPr>
          <w:rStyle w:val="Textoennegrita"/>
          <w:rFonts w:ascii="Arial" w:hAnsi="Arial" w:cs="Arial"/>
          <w:color w:val="000000"/>
          <w:sz w:val="23"/>
          <w:szCs w:val="23"/>
        </w:rPr>
        <w:t>A</w:t>
      </w:r>
      <w:proofErr w:type="gramEnd"/>
      <w:r>
        <w:rPr>
          <w:rStyle w:val="Textoennegrita"/>
          <w:rFonts w:ascii="Arial" w:hAnsi="Arial" w:cs="Arial"/>
          <w:color w:val="000000"/>
          <w:sz w:val="23"/>
          <w:szCs w:val="23"/>
        </w:rPr>
        <w:t xml:space="preserve"> EMPRESAS QUE PRESTAN EL SERVICIO PÚBLICO DE TRANSPORTE TERRESTRE AUTOMOTOR MIXTO EN MOTOCARRO Y PROPIETARIOS DE EQUIPOS</w:t>
      </w:r>
    </w:p>
    <w:p w14:paraId="23136EDB" w14:textId="77777777" w:rsidR="00B6568D" w:rsidRPr="0012777D" w:rsidRDefault="00B6568D" w:rsidP="00B6568D">
      <w:pPr>
        <w:spacing w:after="0" w:line="293" w:lineRule="atLeast"/>
        <w:jc w:val="center"/>
        <w:rPr>
          <w:rFonts w:ascii="Arial" w:eastAsia="Times New Roman" w:hAnsi="Arial" w:cs="Arial"/>
          <w:b/>
          <w:bCs/>
          <w:lang w:val="es-CO" w:eastAsia="es-CO"/>
        </w:rPr>
      </w:pPr>
    </w:p>
    <w:p w14:paraId="632E18B7" w14:textId="77777777" w:rsidR="00B6568D" w:rsidRPr="0012777D" w:rsidRDefault="00B6568D" w:rsidP="00B6568D">
      <w:pPr>
        <w:spacing w:after="0" w:line="254" w:lineRule="atLeast"/>
        <w:jc w:val="both"/>
        <w:rPr>
          <w:rFonts w:ascii="Arial" w:eastAsia="Times New Roman" w:hAnsi="Arial" w:cs="Arial"/>
          <w:lang w:val="es-CO" w:eastAsia="es-CO"/>
        </w:rPr>
      </w:pPr>
      <w:bookmarkStart w:id="24" w:name="ver_1542102"/>
      <w:bookmarkEnd w:id="24"/>
      <w:r w:rsidRPr="0012777D">
        <w:rPr>
          <w:rFonts w:ascii="Arial" w:eastAsia="Times New Roman" w:hAnsi="Arial" w:cs="Arial"/>
          <w:lang w:val="es-CO" w:eastAsia="es-CO"/>
        </w:rPr>
        <w:t>Artículo 20. Sanciones. En desarrollo del artículo 9º de la Ley 105 de 1993, artículos 44, 45 y 46 de la Ley 336 de 1996, el régimen de sanciones por infracción a las normas de transporte público terrestre automotor mixto en motocarro y propietarios de equipos, son las siguientes: </w:t>
      </w:r>
    </w:p>
    <w:p w14:paraId="7A770A01"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43C7CD4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20.1 Serán sancionadas con amonestación escrita, las empresas que prestan el servicio público de transporte mixto en motocarro, del radio de acción municipal que incurran en las siguientes infracciones: </w:t>
      </w:r>
    </w:p>
    <w:p w14:paraId="631B4C5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294CE294"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1. No informar a la autoridad de transporte competente los cambios de sede o de domicilio principal. </w:t>
      </w:r>
    </w:p>
    <w:p w14:paraId="059CFEFE"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2EF04BA"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 No mantener actualizada la relación del equipo con el cual se presta el servicio. </w:t>
      </w:r>
    </w:p>
    <w:p w14:paraId="5695451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37883E0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20.2 Serán sancionadas con multa de uno (1) a setecientos (700) salarios mínimos mensuales legales vigentes las empresas que prestan el servicio público de transporte mixto en motocarro, del radio de acción municipal que incurra en las siguientes infracciones: </w:t>
      </w:r>
    </w:p>
    <w:p w14:paraId="00C04EA4"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6C95909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1. Permitir la operación de los vehículos autorizados sin portar los colores autorizados. </w:t>
      </w:r>
    </w:p>
    <w:p w14:paraId="40D9C93A"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E09948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 Permitir la prestación del servicio con vehículos sin tarjeta de operación o cuando esta se encuentra vencida. </w:t>
      </w:r>
    </w:p>
    <w:p w14:paraId="5094E74C"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B7A350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lastRenderedPageBreak/>
        <w:t>3. No gestionar, obtener y suministrar oportunamente los documentos que sustentan la operación de los equipos cuando el propietario del equipo haya entregado dentro de los términos legales a la empresa la documentación requerida para dicho trámite. </w:t>
      </w:r>
    </w:p>
    <w:p w14:paraId="1A517FBA"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439DB3F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4. Cobrar a los propietarios de los equipos mayor valor por concepto de pagos de la prima de seguros de responsabilidad civil contractual y el extracontractual al facturado por la compañía de seguros. </w:t>
      </w:r>
    </w:p>
    <w:p w14:paraId="140D3FA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5B4FC35B"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5. Exigir sumas de dinero por la desvinculación o por la expedición de paz y salvo. </w:t>
      </w:r>
    </w:p>
    <w:p w14:paraId="1E06642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63D342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6. Permitir la prestación del servicio en vehículos sin portar los seguros de responsabilidad civil. </w:t>
      </w:r>
    </w:p>
    <w:p w14:paraId="2506FCBC"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81A8B3F"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7. Retener por obligaciones contractuales o sin justa causa legal los documentos que sustentan la operación del servicio. </w:t>
      </w:r>
    </w:p>
    <w:p w14:paraId="4D5CA64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664136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8. Exigir documentos adicionales a los establecidos en la ley para el trámite de los documentos que soportan la operación. </w:t>
      </w:r>
    </w:p>
    <w:p w14:paraId="78499BA0"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3AE44C5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9. Negarse sin justa causa a expedir </w:t>
      </w:r>
      <w:proofErr w:type="gramStart"/>
      <w:r w:rsidRPr="0012777D">
        <w:rPr>
          <w:rFonts w:ascii="Arial" w:eastAsia="Times New Roman" w:hAnsi="Arial" w:cs="Arial"/>
          <w:lang w:val="es-CO" w:eastAsia="es-CO"/>
        </w:rPr>
        <w:t>el paz</w:t>
      </w:r>
      <w:proofErr w:type="gramEnd"/>
      <w:r w:rsidRPr="0012777D">
        <w:rPr>
          <w:rFonts w:ascii="Arial" w:eastAsia="Times New Roman" w:hAnsi="Arial" w:cs="Arial"/>
          <w:lang w:val="es-CO" w:eastAsia="es-CO"/>
        </w:rPr>
        <w:t xml:space="preserve"> y salvo. </w:t>
      </w:r>
    </w:p>
    <w:p w14:paraId="6350E81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31E48F5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10. Vincular a la empresa o permitir la prestación del servicio en vehículos no homologados para este servicio. </w:t>
      </w:r>
    </w:p>
    <w:p w14:paraId="285B3C3E"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4F22EF3D"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11. Permitir la operación de los equipos por personas no idóneas. </w:t>
      </w:r>
    </w:p>
    <w:p w14:paraId="0A40D36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3FABA8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20.3 Serán sancionados con amonestación escrita los propietarios que prestan el servicio público de transporte mixto en motocarro, del radio de acción municipal, con amonestación escrita por las siguientes infracciones: </w:t>
      </w:r>
    </w:p>
    <w:p w14:paraId="74D2E25F"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5943572A"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1. No mantener el vehículo en óptimas condiciones de comodidad y aseo. </w:t>
      </w:r>
    </w:p>
    <w:p w14:paraId="0773BB74"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7DEB18C5"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 No aportar oportunamente los documentos necesarios para tramitar los documentos que soportan la operación de los equipos. </w:t>
      </w:r>
    </w:p>
    <w:p w14:paraId="3F22304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DA3179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20.4 Serán sancionados con multa de uno (1) a setecientos (700) salarios mínimos mensuales legales vigentes los propietarios que prestan el servicio público de transporte mixto en motocarro, del radio de acción municipal, por las siguientes infracciones: </w:t>
      </w:r>
    </w:p>
    <w:p w14:paraId="14CCE91B"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4175DD8"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1. Negarse a prestar el servicio sin justa causa. </w:t>
      </w:r>
    </w:p>
    <w:p w14:paraId="5F77E150"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50B9C9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2. No retirar los logotipos de la empresa de la cual se desvincula. </w:t>
      </w:r>
    </w:p>
    <w:p w14:paraId="7983479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3C5E3390"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3. No portar los documentos de transporte que sustentan la operación de los equipos. </w:t>
      </w:r>
    </w:p>
    <w:p w14:paraId="04ECEEB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08E75F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4. No cumplir con las condiciones de seguridad. </w:t>
      </w:r>
    </w:p>
    <w:p w14:paraId="55D68BEC" w14:textId="6BE8C319" w:rsidR="00B6568D" w:rsidRPr="0012777D" w:rsidRDefault="00B6568D" w:rsidP="0012777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25" w:name="ver_1542103"/>
      <w:bookmarkEnd w:id="25"/>
    </w:p>
    <w:p w14:paraId="22C2CACE"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21. Sanciones máximas. En los casos de incremento o disminución de las tarifas cuando estas se encuentran reguladas, o en los casos de prestación de servicios no autorizados, en estos eventos se impondrá el máximo de la multa permitida (setecientos (700) salarios mínimos mensuales legales vigentes). </w:t>
      </w:r>
    </w:p>
    <w:p w14:paraId="7C433B37" w14:textId="12490B84" w:rsidR="00B6568D" w:rsidRPr="0012777D" w:rsidRDefault="00B6568D" w:rsidP="00B6568D">
      <w:pPr>
        <w:spacing w:after="0" w:line="254" w:lineRule="atLeast"/>
        <w:jc w:val="both"/>
        <w:rPr>
          <w:rFonts w:ascii="Arial" w:eastAsia="Times New Roman" w:hAnsi="Arial" w:cs="Arial"/>
          <w:lang w:val="es-CO" w:eastAsia="es-CO"/>
        </w:rPr>
      </w:pPr>
      <w:bookmarkStart w:id="26" w:name="ver_1542104"/>
      <w:bookmarkEnd w:id="26"/>
      <w:r w:rsidRPr="0012777D">
        <w:rPr>
          <w:rFonts w:ascii="Arial" w:eastAsia="Times New Roman" w:hAnsi="Arial" w:cs="Arial"/>
          <w:lang w:val="es-CO" w:eastAsia="es-CO"/>
        </w:rPr>
        <w:lastRenderedPageBreak/>
        <w:t>Artículo 22. Incumplimiento. Cuando el sujeto de sanción no haya dado cumplimiento a la amonestación escrita dentro de los 30 días siguientes de la ejecutoria del acto administrativo que la impuso, será sancionado con uno (1) a setecientos (700) salarios mínimos mensuales legales vigentes. </w:t>
      </w:r>
    </w:p>
    <w:p w14:paraId="50777FE8" w14:textId="44701929"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27" w:name="ver_1542105"/>
      <w:bookmarkEnd w:id="27"/>
    </w:p>
    <w:p w14:paraId="1372D62E"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23. Graduación de la sanción. Para efectos de la graduación de la sanción se tendrá en cuenta el grado de perturbación del servicio público de transporte y las circunstancias de tiempo, modo y lugar en que se cometió la infracción. Para este efecto, se tendrá en consideración los daños ocasionados a la infraestructura de transporte, el riesgo a la integridad y vida de las personas, a los bienes que se transportan y los perjuicios causados a los mismos. </w:t>
      </w:r>
    </w:p>
    <w:p w14:paraId="0FED4C7E" w14:textId="53688045"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28" w:name="ver_1542106"/>
      <w:bookmarkEnd w:id="28"/>
    </w:p>
    <w:p w14:paraId="1D9C422F"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xml:space="preserve">Artículo 24. Inmovilización. La inmovilización o retención de los vehículos de que trata el presente </w:t>
      </w:r>
      <w:proofErr w:type="gramStart"/>
      <w:r w:rsidRPr="0012777D">
        <w:rPr>
          <w:rFonts w:ascii="Arial" w:eastAsia="Times New Roman" w:hAnsi="Arial" w:cs="Arial"/>
          <w:lang w:val="es-CO" w:eastAsia="es-CO"/>
        </w:rPr>
        <w:t>decreto,</w:t>
      </w:r>
      <w:proofErr w:type="gramEnd"/>
      <w:r w:rsidRPr="0012777D">
        <w:rPr>
          <w:rFonts w:ascii="Arial" w:eastAsia="Times New Roman" w:hAnsi="Arial" w:cs="Arial"/>
          <w:lang w:val="es-CO" w:eastAsia="es-CO"/>
        </w:rPr>
        <w:t xml:space="preserve"> se hará con arreglo a lo dispuesto en el artículo 49 de la Ley 336 de 1996, en concordancia con el trámite previsto en los artículos 47 al 50 del Decreto 3366 del 21 de noviembre de 2003. </w:t>
      </w:r>
    </w:p>
    <w:p w14:paraId="3EBCF36A" w14:textId="37304220"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29" w:name="ver_1542107"/>
      <w:bookmarkEnd w:id="29"/>
    </w:p>
    <w:p w14:paraId="71D2FFAC"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25. Suspensión. La suspensión de los permisos de operación o la habilitación y el procedimiento para imponer las sanciones de transporte, se efectuará de acuerdo con lo previsto en los artículos 44 a 50 de la Ley 336 de 1996, en concordancia con el trámite previsto en los artículos 45, 46, 50 y 51 del Decreto 3366 del 21 de noviembre de 2003. </w:t>
      </w:r>
    </w:p>
    <w:p w14:paraId="46A7655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EE79E30" w14:textId="77777777" w:rsidR="00B6568D" w:rsidRPr="0012777D" w:rsidRDefault="00B6568D" w:rsidP="00B6568D">
      <w:pPr>
        <w:spacing w:after="0" w:line="293" w:lineRule="atLeast"/>
        <w:jc w:val="center"/>
        <w:rPr>
          <w:rFonts w:ascii="Arial" w:eastAsia="Times New Roman" w:hAnsi="Arial" w:cs="Arial"/>
          <w:b/>
          <w:bCs/>
          <w:lang w:val="es-CO" w:eastAsia="es-CO"/>
        </w:rPr>
      </w:pPr>
      <w:bookmarkStart w:id="30" w:name="ver_1542108"/>
      <w:bookmarkEnd w:id="30"/>
      <w:r w:rsidRPr="0012777D">
        <w:rPr>
          <w:rFonts w:ascii="Arial" w:eastAsia="Times New Roman" w:hAnsi="Arial" w:cs="Arial"/>
          <w:b/>
          <w:bCs/>
          <w:lang w:val="es-CO" w:eastAsia="es-CO"/>
        </w:rPr>
        <w:t>CAPITULO IV</w:t>
      </w:r>
    </w:p>
    <w:p w14:paraId="36AC5A46" w14:textId="55BB915A" w:rsidR="00B6568D" w:rsidRPr="0012777D" w:rsidRDefault="001607C3" w:rsidP="00B6568D">
      <w:pPr>
        <w:spacing w:line="293" w:lineRule="atLeast"/>
        <w:jc w:val="center"/>
        <w:rPr>
          <w:rFonts w:ascii="Arial" w:eastAsia="Times New Roman" w:hAnsi="Arial" w:cs="Arial"/>
          <w:b/>
          <w:bCs/>
          <w:lang w:val="es-CO" w:eastAsia="es-CO"/>
        </w:rPr>
      </w:pPr>
      <w:r w:rsidRPr="0012777D">
        <w:rPr>
          <w:rFonts w:ascii="Arial" w:eastAsia="Times New Roman" w:hAnsi="Arial" w:cs="Arial"/>
          <w:b/>
          <w:bCs/>
          <w:lang w:val="es-CO" w:eastAsia="es-CO"/>
        </w:rPr>
        <w:t>DISPOSICIONES FINALES</w:t>
      </w:r>
    </w:p>
    <w:p w14:paraId="3B62EC30" w14:textId="77777777" w:rsidR="00B6568D" w:rsidRPr="0012777D" w:rsidRDefault="00B6568D" w:rsidP="00B6568D">
      <w:pPr>
        <w:spacing w:after="0" w:line="254" w:lineRule="atLeast"/>
        <w:jc w:val="both"/>
        <w:rPr>
          <w:rFonts w:ascii="Arial" w:eastAsia="Times New Roman" w:hAnsi="Arial" w:cs="Arial"/>
          <w:lang w:val="es-CO" w:eastAsia="es-CO"/>
        </w:rPr>
      </w:pPr>
      <w:bookmarkStart w:id="31" w:name="ver_1542109"/>
      <w:bookmarkEnd w:id="31"/>
      <w:r w:rsidRPr="0012777D">
        <w:rPr>
          <w:rFonts w:ascii="Arial" w:eastAsia="Times New Roman" w:hAnsi="Arial" w:cs="Arial"/>
          <w:lang w:val="es-CO" w:eastAsia="es-CO"/>
        </w:rPr>
        <w:t>Artículo 26. Tarifas. Compete a las autoridades locales la fijación de las tarifas de servicio público de transporte terrestre automotor mixto en motocarro, las cuales se establecerán con sujeción a la realización de los estudios de costos a la canasta del transporte, como mínimo en cada año y de conformidad con las políticas y los criterios fijados por el Ministerio de Transporte. </w:t>
      </w:r>
    </w:p>
    <w:p w14:paraId="5D0BBBBC"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262E1462"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Parágrafo. En aquellos municipios donde no se efectúen los estudios de costos de que trata el presente artículo, el incremento de las tarifas no podrá ser superior a la meta de inflación definida por el Banco de la República, para el respectivo año. </w:t>
      </w:r>
    </w:p>
    <w:p w14:paraId="72B458C2" w14:textId="46012E41"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32" w:name="ver_1542110"/>
      <w:bookmarkEnd w:id="32"/>
    </w:p>
    <w:p w14:paraId="0BBE01D7"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Artículo 27. Transitorio. Las empresas habilitadas para la prestación del servicio público de transporte mixto en motocarros podrán vincular transitoriamente vehículos particulares de este tipo, que cumplan con las especificaciones técnicas y de seguridad establecidas por el Ministerio de Transporte. </w:t>
      </w:r>
    </w:p>
    <w:p w14:paraId="13595639"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654D7643"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A partir del 31 de diciembre de 2010, ningún vehículo particular acondicionado o adquirido de fábrica como tal, podrá prestar el servicio público terrestre automotor mixto en motocarro. </w:t>
      </w:r>
    </w:p>
    <w:p w14:paraId="67BED2F6"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p>
    <w:p w14:paraId="1EB0136B" w14:textId="77777777"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Parágrafo. El acondicionamiento de motocicleta a motocarro deberá efectuarse de acuerdo con las especificaciones y condiciones técnicas y de seguridad que establezca el Ministerio de Transporte. </w:t>
      </w:r>
    </w:p>
    <w:p w14:paraId="7B4B23EA" w14:textId="39F11A8C" w:rsidR="00B6568D" w:rsidRPr="0012777D" w:rsidRDefault="00B6568D" w:rsidP="00B6568D">
      <w:pPr>
        <w:spacing w:after="0" w:line="254" w:lineRule="atLeast"/>
        <w:jc w:val="both"/>
        <w:rPr>
          <w:rFonts w:ascii="Arial" w:eastAsia="Times New Roman" w:hAnsi="Arial" w:cs="Arial"/>
          <w:lang w:val="es-CO" w:eastAsia="es-CO"/>
        </w:rPr>
      </w:pPr>
      <w:r w:rsidRPr="0012777D">
        <w:rPr>
          <w:rFonts w:ascii="Arial" w:eastAsia="Times New Roman" w:hAnsi="Arial" w:cs="Arial"/>
          <w:lang w:val="es-CO" w:eastAsia="es-CO"/>
        </w:rPr>
        <w:t>  </w:t>
      </w:r>
      <w:bookmarkStart w:id="33" w:name="ver_1542111"/>
      <w:bookmarkEnd w:id="33"/>
    </w:p>
    <w:p w14:paraId="0CADCAE9" w14:textId="4E95476C" w:rsidR="00B6568D" w:rsidRPr="0012777D" w:rsidRDefault="00B6568D" w:rsidP="00B6568D">
      <w:pPr>
        <w:spacing w:after="0" w:line="240" w:lineRule="auto"/>
        <w:jc w:val="both"/>
        <w:rPr>
          <w:rFonts w:ascii="Arial" w:eastAsia="Times New Roman" w:hAnsi="Arial" w:cs="Arial"/>
          <w:lang w:val="es-CO" w:eastAsia="es-CO"/>
        </w:rPr>
      </w:pPr>
      <w:r w:rsidRPr="0012777D">
        <w:rPr>
          <w:rFonts w:ascii="Arial" w:eastAsia="Times New Roman" w:hAnsi="Arial" w:cs="Arial"/>
          <w:lang w:val="es-CO" w:eastAsia="es-CO"/>
        </w:rPr>
        <w:t>Artículo 28. Vigencia. El presente decreto rige a partir de su publicación.</w:t>
      </w:r>
    </w:p>
    <w:p w14:paraId="4FE1D3FF" w14:textId="77777777" w:rsidR="00B6568D" w:rsidRPr="0012777D" w:rsidRDefault="00B6568D" w:rsidP="00B6568D">
      <w:pPr>
        <w:spacing w:after="0" w:line="240" w:lineRule="auto"/>
        <w:jc w:val="both"/>
        <w:rPr>
          <w:rFonts w:ascii="Arial" w:eastAsia="Times New Roman" w:hAnsi="Arial" w:cs="Arial"/>
          <w:lang w:val="es-CO" w:eastAsia="es-CO"/>
        </w:rPr>
      </w:pPr>
    </w:p>
    <w:p w14:paraId="0CD1256C" w14:textId="77777777" w:rsidR="00B6568D" w:rsidRPr="0012777D" w:rsidRDefault="00B6568D" w:rsidP="00B6568D">
      <w:pPr>
        <w:spacing w:after="0" w:line="240" w:lineRule="auto"/>
        <w:jc w:val="center"/>
        <w:rPr>
          <w:rFonts w:ascii="Arial" w:eastAsia="Times New Roman" w:hAnsi="Arial" w:cs="Arial"/>
          <w:b/>
          <w:bCs/>
          <w:lang w:val="es-CO" w:eastAsia="es-CO"/>
        </w:rPr>
      </w:pPr>
      <w:bookmarkStart w:id="34" w:name="ver_1542112"/>
      <w:bookmarkEnd w:id="34"/>
    </w:p>
    <w:p w14:paraId="074A6136" w14:textId="312C554C" w:rsidR="00B6568D" w:rsidRPr="00E478F6" w:rsidRDefault="00B6568D" w:rsidP="00B6568D">
      <w:pPr>
        <w:spacing w:after="0" w:line="240" w:lineRule="auto"/>
        <w:jc w:val="center"/>
        <w:rPr>
          <w:rFonts w:ascii="Arial" w:eastAsia="Times New Roman" w:hAnsi="Arial" w:cs="Arial"/>
          <w:lang w:val="es-CO" w:eastAsia="es-CO"/>
        </w:rPr>
      </w:pPr>
      <w:r w:rsidRPr="00E478F6">
        <w:rPr>
          <w:rFonts w:ascii="Arial" w:eastAsia="Times New Roman" w:hAnsi="Arial" w:cs="Arial"/>
          <w:lang w:val="es-CO" w:eastAsia="es-CO"/>
        </w:rPr>
        <w:lastRenderedPageBreak/>
        <w:t>Publíquese y cúmplase.</w:t>
      </w:r>
    </w:p>
    <w:p w14:paraId="096D2D45" w14:textId="339BDB62" w:rsidR="00B6568D" w:rsidRPr="00E478F6" w:rsidRDefault="00B6568D" w:rsidP="00B6568D">
      <w:pPr>
        <w:spacing w:after="0" w:line="240" w:lineRule="auto"/>
        <w:jc w:val="center"/>
        <w:rPr>
          <w:rFonts w:ascii="Arial" w:eastAsia="Times New Roman" w:hAnsi="Arial" w:cs="Arial"/>
          <w:lang w:val="es-CO" w:eastAsia="es-CO"/>
        </w:rPr>
      </w:pPr>
      <w:r w:rsidRPr="00E478F6">
        <w:rPr>
          <w:rFonts w:ascii="Arial" w:eastAsia="Times New Roman" w:hAnsi="Arial" w:cs="Arial"/>
          <w:lang w:val="es-CO" w:eastAsia="es-CO"/>
        </w:rPr>
        <w:t>Dado en Bogotá, D. C., a 29 de octubre de 2008.</w:t>
      </w:r>
    </w:p>
    <w:p w14:paraId="6F7DD93B" w14:textId="0171E78B" w:rsidR="00B6568D" w:rsidRPr="00E478F6" w:rsidRDefault="00B6568D" w:rsidP="00B6568D">
      <w:pPr>
        <w:spacing w:after="0" w:line="240" w:lineRule="auto"/>
        <w:jc w:val="center"/>
        <w:rPr>
          <w:rFonts w:ascii="Arial" w:eastAsia="Times New Roman" w:hAnsi="Arial" w:cs="Arial"/>
          <w:lang w:val="es-CO" w:eastAsia="es-CO"/>
        </w:rPr>
      </w:pPr>
      <w:r w:rsidRPr="00E478F6">
        <w:rPr>
          <w:rFonts w:ascii="Arial" w:eastAsia="Times New Roman" w:hAnsi="Arial" w:cs="Arial"/>
          <w:lang w:val="es-CO" w:eastAsia="es-CO"/>
        </w:rPr>
        <w:t>ÁLVARO URIBE VÉLEZ</w:t>
      </w:r>
    </w:p>
    <w:p w14:paraId="05FAC952" w14:textId="02AB9469" w:rsidR="00B6568D" w:rsidRPr="00E478F6" w:rsidRDefault="00B6568D" w:rsidP="00B6568D">
      <w:pPr>
        <w:spacing w:after="0" w:line="240" w:lineRule="auto"/>
        <w:jc w:val="center"/>
        <w:rPr>
          <w:rFonts w:ascii="Arial" w:eastAsia="Times New Roman" w:hAnsi="Arial" w:cs="Arial"/>
          <w:lang w:val="es-CO" w:eastAsia="es-CO"/>
        </w:rPr>
      </w:pPr>
      <w:r w:rsidRPr="00E478F6">
        <w:rPr>
          <w:rFonts w:ascii="Arial" w:eastAsia="Times New Roman" w:hAnsi="Arial" w:cs="Arial"/>
          <w:lang w:val="es-CO" w:eastAsia="es-CO"/>
        </w:rPr>
        <w:t>El Ministro de Transporte,</w:t>
      </w:r>
    </w:p>
    <w:p w14:paraId="757379FD" w14:textId="5EDE31A3" w:rsidR="00B6568D" w:rsidRPr="00E478F6" w:rsidRDefault="00B6568D" w:rsidP="00B6568D">
      <w:pPr>
        <w:spacing w:after="0" w:line="240" w:lineRule="auto"/>
        <w:jc w:val="center"/>
        <w:rPr>
          <w:rFonts w:ascii="Arial" w:eastAsia="Times New Roman" w:hAnsi="Arial" w:cs="Arial"/>
          <w:lang w:val="es-CO" w:eastAsia="es-CO"/>
        </w:rPr>
      </w:pPr>
      <w:r w:rsidRPr="00E478F6">
        <w:rPr>
          <w:rFonts w:ascii="Arial" w:eastAsia="Times New Roman" w:hAnsi="Arial" w:cs="Arial"/>
          <w:lang w:val="es-CO" w:eastAsia="es-CO"/>
        </w:rPr>
        <w:t>Andrés Uriel Gallego Henao.</w:t>
      </w:r>
    </w:p>
    <w:p w14:paraId="6A68D9BA" w14:textId="263C70EB" w:rsidR="001B7FC8" w:rsidRPr="0012777D" w:rsidRDefault="001B7FC8" w:rsidP="00B6568D">
      <w:pPr>
        <w:jc w:val="both"/>
        <w:rPr>
          <w:rFonts w:ascii="Arial" w:hAnsi="Arial" w:cs="Arial"/>
          <w:lang w:val="es-MX"/>
        </w:rPr>
      </w:pPr>
    </w:p>
    <w:sectPr w:rsidR="001B7FC8" w:rsidRPr="0012777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923"/>
    <w:rsid w:val="00056416"/>
    <w:rsid w:val="0012777D"/>
    <w:rsid w:val="001607C3"/>
    <w:rsid w:val="001B7FC8"/>
    <w:rsid w:val="00201B2F"/>
    <w:rsid w:val="003165C8"/>
    <w:rsid w:val="003D6923"/>
    <w:rsid w:val="004F416A"/>
    <w:rsid w:val="00540A4B"/>
    <w:rsid w:val="005F7732"/>
    <w:rsid w:val="00647B17"/>
    <w:rsid w:val="006947ED"/>
    <w:rsid w:val="0073469D"/>
    <w:rsid w:val="00756A38"/>
    <w:rsid w:val="009779A5"/>
    <w:rsid w:val="00A00145"/>
    <w:rsid w:val="00B34819"/>
    <w:rsid w:val="00B6568D"/>
    <w:rsid w:val="00BB5F54"/>
    <w:rsid w:val="00BF3A49"/>
    <w:rsid w:val="00E478F6"/>
    <w:rsid w:val="11543174"/>
    <w:rsid w:val="16F64D0C"/>
    <w:rsid w:val="58552B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B1B27"/>
  <w15:chartTrackingRefBased/>
  <w15:docId w15:val="{3D1D7472-8CD5-4FBC-BC4E-1B684233E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6568D"/>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toctoggle">
    <w:name w:val="toctoggle"/>
    <w:basedOn w:val="Fuentedeprrafopredeter"/>
    <w:rsid w:val="00B6568D"/>
  </w:style>
  <w:style w:type="character" w:styleId="Hipervnculo">
    <w:name w:val="Hyperlink"/>
    <w:basedOn w:val="Fuentedeprrafopredeter"/>
    <w:uiPriority w:val="99"/>
    <w:unhideWhenUsed/>
    <w:rsid w:val="00B6568D"/>
    <w:rPr>
      <w:color w:val="0000FF"/>
      <w:u w:val="single"/>
    </w:rPr>
  </w:style>
  <w:style w:type="character" w:styleId="Textoennegrita">
    <w:name w:val="Strong"/>
    <w:basedOn w:val="Fuentedeprrafopredeter"/>
    <w:uiPriority w:val="22"/>
    <w:qFormat/>
    <w:rsid w:val="00B6568D"/>
    <w:rPr>
      <w:b/>
      <w:bCs/>
    </w:rPr>
  </w:style>
  <w:style w:type="paragraph" w:customStyle="1" w:styleId="parrafo-division">
    <w:name w:val="parrafo-division"/>
    <w:basedOn w:val="Normal"/>
    <w:rsid w:val="00B6568D"/>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styleId="nfasis">
    <w:name w:val="Emphasis"/>
    <w:basedOn w:val="Fuentedeprrafopredeter"/>
    <w:uiPriority w:val="20"/>
    <w:qFormat/>
    <w:rsid w:val="00B6568D"/>
    <w:rPr>
      <w:i/>
      <w:iCs/>
    </w:rPr>
  </w:style>
  <w:style w:type="paragraph" w:customStyle="1" w:styleId="xmsonormal">
    <w:name w:val="x_msonormal"/>
    <w:basedOn w:val="Normal"/>
    <w:rsid w:val="00756A38"/>
    <w:pPr>
      <w:spacing w:after="0" w:line="240" w:lineRule="auto"/>
    </w:pPr>
    <w:rPr>
      <w:rFonts w:ascii="Calibri" w:hAnsi="Calibri" w:cs="Times New Roman"/>
      <w:lang w:val="es-CO" w:eastAsia="es-CO"/>
    </w:rPr>
  </w:style>
  <w:style w:type="character" w:customStyle="1" w:styleId="normaltextrun">
    <w:name w:val="normaltextrun"/>
    <w:basedOn w:val="Fuentedeprrafopredeter"/>
    <w:rsid w:val="00756A38"/>
  </w:style>
  <w:style w:type="character" w:customStyle="1" w:styleId="eop">
    <w:name w:val="eop"/>
    <w:basedOn w:val="Fuentedeprrafopredeter"/>
    <w:rsid w:val="00756A38"/>
  </w:style>
  <w:style w:type="character" w:styleId="Mencinsinresolver">
    <w:name w:val="Unresolved Mention"/>
    <w:basedOn w:val="Fuentedeprrafopredeter"/>
    <w:uiPriority w:val="99"/>
    <w:semiHidden/>
    <w:unhideWhenUsed/>
    <w:rsid w:val="00201B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174150">
      <w:bodyDiv w:val="1"/>
      <w:marLeft w:val="0"/>
      <w:marRight w:val="0"/>
      <w:marTop w:val="0"/>
      <w:marBottom w:val="0"/>
      <w:divBdr>
        <w:top w:val="none" w:sz="0" w:space="0" w:color="auto"/>
        <w:left w:val="none" w:sz="0" w:space="0" w:color="auto"/>
        <w:bottom w:val="none" w:sz="0" w:space="0" w:color="auto"/>
        <w:right w:val="none" w:sz="0" w:space="0" w:color="auto"/>
      </w:divBdr>
      <w:divsChild>
        <w:div w:id="167722127">
          <w:marLeft w:val="0"/>
          <w:marRight w:val="0"/>
          <w:marTop w:val="0"/>
          <w:marBottom w:val="150"/>
          <w:divBdr>
            <w:top w:val="none" w:sz="0" w:space="0" w:color="auto"/>
            <w:left w:val="none" w:sz="0" w:space="0" w:color="auto"/>
            <w:bottom w:val="none" w:sz="0" w:space="0" w:color="auto"/>
            <w:right w:val="none" w:sz="0" w:space="0" w:color="auto"/>
          </w:divBdr>
        </w:div>
        <w:div w:id="245850664">
          <w:marLeft w:val="0"/>
          <w:marRight w:val="0"/>
          <w:marTop w:val="0"/>
          <w:marBottom w:val="0"/>
          <w:divBdr>
            <w:top w:val="none" w:sz="0" w:space="0" w:color="auto"/>
            <w:left w:val="none" w:sz="0" w:space="0" w:color="auto"/>
            <w:bottom w:val="none" w:sz="0" w:space="0" w:color="auto"/>
            <w:right w:val="none" w:sz="0" w:space="0" w:color="auto"/>
          </w:divBdr>
        </w:div>
        <w:div w:id="820459554">
          <w:marLeft w:val="0"/>
          <w:marRight w:val="0"/>
          <w:marTop w:val="0"/>
          <w:marBottom w:val="150"/>
          <w:divBdr>
            <w:top w:val="none" w:sz="0" w:space="0" w:color="auto"/>
            <w:left w:val="none" w:sz="0" w:space="0" w:color="auto"/>
            <w:bottom w:val="none" w:sz="0" w:space="0" w:color="auto"/>
            <w:right w:val="none" w:sz="0" w:space="0" w:color="auto"/>
          </w:divBdr>
        </w:div>
        <w:div w:id="1186947339">
          <w:marLeft w:val="0"/>
          <w:marRight w:val="0"/>
          <w:marTop w:val="0"/>
          <w:marBottom w:val="0"/>
          <w:divBdr>
            <w:top w:val="none" w:sz="0" w:space="0" w:color="auto"/>
            <w:left w:val="none" w:sz="0" w:space="0" w:color="auto"/>
            <w:bottom w:val="none" w:sz="0" w:space="0" w:color="auto"/>
            <w:right w:val="none" w:sz="0" w:space="0" w:color="auto"/>
          </w:divBdr>
          <w:divsChild>
            <w:div w:id="106395121">
              <w:marLeft w:val="0"/>
              <w:marRight w:val="0"/>
              <w:marTop w:val="0"/>
              <w:marBottom w:val="0"/>
              <w:divBdr>
                <w:top w:val="none" w:sz="0" w:space="0" w:color="auto"/>
                <w:left w:val="none" w:sz="0" w:space="0" w:color="auto"/>
                <w:bottom w:val="none" w:sz="0" w:space="0" w:color="auto"/>
                <w:right w:val="none" w:sz="0" w:space="0" w:color="auto"/>
              </w:divBdr>
              <w:divsChild>
                <w:div w:id="592935528">
                  <w:marLeft w:val="0"/>
                  <w:marRight w:val="0"/>
                  <w:marTop w:val="0"/>
                  <w:marBottom w:val="0"/>
                  <w:divBdr>
                    <w:top w:val="none" w:sz="0" w:space="0" w:color="auto"/>
                    <w:left w:val="none" w:sz="0" w:space="0" w:color="auto"/>
                    <w:bottom w:val="none" w:sz="0" w:space="0" w:color="auto"/>
                    <w:right w:val="none" w:sz="0" w:space="0" w:color="auto"/>
                  </w:divBdr>
                </w:div>
              </w:divsChild>
            </w:div>
            <w:div w:id="107899211">
              <w:marLeft w:val="0"/>
              <w:marRight w:val="0"/>
              <w:marTop w:val="0"/>
              <w:marBottom w:val="0"/>
              <w:divBdr>
                <w:top w:val="none" w:sz="0" w:space="0" w:color="auto"/>
                <w:left w:val="none" w:sz="0" w:space="0" w:color="auto"/>
                <w:bottom w:val="none" w:sz="0" w:space="0" w:color="auto"/>
                <w:right w:val="none" w:sz="0" w:space="0" w:color="auto"/>
              </w:divBdr>
            </w:div>
            <w:div w:id="117918235">
              <w:marLeft w:val="0"/>
              <w:marRight w:val="0"/>
              <w:marTop w:val="0"/>
              <w:marBottom w:val="0"/>
              <w:divBdr>
                <w:top w:val="none" w:sz="0" w:space="0" w:color="auto"/>
                <w:left w:val="none" w:sz="0" w:space="0" w:color="auto"/>
                <w:bottom w:val="none" w:sz="0" w:space="0" w:color="auto"/>
                <w:right w:val="none" w:sz="0" w:space="0" w:color="auto"/>
              </w:divBdr>
              <w:divsChild>
                <w:div w:id="1433554342">
                  <w:marLeft w:val="0"/>
                  <w:marRight w:val="0"/>
                  <w:marTop w:val="0"/>
                  <w:marBottom w:val="0"/>
                  <w:divBdr>
                    <w:top w:val="none" w:sz="0" w:space="0" w:color="auto"/>
                    <w:left w:val="none" w:sz="0" w:space="0" w:color="auto"/>
                    <w:bottom w:val="none" w:sz="0" w:space="0" w:color="auto"/>
                    <w:right w:val="none" w:sz="0" w:space="0" w:color="auto"/>
                  </w:divBdr>
                </w:div>
              </w:divsChild>
            </w:div>
            <w:div w:id="132597729">
              <w:marLeft w:val="0"/>
              <w:marRight w:val="0"/>
              <w:marTop w:val="0"/>
              <w:marBottom w:val="0"/>
              <w:divBdr>
                <w:top w:val="none" w:sz="0" w:space="0" w:color="auto"/>
                <w:left w:val="none" w:sz="0" w:space="0" w:color="auto"/>
                <w:bottom w:val="none" w:sz="0" w:space="0" w:color="auto"/>
                <w:right w:val="none" w:sz="0" w:space="0" w:color="auto"/>
              </w:divBdr>
              <w:divsChild>
                <w:div w:id="112329962">
                  <w:marLeft w:val="0"/>
                  <w:marRight w:val="0"/>
                  <w:marTop w:val="0"/>
                  <w:marBottom w:val="0"/>
                  <w:divBdr>
                    <w:top w:val="none" w:sz="0" w:space="0" w:color="auto"/>
                    <w:left w:val="none" w:sz="0" w:space="0" w:color="auto"/>
                    <w:bottom w:val="none" w:sz="0" w:space="0" w:color="auto"/>
                    <w:right w:val="none" w:sz="0" w:space="0" w:color="auto"/>
                  </w:divBdr>
                </w:div>
              </w:divsChild>
            </w:div>
            <w:div w:id="284193800">
              <w:marLeft w:val="0"/>
              <w:marRight w:val="0"/>
              <w:marTop w:val="0"/>
              <w:marBottom w:val="0"/>
              <w:divBdr>
                <w:top w:val="none" w:sz="0" w:space="0" w:color="auto"/>
                <w:left w:val="none" w:sz="0" w:space="0" w:color="auto"/>
                <w:bottom w:val="none" w:sz="0" w:space="0" w:color="auto"/>
                <w:right w:val="none" w:sz="0" w:space="0" w:color="auto"/>
              </w:divBdr>
              <w:divsChild>
                <w:div w:id="458308339">
                  <w:marLeft w:val="0"/>
                  <w:marRight w:val="0"/>
                  <w:marTop w:val="0"/>
                  <w:marBottom w:val="0"/>
                  <w:divBdr>
                    <w:top w:val="none" w:sz="0" w:space="0" w:color="auto"/>
                    <w:left w:val="none" w:sz="0" w:space="0" w:color="auto"/>
                    <w:bottom w:val="none" w:sz="0" w:space="0" w:color="auto"/>
                    <w:right w:val="none" w:sz="0" w:space="0" w:color="auto"/>
                  </w:divBdr>
                </w:div>
              </w:divsChild>
            </w:div>
            <w:div w:id="436561715">
              <w:marLeft w:val="0"/>
              <w:marRight w:val="0"/>
              <w:marTop w:val="0"/>
              <w:marBottom w:val="0"/>
              <w:divBdr>
                <w:top w:val="none" w:sz="0" w:space="0" w:color="auto"/>
                <w:left w:val="none" w:sz="0" w:space="0" w:color="auto"/>
                <w:bottom w:val="none" w:sz="0" w:space="0" w:color="auto"/>
                <w:right w:val="none" w:sz="0" w:space="0" w:color="auto"/>
              </w:divBdr>
              <w:divsChild>
                <w:div w:id="600800812">
                  <w:marLeft w:val="0"/>
                  <w:marRight w:val="0"/>
                  <w:marTop w:val="0"/>
                  <w:marBottom w:val="0"/>
                  <w:divBdr>
                    <w:top w:val="none" w:sz="0" w:space="0" w:color="auto"/>
                    <w:left w:val="none" w:sz="0" w:space="0" w:color="auto"/>
                    <w:bottom w:val="none" w:sz="0" w:space="0" w:color="auto"/>
                    <w:right w:val="none" w:sz="0" w:space="0" w:color="auto"/>
                  </w:divBdr>
                </w:div>
              </w:divsChild>
            </w:div>
            <w:div w:id="448738636">
              <w:marLeft w:val="0"/>
              <w:marRight w:val="0"/>
              <w:marTop w:val="0"/>
              <w:marBottom w:val="0"/>
              <w:divBdr>
                <w:top w:val="none" w:sz="0" w:space="0" w:color="auto"/>
                <w:left w:val="none" w:sz="0" w:space="0" w:color="auto"/>
                <w:bottom w:val="none" w:sz="0" w:space="0" w:color="auto"/>
                <w:right w:val="none" w:sz="0" w:space="0" w:color="auto"/>
              </w:divBdr>
              <w:divsChild>
                <w:div w:id="1099644913">
                  <w:marLeft w:val="0"/>
                  <w:marRight w:val="0"/>
                  <w:marTop w:val="0"/>
                  <w:marBottom w:val="0"/>
                  <w:divBdr>
                    <w:top w:val="none" w:sz="0" w:space="0" w:color="auto"/>
                    <w:left w:val="none" w:sz="0" w:space="0" w:color="auto"/>
                    <w:bottom w:val="none" w:sz="0" w:space="0" w:color="auto"/>
                    <w:right w:val="none" w:sz="0" w:space="0" w:color="auto"/>
                  </w:divBdr>
                </w:div>
              </w:divsChild>
            </w:div>
            <w:div w:id="452748764">
              <w:marLeft w:val="0"/>
              <w:marRight w:val="0"/>
              <w:marTop w:val="0"/>
              <w:marBottom w:val="0"/>
              <w:divBdr>
                <w:top w:val="none" w:sz="0" w:space="0" w:color="auto"/>
                <w:left w:val="none" w:sz="0" w:space="0" w:color="auto"/>
                <w:bottom w:val="none" w:sz="0" w:space="0" w:color="auto"/>
                <w:right w:val="none" w:sz="0" w:space="0" w:color="auto"/>
              </w:divBdr>
              <w:divsChild>
                <w:div w:id="1774787523">
                  <w:marLeft w:val="0"/>
                  <w:marRight w:val="0"/>
                  <w:marTop w:val="0"/>
                  <w:marBottom w:val="0"/>
                  <w:divBdr>
                    <w:top w:val="none" w:sz="0" w:space="0" w:color="auto"/>
                    <w:left w:val="none" w:sz="0" w:space="0" w:color="auto"/>
                    <w:bottom w:val="none" w:sz="0" w:space="0" w:color="auto"/>
                    <w:right w:val="none" w:sz="0" w:space="0" w:color="auto"/>
                  </w:divBdr>
                </w:div>
              </w:divsChild>
            </w:div>
            <w:div w:id="593050306">
              <w:marLeft w:val="0"/>
              <w:marRight w:val="0"/>
              <w:marTop w:val="0"/>
              <w:marBottom w:val="0"/>
              <w:divBdr>
                <w:top w:val="none" w:sz="0" w:space="0" w:color="auto"/>
                <w:left w:val="none" w:sz="0" w:space="0" w:color="auto"/>
                <w:bottom w:val="none" w:sz="0" w:space="0" w:color="auto"/>
                <w:right w:val="none" w:sz="0" w:space="0" w:color="auto"/>
              </w:divBdr>
              <w:divsChild>
                <w:div w:id="92282903">
                  <w:marLeft w:val="0"/>
                  <w:marRight w:val="0"/>
                  <w:marTop w:val="0"/>
                  <w:marBottom w:val="0"/>
                  <w:divBdr>
                    <w:top w:val="none" w:sz="0" w:space="0" w:color="auto"/>
                    <w:left w:val="none" w:sz="0" w:space="0" w:color="auto"/>
                    <w:bottom w:val="none" w:sz="0" w:space="0" w:color="auto"/>
                    <w:right w:val="none" w:sz="0" w:space="0" w:color="auto"/>
                  </w:divBdr>
                </w:div>
              </w:divsChild>
            </w:div>
            <w:div w:id="604532634">
              <w:marLeft w:val="0"/>
              <w:marRight w:val="0"/>
              <w:marTop w:val="0"/>
              <w:marBottom w:val="0"/>
              <w:divBdr>
                <w:top w:val="none" w:sz="0" w:space="0" w:color="auto"/>
                <w:left w:val="none" w:sz="0" w:space="0" w:color="auto"/>
                <w:bottom w:val="none" w:sz="0" w:space="0" w:color="auto"/>
                <w:right w:val="none" w:sz="0" w:space="0" w:color="auto"/>
              </w:divBdr>
              <w:divsChild>
                <w:div w:id="819276280">
                  <w:marLeft w:val="0"/>
                  <w:marRight w:val="0"/>
                  <w:marTop w:val="0"/>
                  <w:marBottom w:val="0"/>
                  <w:divBdr>
                    <w:top w:val="none" w:sz="0" w:space="0" w:color="auto"/>
                    <w:left w:val="none" w:sz="0" w:space="0" w:color="auto"/>
                    <w:bottom w:val="none" w:sz="0" w:space="0" w:color="auto"/>
                    <w:right w:val="none" w:sz="0" w:space="0" w:color="auto"/>
                  </w:divBdr>
                </w:div>
              </w:divsChild>
            </w:div>
            <w:div w:id="669411643">
              <w:marLeft w:val="0"/>
              <w:marRight w:val="0"/>
              <w:marTop w:val="0"/>
              <w:marBottom w:val="0"/>
              <w:divBdr>
                <w:top w:val="none" w:sz="0" w:space="0" w:color="auto"/>
                <w:left w:val="none" w:sz="0" w:space="0" w:color="auto"/>
                <w:bottom w:val="none" w:sz="0" w:space="0" w:color="auto"/>
                <w:right w:val="none" w:sz="0" w:space="0" w:color="auto"/>
              </w:divBdr>
              <w:divsChild>
                <w:div w:id="1115901368">
                  <w:marLeft w:val="0"/>
                  <w:marRight w:val="0"/>
                  <w:marTop w:val="0"/>
                  <w:marBottom w:val="0"/>
                  <w:divBdr>
                    <w:top w:val="none" w:sz="0" w:space="0" w:color="auto"/>
                    <w:left w:val="none" w:sz="0" w:space="0" w:color="auto"/>
                    <w:bottom w:val="none" w:sz="0" w:space="0" w:color="auto"/>
                    <w:right w:val="none" w:sz="0" w:space="0" w:color="auto"/>
                  </w:divBdr>
                </w:div>
              </w:divsChild>
            </w:div>
            <w:div w:id="717246583">
              <w:marLeft w:val="0"/>
              <w:marRight w:val="0"/>
              <w:marTop w:val="0"/>
              <w:marBottom w:val="0"/>
              <w:divBdr>
                <w:top w:val="none" w:sz="0" w:space="0" w:color="auto"/>
                <w:left w:val="none" w:sz="0" w:space="0" w:color="auto"/>
                <w:bottom w:val="none" w:sz="0" w:space="0" w:color="auto"/>
                <w:right w:val="none" w:sz="0" w:space="0" w:color="auto"/>
              </w:divBdr>
              <w:divsChild>
                <w:div w:id="2105102473">
                  <w:marLeft w:val="0"/>
                  <w:marRight w:val="0"/>
                  <w:marTop w:val="0"/>
                  <w:marBottom w:val="0"/>
                  <w:divBdr>
                    <w:top w:val="none" w:sz="0" w:space="0" w:color="auto"/>
                    <w:left w:val="none" w:sz="0" w:space="0" w:color="auto"/>
                    <w:bottom w:val="none" w:sz="0" w:space="0" w:color="auto"/>
                    <w:right w:val="none" w:sz="0" w:space="0" w:color="auto"/>
                  </w:divBdr>
                </w:div>
              </w:divsChild>
            </w:div>
            <w:div w:id="719212147">
              <w:marLeft w:val="0"/>
              <w:marRight w:val="0"/>
              <w:marTop w:val="0"/>
              <w:marBottom w:val="0"/>
              <w:divBdr>
                <w:top w:val="none" w:sz="0" w:space="0" w:color="auto"/>
                <w:left w:val="none" w:sz="0" w:space="0" w:color="auto"/>
                <w:bottom w:val="none" w:sz="0" w:space="0" w:color="auto"/>
                <w:right w:val="none" w:sz="0" w:space="0" w:color="auto"/>
              </w:divBdr>
              <w:divsChild>
                <w:div w:id="1652250504">
                  <w:marLeft w:val="0"/>
                  <w:marRight w:val="0"/>
                  <w:marTop w:val="0"/>
                  <w:marBottom w:val="0"/>
                  <w:divBdr>
                    <w:top w:val="none" w:sz="0" w:space="0" w:color="auto"/>
                    <w:left w:val="none" w:sz="0" w:space="0" w:color="auto"/>
                    <w:bottom w:val="none" w:sz="0" w:space="0" w:color="auto"/>
                    <w:right w:val="none" w:sz="0" w:space="0" w:color="auto"/>
                  </w:divBdr>
                </w:div>
              </w:divsChild>
            </w:div>
            <w:div w:id="841045520">
              <w:marLeft w:val="0"/>
              <w:marRight w:val="0"/>
              <w:marTop w:val="0"/>
              <w:marBottom w:val="0"/>
              <w:divBdr>
                <w:top w:val="none" w:sz="0" w:space="0" w:color="auto"/>
                <w:left w:val="none" w:sz="0" w:space="0" w:color="auto"/>
                <w:bottom w:val="none" w:sz="0" w:space="0" w:color="auto"/>
                <w:right w:val="none" w:sz="0" w:space="0" w:color="auto"/>
              </w:divBdr>
              <w:divsChild>
                <w:div w:id="69933109">
                  <w:marLeft w:val="0"/>
                  <w:marRight w:val="0"/>
                  <w:marTop w:val="0"/>
                  <w:marBottom w:val="0"/>
                  <w:divBdr>
                    <w:top w:val="none" w:sz="0" w:space="0" w:color="auto"/>
                    <w:left w:val="none" w:sz="0" w:space="0" w:color="auto"/>
                    <w:bottom w:val="none" w:sz="0" w:space="0" w:color="auto"/>
                    <w:right w:val="none" w:sz="0" w:space="0" w:color="auto"/>
                  </w:divBdr>
                </w:div>
              </w:divsChild>
            </w:div>
            <w:div w:id="928004302">
              <w:marLeft w:val="0"/>
              <w:marRight w:val="0"/>
              <w:marTop w:val="0"/>
              <w:marBottom w:val="0"/>
              <w:divBdr>
                <w:top w:val="none" w:sz="0" w:space="0" w:color="auto"/>
                <w:left w:val="none" w:sz="0" w:space="0" w:color="auto"/>
                <w:bottom w:val="none" w:sz="0" w:space="0" w:color="auto"/>
                <w:right w:val="none" w:sz="0" w:space="0" w:color="auto"/>
              </w:divBdr>
              <w:divsChild>
                <w:div w:id="679964314">
                  <w:marLeft w:val="0"/>
                  <w:marRight w:val="0"/>
                  <w:marTop w:val="0"/>
                  <w:marBottom w:val="0"/>
                  <w:divBdr>
                    <w:top w:val="none" w:sz="0" w:space="0" w:color="auto"/>
                    <w:left w:val="none" w:sz="0" w:space="0" w:color="auto"/>
                    <w:bottom w:val="none" w:sz="0" w:space="0" w:color="auto"/>
                    <w:right w:val="none" w:sz="0" w:space="0" w:color="auto"/>
                  </w:divBdr>
                </w:div>
              </w:divsChild>
            </w:div>
            <w:div w:id="928854019">
              <w:marLeft w:val="0"/>
              <w:marRight w:val="0"/>
              <w:marTop w:val="0"/>
              <w:marBottom w:val="0"/>
              <w:divBdr>
                <w:top w:val="none" w:sz="0" w:space="0" w:color="auto"/>
                <w:left w:val="none" w:sz="0" w:space="0" w:color="auto"/>
                <w:bottom w:val="none" w:sz="0" w:space="0" w:color="auto"/>
                <w:right w:val="none" w:sz="0" w:space="0" w:color="auto"/>
              </w:divBdr>
              <w:divsChild>
                <w:div w:id="1642341773">
                  <w:marLeft w:val="0"/>
                  <w:marRight w:val="0"/>
                  <w:marTop w:val="0"/>
                  <w:marBottom w:val="0"/>
                  <w:divBdr>
                    <w:top w:val="none" w:sz="0" w:space="0" w:color="auto"/>
                    <w:left w:val="none" w:sz="0" w:space="0" w:color="auto"/>
                    <w:bottom w:val="none" w:sz="0" w:space="0" w:color="auto"/>
                    <w:right w:val="none" w:sz="0" w:space="0" w:color="auto"/>
                  </w:divBdr>
                </w:div>
              </w:divsChild>
            </w:div>
            <w:div w:id="1053120607">
              <w:marLeft w:val="0"/>
              <w:marRight w:val="0"/>
              <w:marTop w:val="300"/>
              <w:marBottom w:val="300"/>
              <w:divBdr>
                <w:top w:val="none" w:sz="0" w:space="0" w:color="auto"/>
                <w:left w:val="none" w:sz="0" w:space="0" w:color="auto"/>
                <w:bottom w:val="none" w:sz="0" w:space="0" w:color="auto"/>
                <w:right w:val="none" w:sz="0" w:space="0" w:color="auto"/>
              </w:divBdr>
            </w:div>
            <w:div w:id="1082992359">
              <w:marLeft w:val="0"/>
              <w:marRight w:val="0"/>
              <w:marTop w:val="0"/>
              <w:marBottom w:val="0"/>
              <w:divBdr>
                <w:top w:val="none" w:sz="0" w:space="0" w:color="auto"/>
                <w:left w:val="none" w:sz="0" w:space="0" w:color="auto"/>
                <w:bottom w:val="none" w:sz="0" w:space="0" w:color="auto"/>
                <w:right w:val="none" w:sz="0" w:space="0" w:color="auto"/>
              </w:divBdr>
              <w:divsChild>
                <w:div w:id="1507670745">
                  <w:marLeft w:val="0"/>
                  <w:marRight w:val="0"/>
                  <w:marTop w:val="0"/>
                  <w:marBottom w:val="0"/>
                  <w:divBdr>
                    <w:top w:val="none" w:sz="0" w:space="0" w:color="auto"/>
                    <w:left w:val="none" w:sz="0" w:space="0" w:color="auto"/>
                    <w:bottom w:val="none" w:sz="0" w:space="0" w:color="auto"/>
                    <w:right w:val="none" w:sz="0" w:space="0" w:color="auto"/>
                  </w:divBdr>
                </w:div>
              </w:divsChild>
            </w:div>
            <w:div w:id="1177037343">
              <w:marLeft w:val="0"/>
              <w:marRight w:val="0"/>
              <w:marTop w:val="0"/>
              <w:marBottom w:val="0"/>
              <w:divBdr>
                <w:top w:val="none" w:sz="0" w:space="0" w:color="auto"/>
                <w:left w:val="none" w:sz="0" w:space="0" w:color="auto"/>
                <w:bottom w:val="none" w:sz="0" w:space="0" w:color="auto"/>
                <w:right w:val="none" w:sz="0" w:space="0" w:color="auto"/>
              </w:divBdr>
              <w:divsChild>
                <w:div w:id="1019622232">
                  <w:marLeft w:val="0"/>
                  <w:marRight w:val="0"/>
                  <w:marTop w:val="0"/>
                  <w:marBottom w:val="0"/>
                  <w:divBdr>
                    <w:top w:val="none" w:sz="0" w:space="0" w:color="auto"/>
                    <w:left w:val="none" w:sz="0" w:space="0" w:color="auto"/>
                    <w:bottom w:val="none" w:sz="0" w:space="0" w:color="auto"/>
                    <w:right w:val="none" w:sz="0" w:space="0" w:color="auto"/>
                  </w:divBdr>
                </w:div>
              </w:divsChild>
            </w:div>
            <w:div w:id="1252157478">
              <w:marLeft w:val="0"/>
              <w:marRight w:val="0"/>
              <w:marTop w:val="0"/>
              <w:marBottom w:val="0"/>
              <w:divBdr>
                <w:top w:val="none" w:sz="0" w:space="0" w:color="auto"/>
                <w:left w:val="none" w:sz="0" w:space="0" w:color="auto"/>
                <w:bottom w:val="none" w:sz="0" w:space="0" w:color="auto"/>
                <w:right w:val="none" w:sz="0" w:space="0" w:color="auto"/>
              </w:divBdr>
              <w:divsChild>
                <w:div w:id="565145636">
                  <w:marLeft w:val="0"/>
                  <w:marRight w:val="0"/>
                  <w:marTop w:val="0"/>
                  <w:marBottom w:val="0"/>
                  <w:divBdr>
                    <w:top w:val="none" w:sz="0" w:space="0" w:color="auto"/>
                    <w:left w:val="none" w:sz="0" w:space="0" w:color="auto"/>
                    <w:bottom w:val="none" w:sz="0" w:space="0" w:color="auto"/>
                    <w:right w:val="none" w:sz="0" w:space="0" w:color="auto"/>
                  </w:divBdr>
                </w:div>
              </w:divsChild>
            </w:div>
            <w:div w:id="1310941806">
              <w:marLeft w:val="0"/>
              <w:marRight w:val="0"/>
              <w:marTop w:val="0"/>
              <w:marBottom w:val="0"/>
              <w:divBdr>
                <w:top w:val="none" w:sz="0" w:space="0" w:color="auto"/>
                <w:left w:val="none" w:sz="0" w:space="0" w:color="auto"/>
                <w:bottom w:val="none" w:sz="0" w:space="0" w:color="auto"/>
                <w:right w:val="none" w:sz="0" w:space="0" w:color="auto"/>
              </w:divBdr>
            </w:div>
            <w:div w:id="1451898881">
              <w:marLeft w:val="0"/>
              <w:marRight w:val="0"/>
              <w:marTop w:val="0"/>
              <w:marBottom w:val="0"/>
              <w:divBdr>
                <w:top w:val="none" w:sz="0" w:space="0" w:color="auto"/>
                <w:left w:val="none" w:sz="0" w:space="0" w:color="auto"/>
                <w:bottom w:val="none" w:sz="0" w:space="0" w:color="auto"/>
                <w:right w:val="none" w:sz="0" w:space="0" w:color="auto"/>
              </w:divBdr>
              <w:divsChild>
                <w:div w:id="1995716257">
                  <w:marLeft w:val="0"/>
                  <w:marRight w:val="0"/>
                  <w:marTop w:val="0"/>
                  <w:marBottom w:val="0"/>
                  <w:divBdr>
                    <w:top w:val="none" w:sz="0" w:space="0" w:color="auto"/>
                    <w:left w:val="none" w:sz="0" w:space="0" w:color="auto"/>
                    <w:bottom w:val="none" w:sz="0" w:space="0" w:color="auto"/>
                    <w:right w:val="none" w:sz="0" w:space="0" w:color="auto"/>
                  </w:divBdr>
                </w:div>
              </w:divsChild>
            </w:div>
            <w:div w:id="1536116586">
              <w:marLeft w:val="0"/>
              <w:marRight w:val="0"/>
              <w:marTop w:val="0"/>
              <w:marBottom w:val="0"/>
              <w:divBdr>
                <w:top w:val="none" w:sz="0" w:space="0" w:color="auto"/>
                <w:left w:val="none" w:sz="0" w:space="0" w:color="auto"/>
                <w:bottom w:val="none" w:sz="0" w:space="0" w:color="auto"/>
                <w:right w:val="none" w:sz="0" w:space="0" w:color="auto"/>
              </w:divBdr>
              <w:divsChild>
                <w:div w:id="995839237">
                  <w:marLeft w:val="0"/>
                  <w:marRight w:val="0"/>
                  <w:marTop w:val="0"/>
                  <w:marBottom w:val="0"/>
                  <w:divBdr>
                    <w:top w:val="none" w:sz="0" w:space="0" w:color="auto"/>
                    <w:left w:val="none" w:sz="0" w:space="0" w:color="auto"/>
                    <w:bottom w:val="none" w:sz="0" w:space="0" w:color="auto"/>
                    <w:right w:val="none" w:sz="0" w:space="0" w:color="auto"/>
                  </w:divBdr>
                </w:div>
              </w:divsChild>
            </w:div>
            <w:div w:id="1564100562">
              <w:marLeft w:val="0"/>
              <w:marRight w:val="0"/>
              <w:marTop w:val="0"/>
              <w:marBottom w:val="0"/>
              <w:divBdr>
                <w:top w:val="none" w:sz="0" w:space="0" w:color="auto"/>
                <w:left w:val="none" w:sz="0" w:space="0" w:color="auto"/>
                <w:bottom w:val="none" w:sz="0" w:space="0" w:color="auto"/>
                <w:right w:val="none" w:sz="0" w:space="0" w:color="auto"/>
              </w:divBdr>
              <w:divsChild>
                <w:div w:id="1116411544">
                  <w:marLeft w:val="0"/>
                  <w:marRight w:val="0"/>
                  <w:marTop w:val="0"/>
                  <w:marBottom w:val="0"/>
                  <w:divBdr>
                    <w:top w:val="none" w:sz="0" w:space="0" w:color="auto"/>
                    <w:left w:val="none" w:sz="0" w:space="0" w:color="auto"/>
                    <w:bottom w:val="none" w:sz="0" w:space="0" w:color="auto"/>
                    <w:right w:val="none" w:sz="0" w:space="0" w:color="auto"/>
                  </w:divBdr>
                </w:div>
              </w:divsChild>
            </w:div>
            <w:div w:id="1571816355">
              <w:marLeft w:val="0"/>
              <w:marRight w:val="0"/>
              <w:marTop w:val="0"/>
              <w:marBottom w:val="0"/>
              <w:divBdr>
                <w:top w:val="none" w:sz="0" w:space="0" w:color="auto"/>
                <w:left w:val="none" w:sz="0" w:space="0" w:color="auto"/>
                <w:bottom w:val="none" w:sz="0" w:space="0" w:color="auto"/>
                <w:right w:val="none" w:sz="0" w:space="0" w:color="auto"/>
              </w:divBdr>
              <w:divsChild>
                <w:div w:id="1281835662">
                  <w:marLeft w:val="0"/>
                  <w:marRight w:val="0"/>
                  <w:marTop w:val="0"/>
                  <w:marBottom w:val="0"/>
                  <w:divBdr>
                    <w:top w:val="none" w:sz="0" w:space="0" w:color="auto"/>
                    <w:left w:val="none" w:sz="0" w:space="0" w:color="auto"/>
                    <w:bottom w:val="none" w:sz="0" w:space="0" w:color="auto"/>
                    <w:right w:val="none" w:sz="0" w:space="0" w:color="auto"/>
                  </w:divBdr>
                </w:div>
              </w:divsChild>
            </w:div>
            <w:div w:id="1584024885">
              <w:marLeft w:val="0"/>
              <w:marRight w:val="0"/>
              <w:marTop w:val="0"/>
              <w:marBottom w:val="0"/>
              <w:divBdr>
                <w:top w:val="none" w:sz="0" w:space="0" w:color="auto"/>
                <w:left w:val="none" w:sz="0" w:space="0" w:color="auto"/>
                <w:bottom w:val="none" w:sz="0" w:space="0" w:color="auto"/>
                <w:right w:val="none" w:sz="0" w:space="0" w:color="auto"/>
              </w:divBdr>
              <w:divsChild>
                <w:div w:id="1209992658">
                  <w:marLeft w:val="0"/>
                  <w:marRight w:val="0"/>
                  <w:marTop w:val="0"/>
                  <w:marBottom w:val="0"/>
                  <w:divBdr>
                    <w:top w:val="none" w:sz="0" w:space="0" w:color="auto"/>
                    <w:left w:val="none" w:sz="0" w:space="0" w:color="auto"/>
                    <w:bottom w:val="none" w:sz="0" w:space="0" w:color="auto"/>
                    <w:right w:val="none" w:sz="0" w:space="0" w:color="auto"/>
                  </w:divBdr>
                </w:div>
              </w:divsChild>
            </w:div>
            <w:div w:id="1598752943">
              <w:marLeft w:val="0"/>
              <w:marRight w:val="0"/>
              <w:marTop w:val="0"/>
              <w:marBottom w:val="0"/>
              <w:divBdr>
                <w:top w:val="none" w:sz="0" w:space="0" w:color="auto"/>
                <w:left w:val="none" w:sz="0" w:space="0" w:color="auto"/>
                <w:bottom w:val="none" w:sz="0" w:space="0" w:color="auto"/>
                <w:right w:val="none" w:sz="0" w:space="0" w:color="auto"/>
              </w:divBdr>
              <w:divsChild>
                <w:div w:id="1965306916">
                  <w:marLeft w:val="0"/>
                  <w:marRight w:val="0"/>
                  <w:marTop w:val="0"/>
                  <w:marBottom w:val="0"/>
                  <w:divBdr>
                    <w:top w:val="none" w:sz="0" w:space="0" w:color="auto"/>
                    <w:left w:val="none" w:sz="0" w:space="0" w:color="auto"/>
                    <w:bottom w:val="none" w:sz="0" w:space="0" w:color="auto"/>
                    <w:right w:val="none" w:sz="0" w:space="0" w:color="auto"/>
                  </w:divBdr>
                </w:div>
              </w:divsChild>
            </w:div>
            <w:div w:id="1673676026">
              <w:marLeft w:val="0"/>
              <w:marRight w:val="0"/>
              <w:marTop w:val="0"/>
              <w:marBottom w:val="0"/>
              <w:divBdr>
                <w:top w:val="none" w:sz="0" w:space="0" w:color="auto"/>
                <w:left w:val="none" w:sz="0" w:space="0" w:color="auto"/>
                <w:bottom w:val="none" w:sz="0" w:space="0" w:color="auto"/>
                <w:right w:val="none" w:sz="0" w:space="0" w:color="auto"/>
              </w:divBdr>
              <w:divsChild>
                <w:div w:id="414136226">
                  <w:marLeft w:val="0"/>
                  <w:marRight w:val="0"/>
                  <w:marTop w:val="0"/>
                  <w:marBottom w:val="0"/>
                  <w:divBdr>
                    <w:top w:val="none" w:sz="0" w:space="0" w:color="auto"/>
                    <w:left w:val="none" w:sz="0" w:space="0" w:color="auto"/>
                    <w:bottom w:val="none" w:sz="0" w:space="0" w:color="auto"/>
                    <w:right w:val="none" w:sz="0" w:space="0" w:color="auto"/>
                  </w:divBdr>
                </w:div>
              </w:divsChild>
            </w:div>
            <w:div w:id="1676495149">
              <w:marLeft w:val="0"/>
              <w:marRight w:val="0"/>
              <w:marTop w:val="0"/>
              <w:marBottom w:val="0"/>
              <w:divBdr>
                <w:top w:val="none" w:sz="0" w:space="0" w:color="auto"/>
                <w:left w:val="none" w:sz="0" w:space="0" w:color="auto"/>
                <w:bottom w:val="none" w:sz="0" w:space="0" w:color="auto"/>
                <w:right w:val="none" w:sz="0" w:space="0" w:color="auto"/>
              </w:divBdr>
              <w:divsChild>
                <w:div w:id="303777276">
                  <w:marLeft w:val="0"/>
                  <w:marRight w:val="0"/>
                  <w:marTop w:val="0"/>
                  <w:marBottom w:val="0"/>
                  <w:divBdr>
                    <w:top w:val="none" w:sz="0" w:space="0" w:color="auto"/>
                    <w:left w:val="none" w:sz="0" w:space="0" w:color="auto"/>
                    <w:bottom w:val="none" w:sz="0" w:space="0" w:color="auto"/>
                    <w:right w:val="none" w:sz="0" w:space="0" w:color="auto"/>
                  </w:divBdr>
                </w:div>
              </w:divsChild>
            </w:div>
            <w:div w:id="1748259680">
              <w:marLeft w:val="0"/>
              <w:marRight w:val="0"/>
              <w:marTop w:val="300"/>
              <w:marBottom w:val="300"/>
              <w:divBdr>
                <w:top w:val="none" w:sz="0" w:space="0" w:color="auto"/>
                <w:left w:val="none" w:sz="0" w:space="0" w:color="auto"/>
                <w:bottom w:val="none" w:sz="0" w:space="0" w:color="auto"/>
                <w:right w:val="none" w:sz="0" w:space="0" w:color="auto"/>
              </w:divBdr>
            </w:div>
            <w:div w:id="1906912032">
              <w:marLeft w:val="0"/>
              <w:marRight w:val="0"/>
              <w:marTop w:val="0"/>
              <w:marBottom w:val="0"/>
              <w:divBdr>
                <w:top w:val="none" w:sz="0" w:space="0" w:color="auto"/>
                <w:left w:val="none" w:sz="0" w:space="0" w:color="auto"/>
                <w:bottom w:val="none" w:sz="0" w:space="0" w:color="auto"/>
                <w:right w:val="none" w:sz="0" w:space="0" w:color="auto"/>
              </w:divBdr>
              <w:divsChild>
                <w:div w:id="1475489298">
                  <w:marLeft w:val="0"/>
                  <w:marRight w:val="0"/>
                  <w:marTop w:val="0"/>
                  <w:marBottom w:val="0"/>
                  <w:divBdr>
                    <w:top w:val="none" w:sz="0" w:space="0" w:color="auto"/>
                    <w:left w:val="none" w:sz="0" w:space="0" w:color="auto"/>
                    <w:bottom w:val="none" w:sz="0" w:space="0" w:color="auto"/>
                    <w:right w:val="none" w:sz="0" w:space="0" w:color="auto"/>
                  </w:divBdr>
                </w:div>
              </w:divsChild>
            </w:div>
            <w:div w:id="2080904852">
              <w:marLeft w:val="0"/>
              <w:marRight w:val="0"/>
              <w:marTop w:val="300"/>
              <w:marBottom w:val="300"/>
              <w:divBdr>
                <w:top w:val="none" w:sz="0" w:space="0" w:color="auto"/>
                <w:left w:val="none" w:sz="0" w:space="0" w:color="auto"/>
                <w:bottom w:val="none" w:sz="0" w:space="0" w:color="auto"/>
                <w:right w:val="none" w:sz="0" w:space="0" w:color="auto"/>
              </w:divBdr>
            </w:div>
            <w:div w:id="2099136770">
              <w:marLeft w:val="0"/>
              <w:marRight w:val="0"/>
              <w:marTop w:val="300"/>
              <w:marBottom w:val="300"/>
              <w:divBdr>
                <w:top w:val="none" w:sz="0" w:space="0" w:color="auto"/>
                <w:left w:val="none" w:sz="0" w:space="0" w:color="auto"/>
                <w:bottom w:val="none" w:sz="0" w:space="0" w:color="auto"/>
                <w:right w:val="none" w:sz="0" w:space="0" w:color="auto"/>
              </w:divBdr>
            </w:div>
            <w:div w:id="2129427325">
              <w:marLeft w:val="0"/>
              <w:marRight w:val="0"/>
              <w:marTop w:val="0"/>
              <w:marBottom w:val="0"/>
              <w:divBdr>
                <w:top w:val="none" w:sz="0" w:space="0" w:color="auto"/>
                <w:left w:val="none" w:sz="0" w:space="0" w:color="auto"/>
                <w:bottom w:val="none" w:sz="0" w:space="0" w:color="auto"/>
                <w:right w:val="none" w:sz="0" w:space="0" w:color="auto"/>
              </w:divBdr>
              <w:divsChild>
                <w:div w:id="25960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4201912000006842" TargetMode="External"/><Relationship Id="rId3" Type="http://schemas.openxmlformats.org/officeDocument/2006/relationships/customXml" Target="../customXml/item3.xml"/><Relationship Id="rId7" Type="http://schemas.openxmlformats.org/officeDocument/2006/relationships/hyperlink" Target="http://relatoria.colombiacompra.gov.co/ficha/420191200000684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EC94A667-E6A4-4FC7-8CC3-DACB96965C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DD4410-F6F7-4F17-A9C1-0FB570B3C417}">
  <ds:schemaRefs>
    <ds:schemaRef ds:uri="http://schemas.microsoft.com/sharepoint/v3/contenttype/forms"/>
  </ds:schemaRefs>
</ds:datastoreItem>
</file>

<file path=customXml/itemProps3.xml><?xml version="1.0" encoding="utf-8"?>
<ds:datastoreItem xmlns:ds="http://schemas.openxmlformats.org/officeDocument/2006/customXml" ds:itemID="{02777117-A8BD-4D3B-83BC-1A363E480CDC}">
  <ds:schemaRefs>
    <ds:schemaRef ds:uri="http://schemas.microsoft.com/office/2006/documentManagement/types"/>
    <ds:schemaRef ds:uri="http://schemas.microsoft.com/office/2006/metadata/properties"/>
    <ds:schemaRef ds:uri="http://schemas.microsoft.com/office/infopath/2007/PartnerControls"/>
    <ds:schemaRef ds:uri="http://purl.org/dc/elements/1.1/"/>
    <ds:schemaRef ds:uri="9d85dbaf-23eb-4e57-a637-93dcacc8b1a1"/>
    <ds:schemaRef ds:uri="http://www.w3.org/XML/1998/namespace"/>
    <ds:schemaRef ds:uri="a6cb9e4b-f1d1-4245-83ec-6cad768d538a"/>
    <ds:schemaRef ds:uri="http://purl.org/dc/term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9</Pages>
  <Words>3351</Words>
  <Characters>18431</Characters>
  <Application>Microsoft Office Word</Application>
  <DocSecurity>0</DocSecurity>
  <Lines>153</Lines>
  <Paragraphs>43</Paragraphs>
  <ScaleCrop>false</ScaleCrop>
  <Company/>
  <LinksUpToDate>false</LinksUpToDate>
  <CharactersWithSpaces>21739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Carlos Mario Castrillón Endo</cp:lastModifiedBy>
  <cp:revision>22</cp:revision>
  <dcterms:created xsi:type="dcterms:W3CDTF">2020-03-17T17:44:00Z</dcterms:created>
  <dcterms:modified xsi:type="dcterms:W3CDTF">2020-08-24T21:09:00Z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