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C67BBF" w14:textId="3556BD71" w:rsidR="39516E5A" w:rsidRDefault="39516E5A" w:rsidP="1FAF4D54">
      <w:pPr>
        <w:ind w:left="1701" w:right="1587"/>
        <w:jc w:val="both"/>
      </w:pPr>
      <w:r w:rsidRPr="1FAF4D54">
        <w:rPr>
          <w:b/>
          <w:bCs/>
          <w:color w:val="FF0000"/>
          <w:sz w:val="20"/>
          <w:szCs w:val="20"/>
        </w:rPr>
        <w:t>Nota:</w:t>
      </w:r>
      <w:r w:rsidRPr="1FAF4D54">
        <w:rPr>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Artículo 7</w:t>
      </w:r>
      <w:r w:rsidR="79BBF92A" w:rsidRPr="1FAF4D54">
        <w:rPr>
          <w:color w:val="FF0000"/>
          <w:sz w:val="20"/>
          <w:szCs w:val="20"/>
        </w:rPr>
        <w:t>6.</w:t>
      </w:r>
    </w:p>
    <w:p w14:paraId="4C9E68F5" w14:textId="3DF7C7D8" w:rsidR="39516E5A" w:rsidRDefault="39516E5A" w:rsidP="1FAF4D54">
      <w:pPr>
        <w:ind w:left="1701" w:right="1587"/>
        <w:jc w:val="both"/>
      </w:pPr>
      <w:r w:rsidRPr="1FAF4D54">
        <w:rPr>
          <w:color w:val="FF0000"/>
          <w:sz w:val="20"/>
          <w:szCs w:val="20"/>
        </w:rPr>
        <w:t xml:space="preserve"> </w:t>
      </w:r>
    </w:p>
    <w:p w14:paraId="6E2543E2" w14:textId="161E0125" w:rsidR="39516E5A" w:rsidRDefault="39516E5A" w:rsidP="1FAF4D54">
      <w:pPr>
        <w:ind w:left="1701" w:right="1587"/>
        <w:jc w:val="both"/>
      </w:pPr>
      <w:r w:rsidRPr="1FAF4D54">
        <w:rPr>
          <w:color w:val="FF0000"/>
          <w:sz w:val="20"/>
          <w:szCs w:val="20"/>
        </w:rPr>
        <w:t>Los conceptos se relacionan al pie de cada disposición, y abren dando “clic” en el hipervínculo.</w:t>
      </w:r>
    </w:p>
    <w:p w14:paraId="5FB809F9" w14:textId="5B6ACD71" w:rsidR="00C2708D" w:rsidRDefault="003A52B9" w:rsidP="00CE4017">
      <w:pPr>
        <w:widowControl/>
        <w:autoSpaceDE/>
        <w:autoSpaceDN/>
        <w:jc w:val="center"/>
        <w:rPr>
          <w:rFonts w:eastAsia="Times New Roman"/>
          <w:b/>
          <w:bCs/>
          <w:color w:val="000000"/>
          <w:lang w:val="es-CO" w:eastAsia="es-CO"/>
        </w:rPr>
      </w:pPr>
      <w:r>
        <w:rPr>
          <w:rFonts w:eastAsia="Times New Roman"/>
          <w:b/>
          <w:bCs/>
          <w:color w:val="000000"/>
          <w:lang w:val="es-CO" w:eastAsia="es-CO"/>
        </w:rPr>
        <w:br/>
      </w:r>
      <w:r w:rsidR="00C2708D" w:rsidRPr="00C2708D">
        <w:rPr>
          <w:rFonts w:eastAsia="Times New Roman"/>
          <w:b/>
          <w:bCs/>
          <w:color w:val="000000"/>
          <w:lang w:val="es-CO" w:eastAsia="es-CO"/>
        </w:rPr>
        <w:t>LEY 1438 DE 2011</w:t>
      </w:r>
    </w:p>
    <w:p w14:paraId="2B585021" w14:textId="77777777" w:rsidR="008E0267" w:rsidRPr="00C2708D" w:rsidRDefault="008E0267" w:rsidP="00CE4017">
      <w:pPr>
        <w:widowControl/>
        <w:autoSpaceDE/>
        <w:autoSpaceDN/>
        <w:jc w:val="center"/>
        <w:rPr>
          <w:rFonts w:eastAsia="Times New Roman"/>
          <w:b/>
          <w:bCs/>
          <w:color w:val="000000"/>
          <w:lang w:val="es-CO" w:eastAsia="es-CO"/>
        </w:rPr>
      </w:pPr>
    </w:p>
    <w:p w14:paraId="2EFBC264"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por medio de la cual se reforma el Sistema General de Seguridad Social en Salud y se dictan otras disposiciones.</w:t>
      </w:r>
      <w:bookmarkStart w:id="0" w:name="ver_1680433"/>
      <w:bookmarkEnd w:id="0"/>
    </w:p>
    <w:p w14:paraId="0B5D3D83" w14:textId="77777777" w:rsidR="00C2708D" w:rsidRPr="00C2708D" w:rsidRDefault="00C2708D" w:rsidP="00CE4017">
      <w:pPr>
        <w:widowControl/>
        <w:autoSpaceDE/>
        <w:autoSpaceDN/>
        <w:jc w:val="center"/>
        <w:rPr>
          <w:rFonts w:eastAsia="Times New Roman"/>
          <w:color w:val="000000"/>
          <w:lang w:val="es-CO" w:eastAsia="es-CO"/>
        </w:rPr>
      </w:pPr>
    </w:p>
    <w:p w14:paraId="130D9380" w14:textId="541EF3A5" w:rsidR="00C2708D" w:rsidRPr="00E470A9" w:rsidRDefault="00E470A9" w:rsidP="00CE4017">
      <w:pPr>
        <w:widowControl/>
        <w:autoSpaceDE/>
        <w:autoSpaceDN/>
        <w:jc w:val="center"/>
        <w:rPr>
          <w:rFonts w:eastAsia="Times New Roman"/>
          <w:b/>
          <w:bCs/>
          <w:color w:val="000000"/>
          <w:lang w:val="es-CO" w:eastAsia="es-CO"/>
        </w:rPr>
      </w:pPr>
      <w:r w:rsidRPr="00E470A9">
        <w:rPr>
          <w:rFonts w:eastAsia="Times New Roman"/>
          <w:b/>
          <w:bCs/>
          <w:color w:val="000000"/>
          <w:lang w:val="es-CO" w:eastAsia="es-CO"/>
        </w:rPr>
        <w:t>EL CONGRESO DE COLOMBIA</w:t>
      </w:r>
    </w:p>
    <w:p w14:paraId="0AE03EDD" w14:textId="77777777" w:rsidR="00C2708D" w:rsidRPr="00C2708D" w:rsidRDefault="00C2708D" w:rsidP="00CE4017">
      <w:pPr>
        <w:widowControl/>
        <w:autoSpaceDE/>
        <w:autoSpaceDN/>
        <w:jc w:val="center"/>
        <w:rPr>
          <w:rFonts w:eastAsia="Times New Roman"/>
          <w:color w:val="000000"/>
          <w:lang w:val="es-CO" w:eastAsia="es-CO"/>
        </w:rPr>
      </w:pPr>
    </w:p>
    <w:p w14:paraId="57D861F3"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DECRETA:</w:t>
      </w:r>
    </w:p>
    <w:p w14:paraId="6661AD1C" w14:textId="77777777" w:rsidR="00C2708D" w:rsidRPr="00C2708D" w:rsidRDefault="00C2708D" w:rsidP="00CE4017">
      <w:pPr>
        <w:widowControl/>
        <w:autoSpaceDE/>
        <w:autoSpaceDN/>
        <w:jc w:val="both"/>
        <w:rPr>
          <w:rFonts w:eastAsia="Times New Roman"/>
          <w:b/>
          <w:bCs/>
          <w:color w:val="000000"/>
          <w:lang w:val="es-CO" w:eastAsia="es-CO"/>
        </w:rPr>
      </w:pPr>
      <w:r w:rsidRPr="00C2708D">
        <w:rPr>
          <w:rFonts w:eastAsia="Times New Roman"/>
          <w:b/>
          <w:bCs/>
          <w:color w:val="000000"/>
          <w:lang w:val="es-CO" w:eastAsia="es-CO"/>
        </w:rPr>
        <w:t>  </w:t>
      </w:r>
    </w:p>
    <w:p w14:paraId="4C3AE5FC" w14:textId="69B4E3D3" w:rsidR="00C2708D" w:rsidRDefault="00C2708D" w:rsidP="00CE4017">
      <w:pPr>
        <w:widowControl/>
        <w:autoSpaceDE/>
        <w:autoSpaceDN/>
        <w:jc w:val="center"/>
        <w:rPr>
          <w:rFonts w:eastAsia="Times New Roman"/>
          <w:b/>
          <w:bCs/>
          <w:color w:val="000000"/>
          <w:lang w:val="es-CO" w:eastAsia="es-CO"/>
        </w:rPr>
      </w:pPr>
      <w:bookmarkStart w:id="1" w:name="ver_30027923"/>
      <w:bookmarkEnd w:id="1"/>
      <w:r w:rsidRPr="00C2708D">
        <w:rPr>
          <w:rFonts w:eastAsia="Times New Roman"/>
          <w:b/>
          <w:bCs/>
          <w:color w:val="000000"/>
          <w:lang w:val="es-CO" w:eastAsia="es-CO"/>
        </w:rPr>
        <w:t>TÍTULO I</w:t>
      </w:r>
    </w:p>
    <w:p w14:paraId="5B951361" w14:textId="77777777" w:rsidR="00CE4017" w:rsidRPr="00C2708D" w:rsidRDefault="00CE4017" w:rsidP="00CE4017">
      <w:pPr>
        <w:widowControl/>
        <w:autoSpaceDE/>
        <w:autoSpaceDN/>
        <w:jc w:val="center"/>
        <w:rPr>
          <w:rFonts w:eastAsia="Times New Roman"/>
          <w:b/>
          <w:bCs/>
          <w:color w:val="000000"/>
          <w:lang w:val="es-CO" w:eastAsia="es-CO"/>
        </w:rPr>
      </w:pPr>
    </w:p>
    <w:p w14:paraId="0A95D416" w14:textId="77777777" w:rsidR="00C2708D" w:rsidRDefault="00C2708D" w:rsidP="00CE4017">
      <w:pPr>
        <w:widowControl/>
        <w:autoSpaceDE/>
        <w:autoSpaceDN/>
        <w:jc w:val="center"/>
        <w:rPr>
          <w:rFonts w:eastAsia="Times New Roman"/>
          <w:color w:val="000000"/>
          <w:lang w:val="es-CO" w:eastAsia="es-CO"/>
        </w:rPr>
      </w:pPr>
      <w:r w:rsidRPr="00C2708D">
        <w:rPr>
          <w:rFonts w:eastAsia="Times New Roman"/>
          <w:b/>
          <w:bCs/>
          <w:color w:val="000000"/>
          <w:lang w:val="es-CO" w:eastAsia="es-CO"/>
        </w:rPr>
        <w:t>DISPOSICIONES GENERALES</w:t>
      </w:r>
    </w:p>
    <w:p w14:paraId="30F5F3CF" w14:textId="77777777" w:rsidR="00C2708D" w:rsidRPr="00C2708D" w:rsidRDefault="00C2708D" w:rsidP="00CE4017">
      <w:pPr>
        <w:widowControl/>
        <w:autoSpaceDE/>
        <w:autoSpaceDN/>
        <w:jc w:val="center"/>
        <w:rPr>
          <w:rFonts w:eastAsia="Times New Roman"/>
          <w:color w:val="000000"/>
          <w:lang w:val="es-CO" w:eastAsia="es-CO"/>
        </w:rPr>
      </w:pPr>
    </w:p>
    <w:p w14:paraId="66971F4B" w14:textId="77777777" w:rsidR="00C2708D" w:rsidRDefault="00C2708D" w:rsidP="00CE4017">
      <w:pPr>
        <w:widowControl/>
        <w:autoSpaceDE/>
        <w:autoSpaceDN/>
        <w:jc w:val="both"/>
        <w:rPr>
          <w:rFonts w:eastAsia="Times New Roman"/>
          <w:color w:val="000000"/>
          <w:lang w:val="es-CO" w:eastAsia="es-CO"/>
        </w:rPr>
      </w:pPr>
      <w:bookmarkStart w:id="2" w:name="ver_1680434"/>
      <w:bookmarkEnd w:id="2"/>
      <w:r w:rsidRPr="00C2708D">
        <w:rPr>
          <w:rFonts w:eastAsia="Times New Roman"/>
          <w:color w:val="000000"/>
          <w:lang w:val="es-CO" w:eastAsia="es-CO"/>
        </w:rPr>
        <w:t>Artículo 1°.</w:t>
      </w:r>
      <w:r w:rsidRPr="00C2708D">
        <w:rPr>
          <w:rFonts w:eastAsia="Times New Roman"/>
          <w:i/>
          <w:iCs/>
          <w:color w:val="000000"/>
          <w:lang w:val="es-CO" w:eastAsia="es-CO"/>
        </w:rPr>
        <w:t> Objeto de la ley</w:t>
      </w:r>
      <w:r w:rsidRPr="00C2708D">
        <w:rPr>
          <w:rFonts w:eastAsia="Times New Roman"/>
          <w:color w:val="000000"/>
          <w:lang w:val="es-CO" w:eastAsia="es-CO"/>
        </w:rPr>
        <w:t>. Esta ley tiene como objeto el fortalecimiento del Sistema General de Seguridad Social en Salud, a través de un modelo de prestación del servicio público en salud que en el marco de la estrategia Atención Primaria en Salud permita la acción coordinada del Estado, las instituciones y la sociedad para el mejoramiento de la salud y la creación de un ambiente sano y saludable, que brinde servicios de mayor calidad, incluyente y equitativo, donde el centro y objetivo de todos los esfuerzos sean los residentes en el país. </w:t>
      </w:r>
    </w:p>
    <w:p w14:paraId="4E986AF2" w14:textId="77777777" w:rsidR="00C2708D" w:rsidRDefault="00C2708D" w:rsidP="00CE4017">
      <w:pPr>
        <w:widowControl/>
        <w:autoSpaceDE/>
        <w:autoSpaceDN/>
        <w:jc w:val="both"/>
        <w:rPr>
          <w:rFonts w:eastAsia="Times New Roman"/>
          <w:color w:val="000000"/>
          <w:lang w:val="es-CO" w:eastAsia="es-CO"/>
        </w:rPr>
      </w:pPr>
    </w:p>
    <w:p w14:paraId="484B929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Se incluyen disposiciones para establecer la unificación del Plan de Beneficios para todos los residentes, la universalidad del aseguramiento y la garantía de portabilidad o prestación de los beneficios en cualquier lugar del país, en un marco de sostenibilidad financiera. </w:t>
      </w:r>
    </w:p>
    <w:p w14:paraId="1642978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3" w:name="ver_1680435"/>
      <w:bookmarkEnd w:id="3"/>
    </w:p>
    <w:p w14:paraId="13BCABA8" w14:textId="067EF713"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w:t>
      </w:r>
      <w:r w:rsidRPr="00C2708D">
        <w:rPr>
          <w:rFonts w:eastAsia="Times New Roman"/>
          <w:i/>
          <w:iCs/>
          <w:color w:val="000000"/>
          <w:lang w:val="es-CO" w:eastAsia="es-CO"/>
        </w:rPr>
        <w:t> Orientación del Sistema General de Seguridad Social en Salud</w:t>
      </w:r>
      <w:r w:rsidRPr="00C2708D">
        <w:rPr>
          <w:rFonts w:eastAsia="Times New Roman"/>
          <w:color w:val="000000"/>
          <w:lang w:val="es-CO" w:eastAsia="es-CO"/>
        </w:rPr>
        <w:t>. El Sistema General de Seguridad Social en Salud estará orientado a generar condiciones que protejan la salud de los colombianos, siendo el bienestar del usuario el eje central y núcleo articulador de las políticas en salud. Para esto concurrirán acciones de salud pública, promoción de la salud, prevención de la enfermedad y demás prestaciones que, en el marco de una estrategia de Atención Primaria en Salud, sean necesarias para promover de manera constante la salud de la población. Para lograr este propósito, se unificará el Plan de Beneficios para todos los residentes, se garantizará la universalidad del aseguramiento, la portabilidad o prestación de los beneficios en cualquier lugar del país y se preservará la sostenibilidad financiera del Sistema, entre otros. </w:t>
      </w:r>
    </w:p>
    <w:p w14:paraId="4FD936BE" w14:textId="77777777" w:rsidR="00CE4017" w:rsidRDefault="00CE4017" w:rsidP="00CE4017">
      <w:pPr>
        <w:widowControl/>
        <w:autoSpaceDE/>
        <w:autoSpaceDN/>
        <w:jc w:val="both"/>
        <w:rPr>
          <w:rFonts w:eastAsia="Times New Roman"/>
          <w:color w:val="000000"/>
          <w:lang w:val="es-CO" w:eastAsia="es-CO"/>
        </w:rPr>
      </w:pPr>
    </w:p>
    <w:p w14:paraId="75645151" w14:textId="73D46A2F"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Para dar cumplimiento a lo anterior, el Gobierno Nacional definirá metas e indicadores de resultados en salud que incluyan a todos los niveles de gobierno, instituciones púbicas y privadas y demás actores que participan dentro del sistema. Estos indicadores estarán basados en criterios técnicos, que como mínimo incluirán: </w:t>
      </w:r>
    </w:p>
    <w:p w14:paraId="2490972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A03570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2.1 Prevalencia e incidencia en morbilidad y mortalidad materna perinatal e infantil. </w:t>
      </w:r>
    </w:p>
    <w:p w14:paraId="4D2FB48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A2CEC2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2.2 Incidencia de enfermedades de interés en salud pública. </w:t>
      </w:r>
    </w:p>
    <w:p w14:paraId="686CFAA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7D881A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2.3 Incidencia de enfermedades crónicas no transmisibles y en general las precursoras de eventos de alto costo. </w:t>
      </w:r>
    </w:p>
    <w:p w14:paraId="07F2CB3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86AFE3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2.4 Incidencia de enfermedades prevalentes transmisibles incluyendo las inmunoprevenibles. </w:t>
      </w:r>
    </w:p>
    <w:p w14:paraId="0BA803F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7ABD43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2.5 Acceso efectivo a los servicios de salud. </w:t>
      </w:r>
    </w:p>
    <w:p w14:paraId="25FA485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4E08635" w14:textId="5B16029E"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Cada cuatro (4) años el Gobierno Nacional hará una evaluación integral del Sistema General de Seguridad Social en Salud con base en estos indicadores. Cuando esta evaluación muestre que los resultados en salud deficientes, el Ministerio de la Protección Social y la Superintendencia Nacional de Salud evaluarán y determinarán las medidas a seguir.   </w:t>
      </w:r>
    </w:p>
    <w:p w14:paraId="24897400" w14:textId="77777777" w:rsidR="00C2708D" w:rsidRPr="00C2708D" w:rsidRDefault="00C2708D" w:rsidP="00CE4017">
      <w:pPr>
        <w:widowControl/>
        <w:autoSpaceDE/>
        <w:autoSpaceDN/>
        <w:jc w:val="both"/>
        <w:rPr>
          <w:rFonts w:eastAsia="Times New Roman"/>
          <w:color w:val="000000"/>
          <w:lang w:val="es-CO" w:eastAsia="es-CO"/>
        </w:rPr>
      </w:pPr>
      <w:bookmarkStart w:id="4" w:name="ver_1680436"/>
      <w:bookmarkEnd w:id="4"/>
    </w:p>
    <w:p w14:paraId="4833E82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 </w:t>
      </w:r>
      <w:r w:rsidRPr="00C2708D">
        <w:rPr>
          <w:rFonts w:eastAsia="Times New Roman"/>
          <w:i/>
          <w:iCs/>
          <w:color w:val="000000"/>
          <w:lang w:val="es-CO" w:eastAsia="es-CO"/>
        </w:rPr>
        <w:t>Principios del Sistema General de Seguridad Social en Salud.</w:t>
      </w:r>
      <w:r w:rsidRPr="00C2708D">
        <w:rPr>
          <w:rFonts w:eastAsia="Times New Roman"/>
          <w:color w:val="000000"/>
          <w:lang w:val="es-CO" w:eastAsia="es-CO"/>
        </w:rPr>
        <w:t> </w:t>
      </w:r>
      <w:proofErr w:type="spellStart"/>
      <w:r w:rsidRPr="00C2708D">
        <w:rPr>
          <w:rFonts w:eastAsia="Times New Roman"/>
          <w:color w:val="000000"/>
          <w:lang w:val="es-CO" w:eastAsia="es-CO"/>
        </w:rPr>
        <w:t>Modifícase</w:t>
      </w:r>
      <w:proofErr w:type="spellEnd"/>
      <w:r w:rsidRPr="00C2708D">
        <w:rPr>
          <w:rFonts w:eastAsia="Times New Roman"/>
          <w:color w:val="000000"/>
          <w:lang w:val="es-CO" w:eastAsia="es-CO"/>
        </w:rPr>
        <w:t xml:space="preserve"> el artículo 153 de la Ley 100 de 1993, con el siguiente texto: "Son principios del Sistema General de Seguridad Social en Salud: </w:t>
      </w:r>
    </w:p>
    <w:p w14:paraId="0A5F382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1FA0B4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 Universalidad. El Sistema General de Segundad Social en Salud cubre a todos los residentes en el país, en todas las etapas de la vida. </w:t>
      </w:r>
    </w:p>
    <w:p w14:paraId="708F9E3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0B4EA9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3.2 Solidaridad. Es la práctica del mutuo apoyo para garantizar el acceso y sostenibilidad a los servicios de Seguridad Social en Salud, entre las personas. </w:t>
      </w:r>
    </w:p>
    <w:p w14:paraId="4798682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E0EDC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3.3 Igualdad. El acceso a la Seguridad Social en Salud se garantiza sin discriminación a las personas residentes en el territorio colombiano, por razones de cultura, sexo, raza, origen nacional, orientación sexual, religión, edad o capacidad económica, sin perjuicio de la prevalencia constitucional de los derechos de los niños. </w:t>
      </w:r>
    </w:p>
    <w:p w14:paraId="1C0E889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49AE38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3.4 Obligatoriedad. La afiliación al Sistema General de Seguridad Social en Salud es obligatoria para todos los residentes en Colombia. </w:t>
      </w:r>
    </w:p>
    <w:p w14:paraId="751736E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6A28182"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3.5 Prevalencia de derechos. Es obligación de la familia, el Estado y la sociedad en materia de salud, cuidar, proteger y asistir a las mujeres en estado de embarazo y en edad reproductiva, a los niños, las niñas y adolescentes, para garantizar su vida, su salud, su integridad física y moral y su desarrollo armónico e integral. La prestación de estos servicios corresponderá con los ciclos vitales formulados en esta ley, dentro del Plan de Beneficios. </w:t>
      </w:r>
    </w:p>
    <w:p w14:paraId="1C4AA2D8" w14:textId="77777777" w:rsidR="00CE4017" w:rsidRDefault="00CE4017" w:rsidP="00CE4017">
      <w:pPr>
        <w:widowControl/>
        <w:autoSpaceDE/>
        <w:autoSpaceDN/>
        <w:jc w:val="both"/>
        <w:rPr>
          <w:rFonts w:eastAsia="Times New Roman"/>
          <w:color w:val="000000"/>
          <w:lang w:val="es-CO" w:eastAsia="es-CO"/>
        </w:rPr>
      </w:pPr>
    </w:p>
    <w:p w14:paraId="3A6F8AD7" w14:textId="03FD023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3.6 Enfoque diferencial. El principio de enfoque diferencial reconoce que hay poblaciones con características particulares en razón de su edad, género, raza, etnia, condición de discapacidad y víctimas de la violencia para las cuales el Sistema General de Seguridad Social en Salud ofrecerá especiales garantías y esfuerzos encaminados a la eliminación de las situaciones de discriminación y marginación. </w:t>
      </w:r>
    </w:p>
    <w:p w14:paraId="642E25D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96F34E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3.7 Equidad. El Sistema General de Seguridad Social en Salud debe garantizar el acceso al Plan de Beneficios a los afiliados, independientemente de su capacidad de pago y condiciones particulares, evitando que prestaciones individuales no pertinentes de acuerdo con criterios técnicos y científicos pongan en riesgo los recursos necesarios para la atención del resto de la población. </w:t>
      </w:r>
    </w:p>
    <w:p w14:paraId="1A4D3C7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  </w:t>
      </w:r>
    </w:p>
    <w:p w14:paraId="2014693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3.8 Calidad. Los servicios de salud deberán atender las condiciones del paciente de acuerdo con la evidencia científica, provistos de forma integral, segura y oportuna, mediante una atención humanizada. </w:t>
      </w:r>
    </w:p>
    <w:p w14:paraId="4A14EBE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FAAA1A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3.9 Eficiencia. Es la óptima relación entre los recursos disponibles para obtener los mejores resultados en salud y calidad de vida de la población. </w:t>
      </w:r>
    </w:p>
    <w:p w14:paraId="70079DD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F3F20B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3.10 Participación social. Es la intervención de la comunidad en la organización, control, gestión y fiscalización de las instituciones y del sistema en conjunto. </w:t>
      </w:r>
    </w:p>
    <w:p w14:paraId="63D6DDA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501388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3.11 Progresividad. Es la gradualidad en la actualización de las prestaciones incluidas en el Plan de Beneficios. </w:t>
      </w:r>
    </w:p>
    <w:p w14:paraId="5AE2D1C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A97DD9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3.12 Libre escogencia. El Sistema General de Seguridad Social en Salud asegurará a los usuarios libertad en la escogencia entre las Entidades Promotoras de Salud y los prestadores de servicios de salud dentro de su red en cualquier momento de tiempo. </w:t>
      </w:r>
    </w:p>
    <w:p w14:paraId="3F1C0F0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279ED2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3.13 Sostenibilidad. Las prestaciones que reconoce el sistema se financiarán con los recursos destinados por la ley para tal fin, los cuales deberán tener un flujo ágil y expedito. Las decisiones que se adopten en el marco del Sistema General de Seguridad Social en Salud deben consultar criterios de sostenibilidad fiscal. La administración de los fondos del sistema no podrá afectar el flujo de recursos del mismo. </w:t>
      </w:r>
    </w:p>
    <w:p w14:paraId="0A8B573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E9EC53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3.14 Transparencia. Las condiciones de prestación de los servicios, la relación entre los distintos actores del Sistema General de Seguridad Social en Salud y la definición de políticas en materia de salud, deberán ser públicas, claras y visibles. </w:t>
      </w:r>
    </w:p>
    <w:p w14:paraId="4C005A5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497B95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3.15 Descentralización administrativa. En la organización del Sistema General de Seguridad Social en Salud la gestión será descentralizada y de ella harán parte las direcciones territoriales de salud. </w:t>
      </w:r>
    </w:p>
    <w:p w14:paraId="0BAF103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60E936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3.16 Complementariedad y concurrencia. Se propiciará que los actores del sistema en los distintos niveles territoriales se complementen con acciones y recursos en el logro de los fines del Sistema General de Seguridad Social en Salud. </w:t>
      </w:r>
    </w:p>
    <w:p w14:paraId="0839CCC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C72D46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3.17 Corresponsabilidad. Toda persona debe propender por su autocuidado, por el cuidado de la salud de su familia y de la comunidad, un ambiente sano, el uso racional y adecuado de los recursos el Sistema General de Seguridad Social en Salud y cumplir con los deberes de solidaridad, participación y colaboración. Las instituciones públicas y privadas promoverán la apropiación y el cumplimiento de este principio. </w:t>
      </w:r>
    </w:p>
    <w:p w14:paraId="4C4A430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7FA9A2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318 Irrenunciabilidad. El derecho a la Seguridad Social en Salud es irrenunciable, no puede renunciarse a él ni total ni parcialmente. </w:t>
      </w:r>
    </w:p>
    <w:p w14:paraId="43F84A2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7422D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3.19 Intersectorialidad. Es la acción conjunta y coordinada de los diferentes sectores y organizaciones que de manera directa o indirecta, en forma integrada y continua, afectan los determinantes y el estado de salud de la población. </w:t>
      </w:r>
    </w:p>
    <w:p w14:paraId="30D6D98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D645C8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3.20 Prevención. Es el enfoque de precaución que se aplica a la gestión del riesgo, a la evaluación de los procedimientos y la prestación de los servicios de salud. </w:t>
      </w:r>
    </w:p>
    <w:p w14:paraId="4E3E4EE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  </w:t>
      </w:r>
    </w:p>
    <w:p w14:paraId="4765E60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3.21 Continuidad. Toda persona que habiendo ingresado al Sistema General de Seguridad Social en Salud tiene vocación de permanencia y no debe, en principio, ser separado del mismo cuando esté en peligro su calidad de vida e integridad.</w:t>
      </w:r>
    </w:p>
    <w:p w14:paraId="2B36B340" w14:textId="77777777" w:rsidR="00C2708D" w:rsidRPr="00C2708D" w:rsidRDefault="00C2708D" w:rsidP="00CE4017">
      <w:pPr>
        <w:widowControl/>
        <w:autoSpaceDE/>
        <w:autoSpaceDN/>
        <w:jc w:val="both"/>
        <w:rPr>
          <w:rFonts w:eastAsia="Times New Roman"/>
          <w:color w:val="000000"/>
          <w:lang w:val="es-CO" w:eastAsia="es-CO"/>
        </w:rPr>
      </w:pPr>
      <w:bookmarkStart w:id="5" w:name="ver_1680437"/>
      <w:bookmarkEnd w:id="5"/>
    </w:p>
    <w:p w14:paraId="6C8758C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w:t>
      </w:r>
      <w:r w:rsidRPr="00C2708D">
        <w:rPr>
          <w:rFonts w:eastAsia="Times New Roman"/>
          <w:i/>
          <w:iCs/>
          <w:color w:val="000000"/>
          <w:lang w:val="es-CO" w:eastAsia="es-CO"/>
        </w:rPr>
        <w:t> Rectoría del sector salud.</w:t>
      </w:r>
      <w:r w:rsidRPr="00C2708D">
        <w:rPr>
          <w:rFonts w:eastAsia="Times New Roman"/>
          <w:color w:val="000000"/>
          <w:lang w:val="es-CO" w:eastAsia="es-CO"/>
        </w:rPr>
        <w:t> La dirección, orientación y conducción del Sector Salud estará en cabeza del Ministerio de la Protección Social, como órgano rector de dicho sector. </w:t>
      </w:r>
    </w:p>
    <w:p w14:paraId="1F655216" w14:textId="77777777" w:rsidR="00C2708D" w:rsidRPr="00C2708D" w:rsidRDefault="00C2708D" w:rsidP="00CE4017">
      <w:pPr>
        <w:widowControl/>
        <w:autoSpaceDE/>
        <w:autoSpaceDN/>
        <w:jc w:val="both"/>
        <w:rPr>
          <w:rFonts w:eastAsia="Times New Roman"/>
          <w:color w:val="000000"/>
          <w:lang w:val="es-CO" w:eastAsia="es-CO"/>
        </w:rPr>
      </w:pPr>
      <w:bookmarkStart w:id="6" w:name="ver_1680438"/>
      <w:bookmarkEnd w:id="6"/>
    </w:p>
    <w:p w14:paraId="0D0AEBA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w:t>
      </w:r>
      <w:r w:rsidRPr="00C2708D">
        <w:rPr>
          <w:rFonts w:eastAsia="Times New Roman"/>
          <w:i/>
          <w:iCs/>
          <w:color w:val="000000"/>
          <w:lang w:val="es-CO" w:eastAsia="es-CO"/>
        </w:rPr>
        <w:t> Competencias de los distintos niveles de la Administración Pública</w:t>
      </w:r>
      <w:r w:rsidRPr="00C2708D">
        <w:rPr>
          <w:rFonts w:eastAsia="Times New Roman"/>
          <w:color w:val="000000"/>
          <w:lang w:val="es-CO" w:eastAsia="es-CO"/>
        </w:rPr>
        <w:t>. Adicionar al artículo 42 de la Ley 715 de 2001 los siguientes numerales: </w:t>
      </w:r>
    </w:p>
    <w:p w14:paraId="76FE974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FFEF23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42.22. Aprobar los Planes Bienales de Inversiones Públicas, para la prestación de los servicios de salud, de los departamentos y distritos, en los términos que determine el Ministerio de la Protección Social, de acuerdo con la política de prestación de servicios de salud. </w:t>
      </w:r>
    </w:p>
    <w:p w14:paraId="129FC77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6B491C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42.23. Diseñar indicadores para medir logros en salud, determinar la metodología para su aplicación, así como la distribución de recursos de conformidad con estos, cuando la ley así lo autorice. Los indicadores deberán medir los logros del Sistema General de Segundad Social en Salud, frente a todos los actores del sistema. </w:t>
      </w:r>
    </w:p>
    <w:p w14:paraId="284A305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12CCB9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Modificar los siguientes numerales del artículo 43 y 44, de la Ley 715 del 2001, así: </w:t>
      </w:r>
    </w:p>
    <w:p w14:paraId="6E8B988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C684F9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43.2.7. Avalar los Planes Bienales de Inversiones Públicas en Salud, de los municipios de su jurisdicción, en los términos que defina el Ministerio de la Protección Social, de acuerdo con la política de prestación de servidos de salud, cuyo consolidado constituye el Plan Bienal de Inversiones Públicas Departamentales. </w:t>
      </w:r>
    </w:p>
    <w:p w14:paraId="48C2ED3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9130CD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43.3.4. Formular y ejecutar el Plan de Intervenciones Colectivas departamentales. </w:t>
      </w:r>
    </w:p>
    <w:p w14:paraId="6AE0F80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398606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43.3.9. Asistir técnicamente y supervisar a los municipios, en la prestación del Plan de Intervenciones Colectivas, y las acciones de salud pública individuales que se realicen en su jurisdicción. El Ministerio de la Protección Social reglamentará el proceso de asistencia técnica, con recursos financieros, tecnológicos, humanos, gestión de procesos y resultados esperados. </w:t>
      </w:r>
    </w:p>
    <w:p w14:paraId="17B69E3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3DF8AA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43.4.3. Cofinanciar la afiliación al Régimen Subsidiado de la población pobre y vulnerable. </w:t>
      </w:r>
    </w:p>
    <w:p w14:paraId="41D7F6A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51D218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44.3.1. Adoptar, implementar y adaptar las políticas y planes en salud pública de conformidad con las disposiciones del orden nacional y departamental, así como formular, ejecutar y evaluar, los planes de intervenciones colectivas. </w:t>
      </w:r>
    </w:p>
    <w:p w14:paraId="199D1EB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BB08CC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Adicionar al artículo 43 y 44 de la Ley 715 de 2001 los siguientes numerales: </w:t>
      </w:r>
    </w:p>
    <w:p w14:paraId="7F14910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30C3C8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43.3.10. Coordinar y controlar la organización y operación de los servicios de salud bajo la estrategia de la Atención Primaria en Salud a nivel departamental y distrital. </w:t>
      </w:r>
    </w:p>
    <w:p w14:paraId="177B5E2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2D8378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44.3.7. Coordinar y controlar la organización y operación de los servicios de salud bajo la estrategia de la Atención Primaria en Salud a nivel municipal. </w:t>
      </w:r>
    </w:p>
    <w:p w14:paraId="6BD79181" w14:textId="77777777" w:rsidR="00C2708D" w:rsidRPr="00C2708D" w:rsidRDefault="00C2708D" w:rsidP="00CE4017">
      <w:pPr>
        <w:widowControl/>
        <w:autoSpaceDE/>
        <w:autoSpaceDN/>
        <w:jc w:val="both"/>
        <w:rPr>
          <w:rFonts w:eastAsia="Times New Roman"/>
          <w:color w:val="000000"/>
          <w:lang w:val="es-CO" w:eastAsia="es-CO"/>
        </w:rPr>
      </w:pPr>
    </w:p>
    <w:p w14:paraId="47F6031D" w14:textId="798961DC" w:rsidR="00C2708D" w:rsidRDefault="00C2708D" w:rsidP="00CE4017">
      <w:pPr>
        <w:widowControl/>
        <w:autoSpaceDE/>
        <w:autoSpaceDN/>
        <w:jc w:val="center"/>
        <w:rPr>
          <w:rFonts w:eastAsia="Times New Roman"/>
          <w:b/>
          <w:bCs/>
          <w:color w:val="000000"/>
          <w:lang w:val="es-CO" w:eastAsia="es-CO"/>
        </w:rPr>
      </w:pPr>
      <w:bookmarkStart w:id="7" w:name="ver_30027924"/>
      <w:bookmarkEnd w:id="7"/>
      <w:r w:rsidRPr="00C2708D">
        <w:rPr>
          <w:rFonts w:eastAsia="Times New Roman"/>
          <w:b/>
          <w:bCs/>
          <w:color w:val="000000"/>
          <w:lang w:val="es-CO" w:eastAsia="es-CO"/>
        </w:rPr>
        <w:lastRenderedPageBreak/>
        <w:t>TÍTULO II</w:t>
      </w:r>
    </w:p>
    <w:p w14:paraId="267C2564" w14:textId="77777777" w:rsidR="00CE4017" w:rsidRPr="00C2708D" w:rsidRDefault="00CE4017" w:rsidP="00CE4017">
      <w:pPr>
        <w:widowControl/>
        <w:autoSpaceDE/>
        <w:autoSpaceDN/>
        <w:jc w:val="center"/>
        <w:rPr>
          <w:rFonts w:eastAsia="Times New Roman"/>
          <w:b/>
          <w:bCs/>
          <w:color w:val="000000"/>
          <w:lang w:val="es-CO" w:eastAsia="es-CO"/>
        </w:rPr>
      </w:pPr>
    </w:p>
    <w:p w14:paraId="43E2561D" w14:textId="03B33989" w:rsid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SALUD PÚBLICA, PROMOCIÓN Y PREVENCIÓN Y ATENCIÓN PRIMARIA EN SALUD</w:t>
      </w:r>
    </w:p>
    <w:p w14:paraId="0DB2E5D5" w14:textId="77777777" w:rsidR="00CE4017" w:rsidRPr="00C2708D" w:rsidRDefault="00CE4017" w:rsidP="00CE4017">
      <w:pPr>
        <w:widowControl/>
        <w:autoSpaceDE/>
        <w:autoSpaceDN/>
        <w:jc w:val="center"/>
        <w:rPr>
          <w:rFonts w:eastAsia="Times New Roman"/>
          <w:b/>
          <w:bCs/>
          <w:color w:val="000000"/>
          <w:lang w:val="es-CO" w:eastAsia="es-CO"/>
        </w:rPr>
      </w:pPr>
    </w:p>
    <w:p w14:paraId="5D0E638F" w14:textId="2327E489" w:rsidR="00C2708D" w:rsidRDefault="00C2708D" w:rsidP="00CE4017">
      <w:pPr>
        <w:widowControl/>
        <w:autoSpaceDE/>
        <w:autoSpaceDN/>
        <w:jc w:val="center"/>
        <w:rPr>
          <w:rFonts w:eastAsia="Times New Roman"/>
          <w:b/>
          <w:bCs/>
          <w:color w:val="000000"/>
          <w:lang w:val="es-CO" w:eastAsia="es-CO"/>
        </w:rPr>
      </w:pPr>
      <w:bookmarkStart w:id="8" w:name="ver_30027925"/>
      <w:bookmarkEnd w:id="8"/>
      <w:r w:rsidRPr="00C2708D">
        <w:rPr>
          <w:rFonts w:eastAsia="Times New Roman"/>
          <w:b/>
          <w:bCs/>
          <w:color w:val="000000"/>
          <w:lang w:val="es-CO" w:eastAsia="es-CO"/>
        </w:rPr>
        <w:t>CAPÍTULO I</w:t>
      </w:r>
    </w:p>
    <w:p w14:paraId="4C773289" w14:textId="77777777" w:rsidR="00CE4017" w:rsidRPr="00C2708D" w:rsidRDefault="00CE4017" w:rsidP="00CE4017">
      <w:pPr>
        <w:widowControl/>
        <w:autoSpaceDE/>
        <w:autoSpaceDN/>
        <w:jc w:val="center"/>
        <w:rPr>
          <w:rFonts w:eastAsia="Times New Roman"/>
          <w:b/>
          <w:bCs/>
          <w:color w:val="000000"/>
          <w:lang w:val="es-CO" w:eastAsia="es-CO"/>
        </w:rPr>
      </w:pPr>
    </w:p>
    <w:p w14:paraId="0C0E5AAA"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Salud Pública</w:t>
      </w:r>
    </w:p>
    <w:p w14:paraId="1DB8ECF3" w14:textId="77777777" w:rsidR="00C2708D" w:rsidRPr="00C2708D" w:rsidRDefault="00C2708D" w:rsidP="00CE4017">
      <w:pPr>
        <w:widowControl/>
        <w:autoSpaceDE/>
        <w:autoSpaceDN/>
        <w:jc w:val="both"/>
        <w:rPr>
          <w:rFonts w:eastAsia="Times New Roman"/>
          <w:color w:val="000000"/>
          <w:lang w:val="es-CO" w:eastAsia="es-CO"/>
        </w:rPr>
      </w:pPr>
      <w:bookmarkStart w:id="9" w:name="ver_1680439"/>
      <w:bookmarkEnd w:id="9"/>
    </w:p>
    <w:p w14:paraId="5A66DAC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w:t>
      </w:r>
      <w:r w:rsidRPr="00C2708D">
        <w:rPr>
          <w:rFonts w:eastAsia="Times New Roman"/>
          <w:i/>
          <w:iCs/>
          <w:color w:val="000000"/>
          <w:lang w:val="es-CO" w:eastAsia="es-CO"/>
        </w:rPr>
        <w:t> Plan Decenal para la Salud Pública.</w:t>
      </w:r>
      <w:r w:rsidRPr="00C2708D">
        <w:rPr>
          <w:rFonts w:eastAsia="Times New Roman"/>
          <w:color w:val="000000"/>
          <w:lang w:val="es-CO" w:eastAsia="es-CO"/>
        </w:rPr>
        <w:t> El Ministerio de la Protección Social elaborará un Plan Decenal de Salud Pública a través de un proceso amplio de participación social y en el marco de la estrategia de atención primaria en salud, en el cual deben confluir las políticas sectoriales para mejorar el estado de salud de la población, incluyendo la salud mental, garantizando que el proceso de participación social sea eficaz, mediante la promoción de la capacitación de la ciudadanía y de las organizaciones sociales. </w:t>
      </w:r>
    </w:p>
    <w:p w14:paraId="36E4D0F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331CCE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Plan definirá los objetivos, las metas, las acciones, los recursos, los responsables sectoriales, los indicadores de seguimiento, y los mecanismos de evaluación del Plan. </w:t>
      </w:r>
    </w:p>
    <w:p w14:paraId="288DA73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D54836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Ministerio de la Protección Social podrá hacer modificaciones al Plan Decenal de acuerdo con las prioridades en salud según análisis de los eventos de interés en salud pública que se presenten. </w:t>
      </w:r>
    </w:p>
    <w:p w14:paraId="0E43086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A5168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El primer Plan Decenal deberá ponerse en vigencia en el año 2012.</w:t>
      </w:r>
    </w:p>
    <w:p w14:paraId="245F0A99" w14:textId="77777777" w:rsidR="00C2708D" w:rsidRPr="00C2708D" w:rsidRDefault="00C2708D" w:rsidP="00CE4017">
      <w:pPr>
        <w:widowControl/>
        <w:autoSpaceDE/>
        <w:autoSpaceDN/>
        <w:jc w:val="both"/>
        <w:rPr>
          <w:rFonts w:eastAsia="Times New Roman"/>
          <w:color w:val="000000"/>
          <w:lang w:val="es-CO" w:eastAsia="es-CO"/>
        </w:rPr>
      </w:pPr>
      <w:bookmarkStart w:id="10" w:name="ver_1680440"/>
      <w:bookmarkEnd w:id="10"/>
    </w:p>
    <w:p w14:paraId="6D264E3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w:t>
      </w:r>
      <w:r w:rsidRPr="00C2708D">
        <w:rPr>
          <w:rFonts w:eastAsia="Times New Roman"/>
          <w:i/>
          <w:iCs/>
          <w:color w:val="000000"/>
          <w:lang w:val="es-CO" w:eastAsia="es-CO"/>
        </w:rPr>
        <w:t> Coordinación Intersectorial</w:t>
      </w:r>
      <w:r w:rsidRPr="00C2708D">
        <w:rPr>
          <w:rFonts w:eastAsia="Times New Roman"/>
          <w:color w:val="000000"/>
          <w:lang w:val="es-CO" w:eastAsia="es-CO"/>
        </w:rPr>
        <w:t>. Para el desarrollo del Plan Decenal de Salud en el marco de la estrategia de atención primaria, concurrirán todas las instancias que hacen parte del Sistema de Protección Social y otros actores, quienes ejecutarán tareas para la intervención sobre los determinantes en salud, en forma coordinada, bajo las directrices, criterios y mecanismos del Consejo Nacional de Política Social (CONPES) y del Ministerio de la Protección Social. </w:t>
      </w:r>
    </w:p>
    <w:p w14:paraId="7193B4D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A8DE86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1°. Para los efectos de coordinación créese una Comisión Intersectorial de Salud Pública que se reunirá cada seis (6) meses para hacer seguimiento a las acciones para el manejo de determinantes en salud, la cual informará al CONPES. </w:t>
      </w:r>
    </w:p>
    <w:p w14:paraId="411AD10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D2BAB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2°. A nivel de las entidades territoriales esta coordinación se realizará a través de los Consejos Territoriales de Seguridad Social en salud con la participación de las instituciones y organizaciones comprometidas con los determinantes en salud. </w:t>
      </w:r>
    </w:p>
    <w:p w14:paraId="7B50B90B" w14:textId="77777777" w:rsidR="00C2708D" w:rsidRPr="00C2708D" w:rsidRDefault="00C2708D" w:rsidP="00CE4017">
      <w:pPr>
        <w:widowControl/>
        <w:autoSpaceDE/>
        <w:autoSpaceDN/>
        <w:jc w:val="both"/>
        <w:rPr>
          <w:rFonts w:eastAsia="Times New Roman"/>
          <w:color w:val="000000"/>
          <w:lang w:val="es-CO" w:eastAsia="es-CO"/>
        </w:rPr>
      </w:pPr>
      <w:bookmarkStart w:id="11" w:name="ver_1680441"/>
      <w:bookmarkEnd w:id="11"/>
    </w:p>
    <w:p w14:paraId="62D7C34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w:t>
      </w:r>
      <w:r w:rsidRPr="00C2708D">
        <w:rPr>
          <w:rFonts w:eastAsia="Times New Roman"/>
          <w:i/>
          <w:iCs/>
          <w:color w:val="000000"/>
          <w:lang w:val="es-CO" w:eastAsia="es-CO"/>
        </w:rPr>
        <w:t>Observatorio Nacional de Salud.</w:t>
      </w:r>
      <w:r w:rsidRPr="00C2708D">
        <w:rPr>
          <w:rFonts w:eastAsia="Times New Roman"/>
          <w:color w:val="000000"/>
          <w:lang w:val="es-CO" w:eastAsia="es-CO"/>
        </w:rPr>
        <w:t> El Ministerio de la Protección Social creará el Observatorio Nacional de Salud, como una dependencia del Instituto Nacional de Salud. El Gobierno Nacional establecerá mediante reglamento las condiciones de organización y operación del observatorio Nacional de Salud, el equipo técnico y humano para su funcionamiento y apropiará los recursos para su implementación. </w:t>
      </w:r>
    </w:p>
    <w:p w14:paraId="0A6C0E75" w14:textId="77777777" w:rsidR="00C2708D" w:rsidRPr="00C2708D" w:rsidRDefault="00C2708D" w:rsidP="00CE4017">
      <w:pPr>
        <w:widowControl/>
        <w:autoSpaceDE/>
        <w:autoSpaceDN/>
        <w:jc w:val="both"/>
        <w:rPr>
          <w:rFonts w:eastAsia="Times New Roman"/>
          <w:color w:val="000000"/>
          <w:lang w:val="es-CO" w:eastAsia="es-CO"/>
        </w:rPr>
      </w:pPr>
      <w:bookmarkStart w:id="12" w:name="ver_1680442"/>
      <w:bookmarkEnd w:id="12"/>
    </w:p>
    <w:p w14:paraId="6E735BC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w:t>
      </w:r>
      <w:r w:rsidRPr="00C2708D">
        <w:rPr>
          <w:rFonts w:eastAsia="Times New Roman"/>
          <w:i/>
          <w:iCs/>
          <w:color w:val="000000"/>
          <w:lang w:val="es-CO" w:eastAsia="es-CO"/>
        </w:rPr>
        <w:t> Funciones del Observatorio Nacional de Salud.</w:t>
      </w:r>
      <w:r w:rsidRPr="00C2708D">
        <w:rPr>
          <w:rFonts w:eastAsia="Times New Roman"/>
          <w:color w:val="000000"/>
          <w:lang w:val="es-CO" w:eastAsia="es-CO"/>
        </w:rPr>
        <w:t> El Observatorio Nacional de Salud tendrá a su cargo las siguientes funciones: </w:t>
      </w:r>
    </w:p>
    <w:p w14:paraId="5A956AE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13369B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9.1 El Observatorio Nacional de Salud será el responsable de hacer el monitoreo a los indicadores de salud pública para cada municipio y departamento, y permitirá contar con información desagregada de resultados por Asegurador, Prestador y Ente Territorial. Los </w:t>
      </w:r>
      <w:r w:rsidRPr="00C2708D">
        <w:rPr>
          <w:rFonts w:eastAsia="Times New Roman"/>
          <w:color w:val="000000"/>
          <w:lang w:val="es-CO" w:eastAsia="es-CO"/>
        </w:rPr>
        <w:lastRenderedPageBreak/>
        <w:t>resultados y tendencias de impacto alcanzados serán divulgados semestralmente y base para la evaluación de impacto de gestión de resultados de todos los actores del Sistema. </w:t>
      </w:r>
    </w:p>
    <w:p w14:paraId="1C6AD7F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9EAD8D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9.2 Realizar el seguimiento a las condiciones de salud de la población colombiana, mediante el análisis de las variables e indicadores que recomienda la práctica sanitaria y la política pública en materia de condiciones de salud y prioridades en investigación y desarrollo en la materia. Dichas variables e indicadores podrán desagregarse por sexo, edad, región, raza y etnia. </w:t>
      </w:r>
    </w:p>
    <w:p w14:paraId="518DBB5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558255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9.3 Servir de soporte técnico a las autoridades del país, en materia de análisis de la situación de salud, para la toma de decisiones. </w:t>
      </w:r>
    </w:p>
    <w:p w14:paraId="619E1BD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99E72F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9.4 Realizar directa o indirectamente, evaluaciones periódicas sobre la situación de salud de las regiones de grupos poblacionales especiales, y hacer públicos los resultados. </w:t>
      </w:r>
    </w:p>
    <w:p w14:paraId="1EACB37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26C9D6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9.5 Fortalecer el Sistema de Información Epidemiológica, con énfasis en las zonas de frontera. </w:t>
      </w:r>
    </w:p>
    <w:p w14:paraId="7BDEC6A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C78509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9.6 Generar espacios de discusión de resultados y construcción de propuestas. </w:t>
      </w:r>
    </w:p>
    <w:p w14:paraId="1EB8427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DDA9D0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9.7 Formular recomendaciones, propuestas y advertencias de seguimiento al Ministerio de la Protección Social y a la Comisión de Regulación en Salud, o a la entidad que haga sus veces. </w:t>
      </w:r>
    </w:p>
    <w:p w14:paraId="66C61E0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97AFD9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9.8 Presentar reportes a las Comisiones Séptimas Conjuntas, de Cámara y Senado, antes de finalizar cada legislatura sobre todas las evaluaciones periódicas que realizar en. </w:t>
      </w:r>
    </w:p>
    <w:p w14:paraId="5E60284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9F721FD" w14:textId="26BE6F6A" w:rsidR="00C2708D" w:rsidRDefault="00C2708D" w:rsidP="00CE4017">
      <w:pPr>
        <w:widowControl/>
        <w:autoSpaceDE/>
        <w:autoSpaceDN/>
        <w:jc w:val="center"/>
        <w:rPr>
          <w:rFonts w:eastAsia="Times New Roman"/>
          <w:b/>
          <w:bCs/>
          <w:color w:val="000000"/>
          <w:lang w:val="es-CO" w:eastAsia="es-CO"/>
        </w:rPr>
      </w:pPr>
      <w:bookmarkStart w:id="13" w:name="ver_30027926"/>
      <w:bookmarkEnd w:id="13"/>
      <w:r w:rsidRPr="00C2708D">
        <w:rPr>
          <w:rFonts w:eastAsia="Times New Roman"/>
          <w:b/>
          <w:bCs/>
          <w:color w:val="000000"/>
          <w:lang w:val="es-CO" w:eastAsia="es-CO"/>
        </w:rPr>
        <w:t>CAPÍTULO II</w:t>
      </w:r>
    </w:p>
    <w:p w14:paraId="72C4FDE3" w14:textId="77777777" w:rsidR="00CE4017" w:rsidRPr="00C2708D" w:rsidRDefault="00CE4017" w:rsidP="00CE4017">
      <w:pPr>
        <w:widowControl/>
        <w:autoSpaceDE/>
        <w:autoSpaceDN/>
        <w:jc w:val="center"/>
        <w:rPr>
          <w:rFonts w:eastAsia="Times New Roman"/>
          <w:b/>
          <w:bCs/>
          <w:color w:val="000000"/>
          <w:lang w:val="es-CO" w:eastAsia="es-CO"/>
        </w:rPr>
      </w:pPr>
    </w:p>
    <w:p w14:paraId="08DF9EBC"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Acciones de salud pública, atención primaria en salud y promoción y prevención</w:t>
      </w:r>
    </w:p>
    <w:p w14:paraId="05D95224" w14:textId="77777777" w:rsidR="00C2708D" w:rsidRPr="00C2708D" w:rsidRDefault="00C2708D" w:rsidP="00CE4017">
      <w:pPr>
        <w:widowControl/>
        <w:autoSpaceDE/>
        <w:autoSpaceDN/>
        <w:jc w:val="both"/>
        <w:rPr>
          <w:rFonts w:eastAsia="Times New Roman"/>
          <w:color w:val="000000"/>
          <w:lang w:val="es-CO" w:eastAsia="es-CO"/>
        </w:rPr>
      </w:pPr>
      <w:bookmarkStart w:id="14" w:name="ver_1680443"/>
      <w:bookmarkEnd w:id="14"/>
    </w:p>
    <w:p w14:paraId="7D30D94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w:t>
      </w:r>
      <w:r w:rsidRPr="00C2708D">
        <w:rPr>
          <w:rFonts w:eastAsia="Times New Roman"/>
          <w:i/>
          <w:iCs/>
          <w:color w:val="000000"/>
          <w:lang w:val="es-CO" w:eastAsia="es-CO"/>
        </w:rPr>
        <w:t>Uso de los recursos de promoción y prevención</w:t>
      </w:r>
      <w:r w:rsidRPr="00C2708D">
        <w:rPr>
          <w:rFonts w:eastAsia="Times New Roman"/>
          <w:color w:val="000000"/>
          <w:lang w:val="es-CO" w:eastAsia="es-CO"/>
        </w:rPr>
        <w:t>. El Gobierno Nacional será de responsable de la política de salud pública y de garantizar la ejecución y resultados de las acciones de promoción de la salud y la prevención de la enfermedad como pilares de la estrategia de Atención Primaria en Salud, para lo cual determinará la prioridad en el uso de los recursos que para este fin administren las entidades territoriales y las Entidades Promotoras de Salud. </w:t>
      </w:r>
    </w:p>
    <w:p w14:paraId="560BC34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C4FFA1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Ministerio de la Protección Social y las entidades territoriales establecerán objetivos, metas, indicadores de seguimiento sobre resultados e impactos en la salud pública de las actividades de promoción de salud y la prevención de la enfermedad. </w:t>
      </w:r>
    </w:p>
    <w:p w14:paraId="43397EF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FC8E8A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Lo anterior no excluye la corresponsabilidad de las Entidades Promotoras de Salud, soportadas por el perfil epidemiológico y desviación del costo. </w:t>
      </w:r>
    </w:p>
    <w:p w14:paraId="29923279" w14:textId="77777777" w:rsidR="00C2708D" w:rsidRPr="00C2708D" w:rsidRDefault="00C2708D" w:rsidP="00CE4017">
      <w:pPr>
        <w:widowControl/>
        <w:autoSpaceDE/>
        <w:autoSpaceDN/>
        <w:jc w:val="both"/>
        <w:rPr>
          <w:rFonts w:eastAsia="Times New Roman"/>
          <w:color w:val="000000"/>
          <w:lang w:val="es-CO" w:eastAsia="es-CO"/>
        </w:rPr>
      </w:pPr>
      <w:bookmarkStart w:id="15" w:name="ver_1680444"/>
      <w:bookmarkEnd w:id="15"/>
    </w:p>
    <w:p w14:paraId="68A723B2" w14:textId="0A4CD924"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w:t>
      </w:r>
      <w:r w:rsidRPr="00C2708D">
        <w:rPr>
          <w:rFonts w:eastAsia="Times New Roman"/>
          <w:i/>
          <w:iCs/>
          <w:color w:val="000000"/>
          <w:lang w:val="es-CO" w:eastAsia="es-CO"/>
        </w:rPr>
        <w:t>Contratación de las acciones de salud pública y promoción y prevención</w:t>
      </w:r>
      <w:r w:rsidRPr="00C2708D">
        <w:rPr>
          <w:rFonts w:eastAsia="Times New Roman"/>
          <w:color w:val="000000"/>
          <w:lang w:val="es-CO" w:eastAsia="es-CO"/>
        </w:rPr>
        <w:t>. Las acciones de salud pública y promoción y prevención, serán ejecutadas en el marco de la estrategia de atención primaria en salud, de acuerdo con el Plan Territorial de Salud y se contratarán y ejecutarán de forma articulada. Los recursos de las entidades territoriales a los que se refiere el presente artículo continuarán girándose y manejándose en las Cuentas Maestras de que trata el literal B, del artículo 13 de la Ley 1122 del 2007. </w:t>
      </w:r>
    </w:p>
    <w:p w14:paraId="4132EE4E" w14:textId="77777777" w:rsidR="00CE4017" w:rsidRPr="00C2708D" w:rsidRDefault="00CE4017" w:rsidP="00CE4017">
      <w:pPr>
        <w:widowControl/>
        <w:autoSpaceDE/>
        <w:autoSpaceDN/>
        <w:jc w:val="both"/>
        <w:rPr>
          <w:rFonts w:eastAsia="Times New Roman"/>
          <w:color w:val="000000"/>
          <w:lang w:val="es-CO" w:eastAsia="es-CO"/>
        </w:rPr>
      </w:pPr>
    </w:p>
    <w:p w14:paraId="6F11586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gobernadores y alcaldes contratarán las acciones colectivas de salud pública de su competencia con las redes conformadas en el espacio poblacional determinado por el municipio con base en la reglamentación establecida por el Ministerio de la Protección Social, para la prestación de servicios de salud, conforme a la estrategia de Atención Primaria en Salud. </w:t>
      </w:r>
    </w:p>
    <w:p w14:paraId="0779411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1C392F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Entidades Promotoras de Salud garantizarán la prestación de las intervenciones de promoción de la salud, detección temprana, protección específica, vigilancia epidemiológica y atención de las enfermedades de interés en salud pública, del Plan de Beneficios con las redes definidas para una población y espacio determinados. </w:t>
      </w:r>
    </w:p>
    <w:p w14:paraId="56EA8FC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F9ADB5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redes articuladas por los municipios y la Entidades Promotoras de Salud en los espacios poblacionales para la prestación de servicios de salud, serán habilitadas por la las entidades departamentales o distritales competentes, en el marco del Sistema Obligatorio de Garantía de la Calidad, de acuerdo con la reglamentación que para tal fin establezca el Ministerio de la Protección Social. </w:t>
      </w:r>
    </w:p>
    <w:p w14:paraId="72DEC50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73A28C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contratación incluirá la cobertura por grupo etario, metas, resultados, indicadores de impacto y seguimiento que se verificarán con los Registros Individuales de Prestación de Servicios (RIPS). </w:t>
      </w:r>
    </w:p>
    <w:p w14:paraId="3D3C8A1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68AFFC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Gobierno reglamentará la inclusión de programas de educación en salud y promoción de prácticas saludables desde los primeros años escolares, que estarán orientados a generar una cultura en salud de autocuidado en toda la población. </w:t>
      </w:r>
    </w:p>
    <w:p w14:paraId="2D836A8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59BADB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Hasta tanto se verifiquen las condiciones de habilitación de las redes, la contratación de las acciones colectivas de salud pública y las de promoción y prevención, continuará ejecutándose de acuerdo con las normas vigentes a la promulgación de la presente ley. </w:t>
      </w:r>
    </w:p>
    <w:p w14:paraId="3C928082" w14:textId="6384CB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6" w:name="ver_1680445"/>
      <w:bookmarkEnd w:id="16"/>
    </w:p>
    <w:p w14:paraId="5B58D73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w:t>
      </w:r>
      <w:r w:rsidRPr="00C2708D">
        <w:rPr>
          <w:rFonts w:eastAsia="Times New Roman"/>
          <w:i/>
          <w:iCs/>
          <w:color w:val="000000"/>
          <w:lang w:val="es-CO" w:eastAsia="es-CO"/>
        </w:rPr>
        <w:t>De la atención primaria en salud.</w:t>
      </w:r>
      <w:r w:rsidRPr="00C2708D">
        <w:rPr>
          <w:rFonts w:eastAsia="Times New Roman"/>
          <w:color w:val="000000"/>
          <w:lang w:val="es-CO" w:eastAsia="es-CO"/>
        </w:rPr>
        <w:t> Adóptese la Estrategia de Atención Primaria en Salud que estará constituida por tres componentes integrados e interdependientes: los servicios de salud, la acción intersectorial/transectorial por la salud y la participación social, comunitaria y ciudadana. </w:t>
      </w:r>
    </w:p>
    <w:p w14:paraId="7A461B1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E8A630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Atención Primaria en Salud es la estrategia de coordinación intersectorial que permite la atención integral e integrada, desde la salud pública, la promoción de la salud, la prevención de la enfermedad, el diagnóstico, el tratamiento, la rehabilitación del paciente en todos los niveles de complejidad a fin de garantizar un mayor nivel de bienestar en los usuarios, sin perjuicio de las competencias legales de cada uno de los actores del Sistema General de Seguridad Social en Salud. </w:t>
      </w:r>
    </w:p>
    <w:p w14:paraId="4E06C2F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4723E1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atención primaria hace uso de métodos, tecnologías y prácticas científicamente fundamentadas y socialmente aceptadas que contribuyen a la equidad, solidaridad y costo efectividad de los servicios de salud. </w:t>
      </w:r>
    </w:p>
    <w:p w14:paraId="5DC4F9A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8AB75D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Para el desarrollo de la atención primaria en salud el Ministerio de la Protección Social deberá definir e implementar herramientas para su uso sistemático como los registros de salud electrónicos en todo el territorio nacional y otros instrumentos técnicos. </w:t>
      </w:r>
    </w:p>
    <w:p w14:paraId="2D185538" w14:textId="787E8658"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7" w:name="ver_1680446"/>
      <w:bookmarkEnd w:id="17"/>
    </w:p>
    <w:p w14:paraId="198A036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Artículo 13.</w:t>
      </w:r>
      <w:r w:rsidRPr="00C2708D">
        <w:rPr>
          <w:rFonts w:eastAsia="Times New Roman"/>
          <w:i/>
          <w:iCs/>
          <w:color w:val="000000"/>
          <w:lang w:val="es-CO" w:eastAsia="es-CO"/>
        </w:rPr>
        <w:t>Implementación de la atención primaria en salud</w:t>
      </w:r>
      <w:r w:rsidRPr="00C2708D">
        <w:rPr>
          <w:rFonts w:eastAsia="Times New Roman"/>
          <w:color w:val="000000"/>
          <w:lang w:val="es-CO" w:eastAsia="es-CO"/>
        </w:rPr>
        <w:t>. Para implementar la atención primaria en el Sistema General de Seguridad Social en salud se tendrán en cuenta los siguientes elementos: </w:t>
      </w:r>
    </w:p>
    <w:p w14:paraId="5EB0AFB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B52465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13.1 El sistema de Atención Primaria en Salud se regirá por los siguientes principios: universalidad, interculturalidad, igualdad y enfoque diferencial, atención integral e integrada, acción intersectorial por la salud, participación social comunitaria y ciudadanía decisoria y paritaria, calidad, sostenibilidad, eficiencia, transparencia, progresividad e irreversibilidad. </w:t>
      </w:r>
    </w:p>
    <w:p w14:paraId="5E61544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6EB8F2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13.2 Énfasis en la promoción de la salud y prevención de la enfermedad. </w:t>
      </w:r>
    </w:p>
    <w:p w14:paraId="25E0613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BFECA8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13.3 Acciones Intersectoriales para impactar los determinantes en salud. </w:t>
      </w:r>
    </w:p>
    <w:p w14:paraId="68ACA2C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1EE01F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13.4 Cultura del autocuidado. </w:t>
      </w:r>
    </w:p>
    <w:p w14:paraId="62CF223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F61B4D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13.5 Orientación individual, familiar y comunitaria. </w:t>
      </w:r>
    </w:p>
    <w:p w14:paraId="2263497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605236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13.6 Atención integral, integrada y continua. </w:t>
      </w:r>
    </w:p>
    <w:p w14:paraId="1E2C1ED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DA780E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13.7 Interculturalidad, que incluye entre otros los elementos de prácticas tradicionales, alternativas y complementarias para la atención en salud. </w:t>
      </w:r>
    </w:p>
    <w:p w14:paraId="3E083E1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D429F9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13.8 Talento humano organizado en equipos multidisciplinarios, motivado, suficiente y cualificado. </w:t>
      </w:r>
    </w:p>
    <w:p w14:paraId="5FF2512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E1F4BE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13.9 Fortalecimiento de la baja complejidad para mejorar la </w:t>
      </w:r>
      <w:proofErr w:type="spellStart"/>
      <w:r w:rsidRPr="00C2708D">
        <w:rPr>
          <w:rFonts w:eastAsia="Times New Roman"/>
          <w:color w:val="000000"/>
          <w:lang w:val="es-CO" w:eastAsia="es-CO"/>
        </w:rPr>
        <w:t>resolutividad</w:t>
      </w:r>
      <w:proofErr w:type="spellEnd"/>
      <w:r w:rsidRPr="00C2708D">
        <w:rPr>
          <w:rFonts w:eastAsia="Times New Roman"/>
          <w:color w:val="000000"/>
          <w:lang w:val="es-CO" w:eastAsia="es-CO"/>
        </w:rPr>
        <w:t>. </w:t>
      </w:r>
    </w:p>
    <w:p w14:paraId="41B0EDB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B9C298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13.10 Participación activa de la comunidad. </w:t>
      </w:r>
    </w:p>
    <w:p w14:paraId="70F1BB5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4ABF0C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13.11 Enfoque territorial. </w:t>
      </w:r>
    </w:p>
    <w:p w14:paraId="617EF393" w14:textId="28F4D050"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8" w:name="ver_1680447"/>
      <w:bookmarkEnd w:id="18"/>
    </w:p>
    <w:p w14:paraId="5E532EF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14.</w:t>
      </w:r>
      <w:r w:rsidRPr="00C2708D">
        <w:rPr>
          <w:rFonts w:eastAsia="Times New Roman"/>
          <w:i/>
          <w:iCs/>
          <w:color w:val="000000"/>
          <w:lang w:val="es-CO" w:eastAsia="es-CO"/>
        </w:rPr>
        <w:t> Fortalecimiento de los servicios de baja complejidad.</w:t>
      </w:r>
      <w:r w:rsidRPr="00C2708D">
        <w:rPr>
          <w:rFonts w:eastAsia="Times New Roman"/>
          <w:color w:val="000000"/>
          <w:lang w:val="es-CO" w:eastAsia="es-CO"/>
        </w:rPr>
        <w:t> El Gobierno Nacional formulará la política de fortalecimiento de los servicios de baja complejidad para mejorar su capacidad resolutiva, con el fin de que se puedan resolver las demandas más frecuentes en la atención de la salud de la población. </w:t>
      </w:r>
    </w:p>
    <w:p w14:paraId="4AD825B6" w14:textId="52E847BB"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9" w:name="ver_1680448"/>
      <w:bookmarkEnd w:id="19"/>
    </w:p>
    <w:p w14:paraId="612BA70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15.</w:t>
      </w:r>
      <w:r w:rsidRPr="00C2708D">
        <w:rPr>
          <w:rFonts w:eastAsia="Times New Roman"/>
          <w:i/>
          <w:iCs/>
          <w:color w:val="000000"/>
          <w:lang w:val="es-CO" w:eastAsia="es-CO"/>
        </w:rPr>
        <w:t> Equipos básicos de salud.</w:t>
      </w:r>
      <w:r w:rsidRPr="00C2708D">
        <w:rPr>
          <w:rFonts w:eastAsia="Times New Roman"/>
          <w:color w:val="000000"/>
          <w:lang w:val="es-CO" w:eastAsia="es-CO"/>
        </w:rPr>
        <w:t> El ente territorial, conforme a la reglamentación del Ministerio de la Protección Social, definirá los requisitos óptimos para habilitar la conformación de los Equipos Básicos de Salud, como un concepto funcional y organizativo que permita facilitar el acceso a los servicios de salud en el marco de la estrategia de Atención Primaria en Salud. Para la financiación y constitución de estos equipos concurrirán el talento humano y recursos interinstitucionales del sector salud destinados a la salud pública y de otros sectores que participan en la atención de los determinantes en salud. </w:t>
      </w:r>
    </w:p>
    <w:p w14:paraId="62B4D28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DFD43F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constitución de equipos básicos implica la reorganización funcional, capacitación y adecuación progresiva del talento humano. Los equipos básicos deberán ser adaptados a las necesidades y requerimientos de la población. </w:t>
      </w:r>
    </w:p>
    <w:p w14:paraId="30B06793" w14:textId="3414B364"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20" w:name="ver_1680449"/>
      <w:bookmarkEnd w:id="20"/>
    </w:p>
    <w:p w14:paraId="7A822D3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16.</w:t>
      </w:r>
      <w:r w:rsidRPr="00C2708D">
        <w:rPr>
          <w:rFonts w:eastAsia="Times New Roman"/>
          <w:i/>
          <w:iCs/>
          <w:color w:val="000000"/>
          <w:lang w:val="es-CO" w:eastAsia="es-CO"/>
        </w:rPr>
        <w:t> Funciones de los equipos básicos de salud</w:t>
      </w:r>
      <w:r w:rsidRPr="00C2708D">
        <w:rPr>
          <w:rFonts w:eastAsia="Times New Roman"/>
          <w:color w:val="000000"/>
          <w:lang w:val="es-CO" w:eastAsia="es-CO"/>
        </w:rPr>
        <w:t>. Los equipos básicos de salud tendrán entre sus funciones las siguientes: </w:t>
      </w:r>
    </w:p>
    <w:p w14:paraId="6F0DADB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  </w:t>
      </w:r>
    </w:p>
    <w:p w14:paraId="7ACEF0D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16.1 Realizar el diagnóstico familiar, de acuerdo con la ficha unificada que se defina a nivel nacional. </w:t>
      </w:r>
    </w:p>
    <w:p w14:paraId="6FF974F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008147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16.2 Identificación de riesgo individual, familiar y comunitario de los usuarios por edad, sexo, raza y etnia. </w:t>
      </w:r>
    </w:p>
    <w:p w14:paraId="610728F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ABBB45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16.3 Informar sobre el portafolio de servicios de la protección social en salud a las familias de acuerdo a sus necesidades y a las políticas y reglamentación de dichos servicios. </w:t>
      </w:r>
    </w:p>
    <w:p w14:paraId="3E017BC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9F6D19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16.4 Promover la afiliación al sistema, la identificación plena de las familias, de manera que al identificar una persona no afiliada al sistema se inicie el trámite de afiliación para que puedan acceder a los servicios de protección social. </w:t>
      </w:r>
    </w:p>
    <w:p w14:paraId="6CD38C8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AC429B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16.5 Inducir la demanda de servicios de los eventos relacionados con las prioridades en salud pública y aquellos que ocasionen un alto impacto en salud pública. </w:t>
      </w:r>
    </w:p>
    <w:p w14:paraId="2280E3F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5B7359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16.6 Facilitar la prestación de los servicios básicos de salud, educación, prevención, tratamiento y rehabilitación. </w:t>
      </w:r>
    </w:p>
    <w:p w14:paraId="208F525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556E32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16.7 Suministrar la información que sirva de insumo para la elaboración de la historia clínica y única obligatoria. </w:t>
      </w:r>
    </w:p>
    <w:p w14:paraId="6155C35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2125036" w14:textId="047948CA" w:rsidR="00C2708D" w:rsidRDefault="00C2708D" w:rsidP="00CE4017">
      <w:pPr>
        <w:widowControl/>
        <w:autoSpaceDE/>
        <w:autoSpaceDN/>
        <w:jc w:val="center"/>
        <w:rPr>
          <w:rFonts w:eastAsia="Times New Roman"/>
          <w:b/>
          <w:bCs/>
          <w:color w:val="000000"/>
          <w:lang w:val="es-CO" w:eastAsia="es-CO"/>
        </w:rPr>
      </w:pPr>
      <w:bookmarkStart w:id="21" w:name="ver_30027927"/>
      <w:bookmarkEnd w:id="21"/>
      <w:r w:rsidRPr="00C2708D">
        <w:rPr>
          <w:rFonts w:eastAsia="Times New Roman"/>
          <w:b/>
          <w:bCs/>
          <w:color w:val="000000"/>
          <w:lang w:val="es-CO" w:eastAsia="es-CO"/>
        </w:rPr>
        <w:t>TÍTULO III</w:t>
      </w:r>
    </w:p>
    <w:p w14:paraId="3BEA23C8" w14:textId="77777777" w:rsidR="00CE4017" w:rsidRPr="00C2708D" w:rsidRDefault="00CE4017" w:rsidP="00CE4017">
      <w:pPr>
        <w:widowControl/>
        <w:autoSpaceDE/>
        <w:autoSpaceDN/>
        <w:jc w:val="center"/>
        <w:rPr>
          <w:rFonts w:eastAsia="Times New Roman"/>
          <w:b/>
          <w:bCs/>
          <w:color w:val="000000"/>
          <w:lang w:val="es-CO" w:eastAsia="es-CO"/>
        </w:rPr>
      </w:pPr>
    </w:p>
    <w:p w14:paraId="339BFA57"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ATENCIÓN PREFERENTE Y DIFERENCIAL PARA LA INFANCIA Y LA ADOLESCENCIA</w:t>
      </w:r>
    </w:p>
    <w:p w14:paraId="01DFA377" w14:textId="77777777" w:rsidR="00C2708D" w:rsidRPr="00C2708D" w:rsidRDefault="00C2708D" w:rsidP="00CE4017">
      <w:pPr>
        <w:widowControl/>
        <w:autoSpaceDE/>
        <w:autoSpaceDN/>
        <w:jc w:val="both"/>
        <w:rPr>
          <w:rFonts w:eastAsia="Times New Roman"/>
          <w:color w:val="000000"/>
          <w:lang w:val="es-CO" w:eastAsia="es-CO"/>
        </w:rPr>
      </w:pPr>
      <w:bookmarkStart w:id="22" w:name="ver_1680450"/>
      <w:bookmarkEnd w:id="22"/>
    </w:p>
    <w:p w14:paraId="7B8EC71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17.</w:t>
      </w:r>
      <w:r w:rsidRPr="00C2708D">
        <w:rPr>
          <w:rFonts w:eastAsia="Times New Roman"/>
          <w:i/>
          <w:iCs/>
          <w:color w:val="000000"/>
          <w:lang w:val="es-CO" w:eastAsia="es-CO"/>
        </w:rPr>
        <w:t>Atención preferente.</w:t>
      </w:r>
      <w:r w:rsidRPr="00C2708D">
        <w:rPr>
          <w:rFonts w:eastAsia="Times New Roman"/>
          <w:color w:val="000000"/>
          <w:lang w:val="es-CO" w:eastAsia="es-CO"/>
        </w:rPr>
        <w:t> El Plan de Beneficios incluirá una parte especial y diferenciada que garantice la efectiva prevención, detección temprana y tratamiento adecuado de enfermedades de los niños, niñas y adolescentes. Se deberá estructurar de acuerdo con los ciclos vitales de nacimiento: prenatal a menores de seis (6) años, de seis (6) a menores de catorce (14) años y de catorce (14) a menores de dieciocho (18) años. </w:t>
      </w:r>
    </w:p>
    <w:p w14:paraId="2F79E7A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2B7BD2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Comisión de Regulación en Salud o quien haga sus veces definirá y actualizará esta parte especial y diferenciada cada dos años, que contemple prestaciones de servicios de salud para los niños, niñas y adolescentes, garantice la promoción, la efectiva prevención, detección temprana y tratamientos adecuados de enfermedades, atención de emergencias, restablecimiento físico y sicológico de derechos vulnerados y rehabilitación de las habilidades físicas y mentales de los niños, niñas y adolescentes en situación de discapacidad, teniendo en cuenta sus ciclos vitales, el perfil epidemiológico y la carga de la enfermedad. </w:t>
      </w:r>
    </w:p>
    <w:p w14:paraId="06C4EA96" w14:textId="206B848D"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23" w:name="ver_1680451"/>
      <w:bookmarkEnd w:id="23"/>
    </w:p>
    <w:p w14:paraId="4B68294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18.</w:t>
      </w:r>
      <w:r w:rsidRPr="00C2708D">
        <w:rPr>
          <w:rFonts w:eastAsia="Times New Roman"/>
          <w:i/>
          <w:iCs/>
          <w:color w:val="000000"/>
          <w:lang w:val="es-CO" w:eastAsia="es-CO"/>
        </w:rPr>
        <w:t> Servicios y medicamentos para los niños, niñas y adolescentes con discapacidad y enfermedades catastróficas certificadas</w:t>
      </w:r>
      <w:r w:rsidRPr="00C2708D">
        <w:rPr>
          <w:rFonts w:eastAsia="Times New Roman"/>
          <w:color w:val="000000"/>
          <w:lang w:val="es-CO" w:eastAsia="es-CO"/>
        </w:rPr>
        <w:t>. Los servicios y medicamentos de la parte especial y diferenciada del Plan de Beneficios para los niños, niñas y adolescentes con discapacidades físicas, sensoriales y cognitivas, enfermedades catastróficas y ruinosas que sean certificadas por el médico tratante, serán gratuitos para los niños, niñas y adolescentes de Sisbén 1 y 2.</w:t>
      </w:r>
    </w:p>
    <w:p w14:paraId="76053A46" w14:textId="77777777" w:rsidR="00C2708D" w:rsidRPr="00C2708D" w:rsidRDefault="00C2708D" w:rsidP="00CE4017">
      <w:pPr>
        <w:widowControl/>
        <w:autoSpaceDE/>
        <w:autoSpaceDN/>
        <w:jc w:val="both"/>
        <w:rPr>
          <w:rFonts w:eastAsia="Times New Roman"/>
          <w:color w:val="000000"/>
          <w:lang w:val="es-CO" w:eastAsia="es-CO"/>
        </w:rPr>
      </w:pPr>
      <w:bookmarkStart w:id="24" w:name="ver_1680452"/>
      <w:bookmarkEnd w:id="24"/>
    </w:p>
    <w:p w14:paraId="41997E5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Artículo 19. </w:t>
      </w:r>
      <w:r w:rsidRPr="00C2708D">
        <w:rPr>
          <w:rFonts w:eastAsia="Times New Roman"/>
          <w:i/>
          <w:iCs/>
          <w:color w:val="000000"/>
          <w:lang w:val="es-CO" w:eastAsia="es-CO"/>
        </w:rPr>
        <w:t>Restablecimiento de la salud de niños, niñas y adolescentes cuyos derechos han sido vulnerados.</w:t>
      </w:r>
      <w:r w:rsidRPr="00C2708D">
        <w:rPr>
          <w:rFonts w:eastAsia="Times New Roman"/>
          <w:color w:val="000000"/>
          <w:lang w:val="es-CO" w:eastAsia="es-CO"/>
        </w:rPr>
        <w:t> Los servicios para la rehabilitación física y mental de los niños, niñas y adolescentes víctimas de violencia física o sexual y todas las formas de maltrato, que estén certificados por la autoridad competente, serán totalmente gratuitos para las víctimas, sin importar el régimen de afiliación. Serán diseñados e implementados garantizando la atención integral para cada caso, hasta que se certifique médicamente la recuperación de las víctimas.</w:t>
      </w:r>
    </w:p>
    <w:p w14:paraId="38900966" w14:textId="77777777" w:rsidR="00C2708D" w:rsidRPr="00C2708D" w:rsidRDefault="00C2708D" w:rsidP="00CE4017">
      <w:pPr>
        <w:widowControl/>
        <w:autoSpaceDE/>
        <w:autoSpaceDN/>
        <w:jc w:val="both"/>
        <w:rPr>
          <w:rFonts w:eastAsia="Times New Roman"/>
          <w:color w:val="000000"/>
          <w:lang w:val="es-CO" w:eastAsia="es-CO"/>
        </w:rPr>
      </w:pPr>
      <w:bookmarkStart w:id="25" w:name="ver_1680453"/>
      <w:bookmarkEnd w:id="25"/>
    </w:p>
    <w:p w14:paraId="08C5605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20. </w:t>
      </w:r>
      <w:r w:rsidRPr="00C2708D">
        <w:rPr>
          <w:rFonts w:eastAsia="Times New Roman"/>
          <w:i/>
          <w:iCs/>
          <w:color w:val="000000"/>
          <w:lang w:val="es-CO" w:eastAsia="es-CO"/>
        </w:rPr>
        <w:t>Corresponsabilidad.</w:t>
      </w:r>
      <w:r w:rsidRPr="00C2708D">
        <w:rPr>
          <w:rFonts w:eastAsia="Times New Roman"/>
          <w:color w:val="000000"/>
          <w:lang w:val="es-CO" w:eastAsia="es-CO"/>
        </w:rPr>
        <w:t> El Estado, los padres o representantes legales de los niños, niñas y adolescentes son responsables de su cuidado y de gestionar la atención oportuna e integral a la salud de sus hijos o representados menores, y exigir al Sistema de Segundad Social en Salud los servicios establecidos en la parte especial y diferenciada del Plan de Beneficios. </w:t>
      </w:r>
    </w:p>
    <w:p w14:paraId="170D3AE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19A69B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Estado y las instituciones del Sistema General de Seguridad Social en Salud establecerán los mecanismos legales, administrativos y presupuestales para dar efectivo y oportuno cumplimiento a la parte especial y diferenciada del Plan de Beneficios y de ofrecer oportuna, efectivamente y con calidad los servicios.</w:t>
      </w:r>
    </w:p>
    <w:p w14:paraId="4BD68698" w14:textId="77777777" w:rsidR="00C2708D" w:rsidRPr="00C2708D" w:rsidRDefault="00C2708D" w:rsidP="00CE4017">
      <w:pPr>
        <w:widowControl/>
        <w:autoSpaceDE/>
        <w:autoSpaceDN/>
        <w:jc w:val="both"/>
        <w:rPr>
          <w:rFonts w:eastAsia="Times New Roman"/>
          <w:color w:val="000000"/>
          <w:lang w:val="es-CO" w:eastAsia="es-CO"/>
        </w:rPr>
      </w:pPr>
      <w:bookmarkStart w:id="26" w:name="ver_1680454"/>
      <w:bookmarkEnd w:id="26"/>
    </w:p>
    <w:p w14:paraId="7FF64B7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21.</w:t>
      </w:r>
      <w:r w:rsidRPr="00C2708D">
        <w:rPr>
          <w:rFonts w:eastAsia="Times New Roman"/>
          <w:i/>
          <w:iCs/>
          <w:color w:val="000000"/>
          <w:lang w:val="es-CO" w:eastAsia="es-CO"/>
        </w:rPr>
        <w:t> Obligación de denunciar posible vulneración de derechos, maltrato o descuido.</w:t>
      </w:r>
      <w:r w:rsidRPr="00C2708D">
        <w:rPr>
          <w:rFonts w:eastAsia="Times New Roman"/>
          <w:color w:val="000000"/>
          <w:lang w:val="es-CO" w:eastAsia="es-CO"/>
        </w:rPr>
        <w:t> Las Entidades Promotoras de Salud e Instituciones Prestadoras de Salud deberán notificar al Instituto Colombiano de Bienestar Familiar (ICBF), a las comisarías de familia o, en su defecto, a los inspectores de policía o a las personerías municipales o distritales, los casos en que pueda existir negligencia de los padres o adultos responsables en la atención de los niños, niñas y adolescentes, y además denunciar ante la Fiscalía General de la Nación cuando detecten indicios de maltratos físicos, psicológicos o violencia sexual. </w:t>
      </w:r>
    </w:p>
    <w:p w14:paraId="26B9CA5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093D80D" w14:textId="57C8E758" w:rsidR="00C2708D" w:rsidRDefault="00C2708D" w:rsidP="00CE4017">
      <w:pPr>
        <w:widowControl/>
        <w:autoSpaceDE/>
        <w:autoSpaceDN/>
        <w:jc w:val="center"/>
        <w:rPr>
          <w:rFonts w:eastAsia="Times New Roman"/>
          <w:b/>
          <w:bCs/>
          <w:color w:val="000000"/>
          <w:lang w:val="es-CO" w:eastAsia="es-CO"/>
        </w:rPr>
      </w:pPr>
      <w:bookmarkStart w:id="27" w:name="ver_30027928"/>
      <w:bookmarkEnd w:id="27"/>
      <w:r w:rsidRPr="00C2708D">
        <w:rPr>
          <w:rFonts w:eastAsia="Times New Roman"/>
          <w:b/>
          <w:bCs/>
          <w:color w:val="000000"/>
          <w:lang w:val="es-CO" w:eastAsia="es-CO"/>
        </w:rPr>
        <w:t>TÍTULO IV</w:t>
      </w:r>
    </w:p>
    <w:p w14:paraId="515FF7CE" w14:textId="77777777" w:rsidR="00CE4017" w:rsidRPr="00C2708D" w:rsidRDefault="00CE4017" w:rsidP="00CE4017">
      <w:pPr>
        <w:widowControl/>
        <w:autoSpaceDE/>
        <w:autoSpaceDN/>
        <w:jc w:val="center"/>
        <w:rPr>
          <w:rFonts w:eastAsia="Times New Roman"/>
          <w:b/>
          <w:bCs/>
          <w:color w:val="000000"/>
          <w:lang w:val="es-CO" w:eastAsia="es-CO"/>
        </w:rPr>
      </w:pPr>
    </w:p>
    <w:p w14:paraId="02D434E8" w14:textId="69B275B2" w:rsid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ASEGURAMIENTO</w:t>
      </w:r>
    </w:p>
    <w:p w14:paraId="7E5A2206" w14:textId="77777777" w:rsidR="00CE4017" w:rsidRPr="00C2708D" w:rsidRDefault="00CE4017" w:rsidP="00CE4017">
      <w:pPr>
        <w:widowControl/>
        <w:autoSpaceDE/>
        <w:autoSpaceDN/>
        <w:jc w:val="center"/>
        <w:rPr>
          <w:rFonts w:eastAsia="Times New Roman"/>
          <w:b/>
          <w:bCs/>
          <w:color w:val="000000"/>
          <w:lang w:val="es-CO" w:eastAsia="es-CO"/>
        </w:rPr>
      </w:pPr>
    </w:p>
    <w:p w14:paraId="21FE5504" w14:textId="62D843C1" w:rsid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CAPÍTULO I</w:t>
      </w:r>
    </w:p>
    <w:p w14:paraId="1DAC1B75" w14:textId="77777777" w:rsidR="00CE4017" w:rsidRPr="00C2708D" w:rsidRDefault="00CE4017" w:rsidP="00CE4017">
      <w:pPr>
        <w:widowControl/>
        <w:autoSpaceDE/>
        <w:autoSpaceDN/>
        <w:jc w:val="center"/>
        <w:rPr>
          <w:rFonts w:eastAsia="Times New Roman"/>
          <w:b/>
          <w:bCs/>
          <w:color w:val="000000"/>
          <w:lang w:val="es-CO" w:eastAsia="es-CO"/>
        </w:rPr>
      </w:pPr>
    </w:p>
    <w:p w14:paraId="35103ECB"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Disposiciones generales</w:t>
      </w:r>
    </w:p>
    <w:p w14:paraId="4B45AF09" w14:textId="77777777" w:rsidR="00C2708D" w:rsidRPr="00C2708D" w:rsidRDefault="00C2708D" w:rsidP="00CE4017">
      <w:pPr>
        <w:widowControl/>
        <w:autoSpaceDE/>
        <w:autoSpaceDN/>
        <w:jc w:val="both"/>
        <w:rPr>
          <w:rFonts w:eastAsia="Times New Roman"/>
          <w:color w:val="000000"/>
          <w:lang w:val="es-CO" w:eastAsia="es-CO"/>
        </w:rPr>
      </w:pPr>
      <w:bookmarkStart w:id="28" w:name="ver_1680455"/>
      <w:bookmarkEnd w:id="28"/>
    </w:p>
    <w:p w14:paraId="4B58DC7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22.</w:t>
      </w:r>
      <w:r w:rsidRPr="00C2708D">
        <w:rPr>
          <w:rFonts w:eastAsia="Times New Roman"/>
          <w:i/>
          <w:iCs/>
          <w:color w:val="000000"/>
          <w:lang w:val="es-CO" w:eastAsia="es-CO"/>
        </w:rPr>
        <w:t> Portabilidad nacional.</w:t>
      </w:r>
      <w:r w:rsidRPr="00C2708D">
        <w:rPr>
          <w:rFonts w:eastAsia="Times New Roman"/>
          <w:color w:val="000000"/>
          <w:lang w:val="es-CO" w:eastAsia="es-CO"/>
        </w:rPr>
        <w:t> Todas las Entidades Promotoras de Salud deberán garantizar el acceso a los servicios de salud en el territorio nacional, a través de acuerdos con prestadores de servicios de salud y Entidades Promotoras de Salud. Las Entidades Promotoras de Salud podrán ofrecer los planes de beneficios en los dos regímenes, preservando los atributos de continuidad, longitudinalidad, integralidad, y adscripción individual y familiar a los equipos básicos de salud y redes integradas de servicios. </w:t>
      </w:r>
    </w:p>
    <w:p w14:paraId="2B0D8B4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1A6084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acceso a la atención de salud será a través de la cédula de ciudadanía u otro documento de identidad. </w:t>
      </w:r>
    </w:p>
    <w:p w14:paraId="1998569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43E0386"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Esta disposición entrará en vigencia a más tardar el primero (1°) de junio del 2013. </w:t>
      </w:r>
      <w:bookmarkStart w:id="29" w:name="ver_1680456"/>
      <w:bookmarkEnd w:id="29"/>
    </w:p>
    <w:p w14:paraId="5A19CF0B" w14:textId="77777777" w:rsidR="00C2708D" w:rsidRPr="00C2708D" w:rsidRDefault="00C2708D" w:rsidP="00CE4017">
      <w:pPr>
        <w:widowControl/>
        <w:autoSpaceDE/>
        <w:autoSpaceDN/>
        <w:jc w:val="both"/>
        <w:rPr>
          <w:rFonts w:eastAsia="Times New Roman"/>
          <w:color w:val="000000"/>
          <w:lang w:val="es-CO" w:eastAsia="es-CO"/>
        </w:rPr>
      </w:pPr>
    </w:p>
    <w:p w14:paraId="2B28CF0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23.</w:t>
      </w:r>
      <w:r w:rsidRPr="00C2708D">
        <w:rPr>
          <w:rFonts w:eastAsia="Times New Roman"/>
          <w:i/>
          <w:iCs/>
          <w:color w:val="000000"/>
          <w:lang w:val="es-CO" w:eastAsia="es-CO"/>
        </w:rPr>
        <w:t> Gastos de administración de las Entidades Promotoras de Salud.</w:t>
      </w:r>
      <w:r w:rsidRPr="00C2708D">
        <w:rPr>
          <w:rFonts w:eastAsia="Times New Roman"/>
          <w:color w:val="000000"/>
          <w:lang w:val="es-CO" w:eastAsia="es-CO"/>
        </w:rPr>
        <w:t xml:space="preserve"> El Gobierno Nacional fijará el porcentaje de gasto de administración de las Entidades Promotoras de </w:t>
      </w:r>
      <w:r w:rsidRPr="00C2708D">
        <w:rPr>
          <w:rFonts w:eastAsia="Times New Roman"/>
          <w:color w:val="000000"/>
          <w:lang w:val="es-CO" w:eastAsia="es-CO"/>
        </w:rPr>
        <w:lastRenderedPageBreak/>
        <w:t>Salud, con base en criterios de eficiencia, estudios actuariales y financieros y criterios técnicos. Las Entidades Promotoras de Salud que no cumplan con ese porcentaje entrarán en causal de intervención. Dicho factor no podrá superar el 10% de la Unidad de Pago por Capitación. </w:t>
      </w:r>
    </w:p>
    <w:p w14:paraId="579A5CC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7E67BC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recursos para la atención en salud no podrán usarse para adquirir activos fijos, ni en actividades distintas a la prestación de servicios de salud. Tampoco lo podrá hacer el Régimen Subsidiado. </w:t>
      </w:r>
    </w:p>
    <w:p w14:paraId="4027B60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E7EBC2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Lo previsto en este artículo se reglamentará para que el porcentaje máximo de administración entre a regir a más tardar el primero de enero de 2013. El Gobierno Nacional contará con seis (6) meses para hacer las revisiones necesarias con base en estudios técnicos sobre el porcentaje máximo señalado en el presente artículo y podría realizar las modificaciones del caso. Hasta tanto no se defina el Régimen Subsidiado seguirá manejando el 8%.</w:t>
      </w:r>
    </w:p>
    <w:p w14:paraId="6F04F1F1" w14:textId="77777777" w:rsidR="00C2708D" w:rsidRPr="00C2708D" w:rsidRDefault="00C2708D" w:rsidP="00CE4017">
      <w:pPr>
        <w:widowControl/>
        <w:autoSpaceDE/>
        <w:autoSpaceDN/>
        <w:jc w:val="both"/>
        <w:rPr>
          <w:rFonts w:eastAsia="Times New Roman"/>
          <w:color w:val="000000"/>
          <w:lang w:val="es-CO" w:eastAsia="es-CO"/>
        </w:rPr>
      </w:pPr>
      <w:bookmarkStart w:id="30" w:name="ver_1680457"/>
      <w:bookmarkEnd w:id="30"/>
    </w:p>
    <w:p w14:paraId="2BC2993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24.</w:t>
      </w:r>
      <w:r w:rsidRPr="00C2708D">
        <w:rPr>
          <w:rFonts w:eastAsia="Times New Roman"/>
          <w:i/>
          <w:iCs/>
          <w:color w:val="000000"/>
          <w:lang w:val="es-CO" w:eastAsia="es-CO"/>
        </w:rPr>
        <w:t> Requisitos del funcionamiento de las Entidades Promotoras de Salud.</w:t>
      </w:r>
      <w:r w:rsidRPr="00C2708D">
        <w:rPr>
          <w:rFonts w:eastAsia="Times New Roman"/>
          <w:color w:val="000000"/>
          <w:lang w:val="es-CO" w:eastAsia="es-CO"/>
        </w:rPr>
        <w:t> El Gobierno Nacional reglamentará las condiciones para que las Entidades Promotoras de Salud tengan un número mínimo de afiliados que garantice las escalas necesarias para la gestión del riesgo y cuenten con los márgenes de solvencia, la capacidad financiera, técnica y de calidad para operar de manera adecuada. </w:t>
      </w:r>
    </w:p>
    <w:p w14:paraId="637CDE1F" w14:textId="77777777" w:rsidR="00C2708D" w:rsidRPr="00C2708D" w:rsidRDefault="00C2708D" w:rsidP="00CE4017">
      <w:pPr>
        <w:widowControl/>
        <w:autoSpaceDE/>
        <w:autoSpaceDN/>
        <w:jc w:val="both"/>
        <w:rPr>
          <w:rFonts w:eastAsia="Times New Roman"/>
          <w:color w:val="000000"/>
          <w:lang w:val="es-CO" w:eastAsia="es-CO"/>
        </w:rPr>
      </w:pPr>
      <w:bookmarkStart w:id="31" w:name="ver_1680458"/>
      <w:bookmarkEnd w:id="31"/>
    </w:p>
    <w:p w14:paraId="486230D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25.</w:t>
      </w:r>
      <w:r w:rsidRPr="00C2708D">
        <w:rPr>
          <w:rFonts w:eastAsia="Times New Roman"/>
          <w:i/>
          <w:iCs/>
          <w:color w:val="000000"/>
          <w:lang w:val="es-CO" w:eastAsia="es-CO"/>
        </w:rPr>
        <w:t> Actualización del Plan de Beneficios.</w:t>
      </w:r>
      <w:r w:rsidRPr="00C2708D">
        <w:rPr>
          <w:rFonts w:eastAsia="Times New Roman"/>
          <w:color w:val="000000"/>
          <w:lang w:val="es-CO" w:eastAsia="es-CO"/>
        </w:rPr>
        <w:t> El Plan de Beneficios deberá actualizarse integralmente una vez cada dos (2) años atendiendo a cambios en el perfil epidemiológico y carga de la enfermedad de la población, disponibilidad de recursos, equilibrio y medicamentos extraordinarios no explícitos dentro del Plan de Beneficios. </w:t>
      </w:r>
    </w:p>
    <w:p w14:paraId="79F973C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1DCD11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metodologías utilizadas para definición y actualización del Plan de Beneficios deben ser publicadas y explícitas y consultar la opinión, entre otros, de las entidades que integran el Sistema General de Segundad Social en Salud, organizaciones de profesionales de la salud, de los afiliados y las sociedades científicas, o de las organizaciones y entidades que se consideren pertinentes. </w:t>
      </w:r>
    </w:p>
    <w:p w14:paraId="3F4F751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64BE3A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Plan de Beneficios sólo podrá ser actualizado por la autoridad administrativa competente para ello. </w:t>
      </w:r>
    </w:p>
    <w:p w14:paraId="086A220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AA8AA5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El Plan de Beneficios deberá actualizarse de manera integral antes del primero (1°) de diciembre de 2011. </w:t>
      </w:r>
    </w:p>
    <w:p w14:paraId="639B4A68" w14:textId="77777777" w:rsidR="00C2708D" w:rsidRPr="00C2708D" w:rsidRDefault="00C2708D" w:rsidP="00CE4017">
      <w:pPr>
        <w:widowControl/>
        <w:autoSpaceDE/>
        <w:autoSpaceDN/>
        <w:jc w:val="both"/>
        <w:rPr>
          <w:rFonts w:eastAsia="Times New Roman"/>
          <w:color w:val="000000"/>
          <w:lang w:val="es-CO" w:eastAsia="es-CO"/>
        </w:rPr>
      </w:pPr>
      <w:bookmarkStart w:id="32" w:name="ver_1680459"/>
      <w:bookmarkEnd w:id="32"/>
    </w:p>
    <w:p w14:paraId="5782553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26.</w:t>
      </w:r>
      <w:r w:rsidRPr="00C2708D">
        <w:rPr>
          <w:rFonts w:eastAsia="Times New Roman"/>
          <w:i/>
          <w:iCs/>
          <w:color w:val="000000"/>
          <w:lang w:val="es-CO" w:eastAsia="es-CO"/>
        </w:rPr>
        <w:t> Comité Técnico-Científico de la Entidad Promotora de Salud.</w:t>
      </w:r>
      <w:r w:rsidRPr="00C2708D">
        <w:rPr>
          <w:rFonts w:eastAsia="Times New Roman"/>
          <w:color w:val="000000"/>
          <w:lang w:val="es-CO" w:eastAsia="es-CO"/>
        </w:rPr>
        <w:t> Para acceder a la provisión de servicios por condiciones particulares, extraordinarios y que se requieren con necesidad, la prescripción del profesional de la salud tratante deberá someterse al Comité Técnico-Científico de la Entidad Promotora de Salud con autonomía de sus miembros, que se pronunciará sobre la insuficiencia de las prestaciones explícitas, la necesidad de la provisión de servicios extraordinarios, en un plazo no superior a dos (2) días calendario desde la solicitud del concepto. </w:t>
      </w:r>
    </w:p>
    <w:p w14:paraId="3E0C0C3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F3DE07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Comités Técnicos-Científicos deberán estar integrados o conformados por médicos científicos y tratantes. Bajo ninguna circunstancia el personal administrativo de las Entidades Promotoras de Salud integrará estos comités, así sean médicos. </w:t>
      </w:r>
    </w:p>
    <w:p w14:paraId="33D9157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A184C3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Parágrafo. La conformación de los Comités Técnico-Científicos debe garantizar la interdisciplinariedad entre los pares especializados del profesional de la salud tratante y la plena autonomía profesional en sus decisiones. </w:t>
      </w:r>
    </w:p>
    <w:p w14:paraId="0130D4B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95D3830" w14:textId="77777777" w:rsidR="00C2708D" w:rsidRPr="00C2708D" w:rsidRDefault="00C2708D" w:rsidP="00CE4017">
      <w:pPr>
        <w:widowControl/>
        <w:autoSpaceDE/>
        <w:autoSpaceDN/>
        <w:jc w:val="both"/>
        <w:rPr>
          <w:rFonts w:eastAsia="Times New Roman"/>
          <w:color w:val="000000"/>
          <w:lang w:val="es-CO" w:eastAsia="es-CO"/>
        </w:rPr>
      </w:pPr>
      <w:bookmarkStart w:id="33" w:name="ver_1680460"/>
      <w:bookmarkEnd w:id="33"/>
    </w:p>
    <w:p w14:paraId="18415CC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27. </w:t>
      </w:r>
      <w:r w:rsidRPr="00C2708D">
        <w:rPr>
          <w:rFonts w:eastAsia="Times New Roman"/>
          <w:i/>
          <w:iCs/>
          <w:color w:val="000000"/>
          <w:lang w:val="es-CO" w:eastAsia="es-CO"/>
        </w:rPr>
        <w:t>Creación de la Junta Técnica-Científica de pares.</w:t>
      </w:r>
      <w:r w:rsidRPr="00C2708D">
        <w:rPr>
          <w:rFonts w:eastAsia="Times New Roman"/>
          <w:color w:val="000000"/>
          <w:lang w:val="es-CO" w:eastAsia="es-CO"/>
        </w:rPr>
        <w:t> La Superintendencia Nacional de Salud tendrá una lista de médicos especialistas y otros profesionales especializados, para que emitan concepto sobre la pertinencia médica y científica de la prestación ordenada por el profesional de la salud tratante no prevista en el Plan de Beneficios, negada o aceptada por el Comité Técnico-Científico de la Entidad Promotora de Salud; la junta técnica científica de pares tendrá un término de siete (7) días calendario para emitir el concepto respectivo. La Superintendencia Nacional de Salud tendrá un plazo no mayor a seis (6) meses para la conformación de las Juntas mencionadas en el presente artículo. </w:t>
      </w:r>
    </w:p>
    <w:p w14:paraId="1E90632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439BA5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La conformación de la Junta Técnico-Científica debe garantizar la interdisciplinariedad entre los pares especializados del profesional de la salud tratante y la plena autonomía profesional en sus decisiones.</w:t>
      </w:r>
    </w:p>
    <w:p w14:paraId="55AEAB9E" w14:textId="77777777" w:rsidR="00C2708D" w:rsidRPr="00C2708D" w:rsidRDefault="00C2708D" w:rsidP="00CE4017">
      <w:pPr>
        <w:widowControl/>
        <w:autoSpaceDE/>
        <w:autoSpaceDN/>
        <w:jc w:val="both"/>
        <w:rPr>
          <w:rFonts w:eastAsia="Times New Roman"/>
          <w:color w:val="000000"/>
          <w:lang w:val="es-CO" w:eastAsia="es-CO"/>
        </w:rPr>
      </w:pPr>
      <w:bookmarkStart w:id="34" w:name="ver_1680461"/>
      <w:bookmarkEnd w:id="34"/>
    </w:p>
    <w:p w14:paraId="28FAAA9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28.</w:t>
      </w:r>
      <w:r w:rsidRPr="00C2708D">
        <w:rPr>
          <w:rFonts w:eastAsia="Times New Roman"/>
          <w:i/>
          <w:iCs/>
          <w:color w:val="000000"/>
          <w:lang w:val="es-CO" w:eastAsia="es-CO"/>
        </w:rPr>
        <w:t> Prescripción del derecho a solicitar reembolso de prestaciones econ</w:t>
      </w:r>
      <w:r w:rsidRPr="00C2708D">
        <w:rPr>
          <w:rFonts w:eastAsia="Times New Roman"/>
          <w:color w:val="000000"/>
          <w:lang w:val="es-CO" w:eastAsia="es-CO"/>
        </w:rPr>
        <w:t>ó</w:t>
      </w:r>
      <w:r w:rsidRPr="00C2708D">
        <w:rPr>
          <w:rFonts w:eastAsia="Times New Roman"/>
          <w:i/>
          <w:iCs/>
          <w:color w:val="000000"/>
          <w:lang w:val="es-CO" w:eastAsia="es-CO"/>
        </w:rPr>
        <w:t>micas</w:t>
      </w:r>
      <w:r w:rsidRPr="00C2708D">
        <w:rPr>
          <w:rFonts w:eastAsia="Times New Roman"/>
          <w:color w:val="000000"/>
          <w:lang w:val="es-CO" w:eastAsia="es-CO"/>
        </w:rPr>
        <w:t>. El derecho de los empleadores de solicitar a las Entidades Promotoras de Salud el reembolso del valor de las prestaciones económicas prescribe en el término de tres (3) años contados a partir de la fecha en que el empleador hizo el pago correspondiente al trabajador. </w:t>
      </w:r>
    </w:p>
    <w:p w14:paraId="336EFC5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3D3196D" w14:textId="77777777" w:rsidR="00C2708D" w:rsidRPr="00C2708D" w:rsidRDefault="00C2708D" w:rsidP="00CE4017">
      <w:pPr>
        <w:widowControl/>
        <w:autoSpaceDE/>
        <w:autoSpaceDN/>
        <w:jc w:val="center"/>
        <w:rPr>
          <w:rFonts w:eastAsia="Times New Roman"/>
          <w:b/>
          <w:bCs/>
          <w:color w:val="000000"/>
          <w:lang w:val="es-CO" w:eastAsia="es-CO"/>
        </w:rPr>
      </w:pPr>
      <w:bookmarkStart w:id="35" w:name="ver_30027929"/>
      <w:bookmarkEnd w:id="35"/>
      <w:r w:rsidRPr="00C2708D">
        <w:rPr>
          <w:rFonts w:eastAsia="Times New Roman"/>
          <w:b/>
          <w:bCs/>
          <w:color w:val="000000"/>
          <w:lang w:val="es-CO" w:eastAsia="es-CO"/>
        </w:rPr>
        <w:t>CAPÍTULO II</w:t>
      </w:r>
    </w:p>
    <w:p w14:paraId="14834E8E"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Administración del Régimen Subsidiado</w:t>
      </w:r>
    </w:p>
    <w:p w14:paraId="0C695CE7" w14:textId="77777777" w:rsidR="00C2708D" w:rsidRPr="00C2708D" w:rsidRDefault="00C2708D" w:rsidP="00CE4017">
      <w:pPr>
        <w:widowControl/>
        <w:autoSpaceDE/>
        <w:autoSpaceDN/>
        <w:jc w:val="both"/>
        <w:rPr>
          <w:rFonts w:eastAsia="Times New Roman"/>
          <w:color w:val="000000"/>
          <w:lang w:val="es-CO" w:eastAsia="es-CO"/>
        </w:rPr>
      </w:pPr>
      <w:bookmarkStart w:id="36" w:name="ver_1680462"/>
      <w:bookmarkEnd w:id="36"/>
    </w:p>
    <w:p w14:paraId="411DD00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29. </w:t>
      </w:r>
      <w:r w:rsidRPr="00C2708D">
        <w:rPr>
          <w:rFonts w:eastAsia="Times New Roman"/>
          <w:i/>
          <w:iCs/>
          <w:color w:val="000000"/>
          <w:lang w:val="es-CO" w:eastAsia="es-CO"/>
        </w:rPr>
        <w:t>Administración del Régimen Subsidiado.</w:t>
      </w:r>
      <w:r w:rsidRPr="00C2708D">
        <w:rPr>
          <w:rFonts w:eastAsia="Times New Roman"/>
          <w:color w:val="000000"/>
          <w:lang w:val="es-CO" w:eastAsia="es-CO"/>
        </w:rPr>
        <w:t> Los entes territoriales administrarán el Régimen Subsidiado mediante el seguimiento y control del aseguramiento de los afiliados dentro de su jurisdicción, garantizando el acceso oportuno y de calidad al Plan de Beneficios. </w:t>
      </w:r>
    </w:p>
    <w:p w14:paraId="2FC35D2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4D9D0F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Ministerio de la Protección Social girará directamente, a nombre de las Entidades Territoriales, la Unidad de Pago por Capitación a las Entidades Promotoras de Salud, o podrá hacer pagos directos a las Instituciones Prestadoras de Salud con fundamento en el instrumento jurídico definido por el Gobierno Nacional. En todo caso, el Ministerio de la Protección Social podrá realizar el giro directo con base en la información disponible, sin perjuicio de la responsabilidad de las entidades territoriales en el cumplimiento de sus competencias legales. El Ministerio de la Protección Social definirá un plan para la progresiva implementación del giro directo. </w:t>
      </w:r>
    </w:p>
    <w:p w14:paraId="6331D90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A610C1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Nación podrá colaborar con los municipios, distritos y departamentos, cuando aplique, con la identificación y registro de los beneficiarios del Régimen Subsidiado. </w:t>
      </w:r>
    </w:p>
    <w:p w14:paraId="481A6B1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88AE7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Los distritos y los municipios de más de cien mil habitantes (100.000) podrán continuar administrando los recursos del Régimen Subsidiado hasta el treinta y uno (31) de diciembre de 2012, utilizando el instrumento jurídico definido en el presente artículo. </w:t>
      </w:r>
    </w:p>
    <w:p w14:paraId="43DE63B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5A573F9" w14:textId="77777777" w:rsidR="00C2708D" w:rsidRPr="00C2708D" w:rsidRDefault="00C2708D" w:rsidP="00CE4017">
      <w:pPr>
        <w:widowControl/>
        <w:autoSpaceDE/>
        <w:autoSpaceDN/>
        <w:jc w:val="both"/>
        <w:rPr>
          <w:rFonts w:eastAsia="Times New Roman"/>
          <w:color w:val="000000"/>
          <w:lang w:val="es-CO" w:eastAsia="es-CO"/>
        </w:rPr>
      </w:pPr>
      <w:bookmarkStart w:id="37" w:name="ver_1680463"/>
      <w:bookmarkEnd w:id="37"/>
    </w:p>
    <w:p w14:paraId="775EEC4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30. </w:t>
      </w:r>
      <w:r w:rsidRPr="00C2708D">
        <w:rPr>
          <w:rFonts w:eastAsia="Times New Roman"/>
          <w:i/>
          <w:iCs/>
          <w:color w:val="000000"/>
          <w:lang w:val="es-CO" w:eastAsia="es-CO"/>
        </w:rPr>
        <w:t>Aseguramiento en territorios con población dispersa geogr</w:t>
      </w:r>
      <w:r w:rsidRPr="00C2708D">
        <w:rPr>
          <w:rFonts w:eastAsia="Times New Roman"/>
          <w:color w:val="000000"/>
          <w:lang w:val="es-CO" w:eastAsia="es-CO"/>
        </w:rPr>
        <w:t>á</w:t>
      </w:r>
      <w:r w:rsidRPr="00C2708D">
        <w:rPr>
          <w:rFonts w:eastAsia="Times New Roman"/>
          <w:i/>
          <w:iCs/>
          <w:color w:val="000000"/>
          <w:lang w:val="es-CO" w:eastAsia="es-CO"/>
        </w:rPr>
        <w:t>ficamente</w:t>
      </w:r>
      <w:r w:rsidRPr="00C2708D">
        <w:rPr>
          <w:rFonts w:eastAsia="Times New Roman"/>
          <w:color w:val="000000"/>
          <w:lang w:val="es-CO" w:eastAsia="es-CO"/>
        </w:rPr>
        <w:t xml:space="preserve">. El Gobierno Nacional definirá los territorios de población dispersa y los mecanismos que </w:t>
      </w:r>
      <w:r w:rsidRPr="00C2708D">
        <w:rPr>
          <w:rFonts w:eastAsia="Times New Roman"/>
          <w:color w:val="000000"/>
          <w:lang w:val="es-CO" w:eastAsia="es-CO"/>
        </w:rPr>
        <w:lastRenderedPageBreak/>
        <w:t>permitan mejorar el acceso a los servicios de salud de dichas comunidades y fortalecerá el aseguramiento. </w:t>
      </w:r>
    </w:p>
    <w:p w14:paraId="0F9B2AF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ECB66F2" w14:textId="77777777" w:rsidR="00C2708D" w:rsidRPr="00C2708D" w:rsidRDefault="00C2708D" w:rsidP="00CE4017">
      <w:pPr>
        <w:widowControl/>
        <w:autoSpaceDE/>
        <w:autoSpaceDN/>
        <w:jc w:val="both"/>
        <w:rPr>
          <w:rFonts w:eastAsia="Times New Roman"/>
          <w:color w:val="000000"/>
          <w:lang w:val="es-CO" w:eastAsia="es-CO"/>
        </w:rPr>
      </w:pPr>
      <w:bookmarkStart w:id="38" w:name="ver_1680464"/>
      <w:bookmarkEnd w:id="38"/>
    </w:p>
    <w:p w14:paraId="6C39345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31. </w:t>
      </w:r>
      <w:r w:rsidRPr="00C2708D">
        <w:rPr>
          <w:rFonts w:eastAsia="Times New Roman"/>
          <w:i/>
          <w:iCs/>
          <w:color w:val="000000"/>
          <w:lang w:val="es-CO" w:eastAsia="es-CO"/>
        </w:rPr>
        <w:t>Mecanismo de recaudo y giro de los recursos del Régimen Subsidiado.</w:t>
      </w:r>
      <w:r w:rsidRPr="00C2708D">
        <w:rPr>
          <w:rFonts w:eastAsia="Times New Roman"/>
          <w:color w:val="000000"/>
          <w:lang w:val="es-CO" w:eastAsia="es-CO"/>
        </w:rPr>
        <w:t> El Gobierno Nacional diseñará un sistema de administración de recursos y podrá contratar un mecanismo financiero para recaudar y girar directamente los recursos que financian y cofinancian el Régimen Subsidiado de Salud, incluidos los del Sistema General de Participaciones y los recursos de los que trata el artículo 217 de la Ley 100 de 1993. En el caso del esfuerzo propio territorial el mecanismo financiero se podrá contratar con el sistema financiero y/o los Institutos de Fomento y Desarrollo Regional (</w:t>
      </w:r>
      <w:proofErr w:type="spellStart"/>
      <w:r w:rsidRPr="00C2708D">
        <w:rPr>
          <w:rFonts w:eastAsia="Times New Roman"/>
          <w:color w:val="000000"/>
          <w:lang w:val="es-CO" w:eastAsia="es-CO"/>
        </w:rPr>
        <w:t>Infis</w:t>
      </w:r>
      <w:proofErr w:type="spellEnd"/>
      <w:r w:rsidRPr="00C2708D">
        <w:rPr>
          <w:rFonts w:eastAsia="Times New Roman"/>
          <w:color w:val="000000"/>
          <w:lang w:val="es-CO" w:eastAsia="es-CO"/>
        </w:rPr>
        <w:t>). </w:t>
      </w:r>
    </w:p>
    <w:p w14:paraId="699AEDE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7A5F5E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Habrá una cuenta individual por cada distrito, municipio y departamento, en las cuales se registrarán los valores provenientes de los recursos de que trata el inciso anterior, cuyos titulares son las entidades territoriales, las cuales deberán presupuestarlos y ejecutarlos sin situación de fondos. Para estos efectos, se entenderá que las entidades territoriales comprometen el gasto al determinar los beneficiarios de los subsidios y ejecutan la apropiación mediante los giros que realice la Nación de conformidad con la presente ley. </w:t>
      </w:r>
    </w:p>
    <w:p w14:paraId="34D7C58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4C2D79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De la cuenta individual se girarán directamente estos recursos a las Entidades Promotoras de Salud y/o a los prestadores de servicios de salud. El giro a las Entidades Promotoras de Salud se realizará mediante el pago de una Unidad de Pago por Capitación, por cada uno de los afiliados que tenga registrados y validados mediante el instrumento definido para tal fin. En el caso de los prestadores de servicios el giro directo de los recursos, se hará con base en el instrumento definido para tal fin. </w:t>
      </w:r>
    </w:p>
    <w:p w14:paraId="51D5912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92D473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1°. Los departamentos, distritos y municipios podrán girar a su cuenta, en el sistema de pagos establecido por la Nación o a las Entidades Promotoras de Salud, los recursos que cofinancian el Régimen Subsidiado de Salud con recursos correspondientes al esfuerzo propio territorial y las rentas cedidas, los cuales serán girados a las Entidades Promotoras de Salud para afiliar aquellas personas que no han sido cubiertas con los recursos administrados por el sistema de pagos contratado por la Nación y/o a los prestadores de servicios de salud por pago de servicios que hayan sido capitados. </w:t>
      </w:r>
    </w:p>
    <w:p w14:paraId="2912444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D31BB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2°. Los costos y gastos de la administración, apoyo técnico, auditoría y la remuneración necesaria para financiar el mecanismo previsto en el presente artículo, se pagarán con cargo a los rendimientos financieros de estos o con recursos del Fondo de Solidaridad y Garantía, si los primeros no son suficientes. </w:t>
      </w:r>
    </w:p>
    <w:p w14:paraId="09DAD18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AA4518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3°. El Gobierno Nacional unificará el sistema de administración y pagos de los recursos de los regímenes contributivo y subsidiado mediante el mecanismo financiero que se determine para tal fin. </w:t>
      </w:r>
    </w:p>
    <w:p w14:paraId="7CD77D3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1EB2EB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Los giros de recursos de la Nación y aquellos que determine el reglamento podrán hacerse directamente por la Tesorería General de la Nación o el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xml:space="preserve"> según el caso. </w:t>
      </w:r>
    </w:p>
    <w:p w14:paraId="666B57C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F13438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forma y las condiciones de operación del Régimen Subsidiado serán determinadas por el Gobierno Nacional de forma similar al Régimen Contributivo. </w:t>
      </w:r>
    </w:p>
    <w:p w14:paraId="6112BB3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6A5A5D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1°.</w:t>
      </w:r>
      <w:r w:rsidRPr="00C2708D">
        <w:rPr>
          <w:rFonts w:eastAsia="Times New Roman"/>
          <w:i/>
          <w:iCs/>
          <w:color w:val="000000"/>
          <w:lang w:val="es-CO" w:eastAsia="es-CO"/>
        </w:rPr>
        <w:t> Término para la liquidación de los contratos</w:t>
      </w:r>
      <w:r w:rsidRPr="00C2708D">
        <w:rPr>
          <w:rFonts w:eastAsia="Times New Roman"/>
          <w:color w:val="000000"/>
          <w:lang w:val="es-CO" w:eastAsia="es-CO"/>
        </w:rPr>
        <w:t xml:space="preserve">. Los Gobernadores o Alcaldes y las Entidades Promotoras de Salud procederán en el término de tres (3) meses </w:t>
      </w:r>
      <w:r w:rsidRPr="00C2708D">
        <w:rPr>
          <w:rFonts w:eastAsia="Times New Roman"/>
          <w:color w:val="000000"/>
          <w:lang w:val="es-CO" w:eastAsia="es-CO"/>
        </w:rPr>
        <w:lastRenderedPageBreak/>
        <w:t>calendario contados a partir de la fecha de entrada en vigencia de la presente ley, a liquidar de mutuo acuerdo los contratos suscritos con anterioridad al 1° de abril de 2010. De no realizarse la liquidación dentro de los términos establecidos, la entidad territorial con base en sus soportes y los de la Entidad Promotora de Salud, si los tiene, procederá a la liquidación unilateral dentro de los treinta (30) días calendarios siguientes al vencimiento del término descrito en el presente artículo. </w:t>
      </w:r>
    </w:p>
    <w:p w14:paraId="3BD7258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7C7ADB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incumplimiento de estos términos conllevará el reporte a los organismos de control y a las respectivas sanciones disciplinarias, y el monto del contrato será la cuantía de referencia con la cual se determinará la responsabilidad fiscal del agente del Estado. Del incumplimiento se informará a los organismos de control y vigilancia correspondientes. </w:t>
      </w:r>
    </w:p>
    <w:p w14:paraId="52613BF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746932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2°.</w:t>
      </w:r>
      <w:r w:rsidRPr="00C2708D">
        <w:rPr>
          <w:rFonts w:eastAsia="Times New Roman"/>
          <w:i/>
          <w:iCs/>
          <w:color w:val="000000"/>
          <w:lang w:val="es-CO" w:eastAsia="es-CO"/>
        </w:rPr>
        <w:t> Deudas por concepto de contratos liquidados</w:t>
      </w:r>
      <w:r w:rsidRPr="00C2708D">
        <w:rPr>
          <w:rFonts w:eastAsia="Times New Roman"/>
          <w:color w:val="000000"/>
          <w:lang w:val="es-CO" w:eastAsia="es-CO"/>
        </w:rPr>
        <w:t>. El monto a favor de la Entidad Promotora de Salud contenido en el acta de liquidación de mutuo acuerdo de los contratos de administración del Régimen Subsidiado o en el acto de liquidación unilateral vigente a la fecha de entrada en vigencia de la presente ley y los que surjan del cumplimiento de la misma, debe ser girado a la Entidad Promotora de Salud, por la Entidad Territorial, dentro de los treinta (30) días siguientes a la expedición de la presente ley, giro que se realizará directamente a las Instituciones Prestadoras de servicios de salud en el caso en que las Entidades Promotoras de Salud les adeude recursos, el monto restante, si hubiere lugar a ello, se girará a la Empresa Promotora de Salud dentro del mismo plazo. </w:t>
      </w:r>
    </w:p>
    <w:p w14:paraId="698814E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4961A8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saldos que queden a favor del ente territorial, serán girados por la Entidad Promotora de Salud a las cuentas maestras, dentro del mismo término. </w:t>
      </w:r>
    </w:p>
    <w:p w14:paraId="2D83E9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8A00D7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En el evento en que las entidades territoriales no paguen las deudas por contratos liquidados, el Gobierno Nacional en aras de salvaguardar la sostenibilidad del Sistema y la garantía de acceso a los afiliados, descontará de los recursos asignados a ese municipio por regalías, por el Fondo de Ahorro y Estabilización Petrolera (FAEP) u otras fuentes municipales que se dispongan en el nivel nacional, los montos adeudados y serán girados a las Entidades Promotoras de Salud respectivas en los términos establecidos en el presente artículo. El Gobierno Nacional reglamentará el procedimiento para tal fin exigiendo para ello las actas de liquidación donde consten los recursos recaudados. </w:t>
      </w:r>
    </w:p>
    <w:p w14:paraId="761C3400" w14:textId="26EEB471"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303D106" w14:textId="448BD725" w:rsidR="00C2708D" w:rsidRDefault="00C2708D" w:rsidP="00CE4017">
      <w:pPr>
        <w:widowControl/>
        <w:autoSpaceDE/>
        <w:autoSpaceDN/>
        <w:jc w:val="center"/>
        <w:rPr>
          <w:rFonts w:eastAsia="Times New Roman"/>
          <w:b/>
          <w:bCs/>
          <w:color w:val="000000"/>
          <w:lang w:val="es-CO" w:eastAsia="es-CO"/>
        </w:rPr>
      </w:pPr>
      <w:bookmarkStart w:id="39" w:name="ver_30027930"/>
      <w:bookmarkEnd w:id="39"/>
      <w:r w:rsidRPr="00C2708D">
        <w:rPr>
          <w:rFonts w:eastAsia="Times New Roman"/>
          <w:b/>
          <w:bCs/>
          <w:color w:val="000000"/>
          <w:lang w:val="es-CO" w:eastAsia="es-CO"/>
        </w:rPr>
        <w:t>CAPÍTULO III</w:t>
      </w:r>
    </w:p>
    <w:p w14:paraId="43C991E4" w14:textId="77777777" w:rsidR="00CE4017" w:rsidRPr="00C2708D" w:rsidRDefault="00CE4017" w:rsidP="00CE4017">
      <w:pPr>
        <w:widowControl/>
        <w:autoSpaceDE/>
        <w:autoSpaceDN/>
        <w:jc w:val="center"/>
        <w:rPr>
          <w:rFonts w:eastAsia="Times New Roman"/>
          <w:b/>
          <w:bCs/>
          <w:color w:val="000000"/>
          <w:lang w:val="es-CO" w:eastAsia="es-CO"/>
        </w:rPr>
      </w:pPr>
    </w:p>
    <w:p w14:paraId="347691BF"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Universalización del aseguramiento</w:t>
      </w:r>
    </w:p>
    <w:p w14:paraId="43C21990" w14:textId="77777777" w:rsidR="00C2708D" w:rsidRPr="00C2708D" w:rsidRDefault="00C2708D" w:rsidP="00CE4017">
      <w:pPr>
        <w:widowControl/>
        <w:autoSpaceDE/>
        <w:autoSpaceDN/>
        <w:jc w:val="both"/>
        <w:rPr>
          <w:rFonts w:eastAsia="Times New Roman"/>
          <w:color w:val="000000"/>
          <w:lang w:val="es-CO" w:eastAsia="es-CO"/>
        </w:rPr>
      </w:pPr>
      <w:bookmarkStart w:id="40" w:name="ver_1680465"/>
      <w:bookmarkEnd w:id="40"/>
    </w:p>
    <w:p w14:paraId="085B869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32.</w:t>
      </w:r>
      <w:r w:rsidRPr="00C2708D">
        <w:rPr>
          <w:rFonts w:eastAsia="Times New Roman"/>
          <w:i/>
          <w:iCs/>
          <w:color w:val="000000"/>
          <w:lang w:val="es-CO" w:eastAsia="es-CO"/>
        </w:rPr>
        <w:t> Universalización del aseguramiento</w:t>
      </w:r>
      <w:r w:rsidRPr="00C2708D">
        <w:rPr>
          <w:rFonts w:eastAsia="Times New Roman"/>
          <w:color w:val="000000"/>
          <w:lang w:val="es-CO" w:eastAsia="es-CO"/>
        </w:rPr>
        <w:t>. Todos los residentes en el país deberán ser afiliados del Sistema General de Seguridad Social en Salud. El Gobierno Nacional desarrollará mecanismos para garantizar la afiliación. </w:t>
      </w:r>
    </w:p>
    <w:p w14:paraId="3A477AE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342587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Cuando una persona requiera atención en salud y no esté afiliado, se procederá de la siguiente forma: </w:t>
      </w:r>
    </w:p>
    <w:p w14:paraId="0348ACB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615C58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32.1 Si tiene capacidad de pago cancelará el servicio y se le establecerá contacto con la Entidad Promotora de Salud del régimen contributivo de su preferencia. </w:t>
      </w:r>
    </w:p>
    <w:p w14:paraId="5C4709C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C50252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32.2 Si la persona manifiesta no tener capacidad de pago, esta será atendida obligatoriamente. La afiliación inicial se hará a la Entidad Promotora de Salud del Régimen Subsidiado mediante el mecanismo simplificado que se desarrolle para tal fin. Realizada la </w:t>
      </w:r>
      <w:r w:rsidRPr="00C2708D">
        <w:rPr>
          <w:rFonts w:eastAsia="Times New Roman"/>
          <w:color w:val="000000"/>
          <w:lang w:val="es-CO" w:eastAsia="es-CO"/>
        </w:rPr>
        <w:lastRenderedPageBreak/>
        <w:t>afiliación, la Entidad Promotora de Salud, verificará en un plazo no mayor a ocho (8) días hábiles si la persona es elegible para el subsidio en salud. De no serlo, se cancelará la afiliación y la Entidad Promotora de Salud procederá a realizar el cobro de los servicios prestados. Se podrá reactivar la afiliación al Régimen Subsidiado cuando se acredite las condiciones que dan derecho al subsidio. En todo caso el pago de los servicios de salud prestados será cancelado por la Entidad Promotora de Salud si efectivamente se afilió a ella; si no se afilió se pagarán con recursos de oferta a la institución prestadora de los servicios de salud, de conformidad con la normatividad general vigente para el pago de los servicios de salud. </w:t>
      </w:r>
    </w:p>
    <w:p w14:paraId="19AE835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6F26F1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Si no tuviera documento de identidad, se tomará el registro dactilar y los datos de identificación, siguiendo el procedimiento establecido por el Ministerio de la Protección Social en coordinación con la Registraduría Nacional del Estado Civil para el trámite de la afiliación. </w:t>
      </w:r>
    </w:p>
    <w:p w14:paraId="2D9C72D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5EE5F6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32.3 Los casos no establecidos en el presente artículo para lograr la universalización del aseguramiento serán reglamentados por el Ministerio de la Protección Social en un término no mayor a un (1) año. </w:t>
      </w:r>
    </w:p>
    <w:p w14:paraId="04CE95D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457EF8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1°. A quienes ingresen al país, no sean residentes y no estén asegurados, se los incentivará a adquirir un seguro médico o Plan Voluntario de Salud para su atención en el país de ser necesario. </w:t>
      </w:r>
    </w:p>
    <w:p w14:paraId="3C8D5A1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5C555A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2°. Quienes disfruten de los regímenes especiales y de excepción permanecerán en ellos; las entidades administradoras de estos regímenes deberán entregar información periódica que solicite el Ministerio de la Protección Social. </w:t>
      </w:r>
    </w:p>
    <w:p w14:paraId="4E74D8B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3A9C80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A partir del primero de enero del 2012 no habrá periodo de carencia en el Sistema General de Seguridad Social en Salud. </w:t>
      </w:r>
    </w:p>
    <w:p w14:paraId="647AE6B8" w14:textId="2E8D1A02"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41" w:name="ver_1680466"/>
      <w:bookmarkEnd w:id="41"/>
    </w:p>
    <w:p w14:paraId="59F2189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33.</w:t>
      </w:r>
      <w:r w:rsidRPr="00C2708D">
        <w:rPr>
          <w:rFonts w:eastAsia="Times New Roman"/>
          <w:i/>
          <w:iCs/>
          <w:color w:val="000000"/>
          <w:lang w:val="es-CO" w:eastAsia="es-CO"/>
        </w:rPr>
        <w:t> Presunción de capacidad de pago y de ingresos</w:t>
      </w:r>
      <w:r w:rsidRPr="00C2708D">
        <w:rPr>
          <w:rFonts w:eastAsia="Times New Roman"/>
          <w:color w:val="000000"/>
          <w:lang w:val="es-CO" w:eastAsia="es-CO"/>
        </w:rPr>
        <w:t>. Se presume con capacidad de pago y, en consecuencia, están obligados a afiliarse al Régimen Contributivo o podrán ser afiliados oficiosamente: </w:t>
      </w:r>
    </w:p>
    <w:p w14:paraId="37A5C9A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E359DA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33.1 Las personas naturales declarantes del impuesto de renta y complementarios, impuesto a las ventas e impuesto de industria y comercio. </w:t>
      </w:r>
    </w:p>
    <w:p w14:paraId="19EDD9E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4CE0CD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33.2 Quienes tengan certificados de ingresos y retenciones que reflejen el ingreso establecido para pertenecer al Régimen Contributivo. </w:t>
      </w:r>
    </w:p>
    <w:p w14:paraId="7FD0B48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4AB9AD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33.3 Quienes cumplan con otros indicadores que establezca el Gobierno Nacional. </w:t>
      </w:r>
    </w:p>
    <w:p w14:paraId="4660935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201F50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 anterior, sin perjuicio de poder ser clasificado como elegible al subsidio por medio del Sisbén, de acuerdo con las normas sobre la materia. </w:t>
      </w:r>
    </w:p>
    <w:p w14:paraId="2023029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A28036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Gobierno Nacional reglamentará un sistema de presunción de ingresos con base en la información sobre las actividades económicas. En caso de existir diferencias entre los valores declarados ante la Dirección de Impuestos y Aduanas Nacionales (DIAN) y los aportes al sistema estos últimos deberán ser ajustados.   </w:t>
      </w:r>
    </w:p>
    <w:p w14:paraId="6C183487" w14:textId="77777777" w:rsidR="00C2708D" w:rsidRPr="00C2708D" w:rsidRDefault="00C2708D" w:rsidP="00CE4017">
      <w:pPr>
        <w:widowControl/>
        <w:autoSpaceDE/>
        <w:autoSpaceDN/>
        <w:jc w:val="both"/>
        <w:rPr>
          <w:rFonts w:eastAsia="Times New Roman"/>
          <w:color w:val="000000"/>
          <w:lang w:val="es-CO" w:eastAsia="es-CO"/>
        </w:rPr>
      </w:pPr>
      <w:bookmarkStart w:id="42" w:name="ver_1680467"/>
      <w:bookmarkEnd w:id="42"/>
    </w:p>
    <w:p w14:paraId="77A4074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Artículo 34. </w:t>
      </w:r>
      <w:r w:rsidRPr="00C2708D">
        <w:rPr>
          <w:rFonts w:eastAsia="Times New Roman"/>
          <w:i/>
          <w:iCs/>
          <w:color w:val="000000"/>
          <w:lang w:val="es-CO" w:eastAsia="es-CO"/>
        </w:rPr>
        <w:t>Subsidio parcial a la cotización</w:t>
      </w:r>
      <w:r w:rsidRPr="00C2708D">
        <w:rPr>
          <w:rFonts w:eastAsia="Times New Roman"/>
          <w:color w:val="000000"/>
          <w:lang w:val="es-CO" w:eastAsia="es-CO"/>
        </w:rPr>
        <w:t xml:space="preserve">. Las personas elegibles al subsidio parcial a la cotización no afiliadas al Sistema General de Seguridad Social en Salud, pagarán sobre un ingreso base de cotización de un salario mínimo legal vigente y un porcentaje de cotización del 10,5%, o aporte equivalente de acuerdo con la reglamentación que expida el Gobierno Nacional. Estas personas tendrán derecho a un subsidio parcial de su cotización al Régimen Subsidiado o al Régimen Contributivo en cuyo caso no incluirá prestaciones económicas. Este subsidio será el 67% de la cotización o del aporte equivalente con cargo a los recursos de la subcuenta de Compensación del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xml:space="preserve"> en el caso de los afiliados al Régimen Contributivo y de la subcuenta de Solidaridad en el caso del Subsidiado. El 33% de la cotización o aporte equivalente deberá ser pagado previamente por el afiliado. </w:t>
      </w:r>
    </w:p>
    <w:p w14:paraId="6AB7AF04" w14:textId="77777777" w:rsidR="00C2708D" w:rsidRPr="00C2708D" w:rsidRDefault="00C2708D" w:rsidP="00CE4017">
      <w:pPr>
        <w:widowControl/>
        <w:autoSpaceDE/>
        <w:autoSpaceDN/>
        <w:jc w:val="both"/>
        <w:rPr>
          <w:rFonts w:eastAsia="Times New Roman"/>
          <w:color w:val="000000"/>
          <w:lang w:val="es-CO" w:eastAsia="es-CO"/>
        </w:rPr>
      </w:pPr>
      <w:bookmarkStart w:id="43" w:name="ver_1680468"/>
      <w:bookmarkEnd w:id="43"/>
    </w:p>
    <w:p w14:paraId="23C21B4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35.</w:t>
      </w:r>
      <w:r w:rsidRPr="00C2708D">
        <w:rPr>
          <w:rFonts w:eastAsia="Times New Roman"/>
          <w:i/>
          <w:iCs/>
          <w:color w:val="000000"/>
          <w:lang w:val="es-CO" w:eastAsia="es-CO"/>
        </w:rPr>
        <w:t> Permanencia en el Régimen Subsidiado</w:t>
      </w:r>
      <w:r w:rsidRPr="00C2708D">
        <w:rPr>
          <w:rFonts w:eastAsia="Times New Roman"/>
          <w:color w:val="000000"/>
          <w:lang w:val="es-CO" w:eastAsia="es-CO"/>
        </w:rPr>
        <w:t>. Los afiliados al Régimen Subsidiado podrán permanecer en este cuando obtengan un contrato de trabajo y pasen a estar vinculados laboralmente. En estos casos, los empleadores o los afiliados pagarán los aportes que debería pagar en el Régimen Contributivo a la misma Entidad Promotora de Salud y será compensado mensualmente a la subcuenta de solidaridad del Fondo de Solidaridad y Garantía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En este evento, el afiliado tendrá derecho a prestaciones económicas. </w:t>
      </w:r>
    </w:p>
    <w:p w14:paraId="689D18B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DC9AE2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Cuando un trabajador temporal o jornalero, cuya asignación mensual no alcance a un salario mínimo legal mensual vigente, no desee ser desvinculado del Régimen Subsidiado en razón de su relación laboral, el patrono deberá aportar al Régimen Subsidiado el equivalente al valor que en proporción al pago que por el trabajador debería aportar al Régimen Contributivo. En este caso no se tendrá derecho a prestaciones económicas. </w:t>
      </w:r>
    </w:p>
    <w:p w14:paraId="6D2AABD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90F2E4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En caso que el empleador no cumpla con la obligación de pagar la cotización, al concluir la relación laboral el empleador deberá pagar los aportes que adeude al Sistema General de Seguridad Social en Salud. </w:t>
      </w:r>
    </w:p>
    <w:p w14:paraId="766E0A50" w14:textId="77777777" w:rsidR="00C2708D" w:rsidRPr="00C2708D" w:rsidRDefault="00C2708D" w:rsidP="00CE4017">
      <w:pPr>
        <w:widowControl/>
        <w:autoSpaceDE/>
        <w:autoSpaceDN/>
        <w:jc w:val="both"/>
        <w:rPr>
          <w:rFonts w:eastAsia="Times New Roman"/>
          <w:color w:val="000000"/>
          <w:lang w:val="es-CO" w:eastAsia="es-CO"/>
        </w:rPr>
      </w:pPr>
      <w:bookmarkStart w:id="44" w:name="ver_1680469"/>
      <w:bookmarkEnd w:id="44"/>
    </w:p>
    <w:p w14:paraId="768EA0A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36.</w:t>
      </w:r>
      <w:r w:rsidRPr="00C2708D">
        <w:rPr>
          <w:rFonts w:eastAsia="Times New Roman"/>
          <w:i/>
          <w:iCs/>
          <w:color w:val="000000"/>
          <w:lang w:val="es-CO" w:eastAsia="es-CO"/>
        </w:rPr>
        <w:t> Planes de beneficios parciales</w:t>
      </w:r>
      <w:r w:rsidRPr="00C2708D">
        <w:rPr>
          <w:rFonts w:eastAsia="Times New Roman"/>
          <w:color w:val="000000"/>
          <w:lang w:val="es-CO" w:eastAsia="es-CO"/>
        </w:rPr>
        <w:t>. Al unificar los planes de beneficios no podrán existir planes de beneficios parciales. </w:t>
      </w:r>
    </w:p>
    <w:p w14:paraId="58B7631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E606902" w14:textId="762B9916" w:rsidR="00C2708D" w:rsidRDefault="00C2708D" w:rsidP="00CE4017">
      <w:pPr>
        <w:widowControl/>
        <w:autoSpaceDE/>
        <w:autoSpaceDN/>
        <w:jc w:val="center"/>
        <w:rPr>
          <w:rFonts w:eastAsia="Times New Roman"/>
          <w:b/>
          <w:bCs/>
          <w:color w:val="000000"/>
          <w:lang w:val="es-CO" w:eastAsia="es-CO"/>
        </w:rPr>
      </w:pPr>
      <w:bookmarkStart w:id="45" w:name="ver_30027931"/>
      <w:bookmarkEnd w:id="45"/>
      <w:r w:rsidRPr="00C2708D">
        <w:rPr>
          <w:rFonts w:eastAsia="Times New Roman"/>
          <w:b/>
          <w:bCs/>
          <w:color w:val="000000"/>
          <w:lang w:val="es-CO" w:eastAsia="es-CO"/>
        </w:rPr>
        <w:t>CAPÍTULO IV</w:t>
      </w:r>
    </w:p>
    <w:p w14:paraId="019CE372" w14:textId="77777777" w:rsidR="00CE4017" w:rsidRPr="00C2708D" w:rsidRDefault="00CE4017" w:rsidP="00CE4017">
      <w:pPr>
        <w:widowControl/>
        <w:autoSpaceDE/>
        <w:autoSpaceDN/>
        <w:jc w:val="center"/>
        <w:rPr>
          <w:rFonts w:eastAsia="Times New Roman"/>
          <w:b/>
          <w:bCs/>
          <w:color w:val="000000"/>
          <w:lang w:val="es-CO" w:eastAsia="es-CO"/>
        </w:rPr>
      </w:pPr>
    </w:p>
    <w:p w14:paraId="23A91F6F"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Planes Voluntarios de Salud</w:t>
      </w:r>
    </w:p>
    <w:p w14:paraId="2A27B786" w14:textId="77777777" w:rsidR="00C2708D" w:rsidRPr="00C2708D" w:rsidRDefault="00C2708D" w:rsidP="00CE4017">
      <w:pPr>
        <w:widowControl/>
        <w:autoSpaceDE/>
        <w:autoSpaceDN/>
        <w:jc w:val="both"/>
        <w:rPr>
          <w:rFonts w:eastAsia="Times New Roman"/>
          <w:color w:val="000000"/>
          <w:lang w:val="es-CO" w:eastAsia="es-CO"/>
        </w:rPr>
      </w:pPr>
      <w:bookmarkStart w:id="46" w:name="ver_1680470"/>
      <w:bookmarkEnd w:id="46"/>
    </w:p>
    <w:p w14:paraId="50B84D1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37.</w:t>
      </w:r>
      <w:r w:rsidRPr="00C2708D">
        <w:rPr>
          <w:rFonts w:eastAsia="Times New Roman"/>
          <w:i/>
          <w:iCs/>
          <w:color w:val="000000"/>
          <w:lang w:val="es-CO" w:eastAsia="es-CO"/>
        </w:rPr>
        <w:t> Planes Voluntarios de Salud.</w:t>
      </w:r>
      <w:r w:rsidRPr="00C2708D">
        <w:rPr>
          <w:rFonts w:eastAsia="Times New Roman"/>
          <w:color w:val="000000"/>
          <w:lang w:val="es-CO" w:eastAsia="es-CO"/>
        </w:rPr>
        <w:t> Sustitúyase el artículo 169 de la Ley 100 de 1993, con el siguiente texto: </w:t>
      </w:r>
    </w:p>
    <w:p w14:paraId="4973760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D82D2B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169. </w:t>
      </w:r>
      <w:r w:rsidRPr="00C2708D">
        <w:rPr>
          <w:rFonts w:eastAsia="Times New Roman"/>
          <w:i/>
          <w:iCs/>
          <w:color w:val="000000"/>
          <w:lang w:val="es-CO" w:eastAsia="es-CO"/>
        </w:rPr>
        <w:t>Planes Voluntarios de Salud.</w:t>
      </w:r>
      <w:r w:rsidRPr="00C2708D">
        <w:rPr>
          <w:rFonts w:eastAsia="Times New Roman"/>
          <w:color w:val="000000"/>
          <w:lang w:val="es-CO" w:eastAsia="es-CO"/>
        </w:rPr>
        <w:t> Los Planes Voluntarios de Salud podrán incluir coberturas asistenciales relacionadas con los servicios de salud, serán contratados voluntariamente y financiados en su totalidad por el afiliado o las empresas que lo establezcan con recursos distintos a las cotizaciones obligatorias o el subsidio a la cotización. </w:t>
      </w:r>
    </w:p>
    <w:p w14:paraId="4EDB765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4581E8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adquisición y permanencia de un Plan Voluntario de Salud implica la afiliación previa y la continuidad mediante el pago de la cotización al régimen contributivo del Sistema General de Seguridad Social en Salud. </w:t>
      </w:r>
    </w:p>
    <w:p w14:paraId="539723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838559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Tales Planes podrán ser: </w:t>
      </w:r>
    </w:p>
    <w:p w14:paraId="54382EA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A62FB1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169.1 Planes de atención complementaria del Plan Obligatorio de Salud emitidos por las Entidades Promotoras de Salud. </w:t>
      </w:r>
    </w:p>
    <w:p w14:paraId="12465D5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077CC3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169.2 Planes de Medicina Prepagada, de atención prehospitalaria o servicios de ambulancia prepagada, emitidos por entidades de Medicina Prepagada. </w:t>
      </w:r>
    </w:p>
    <w:p w14:paraId="7EE22C4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5C87E0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169.3 Pólizas de seguros emitidos por compañías de seguros vigiladas por la Superintendencia Financiera. </w:t>
      </w:r>
    </w:p>
    <w:p w14:paraId="37977FE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A118A1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169.4 Otros planes autorizados por la Superintendencia Financiera y la Superintendencia Nacional de Salud".</w:t>
      </w:r>
    </w:p>
    <w:p w14:paraId="1DEB8CC5" w14:textId="77777777" w:rsidR="00C2708D" w:rsidRPr="00C2708D" w:rsidRDefault="00C2708D" w:rsidP="00CE4017">
      <w:pPr>
        <w:widowControl/>
        <w:autoSpaceDE/>
        <w:autoSpaceDN/>
        <w:jc w:val="both"/>
        <w:rPr>
          <w:rFonts w:eastAsia="Times New Roman"/>
          <w:color w:val="000000"/>
          <w:lang w:val="es-CO" w:eastAsia="es-CO"/>
        </w:rPr>
      </w:pPr>
      <w:bookmarkStart w:id="47" w:name="ver_1680471"/>
      <w:bookmarkEnd w:id="47"/>
    </w:p>
    <w:p w14:paraId="7084111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38.</w:t>
      </w:r>
      <w:r w:rsidRPr="00C2708D">
        <w:rPr>
          <w:rFonts w:eastAsia="Times New Roman"/>
          <w:i/>
          <w:iCs/>
          <w:color w:val="000000"/>
          <w:lang w:val="es-CO" w:eastAsia="es-CO"/>
        </w:rPr>
        <w:t> Aprobación de planes voluntarios de salud.</w:t>
      </w:r>
      <w:r w:rsidRPr="00C2708D">
        <w:rPr>
          <w:rFonts w:eastAsia="Times New Roman"/>
          <w:color w:val="000000"/>
          <w:lang w:val="es-CO" w:eastAsia="es-CO"/>
        </w:rPr>
        <w:t> La aprobación de los Planes Voluntarios de Salud y de las tarifas, en relación con las Entidades Promotoras de Salud y las entidades de medicina prepagada, estarán a cargo de la Superintendencia Nacional de Salud, la cual registrará los planes, en un plazo no superior a treinta (30) días calendario y realizará verificación posterior. </w:t>
      </w:r>
    </w:p>
    <w:p w14:paraId="158FBF8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6B3456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depósito de los planes se surtirá ante la Superintendencia Nacional de Salud.  </w:t>
      </w:r>
    </w:p>
    <w:p w14:paraId="667981F0" w14:textId="77777777" w:rsidR="00C2708D" w:rsidRPr="00C2708D" w:rsidRDefault="00C2708D" w:rsidP="00CE4017">
      <w:pPr>
        <w:widowControl/>
        <w:autoSpaceDE/>
        <w:autoSpaceDN/>
        <w:jc w:val="both"/>
        <w:rPr>
          <w:rFonts w:eastAsia="Times New Roman"/>
          <w:color w:val="000000"/>
          <w:lang w:val="es-CO" w:eastAsia="es-CO"/>
        </w:rPr>
      </w:pPr>
      <w:bookmarkStart w:id="48" w:name="ver_1680472"/>
      <w:bookmarkEnd w:id="48"/>
    </w:p>
    <w:p w14:paraId="5E7ABD0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39. </w:t>
      </w:r>
      <w:r w:rsidRPr="00C2708D">
        <w:rPr>
          <w:rFonts w:eastAsia="Times New Roman"/>
          <w:i/>
          <w:iCs/>
          <w:color w:val="000000"/>
          <w:lang w:val="es-CO" w:eastAsia="es-CO"/>
        </w:rPr>
        <w:t>Creación de planes voluntarios y seguros de salud</w:t>
      </w:r>
      <w:r w:rsidRPr="00C2708D">
        <w:rPr>
          <w:rFonts w:eastAsia="Times New Roman"/>
          <w:color w:val="000000"/>
          <w:lang w:val="es-CO" w:eastAsia="es-CO"/>
        </w:rPr>
        <w:t>. El Gobierno Nacional estimulará la creación, diseño, autorización y operación de planes voluntarios y seguros de salud tanto individuales como colectivos. </w:t>
      </w:r>
    </w:p>
    <w:p w14:paraId="25B1FA5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49" w:name="ver_1680473"/>
      <w:bookmarkEnd w:id="49"/>
    </w:p>
    <w:p w14:paraId="37DE158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40.</w:t>
      </w:r>
      <w:r w:rsidRPr="00C2708D">
        <w:rPr>
          <w:rFonts w:eastAsia="Times New Roman"/>
          <w:i/>
          <w:iCs/>
          <w:color w:val="000000"/>
          <w:lang w:val="es-CO" w:eastAsia="es-CO"/>
        </w:rPr>
        <w:t>Coberturas</w:t>
      </w:r>
      <w:r w:rsidRPr="00C2708D">
        <w:rPr>
          <w:rFonts w:eastAsia="Times New Roman"/>
          <w:color w:val="000000"/>
          <w:lang w:val="es-CO" w:eastAsia="es-CO"/>
        </w:rPr>
        <w:t xml:space="preserve">. Los Planes Voluntarios de Salud pueden cubrir total o parcialmente una o varias de las prestaciones derivadas de riesgos de salud tales como: servicios de salud, médicos, odontológicos, pre y </w:t>
      </w:r>
      <w:proofErr w:type="spellStart"/>
      <w:r w:rsidRPr="00C2708D">
        <w:rPr>
          <w:rFonts w:eastAsia="Times New Roman"/>
          <w:color w:val="000000"/>
          <w:lang w:val="es-CO" w:eastAsia="es-CO"/>
        </w:rPr>
        <w:t>poshospitalarios</w:t>
      </w:r>
      <w:proofErr w:type="spellEnd"/>
      <w:r w:rsidRPr="00C2708D">
        <w:rPr>
          <w:rFonts w:eastAsia="Times New Roman"/>
          <w:color w:val="000000"/>
          <w:lang w:val="es-CO" w:eastAsia="es-CO"/>
        </w:rPr>
        <w:t>, hospitalarios o de transporte, condiciones diferenciales frente a los planes de beneficios y otras coberturas de contenido asistencial o prestacional. Igualmente podrán cubrir copagos y cuotas moderadoras exigibles en otros planes de beneficios. </w:t>
      </w:r>
    </w:p>
    <w:p w14:paraId="5DEBC24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50" w:name="ver_1680474"/>
      <w:bookmarkEnd w:id="50"/>
    </w:p>
    <w:p w14:paraId="3889753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41. </w:t>
      </w:r>
      <w:r w:rsidRPr="00C2708D">
        <w:rPr>
          <w:rFonts w:eastAsia="Times New Roman"/>
          <w:i/>
          <w:iCs/>
          <w:color w:val="000000"/>
          <w:lang w:val="es-CO" w:eastAsia="es-CO"/>
        </w:rPr>
        <w:t>Protección al usuario.</w:t>
      </w:r>
      <w:r w:rsidRPr="00C2708D">
        <w:rPr>
          <w:rFonts w:eastAsia="Times New Roman"/>
          <w:color w:val="000000"/>
          <w:lang w:val="es-CO" w:eastAsia="es-CO"/>
        </w:rPr>
        <w:t> Las entidades habilitadas para emitir planes voluntarios no podrán incluir como preexistencias al tiempo de la renovación del contrato, enfermedades, malformaciones o afecciones diferentes a las que se padecían antes de la fecha de celebración del contrato inicial. </w:t>
      </w:r>
    </w:p>
    <w:p w14:paraId="0C627AC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90CD5D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entidades que ofrezcan planes voluntarios de salud no podrán dar por terminado los contratos ni revocarlos a menos que medie incumplimiento en las obligaciones de la otra parte. </w:t>
      </w:r>
    </w:p>
    <w:p w14:paraId="3C73B59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E0AA665" w14:textId="7ACE4907" w:rsidR="00C2708D" w:rsidRDefault="00C2708D" w:rsidP="00CE4017">
      <w:pPr>
        <w:widowControl/>
        <w:autoSpaceDE/>
        <w:autoSpaceDN/>
        <w:jc w:val="center"/>
        <w:rPr>
          <w:rFonts w:eastAsia="Times New Roman"/>
          <w:b/>
          <w:bCs/>
          <w:color w:val="000000"/>
          <w:lang w:val="es-CO" w:eastAsia="es-CO"/>
        </w:rPr>
      </w:pPr>
      <w:bookmarkStart w:id="51" w:name="ver_30027932"/>
      <w:bookmarkEnd w:id="51"/>
      <w:r w:rsidRPr="00C2708D">
        <w:rPr>
          <w:rFonts w:eastAsia="Times New Roman"/>
          <w:b/>
          <w:bCs/>
          <w:color w:val="000000"/>
          <w:lang w:val="es-CO" w:eastAsia="es-CO"/>
        </w:rPr>
        <w:t>TÍTULO V</w:t>
      </w:r>
    </w:p>
    <w:p w14:paraId="56D48FB9" w14:textId="77777777" w:rsidR="00CE4017" w:rsidRPr="00C2708D" w:rsidRDefault="00CE4017" w:rsidP="00CE4017">
      <w:pPr>
        <w:widowControl/>
        <w:autoSpaceDE/>
        <w:autoSpaceDN/>
        <w:jc w:val="center"/>
        <w:rPr>
          <w:rFonts w:eastAsia="Times New Roman"/>
          <w:b/>
          <w:bCs/>
          <w:color w:val="000000"/>
          <w:lang w:val="es-CO" w:eastAsia="es-CO"/>
        </w:rPr>
      </w:pPr>
    </w:p>
    <w:p w14:paraId="399E352D"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FINANCIAMIENTO</w:t>
      </w:r>
    </w:p>
    <w:p w14:paraId="056AD9F1" w14:textId="77777777" w:rsidR="00C2708D" w:rsidRPr="00C2708D" w:rsidRDefault="00C2708D" w:rsidP="00CE4017">
      <w:pPr>
        <w:widowControl/>
        <w:autoSpaceDE/>
        <w:autoSpaceDN/>
        <w:jc w:val="both"/>
        <w:rPr>
          <w:rFonts w:eastAsia="Times New Roman"/>
          <w:color w:val="000000"/>
          <w:lang w:val="es-CO" w:eastAsia="es-CO"/>
        </w:rPr>
      </w:pPr>
      <w:bookmarkStart w:id="52" w:name="ver_1680475"/>
      <w:bookmarkEnd w:id="52"/>
    </w:p>
    <w:p w14:paraId="6F3796D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42.</w:t>
      </w:r>
      <w:r w:rsidRPr="00C2708D">
        <w:rPr>
          <w:rFonts w:eastAsia="Times New Roman"/>
          <w:i/>
          <w:iCs/>
          <w:color w:val="000000"/>
          <w:lang w:val="es-CO" w:eastAsia="es-CO"/>
        </w:rPr>
        <w:t> Financiación de las acciones de salud pública, atención primaria en salud y promoción y prevenci</w:t>
      </w:r>
      <w:r w:rsidRPr="00C2708D">
        <w:rPr>
          <w:rFonts w:eastAsia="Times New Roman"/>
          <w:color w:val="000000"/>
          <w:lang w:val="es-CO" w:eastAsia="es-CO"/>
        </w:rPr>
        <w:t>ó</w:t>
      </w:r>
      <w:r w:rsidRPr="00C2708D">
        <w:rPr>
          <w:rFonts w:eastAsia="Times New Roman"/>
          <w:i/>
          <w:iCs/>
          <w:color w:val="000000"/>
          <w:lang w:val="es-CO" w:eastAsia="es-CO"/>
        </w:rPr>
        <w:t>n</w:t>
      </w:r>
      <w:r w:rsidRPr="00C2708D">
        <w:rPr>
          <w:rFonts w:eastAsia="Times New Roman"/>
          <w:color w:val="000000"/>
          <w:lang w:val="es-CO" w:eastAsia="es-CO"/>
        </w:rPr>
        <w:t>. Las acciones de salud pública, promoción y prevención en el marco de la estrategia de Atención Primaria en Salud se financiarán con: </w:t>
      </w:r>
    </w:p>
    <w:p w14:paraId="42A1A67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E7C1BA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42.1 Los recursos del componente de salud pública del Sistema General de Participaciones que trata Ley 715 de 2001. </w:t>
      </w:r>
    </w:p>
    <w:p w14:paraId="0A3D387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9AB4D6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42.2 Los recursos de la Unidad de Pago por capitación destinados a promoción y prevención del régimen subsidiado y contributivo que administran las Entidades Promotoras de Salud. </w:t>
      </w:r>
    </w:p>
    <w:p w14:paraId="6BC50FA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1F766F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42.3 Los recursos de la subcuenta de promoción y prevención del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w:t>
      </w:r>
    </w:p>
    <w:p w14:paraId="0B35189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EFC7DE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42.4 Los recursos de promoción y prevención que destine del Seguro Obligatorio de Accidentes de Tránsito (SOAT), que se articularán a la estrategia de Atención Primaria en Salud. </w:t>
      </w:r>
    </w:p>
    <w:p w14:paraId="0776976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B9AC6C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42.5 Los recursos que destinen y administren las Aseguradoras de Riesgos Profesionales para la promoción y prevención, que se articularán a la estrategia de Atención Primaria en Salud. </w:t>
      </w:r>
    </w:p>
    <w:p w14:paraId="2BC8DAF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385BC3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42.6 Recursos del Presupuesto General de la Nación para salud pública. </w:t>
      </w:r>
    </w:p>
    <w:p w14:paraId="4C91FBB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773949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42.7 Los recursos que del cuarto (1/4) de punto de las contribuciones parafiscales de las Cajas de Compensación Familiar se destinen a atender acciones de promoción y prevención en el marco de la estrategia de Atención Primaria en Salud. Cuando estos recursos sean utilizados para estos fines, un monto equivalente de los recursos del presente numeral se destinará al Régimen Subsidiado con cargo al numeral 1. </w:t>
      </w:r>
    </w:p>
    <w:p w14:paraId="48186CA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C0C150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42.8 Otros recursos que destinen las entidades territoriales. </w:t>
      </w:r>
    </w:p>
    <w:p w14:paraId="1A139186" w14:textId="339A8D1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53" w:name="ver_1680476"/>
      <w:bookmarkEnd w:id="53"/>
    </w:p>
    <w:p w14:paraId="7BC290F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43.</w:t>
      </w:r>
      <w:r w:rsidRPr="00C2708D">
        <w:rPr>
          <w:rFonts w:eastAsia="Times New Roman"/>
          <w:i/>
          <w:iCs/>
          <w:color w:val="000000"/>
          <w:lang w:val="es-CO" w:eastAsia="es-CO"/>
        </w:rPr>
        <w:t> Recursos del Fondo de Riesgos Profesionales para Prevención y Promoción.</w:t>
      </w:r>
      <w:r w:rsidRPr="00C2708D">
        <w:rPr>
          <w:rFonts w:eastAsia="Times New Roman"/>
          <w:color w:val="000000"/>
          <w:lang w:val="es-CO" w:eastAsia="es-CO"/>
        </w:rPr>
        <w:t> Adiciónese un literal d), modifíquese el parágrafo y créese un parágrafo transitorio al artículo 22 de la Ley 776 de 2002, así: </w:t>
      </w:r>
    </w:p>
    <w:p w14:paraId="723FC13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2E486C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"d) Financiar la realización de actividades de promoción y prevención dentro de los programas de Atención Primaria en Salud. </w:t>
      </w:r>
    </w:p>
    <w:p w14:paraId="6413E08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99A740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En ningún caso la aplicación de los recursos del fondo podrá superar el cuarenta por ciento (40%) en el objeto señalado en el literal a), ni el diez por ciento (10%) en el literal c), ni el quince por ciento (15%) en el literal d). Lo restante será utilizado en el literal b). </w:t>
      </w:r>
    </w:p>
    <w:p w14:paraId="65617B6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7C89A0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Hasta el 15% de los recursos acumulados en el Fondo de Riesgos Profesionales a la entrada en vigencia de la presente ley, podrán ser utilizados, por una única vez, para la financiación de las actividades de prevención dentro de los programas de Atención Primaria en Salud a que hace referencia el literal d) del presente artículo".</w:t>
      </w:r>
    </w:p>
    <w:p w14:paraId="15C9D670" w14:textId="77777777" w:rsidR="00C2708D" w:rsidRPr="00C2708D" w:rsidRDefault="00C2708D" w:rsidP="00CE4017">
      <w:pPr>
        <w:widowControl/>
        <w:autoSpaceDE/>
        <w:autoSpaceDN/>
        <w:jc w:val="both"/>
        <w:rPr>
          <w:rFonts w:eastAsia="Times New Roman"/>
          <w:color w:val="000000"/>
          <w:lang w:val="es-CO" w:eastAsia="es-CO"/>
        </w:rPr>
      </w:pPr>
      <w:bookmarkStart w:id="54" w:name="ver_1680477"/>
      <w:bookmarkEnd w:id="54"/>
    </w:p>
    <w:p w14:paraId="7B343CA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44.</w:t>
      </w:r>
      <w:r w:rsidRPr="00C2708D">
        <w:rPr>
          <w:rFonts w:eastAsia="Times New Roman"/>
          <w:i/>
          <w:iCs/>
          <w:color w:val="000000"/>
          <w:lang w:val="es-CO" w:eastAsia="es-CO"/>
        </w:rPr>
        <w:t> Recursos para aseguramiento.</w:t>
      </w:r>
      <w:r w:rsidRPr="00C2708D">
        <w:rPr>
          <w:rFonts w:eastAsia="Times New Roman"/>
          <w:color w:val="000000"/>
          <w:lang w:val="es-CO" w:eastAsia="es-CO"/>
        </w:rPr>
        <w:t> El artículo 214 de la Ley 100 de 1993, modificado por el artículo 11 de la Ley 1122 de 2007 y por el artículo 34 de la Ley 1393 de 2010, quedará así: </w:t>
      </w:r>
    </w:p>
    <w:p w14:paraId="1E070AA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F30E05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214. "La Unidad de Pago por Capitación del Régimen Subsidiado se financiará con los siguientes recursos: </w:t>
      </w:r>
    </w:p>
    <w:p w14:paraId="611A64F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CA0DE0E" w14:textId="4B237FE0"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 De las entidades territoriales </w:t>
      </w:r>
    </w:p>
    <w:p w14:paraId="2BED8A05" w14:textId="77777777" w:rsidR="00CE4017" w:rsidRPr="00C2708D" w:rsidRDefault="00CE4017" w:rsidP="00CE4017">
      <w:pPr>
        <w:widowControl/>
        <w:autoSpaceDE/>
        <w:autoSpaceDN/>
        <w:jc w:val="both"/>
        <w:rPr>
          <w:rFonts w:eastAsia="Times New Roman"/>
          <w:color w:val="000000"/>
          <w:lang w:val="es-CO" w:eastAsia="es-CO"/>
        </w:rPr>
      </w:pPr>
    </w:p>
    <w:p w14:paraId="5273960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Los recursos del Sistema General de Participaciones para salud, se destinarán al Régimen Subsidiado partiendo como mínimo del sesenta y cinco por ciento (65%) de acuerdo con el </w:t>
      </w:r>
      <w:r w:rsidRPr="00C2708D">
        <w:rPr>
          <w:rFonts w:eastAsia="Times New Roman"/>
          <w:color w:val="000000"/>
          <w:lang w:val="es-CO" w:eastAsia="es-CO"/>
        </w:rPr>
        <w:lastRenderedPageBreak/>
        <w:t>plan de transformación concertado entre el Gobierno Nacional y las entidades territoriales hasta llegar al ochenta por ciento (80%) a más tardar en el año 2015. En todo caso el 10% del Sistema General de Participaciones para Salud se destinará a financiar las acciones en salud pública. El porcentaje restante se destinará a financiar prioritariamente la prestación de servicios en aquellos lugares donde solo el Estado está en capacidad de prestar el servicio de salud en condiciones de eficiencia y/o subsidios a la demanda, de acuerdo con los planes financieros y de transformación de recursos que presenten las entidades territoriales, los cuales deberán ser avalados de manera conjunta por los Ministerios de la Protección Social y de Hacienda y Crédito Público. </w:t>
      </w:r>
    </w:p>
    <w:p w14:paraId="374E72D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797763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 Los recursos obtenidos como producto del monopolio de juegos de suerte y azar y los recursos transferidos por ETESA a las entidades territoriales, que no estén asignados por ley a pensiones, funcionamiento e investigación. Estos recursos se girarán directamente a la cuenta de la entidad territorial en el fondo de financiamiento del régimen subsidiado y se contabilizarán como esfuerzo propio territorial serán transferidas directamente por la Nación a través del mecanismo de giro directo establecido en la presente ley. </w:t>
      </w:r>
    </w:p>
    <w:p w14:paraId="689F285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DAB3C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 Sin perjuicio de lo previsto en el primer inciso del artículo 60 de la Ley 715 de 2001, del monto total de las rentas cedidas destinadas a salud de los departamentos y el Distrito Capital, se destinarán por lo menos el 50% a la financiación del Régimen Subsidiado o el porcentaje que a la entrada en vigencia de la presente ley estén asignando, si este es mayor. Estos recursos se contabilizarán como esfuerzo propio territorial y no podrán disminuirse serán transferidas directamente por la Nación a través del mecanismo de giro directo establecido en la presente ley. </w:t>
      </w:r>
    </w:p>
    <w:p w14:paraId="2D30631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455415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 Los recursos de regalías serán transferidas directamente por la Nación a través del mecanismo de giro directo establecido en la presente ley. </w:t>
      </w:r>
    </w:p>
    <w:p w14:paraId="45B983D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903E75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5. Otros recursos propios de las entidades territoriales que hoy destinan o que puedan destinar en el futuro a la financiación del Régimen Subsidiado. </w:t>
      </w:r>
    </w:p>
    <w:p w14:paraId="25CF91D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71B6BE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 Del Fondo de Solidaridad y Garantía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w:t>
      </w:r>
    </w:p>
    <w:p w14:paraId="6206711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C2DCE8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 Uno punto cinco puntos (1.5) de la cotización de los regímenes especiales y de excepción y hasta uno punto cinco (1.5) puntos de la cotización de los afiliados al Régimen Contributivo. </w:t>
      </w:r>
    </w:p>
    <w:p w14:paraId="74591A4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9533FE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 El monto de las Cajas de Compensación Familiar de que trata el artículo 217 de la Ley 100 de 1993. </w:t>
      </w:r>
    </w:p>
    <w:p w14:paraId="29C7A72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B65923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 Recursos del Presupuesto General de la Nación que a partir del monto asignado para el año 2010, que se requieran de manera progresiva para la universalización de la cobertura y la unificación de los planes de beneficios, una vez aplicadas las demás fuentes que financian el Régimen Subsidiado. </w:t>
      </w:r>
    </w:p>
    <w:p w14:paraId="32A7F1A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FEF204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 Las cotizaciones que realizarán los patronos al Fondo de Solidaridad cuando el trabajador no quiera retirarse del Régimen Subsidiado, en los términos de la presente ley. </w:t>
      </w:r>
    </w:p>
    <w:p w14:paraId="43B6715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926711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5. Los recursos que para tal efecto sean aportados por gremios, asociaciones y otras organizaciones. </w:t>
      </w:r>
    </w:p>
    <w:p w14:paraId="62CC72F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862524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3. Otros </w:t>
      </w:r>
    </w:p>
    <w:p w14:paraId="4EFA652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7064A7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 Recursos definidos por recaudo de IVA definidos en la Ley 1393 de 2010. </w:t>
      </w:r>
    </w:p>
    <w:p w14:paraId="4763F99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16B1CF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 Los rendimientos financieros que produzcan las diferentes fuentes que financian el Régimen Subsidiado. </w:t>
      </w:r>
    </w:p>
    <w:p w14:paraId="6542833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3B0FF9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 Recursos de la contribución parafiscal de las Cajas de Compensación Familiar. </w:t>
      </w:r>
    </w:p>
    <w:p w14:paraId="784A348B" w14:textId="77777777" w:rsidR="00C2708D" w:rsidRPr="00C2708D" w:rsidRDefault="00C2708D" w:rsidP="00CE4017">
      <w:pPr>
        <w:widowControl/>
        <w:autoSpaceDE/>
        <w:autoSpaceDN/>
        <w:jc w:val="both"/>
        <w:rPr>
          <w:rFonts w:eastAsia="Times New Roman"/>
          <w:color w:val="000000"/>
          <w:lang w:val="es-CO" w:eastAsia="es-CO"/>
        </w:rPr>
      </w:pPr>
      <w:bookmarkStart w:id="55" w:name="ver_1680478"/>
      <w:bookmarkEnd w:id="55"/>
    </w:p>
    <w:p w14:paraId="51CEBFE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45.</w:t>
      </w:r>
      <w:r w:rsidRPr="00C2708D">
        <w:rPr>
          <w:rFonts w:eastAsia="Times New Roman"/>
          <w:i/>
          <w:iCs/>
          <w:color w:val="000000"/>
          <w:lang w:val="es-CO" w:eastAsia="es-CO"/>
        </w:rPr>
        <w:t> Distribución de los recursos de la cotizaci</w:t>
      </w:r>
      <w:r w:rsidRPr="00C2708D">
        <w:rPr>
          <w:rFonts w:eastAsia="Times New Roman"/>
          <w:color w:val="000000"/>
          <w:lang w:val="es-CO" w:eastAsia="es-CO"/>
        </w:rPr>
        <w:t>ó</w:t>
      </w:r>
      <w:r w:rsidRPr="00C2708D">
        <w:rPr>
          <w:rFonts w:eastAsia="Times New Roman"/>
          <w:i/>
          <w:iCs/>
          <w:color w:val="000000"/>
          <w:lang w:val="es-CO" w:eastAsia="es-CO"/>
        </w:rPr>
        <w:t>n del régimen contributivo.</w:t>
      </w:r>
      <w:r w:rsidRPr="00C2708D">
        <w:rPr>
          <w:rFonts w:eastAsia="Times New Roman"/>
          <w:color w:val="000000"/>
          <w:lang w:val="es-CO" w:eastAsia="es-CO"/>
        </w:rPr>
        <w:t xml:space="preserve"> El Ministerio de la Protección Social definirá hasta el uno punto cinco (1.5) de la cotización, previsto en el artículo 204 de la Ley 100 de 1993, modificado por el artículo 10 de la Ley 1122 de 2007, que se destinarán a la financiación de la Subcuenta de Solidaridad del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w:t>
      </w:r>
    </w:p>
    <w:p w14:paraId="03A4705D" w14:textId="77777777" w:rsidR="00C2708D" w:rsidRPr="00C2708D" w:rsidRDefault="00C2708D" w:rsidP="00CE4017">
      <w:pPr>
        <w:widowControl/>
        <w:autoSpaceDE/>
        <w:autoSpaceDN/>
        <w:jc w:val="both"/>
        <w:rPr>
          <w:rFonts w:eastAsia="Times New Roman"/>
          <w:color w:val="000000"/>
          <w:lang w:val="es-CO" w:eastAsia="es-CO"/>
        </w:rPr>
      </w:pPr>
      <w:bookmarkStart w:id="56" w:name="ver_1680479"/>
      <w:bookmarkEnd w:id="56"/>
    </w:p>
    <w:p w14:paraId="56774DC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46. </w:t>
      </w:r>
      <w:r w:rsidRPr="00C2708D">
        <w:rPr>
          <w:rFonts w:eastAsia="Times New Roman"/>
          <w:i/>
          <w:iCs/>
          <w:color w:val="000000"/>
          <w:lang w:val="es-CO" w:eastAsia="es-CO"/>
        </w:rPr>
        <w:t>Recursos de las Cajas de Compensación Familiar.</w:t>
      </w:r>
      <w:r w:rsidRPr="00C2708D">
        <w:rPr>
          <w:rFonts w:eastAsia="Times New Roman"/>
          <w:color w:val="000000"/>
          <w:lang w:val="es-CO" w:eastAsia="es-CO"/>
        </w:rPr>
        <w:t> Sin perjuicio de los recursos de que trata el artículo 217 de la Ley 100 de 1993, se destinará un cuarto (1/4) de punto porcentual de la contribución parafiscal, establecida en la Ley 21 de 1982 en los artículos 11, numeral 1, y 12, numeral 1, a favor de las Cajas de Compensación Familiar, a atender acciones de promoción y prevención dentro del marco de la estrategia de Atención Primaria en Salud y/o en la unificación de los Planes de Beneficios, de forma concertada entre el Gobierno Nacional y las Cajas de Compensación Familiar, conforme al reglamento. </w:t>
      </w:r>
    </w:p>
    <w:p w14:paraId="39F02C7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DE631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1°. La asignación prevista en el presente artículo, conforme a la reglamentación que expida el Gobierno Nacional, no podrá afectar el cálculo de los recursos que las Cajas de Compensación Familiar deben apropiar para los Fondos para el Subsidio Familiar de Vivienda -FOVIS- y para los programas de infancia y adolescencia. </w:t>
      </w:r>
    </w:p>
    <w:p w14:paraId="1304551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841D376"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2°. Los recursos del cuarto de punto porcentual (1/4) de la contribución parafiscal que trata el presente artículo serán administrados directamente por las Cajas de Compensación Familiar y harán parte de las deducciones previstas en el parágrafo del artículo 217 la Ley 100 de 1993. </w:t>
      </w:r>
      <w:bookmarkStart w:id="57" w:name="ver_1680480"/>
      <w:bookmarkEnd w:id="57"/>
    </w:p>
    <w:p w14:paraId="005A29DE" w14:textId="77777777" w:rsidR="00C2708D" w:rsidRPr="00C2708D" w:rsidRDefault="00C2708D" w:rsidP="00CE4017">
      <w:pPr>
        <w:widowControl/>
        <w:autoSpaceDE/>
        <w:autoSpaceDN/>
        <w:jc w:val="both"/>
        <w:rPr>
          <w:rFonts w:eastAsia="Times New Roman"/>
          <w:color w:val="000000"/>
          <w:lang w:val="es-CO" w:eastAsia="es-CO"/>
        </w:rPr>
      </w:pPr>
    </w:p>
    <w:p w14:paraId="1E04CE8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47.</w:t>
      </w:r>
      <w:r w:rsidRPr="00C2708D">
        <w:rPr>
          <w:rFonts w:eastAsia="Times New Roman"/>
          <w:i/>
          <w:iCs/>
          <w:color w:val="000000"/>
          <w:lang w:val="es-CO" w:eastAsia="es-CO"/>
        </w:rPr>
        <w:t> Seguro de salud por desempleo.</w:t>
      </w:r>
      <w:r w:rsidRPr="00C2708D">
        <w:rPr>
          <w:rFonts w:eastAsia="Times New Roman"/>
          <w:color w:val="000000"/>
          <w:lang w:val="es-CO" w:eastAsia="es-CO"/>
        </w:rPr>
        <w:t> Modifíquense los artículos 10 y 11 de la Ley 789 de 2002, los cuales quedarán así: </w:t>
      </w:r>
    </w:p>
    <w:p w14:paraId="39735F8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A2430B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i/>
          <w:iCs/>
          <w:color w:val="000000"/>
          <w:lang w:val="es-CO" w:eastAsia="es-CO"/>
        </w:rPr>
        <w:t>"Artículo 10.</w:t>
      </w:r>
      <w:r w:rsidRPr="00C2708D">
        <w:rPr>
          <w:rFonts w:eastAsia="Times New Roman"/>
          <w:color w:val="000000"/>
          <w:lang w:val="es-CO" w:eastAsia="es-CO"/>
        </w:rPr>
        <w:t> Régimen de apoyo para desempleados con vinculación anterior a las Cajas de Compensación Familiar. Los Jefes cabeza de Hogar y prioritariamente las mujeres que tengan esa condición, que se encuentren en situación de desempleo luego de haber estado vinculados al sistema de Cajas de Compensación Familiar no menos de 1 año dentro de los tres años anteriores a la solicitud de apoyo, tendrán derecho con cargo a los recursos del Fondo para el Fomento del Empleo y la protección del desempleo de que trata el artículo 6° de la presente ley a los siguientes beneficios, por una sola vez y hasta que se agoten los recursos del Fondo. La reglamentación establecerá los plazos y condiciones a partir de los cuales se reconocerá este subsidio: </w:t>
      </w:r>
    </w:p>
    <w:p w14:paraId="796D5CD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39013E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a) Un subsidio equivalente a un salario y medio mínimo legal mensual, el cual se dividirá y otorgará en seis cuotas mensuales iguales, las cuales se podrán hacer efectivas a través de aportes al sistema de salud. Los aportes al Sistema de Salud serán prioritarios frente a los otros usos siempre que el beneficiario no se encuentre afiliado. Para efectos de esta obligación, las cajas destinarán un máximo del cuarenta y cinco por ciento (45%) de los </w:t>
      </w:r>
      <w:r w:rsidRPr="00C2708D">
        <w:rPr>
          <w:rFonts w:eastAsia="Times New Roman"/>
          <w:color w:val="000000"/>
          <w:lang w:val="es-CO" w:eastAsia="es-CO"/>
        </w:rPr>
        <w:lastRenderedPageBreak/>
        <w:t>recursos que les corresponde administrar con cargo al fondo para el fomento del empleo y la protección al desempleo; </w:t>
      </w:r>
    </w:p>
    <w:p w14:paraId="79575BC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769C92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b) Capacitación para el proceso de inserción laboral y/o educación y/o bonos alimentarios. Para efectos de esta obligación las Cajas destinarán un máximo del diez por ciento (10%) de los recursos que les corresponde administrar con cargo al fondo para el fomento al empleo y protección al desempleo. </w:t>
      </w:r>
    </w:p>
    <w:p w14:paraId="2057870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8E3326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 Régimen de apoyo para desempleados sin vinculación anterior a Cajas de Compensación Familiar. Con cargo al cinco por ciento (5%) del fondo para el fomento del empleo y la protección del desempleo de que trata el artículo 6° de la presente ley, las Cajas establecerán un régimen de apoyo y fomento al empleo para jefes cabeza de hogar sin vinculación anterior a las Cajas de Compensación Familiar, que se concretará en un subsidio equivalente a un salario y medio mínimo legal mensual, el cual se otorgará en seis cuotas mensuales iguales, las cuales se podrán hacer efectivas a través de aportes al sistema de salud. Los aportes al Sistema de Salud serán prioritarios frente a los otros usos siempre que el beneficiario no se encuentre afiliado. Tendrán prioridad frente a las Cajas de Compensación Familiar, los artistas, escritores y deportistas afiliados a las correspondientes asociaciones o quienes acrediten esta condición en los términos en que se defina por el Gobierno Nacional. Para acceder a esta prestación, se deberá acreditar falta de capacidad de pago, conforme términos y condiciones que disponga el reglamento en materia de organización y funcionamiento de este beneficio".</w:t>
      </w:r>
    </w:p>
    <w:p w14:paraId="1F10F7ED" w14:textId="77777777" w:rsidR="00C2708D" w:rsidRPr="00C2708D" w:rsidRDefault="00C2708D" w:rsidP="00CE4017">
      <w:pPr>
        <w:widowControl/>
        <w:autoSpaceDE/>
        <w:autoSpaceDN/>
        <w:jc w:val="both"/>
        <w:rPr>
          <w:rFonts w:eastAsia="Times New Roman"/>
          <w:color w:val="000000"/>
          <w:lang w:val="es-CO" w:eastAsia="es-CO"/>
        </w:rPr>
      </w:pPr>
      <w:bookmarkStart w:id="58" w:name="ver_1680481"/>
      <w:bookmarkEnd w:id="58"/>
    </w:p>
    <w:p w14:paraId="6904118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48.</w:t>
      </w:r>
      <w:r w:rsidRPr="00C2708D">
        <w:rPr>
          <w:rFonts w:eastAsia="Times New Roman"/>
          <w:i/>
          <w:iCs/>
          <w:color w:val="000000"/>
          <w:lang w:val="es-CO" w:eastAsia="es-CO"/>
        </w:rPr>
        <w:t> Impuesto social a las armas y municiones.</w:t>
      </w:r>
      <w:r w:rsidRPr="00C2708D">
        <w:rPr>
          <w:rFonts w:eastAsia="Times New Roman"/>
          <w:color w:val="000000"/>
          <w:lang w:val="es-CO" w:eastAsia="es-CO"/>
        </w:rPr>
        <w:t> Modifíquese el artículo 224 de la Ley 100 de 1993, el cual quedará de la siguiente manera: </w:t>
      </w:r>
    </w:p>
    <w:p w14:paraId="5C20EDA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64A5E2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224. </w:t>
      </w:r>
      <w:r w:rsidRPr="00C2708D">
        <w:rPr>
          <w:rFonts w:eastAsia="Times New Roman"/>
          <w:i/>
          <w:iCs/>
          <w:color w:val="000000"/>
          <w:lang w:val="es-CO" w:eastAsia="es-CO"/>
        </w:rPr>
        <w:t>Impuesto social a las armas y municiones.</w:t>
      </w:r>
      <w:r w:rsidRPr="00C2708D">
        <w:rPr>
          <w:rFonts w:eastAsia="Times New Roman"/>
          <w:color w:val="000000"/>
          <w:lang w:val="es-CO" w:eastAsia="es-CO"/>
        </w:rPr>
        <w:t xml:space="preserve"> A partir del 1° de enero de 1996, créase el impuesto social a las armas de fuego que será pagado por quienes las porten en el territorio nacional, y que será cobrado con la expedición o renovación del respectivo permiso y por el término de este. El recaudo de este impuesto se destinará al fondo de solidaridad previsto en el artículo 221 de esta ley. El impuesto tendrá un monto equivalente al 30% de un salario mínimo mensual. Igualmente, créase el impuesto social a las municiones y explosivos, que se cobrará como un impuesto ad </w:t>
      </w:r>
      <w:proofErr w:type="spellStart"/>
      <w:r w:rsidRPr="00C2708D">
        <w:rPr>
          <w:rFonts w:eastAsia="Times New Roman"/>
          <w:color w:val="000000"/>
          <w:lang w:val="es-CO" w:eastAsia="es-CO"/>
        </w:rPr>
        <w:t>valórem</w:t>
      </w:r>
      <w:proofErr w:type="spellEnd"/>
      <w:r w:rsidRPr="00C2708D">
        <w:rPr>
          <w:rFonts w:eastAsia="Times New Roman"/>
          <w:color w:val="000000"/>
          <w:lang w:val="es-CO" w:eastAsia="es-CO"/>
        </w:rPr>
        <w:t xml:space="preserve"> con una tasa del 20%. El gobierno reglamentará los mecanismos de pago y el uso de estos recursos: el Plan de Beneficios, los beneficiarios y los procedimientos necesarios para su operación. </w:t>
      </w:r>
    </w:p>
    <w:p w14:paraId="1E0A343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881F12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Se exceptúan de este impuesto las armas de fuego y municiones y explosivos que posean las Fuerzas Armadas y de Policía y las entidades de seguridad del Estado". </w:t>
      </w:r>
    </w:p>
    <w:p w14:paraId="7C0E4B52" w14:textId="77777777" w:rsidR="00C2708D" w:rsidRPr="00C2708D" w:rsidRDefault="00C2708D" w:rsidP="00CE4017">
      <w:pPr>
        <w:widowControl/>
        <w:autoSpaceDE/>
        <w:autoSpaceDN/>
        <w:jc w:val="both"/>
        <w:rPr>
          <w:rFonts w:eastAsia="Times New Roman"/>
          <w:color w:val="000000"/>
          <w:lang w:val="es-CO" w:eastAsia="es-CO"/>
        </w:rPr>
      </w:pPr>
      <w:bookmarkStart w:id="59" w:name="ver_1680482"/>
      <w:bookmarkEnd w:id="59"/>
    </w:p>
    <w:p w14:paraId="4B6C924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49.</w:t>
      </w:r>
      <w:r w:rsidRPr="00C2708D">
        <w:rPr>
          <w:rFonts w:eastAsia="Times New Roman"/>
          <w:i/>
          <w:iCs/>
          <w:color w:val="000000"/>
          <w:lang w:val="es-CO" w:eastAsia="es-CO"/>
        </w:rPr>
        <w:t> Recursos destinados para el Régimen Subsidiado por departamentos, distritos y municipios</w:t>
      </w:r>
      <w:r w:rsidRPr="00C2708D">
        <w:rPr>
          <w:rFonts w:eastAsia="Times New Roman"/>
          <w:color w:val="000000"/>
          <w:lang w:val="es-CO" w:eastAsia="es-CO"/>
        </w:rPr>
        <w:t>. Los montos de recursos que las entidades territoriales venían aportando para financiar la salud en su territorio no podrán disminuir salvo que se acredite, ante el Ministerio de la Protección Social, que está debidamente asegurada el 100% de la población o por insuficiencia financiera. </w:t>
      </w:r>
    </w:p>
    <w:p w14:paraId="1F34B9F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4CFCC9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pago de la Unidad de Pago por Capitación subsidiada para toda la población de los niveles 1 y 2 del Sisbén y otra elegible no afiliada al Régimen Contributivo tendrá prioridad sobre cualquier otro gasto en salud. Asegurado el 100% de esta población, podrán destinarse los recursos con esa destinación para financiar cualquier otro concepto de salud. </w:t>
      </w:r>
    </w:p>
    <w:p w14:paraId="72E99B9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702FA0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Parágrafo. A más tardar el primero de enero de 2012, el Fondo de Solidaridad y Garantía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cancelará las obligaciones a su cargo causadas a la fecha de expedición de la presente ley y que cumpla con los requisitos definidos para estos efectos. </w:t>
      </w:r>
    </w:p>
    <w:p w14:paraId="183E8FE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3241F1C" w14:textId="77777777" w:rsidR="00C2708D" w:rsidRPr="00C2708D" w:rsidRDefault="00C2708D" w:rsidP="00CE4017">
      <w:pPr>
        <w:widowControl/>
        <w:autoSpaceDE/>
        <w:autoSpaceDN/>
        <w:jc w:val="both"/>
        <w:rPr>
          <w:rFonts w:eastAsia="Times New Roman"/>
          <w:color w:val="000000"/>
          <w:lang w:val="es-CO" w:eastAsia="es-CO"/>
        </w:rPr>
      </w:pPr>
      <w:bookmarkStart w:id="60" w:name="ver_30221181"/>
      <w:bookmarkStart w:id="61" w:name="ver_1680483"/>
      <w:bookmarkStart w:id="62" w:name="ver_30164051"/>
      <w:bookmarkStart w:id="63" w:name="ver_30221155"/>
      <w:bookmarkStart w:id="64" w:name="ver_30221177"/>
      <w:bookmarkEnd w:id="60"/>
    </w:p>
    <w:p w14:paraId="0BCA4EDD" w14:textId="41C559D4"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50.Fondo de Salvamento y Garantías para el Sector Salud (</w:t>
      </w:r>
      <w:proofErr w:type="spellStart"/>
      <w:r w:rsidRPr="00C2708D">
        <w:rPr>
          <w:rFonts w:eastAsia="Times New Roman"/>
          <w:color w:val="000000"/>
          <w:lang w:val="es-CO" w:eastAsia="es-CO"/>
        </w:rPr>
        <w:t>Fonsaet</w:t>
      </w:r>
      <w:proofErr w:type="spellEnd"/>
      <w:r w:rsidRPr="00C2708D">
        <w:rPr>
          <w:rFonts w:eastAsia="Times New Roman"/>
          <w:color w:val="000000"/>
          <w:lang w:val="es-CO" w:eastAsia="es-CO"/>
        </w:rPr>
        <w:t>). Créase el Fondo de Garantías para el sector Salud (</w:t>
      </w:r>
      <w:proofErr w:type="spellStart"/>
      <w:r w:rsidRPr="00C2708D">
        <w:rPr>
          <w:rFonts w:eastAsia="Times New Roman"/>
          <w:color w:val="000000"/>
          <w:lang w:val="es-CO" w:eastAsia="es-CO"/>
        </w:rPr>
        <w:t>Fonsaet</w:t>
      </w:r>
      <w:proofErr w:type="spellEnd"/>
      <w:r w:rsidRPr="00C2708D">
        <w:rPr>
          <w:rFonts w:eastAsia="Times New Roman"/>
          <w:color w:val="000000"/>
          <w:lang w:val="es-CO" w:eastAsia="es-CO"/>
        </w:rPr>
        <w:t>) como un fondo cuenta sin personería jurídica administrado por el Ministerio de Salud y Protección Social, cuyo objeto será asegurar el pago de las obligaciones por parte de las Empresas Sociales del Estado que se encuentren en riesgo alto o medio conforme a lo previsto en el artículo 80 de esta ley o que se encuentren intervenidas para administrar o liquidar por parte de la Superintendencia Nacional de Salud y las que adopten los programas de saneamiento fiscal y financiero con acompañamiento de la Nación. El Ministerio de Salud y Protección Social determinará el porcentaje del gasto operacional y pasivos que se financiarán con cargo a dicho Fondo.</w:t>
      </w:r>
      <w:r w:rsidRPr="00C2708D">
        <w:rPr>
          <w:rFonts w:eastAsia="Times New Roman"/>
          <w:color w:val="000000"/>
          <w:lang w:val="es-CO" w:eastAsia="es-CO"/>
        </w:rPr>
        <w:br/>
      </w:r>
      <w:r w:rsidRPr="00C2708D">
        <w:rPr>
          <w:rFonts w:eastAsia="Times New Roman"/>
          <w:color w:val="000000"/>
          <w:lang w:val="es-CO" w:eastAsia="es-CO"/>
        </w:rPr>
        <w:br/>
        <w:t>Para financiar este fondo se destinarán los siguientes recursos: hasta el 10% de los recursos que se transfieren para oferta con recursos del Sistema General de Participaciones para Salud y los excedentes de los recursos destinados para salud de la Ley 1393 de 2010, que sea recaudado directamente por la Nación. Este fondo podrá comprar o comercializar la cartera de las Instituciones Prestadoras de Servicios de Salud Públicas, independiente del riesgo financiero en el que se encuentre la Institución. La compra de cartera de las EPS no exonerará su responsabilidad administrativa y financiera frente a la deuda comprada y el fondo exigirá garantía real para soportar la deuda.</w:t>
      </w:r>
      <w:r w:rsidRPr="00C2708D">
        <w:rPr>
          <w:rFonts w:eastAsia="Times New Roman"/>
          <w:color w:val="000000"/>
          <w:lang w:val="es-CO" w:eastAsia="es-CO"/>
        </w:rPr>
        <w:br/>
      </w:r>
      <w:r w:rsidRPr="00C2708D">
        <w:rPr>
          <w:rFonts w:eastAsia="Times New Roman"/>
          <w:color w:val="000000"/>
          <w:lang w:val="es-CO" w:eastAsia="es-CO"/>
        </w:rPr>
        <w:br/>
      </w:r>
      <w:r w:rsidRPr="00C2708D">
        <w:rPr>
          <w:rFonts w:eastAsia="Times New Roman"/>
          <w:color w:val="000000"/>
          <w:lang w:val="es-CO" w:eastAsia="es-CO"/>
        </w:rPr>
        <w:br/>
        <w:t>Para los anteriores efectos, los términos y condiciones para la administración del fondo los establecerá el Gobierno Nacional. </w:t>
      </w:r>
    </w:p>
    <w:p w14:paraId="4B13FEB8" w14:textId="77777777" w:rsidR="00CE4017" w:rsidRPr="00C2708D" w:rsidRDefault="00CE4017" w:rsidP="00CE4017">
      <w:pPr>
        <w:widowControl/>
        <w:autoSpaceDE/>
        <w:autoSpaceDN/>
        <w:jc w:val="both"/>
        <w:rPr>
          <w:rFonts w:eastAsia="Times New Roman"/>
          <w:color w:val="000000"/>
          <w:lang w:val="es-CO" w:eastAsia="es-CO"/>
        </w:rPr>
      </w:pPr>
    </w:p>
    <w:p w14:paraId="6B403805" w14:textId="30CEACF8"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saldos, remanentes, rendimientos, recursos no distribuidos por parte del departamento o distrito y los recursos de la última doceava de la vigencia 2019 del FONSAET, podrán ser utilizados en la financiación de la inversión en dotación de equipamiento biomédico y en gastos de la operación corriente de las Empresas Sociales del Estado, necesarios para la atención de la población afectada por el Coronavirus COVID-19. Los departamentos y distritos priorizarán las empresas sociales del estado beneficiarías de estos recursos, de acuerdo con la necesidad del territorio, sin que se requiera estar categorizada en riesgo medio o alto.</w:t>
      </w:r>
      <w:r w:rsidRPr="00C2708D">
        <w:rPr>
          <w:rFonts w:eastAsia="Times New Roman"/>
          <w:color w:val="000000"/>
          <w:lang w:val="es-CO" w:eastAsia="es-CO"/>
        </w:rPr>
        <w:br/>
      </w:r>
      <w:r w:rsidRPr="00C2708D">
        <w:rPr>
          <w:rFonts w:eastAsia="Times New Roman"/>
          <w:color w:val="000000"/>
          <w:lang w:val="es-CO" w:eastAsia="es-CO"/>
        </w:rPr>
        <w:br/>
        <w:t>La Dirección de Prestación de Servicios y Atención Primaria del Ministerio de Salud y Protección Social, adoptará los lineamientos que se deben seguir por parte de las entidades territoriales y las empresas sociales del estado para el uso de los recursos.</w:t>
      </w:r>
      <w:r w:rsidRPr="00C2708D">
        <w:rPr>
          <w:rFonts w:eastAsia="Times New Roman"/>
          <w:color w:val="000000"/>
          <w:lang w:val="es-CO" w:eastAsia="es-CO"/>
        </w:rPr>
        <w:br/>
      </w:r>
      <w:r w:rsidRPr="00C2708D">
        <w:rPr>
          <w:rFonts w:eastAsia="Times New Roman"/>
          <w:color w:val="000000"/>
          <w:lang w:val="es-CO" w:eastAsia="es-CO"/>
        </w:rPr>
        <w:br/>
        <w:t>Los recursos que se encuentren disponibles en el Fondo de Salvamento y Garantías para el Sector Salud - FONSAET- deberán ser asignados y distribuidos por el Ministerio de Salud y Protección Social a las Empresas Sociales del Estado sin que se requiera estar categorizada en riesgo medio o alto, con el fin de garantizar la prestación de servicios de salud de la población afectada por causa de la emergencia derivada de la Pandemia de COVID-19.</w:t>
      </w:r>
      <w:r w:rsidRPr="00C2708D">
        <w:rPr>
          <w:rFonts w:eastAsia="Times New Roman"/>
          <w:color w:val="000000"/>
          <w:lang w:val="es-CO" w:eastAsia="es-CO"/>
        </w:rPr>
        <w:br/>
      </w:r>
      <w:r w:rsidRPr="00C2708D">
        <w:rPr>
          <w:rFonts w:eastAsia="Times New Roman"/>
          <w:color w:val="000000"/>
          <w:lang w:val="es-CO" w:eastAsia="es-CO"/>
        </w:rPr>
        <w:br/>
        <w:t>Para la ejecución de los recursos, las Empresas Sociales del Estado deberán contratar directamente un encargo fiduciario de administración y pagos con una fiducia pública del orden nacional.</w:t>
      </w:r>
      <w:r w:rsidRPr="00C2708D">
        <w:rPr>
          <w:rFonts w:eastAsia="Times New Roman"/>
          <w:color w:val="000000"/>
          <w:lang w:val="es-CO" w:eastAsia="es-CO"/>
        </w:rPr>
        <w:br/>
      </w:r>
      <w:r w:rsidRPr="00C2708D">
        <w:rPr>
          <w:rFonts w:eastAsia="Times New Roman"/>
          <w:color w:val="000000"/>
          <w:lang w:val="es-CO" w:eastAsia="es-CO"/>
        </w:rPr>
        <w:lastRenderedPageBreak/>
        <w:br/>
        <w:t>Parágrafo 1°. La facturación de las Entidades Promotoras de Salud y las Instituciones Prestadoras de Salud deberá ajustarse en todos los aspectos a los requisitos fijados por el Estatuto Tributario y la Ley 1231 de 2008.</w:t>
      </w:r>
      <w:r w:rsidRPr="00C2708D">
        <w:rPr>
          <w:rFonts w:eastAsia="Times New Roman"/>
          <w:color w:val="000000"/>
          <w:lang w:val="es-CO" w:eastAsia="es-CO"/>
        </w:rPr>
        <w:br/>
      </w:r>
      <w:r w:rsidRPr="00C2708D">
        <w:rPr>
          <w:rFonts w:eastAsia="Times New Roman"/>
          <w:color w:val="000000"/>
          <w:lang w:val="es-CO" w:eastAsia="es-CO"/>
        </w:rPr>
        <w:br/>
        <w:t>Parágrafo 2°. Tendrán prelación para acceder a los recursos que trata el presente artículo las Empresas Sociales del Estado que no hayan recibido recursos con anterioridad de este Fondo.</w:t>
      </w:r>
      <w:r w:rsidRPr="00C2708D">
        <w:rPr>
          <w:rFonts w:eastAsia="Times New Roman"/>
          <w:color w:val="000000"/>
          <w:lang w:val="es-CO" w:eastAsia="es-CO"/>
        </w:rPr>
        <w:br/>
      </w:r>
      <w:r w:rsidRPr="00C2708D">
        <w:rPr>
          <w:rFonts w:eastAsia="Times New Roman"/>
          <w:color w:val="000000"/>
          <w:lang w:val="es-CO" w:eastAsia="es-CO"/>
        </w:rPr>
        <w:br/>
        <w:t>En todo caso, el pago de la operación, por parte de las Entidades Promotoras de Salud, deberá darse en un término máximo de un (1) año. </w:t>
      </w:r>
    </w:p>
    <w:p w14:paraId="42EA3648" w14:textId="01FE24F2"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65" w:name="ver_1680484"/>
      <w:bookmarkEnd w:id="61"/>
      <w:bookmarkEnd w:id="62"/>
      <w:bookmarkEnd w:id="63"/>
      <w:bookmarkEnd w:id="64"/>
      <w:bookmarkEnd w:id="65"/>
    </w:p>
    <w:p w14:paraId="2E3132DC"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51. </w:t>
      </w:r>
      <w:r w:rsidRPr="00C2708D">
        <w:rPr>
          <w:rFonts w:eastAsia="Times New Roman"/>
          <w:i/>
          <w:iCs/>
          <w:color w:val="000000"/>
          <w:lang w:val="es-CO" w:eastAsia="es-CO"/>
        </w:rPr>
        <w:t>Retención en la fuente de aportes al Sistema de Seguridad Social en Salud</w:t>
      </w:r>
      <w:r w:rsidRPr="00C2708D">
        <w:rPr>
          <w:rFonts w:eastAsia="Times New Roman"/>
          <w:color w:val="000000"/>
          <w:lang w:val="es-CO" w:eastAsia="es-CO"/>
        </w:rPr>
        <w:t>. Establézcase un sistema de retención en la fuente de aportes al Sistema General de Seguridad Social en Salud y establézcanse los instrumentos para realizar la retención en la fuente para el pago de la cotización en seguridad social en salud, de las personas naturales y empresas unipersonales o sociedades por acciones simplificada, como mecanismo que evite la evasión y la elusión, tomando como base los conceptos constitutivos vigentes del Ingreso Base de Cotización. El agente retenedor girará los recursos al encargado del recaudo de los aportes, de conformidad con el reglamento. </w:t>
      </w:r>
    </w:p>
    <w:p w14:paraId="3078FF6F" w14:textId="77777777" w:rsidR="00C2708D" w:rsidRPr="00C2708D" w:rsidRDefault="00C2708D" w:rsidP="00CE4017">
      <w:pPr>
        <w:widowControl/>
        <w:autoSpaceDE/>
        <w:autoSpaceDN/>
        <w:jc w:val="both"/>
        <w:rPr>
          <w:rFonts w:eastAsia="Times New Roman"/>
          <w:color w:val="000000"/>
          <w:lang w:val="es-CO" w:eastAsia="es-CO"/>
        </w:rPr>
      </w:pPr>
    </w:p>
    <w:p w14:paraId="2CEC132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retención en la fuente prevista en el presente artículo se podrá extender a los demás aportes del sistema de seguridad social. </w:t>
      </w:r>
    </w:p>
    <w:p w14:paraId="77A8749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48ED859" w14:textId="03CE8448" w:rsidR="00C2708D" w:rsidRDefault="00C2708D" w:rsidP="00CE4017">
      <w:pPr>
        <w:widowControl/>
        <w:autoSpaceDE/>
        <w:autoSpaceDN/>
        <w:jc w:val="center"/>
        <w:rPr>
          <w:rFonts w:eastAsia="Times New Roman"/>
          <w:b/>
          <w:bCs/>
          <w:color w:val="000000"/>
          <w:lang w:val="es-CO" w:eastAsia="es-CO"/>
        </w:rPr>
      </w:pPr>
      <w:bookmarkStart w:id="66" w:name="ver_30027937"/>
      <w:bookmarkEnd w:id="66"/>
      <w:r w:rsidRPr="00C2708D">
        <w:rPr>
          <w:rFonts w:eastAsia="Times New Roman"/>
          <w:b/>
          <w:bCs/>
          <w:color w:val="000000"/>
          <w:lang w:val="es-CO" w:eastAsia="es-CO"/>
        </w:rPr>
        <w:t>TÍTULO VI</w:t>
      </w:r>
    </w:p>
    <w:p w14:paraId="24B57DFF" w14:textId="77777777" w:rsidR="00CE4017" w:rsidRPr="00C2708D" w:rsidRDefault="00CE4017" w:rsidP="00CE4017">
      <w:pPr>
        <w:widowControl/>
        <w:autoSpaceDE/>
        <w:autoSpaceDN/>
        <w:jc w:val="center"/>
        <w:rPr>
          <w:rFonts w:eastAsia="Times New Roman"/>
          <w:b/>
          <w:bCs/>
          <w:color w:val="000000"/>
          <w:lang w:val="es-CO" w:eastAsia="es-CO"/>
        </w:rPr>
      </w:pPr>
    </w:p>
    <w:p w14:paraId="470E870D"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DE LA PRESTACIÓN DE SERVICIOS DE SALUD</w:t>
      </w:r>
    </w:p>
    <w:p w14:paraId="226F9F08" w14:textId="77777777" w:rsidR="00CE4017" w:rsidRDefault="00CE4017" w:rsidP="00CE4017">
      <w:pPr>
        <w:widowControl/>
        <w:autoSpaceDE/>
        <w:autoSpaceDN/>
        <w:jc w:val="center"/>
        <w:rPr>
          <w:rFonts w:eastAsia="Times New Roman"/>
          <w:b/>
          <w:bCs/>
          <w:color w:val="000000"/>
          <w:lang w:val="es-CO" w:eastAsia="es-CO"/>
        </w:rPr>
      </w:pPr>
      <w:bookmarkStart w:id="67" w:name="ver_30027938"/>
      <w:bookmarkEnd w:id="67"/>
    </w:p>
    <w:p w14:paraId="135FEAD2" w14:textId="2F34B539" w:rsid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CAPÍTULO I</w:t>
      </w:r>
    </w:p>
    <w:p w14:paraId="141911D8" w14:textId="77777777" w:rsidR="00CE4017" w:rsidRPr="00C2708D" w:rsidRDefault="00CE4017" w:rsidP="00CE4017">
      <w:pPr>
        <w:widowControl/>
        <w:autoSpaceDE/>
        <w:autoSpaceDN/>
        <w:jc w:val="center"/>
        <w:rPr>
          <w:rFonts w:eastAsia="Times New Roman"/>
          <w:b/>
          <w:bCs/>
          <w:color w:val="000000"/>
          <w:lang w:val="es-CO" w:eastAsia="es-CO"/>
        </w:rPr>
      </w:pPr>
    </w:p>
    <w:p w14:paraId="61C03FBF"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Disposiciones generales</w:t>
      </w:r>
    </w:p>
    <w:p w14:paraId="275A6AD7" w14:textId="77777777" w:rsidR="00C2708D" w:rsidRPr="00C2708D" w:rsidRDefault="00C2708D" w:rsidP="00CE4017">
      <w:pPr>
        <w:widowControl/>
        <w:autoSpaceDE/>
        <w:autoSpaceDN/>
        <w:jc w:val="both"/>
        <w:rPr>
          <w:rFonts w:eastAsia="Times New Roman"/>
          <w:color w:val="000000"/>
          <w:lang w:val="es-CO" w:eastAsia="es-CO"/>
        </w:rPr>
      </w:pPr>
      <w:bookmarkStart w:id="68" w:name="ver_1680485"/>
      <w:bookmarkEnd w:id="68"/>
    </w:p>
    <w:p w14:paraId="52C1758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52.</w:t>
      </w:r>
      <w:r w:rsidRPr="00C2708D">
        <w:rPr>
          <w:rFonts w:eastAsia="Times New Roman"/>
          <w:i/>
          <w:iCs/>
          <w:color w:val="000000"/>
          <w:lang w:val="es-CO" w:eastAsia="es-CO"/>
        </w:rPr>
        <w:t> Contratación por capitación.</w:t>
      </w:r>
      <w:r w:rsidRPr="00C2708D">
        <w:rPr>
          <w:rFonts w:eastAsia="Times New Roman"/>
          <w:color w:val="000000"/>
          <w:lang w:val="es-CO" w:eastAsia="es-CO"/>
        </w:rPr>
        <w:t> Se establecen las siguientes reglas aplicables en la suscripción de contratos de pago por capitación de las Entidades Promotoras de Salud con los prestadores de servicios de salud: </w:t>
      </w:r>
    </w:p>
    <w:p w14:paraId="62C6711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1ED704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52.1 Sólo se podrá contratar la prestación de servicios por el mecanismo de pago por capitación para los servicios de baja complejidad, siempre y cuando el prestador y el asegurador reporten con oportunidad y calidad la información de los servicios prestados objeto de la capitación. </w:t>
      </w:r>
    </w:p>
    <w:p w14:paraId="3CF8FD0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70EE59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52.2 La capitación no libera a las Entidades Promotoras de Salud de su responsabilidad por el servicio ni de la gestión del riesgo. </w:t>
      </w:r>
    </w:p>
    <w:p w14:paraId="518B47C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74D2FF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52.3 La contratación por capitación de las actividades de prevención y promoción, las intervenciones de protección específica, detección temprana y atención de las enfermedades de interés en salud pública, se deberá hacer con fundamento en indicadores y evaluación de resultados en salud. </w:t>
      </w:r>
    </w:p>
    <w:p w14:paraId="17355FE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5AC3C70"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Parágrafo transitorio. Se podrá hacer contratación por capitación de las actividades de prevención y promoción, sobre la base de indicadores de resultados basados en la estrategia de Atención Primaria en Salud y rendición pública de cuentas, hasta el año 2013. </w:t>
      </w:r>
      <w:bookmarkStart w:id="69" w:name="ver_1680486"/>
      <w:bookmarkEnd w:id="69"/>
    </w:p>
    <w:p w14:paraId="6B977EA2" w14:textId="77777777" w:rsidR="00C2708D" w:rsidRPr="00C2708D" w:rsidRDefault="00C2708D" w:rsidP="00CE4017">
      <w:pPr>
        <w:widowControl/>
        <w:autoSpaceDE/>
        <w:autoSpaceDN/>
        <w:jc w:val="both"/>
        <w:rPr>
          <w:rFonts w:eastAsia="Times New Roman"/>
          <w:color w:val="000000"/>
          <w:lang w:val="es-CO" w:eastAsia="es-CO"/>
        </w:rPr>
      </w:pPr>
    </w:p>
    <w:p w14:paraId="2DE2071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53. </w:t>
      </w:r>
      <w:r w:rsidRPr="00C2708D">
        <w:rPr>
          <w:rFonts w:eastAsia="Times New Roman"/>
          <w:i/>
          <w:iCs/>
          <w:color w:val="000000"/>
          <w:lang w:val="es-CO" w:eastAsia="es-CO"/>
        </w:rPr>
        <w:t>Prohibición de limitaciones al acceso.</w:t>
      </w:r>
      <w:r w:rsidRPr="00C2708D">
        <w:rPr>
          <w:rFonts w:eastAsia="Times New Roman"/>
          <w:color w:val="000000"/>
          <w:lang w:val="es-CO" w:eastAsia="es-CO"/>
        </w:rPr>
        <w:t> Están prohibidos aquellos mecanismos de pago, de contratación de servicios, acuerdos o políticas internas que limiten el acceso al servicio de salud o que restrinjan su continuidad, oportunidad, calidad o que propicien la fragmentación en la atención de los usuarios. </w:t>
      </w:r>
    </w:p>
    <w:p w14:paraId="4D67EB7C" w14:textId="23689A8E"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70" w:name="ver_30194297"/>
      <w:bookmarkStart w:id="71" w:name="ver_1680487"/>
      <w:bookmarkStart w:id="72" w:name="ver_30164052"/>
      <w:bookmarkEnd w:id="70"/>
    </w:p>
    <w:p w14:paraId="72EA9BCF" w14:textId="20CE3F8C"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Artículo 53 </w:t>
      </w:r>
      <w:proofErr w:type="spellStart"/>
      <w:r w:rsidRPr="00C2708D">
        <w:rPr>
          <w:rFonts w:eastAsia="Times New Roman"/>
          <w:color w:val="000000"/>
          <w:lang w:val="es-CO" w:eastAsia="es-CO"/>
        </w:rPr>
        <w:t>A.</w:t>
      </w:r>
      <w:r w:rsidRPr="00C2708D">
        <w:rPr>
          <w:rFonts w:eastAsia="Times New Roman"/>
          <w:i/>
          <w:iCs/>
          <w:color w:val="000000"/>
          <w:lang w:val="es-CO" w:eastAsia="es-CO"/>
        </w:rPr>
        <w:t>Medidas</w:t>
      </w:r>
      <w:proofErr w:type="spellEnd"/>
      <w:r w:rsidRPr="00C2708D">
        <w:rPr>
          <w:rFonts w:eastAsia="Times New Roman"/>
          <w:i/>
          <w:iCs/>
          <w:color w:val="000000"/>
          <w:lang w:val="es-CO" w:eastAsia="es-CO"/>
        </w:rPr>
        <w:t xml:space="preserve"> de protección en salud. </w:t>
      </w:r>
      <w:r w:rsidRPr="00C2708D">
        <w:rPr>
          <w:rFonts w:eastAsia="Times New Roman"/>
          <w:color w:val="000000"/>
          <w:lang w:val="es-CO" w:eastAsia="es-CO"/>
        </w:rPr>
        <w:t> Cuando las lesiones personales sean causadas por el uso de cualquier tipo de ácidos o sustancia similar o corrosiva, o por cualquier elemento que generen daño o destrucción al entrar o tener contacto con el tejido humano y generen algún tipo de deformidad o disfuncionalidad, los servicios, tratamientos médicos y psicológicos, procedimientos e intervenciones necesarias para restituir la fisionomía y funcionalidad de las zonas afectadas, no tendrán costo alguno y serán a cargo del Estado, agotando en primera instancia los cargos que procedan a pólizas de salud, medicina prepagada o al Sistema General de Seguridad Social en Salud, sin que ello, implique ningún gasto ni erogación económica a cargo de la víctima o sus familiares. </w:t>
      </w:r>
    </w:p>
    <w:p w14:paraId="2D6841D2" w14:textId="77777777" w:rsidR="00C2708D" w:rsidRPr="00C2708D" w:rsidRDefault="00C2708D" w:rsidP="00CE4017">
      <w:pPr>
        <w:widowControl/>
        <w:autoSpaceDE/>
        <w:autoSpaceDN/>
        <w:jc w:val="both"/>
        <w:rPr>
          <w:rFonts w:eastAsia="Times New Roman"/>
          <w:color w:val="000000"/>
          <w:lang w:val="es-CO" w:eastAsia="es-CO"/>
        </w:rPr>
      </w:pPr>
    </w:p>
    <w:p w14:paraId="13B1E53E"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Ministerio de Salud garantizará el acceso a los insumos, procedimientos y tecnologías que el médico tratante o especialista requiera para atender oportunamente a una víctima de ataque con sustancias o agentes químicos corrosivos a la piel. </w:t>
      </w:r>
    </w:p>
    <w:p w14:paraId="2AB427BC" w14:textId="77777777" w:rsidR="00C2708D" w:rsidRPr="00C2708D" w:rsidRDefault="00C2708D" w:rsidP="00CE4017">
      <w:pPr>
        <w:widowControl/>
        <w:autoSpaceDE/>
        <w:autoSpaceDN/>
        <w:jc w:val="both"/>
        <w:rPr>
          <w:rFonts w:eastAsia="Times New Roman"/>
          <w:color w:val="000000"/>
          <w:lang w:val="es-CO" w:eastAsia="es-CO"/>
        </w:rPr>
      </w:pPr>
    </w:p>
    <w:p w14:paraId="5C651137"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1°. Los prestadores de los servicios médicos tienen la obligación de llevar un registro y reportar a las autoridades competentes sobre las personas atendidas en casos de lesiones corporales causadas por ácidos o sustancia similar o corrosiva que generen daño o destrucción al entrar en contacto con el tejido humano. En cualquier momento la policía o las autoridades competentes podrán solicitar el registro correspondiente a los prestadores de los servicios de salud. </w:t>
      </w:r>
    </w:p>
    <w:p w14:paraId="2C52547B" w14:textId="77777777" w:rsidR="00C2708D" w:rsidRPr="00C2708D" w:rsidRDefault="00C2708D" w:rsidP="00CE4017">
      <w:pPr>
        <w:widowControl/>
        <w:autoSpaceDE/>
        <w:autoSpaceDN/>
        <w:jc w:val="both"/>
        <w:rPr>
          <w:rFonts w:eastAsia="Times New Roman"/>
          <w:color w:val="000000"/>
          <w:lang w:val="es-CO" w:eastAsia="es-CO"/>
        </w:rPr>
      </w:pPr>
    </w:p>
    <w:p w14:paraId="6D7FC2EE"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2°. La EPS o la entidad que ejerza sus funciones garantizarán al afiliado en menos de 24 horas todo lo solicitado por el médico tratante para su atención, desde insumos, procedimientos médicos y tratamientos alternos, a partir del momento en que es solicitado por el profesional médico, sin perjuicio de la etapa del proceso en que el paciente se encuentre. </w:t>
      </w:r>
    </w:p>
    <w:p w14:paraId="596612E7" w14:textId="77777777" w:rsidR="00C2708D" w:rsidRPr="00C2708D" w:rsidRDefault="00C2708D" w:rsidP="00CE4017">
      <w:pPr>
        <w:widowControl/>
        <w:autoSpaceDE/>
        <w:autoSpaceDN/>
        <w:jc w:val="both"/>
        <w:rPr>
          <w:rFonts w:eastAsia="Times New Roman"/>
          <w:color w:val="000000"/>
          <w:lang w:val="es-CO" w:eastAsia="es-CO"/>
        </w:rPr>
      </w:pPr>
    </w:p>
    <w:p w14:paraId="3BF01E3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3°. Por ningún motivo la EPS o la entidad que ejerza sus funciones podrán suspender el tratamiento, negar procedimientos, o retrasarlos. El Ministerio de Salud verificará que las EPS o la entidad que ejerza sus funciones garanticen las condiciones de continuidad de todo el tratamiento incluidos procedimientos ordinarios y alternos, avalados y supervisados desde las unidades de quemados del país. </w:t>
      </w:r>
    </w:p>
    <w:p w14:paraId="05C49002" w14:textId="77777777" w:rsidR="00C2708D" w:rsidRPr="00C2708D" w:rsidRDefault="00C2708D" w:rsidP="00CE4017">
      <w:pPr>
        <w:widowControl/>
        <w:autoSpaceDE/>
        <w:autoSpaceDN/>
        <w:jc w:val="both"/>
        <w:rPr>
          <w:rFonts w:eastAsia="Times New Roman"/>
          <w:color w:val="000000"/>
          <w:lang w:val="es-CO" w:eastAsia="es-CO"/>
        </w:rPr>
      </w:pPr>
      <w:bookmarkStart w:id="73" w:name="ver_1680488"/>
      <w:bookmarkEnd w:id="71"/>
      <w:bookmarkEnd w:id="72"/>
      <w:bookmarkEnd w:id="73"/>
    </w:p>
    <w:p w14:paraId="60D556A5"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54.</w:t>
      </w:r>
      <w:r w:rsidRPr="00C2708D">
        <w:rPr>
          <w:rFonts w:eastAsia="Times New Roman"/>
          <w:i/>
          <w:iCs/>
          <w:color w:val="000000"/>
          <w:lang w:val="es-CO" w:eastAsia="es-CO"/>
        </w:rPr>
        <w:t> </w:t>
      </w:r>
      <w:proofErr w:type="spellStart"/>
      <w:r w:rsidRPr="00C2708D">
        <w:rPr>
          <w:rFonts w:eastAsia="Times New Roman"/>
          <w:i/>
          <w:iCs/>
          <w:color w:val="000000"/>
          <w:lang w:val="es-CO" w:eastAsia="es-CO"/>
        </w:rPr>
        <w:t>Restablecimientode</w:t>
      </w:r>
      <w:proofErr w:type="spellEnd"/>
      <w:r w:rsidRPr="00C2708D">
        <w:rPr>
          <w:rFonts w:eastAsia="Times New Roman"/>
          <w:i/>
          <w:iCs/>
          <w:color w:val="000000"/>
          <w:lang w:val="es-CO" w:eastAsia="es-CO"/>
        </w:rPr>
        <w:t xml:space="preserve"> la salud de las mujeres v</w:t>
      </w:r>
      <w:r w:rsidRPr="00C2708D">
        <w:rPr>
          <w:rFonts w:eastAsia="Times New Roman"/>
          <w:color w:val="000000"/>
          <w:lang w:val="es-CO" w:eastAsia="es-CO"/>
        </w:rPr>
        <w:t>í</w:t>
      </w:r>
      <w:r w:rsidRPr="00C2708D">
        <w:rPr>
          <w:rFonts w:eastAsia="Times New Roman"/>
          <w:i/>
          <w:iCs/>
          <w:color w:val="000000"/>
          <w:lang w:val="es-CO" w:eastAsia="es-CO"/>
        </w:rPr>
        <w:t>ctimas de la violencia</w:t>
      </w:r>
      <w:r w:rsidRPr="00C2708D">
        <w:rPr>
          <w:rFonts w:eastAsia="Times New Roman"/>
          <w:color w:val="000000"/>
          <w:lang w:val="es-CO" w:eastAsia="es-CO"/>
        </w:rPr>
        <w:t>. La prestación de los servicios de salud física y mental para todas las mujeres víctimas de la violencia física o sexual, que estén certificados por la autoridad competente, no generará cobro por concepto de cuotas moderadoras, copagos u otros pagos para el acceso sin importar el régimen de afiliación. La atención por eventos de violencia física o sexual será integral, y los servicios serán prestados hasta que se certifique medicamente la recuperación de las víctimas. </w:t>
      </w:r>
    </w:p>
    <w:p w14:paraId="7369E170" w14:textId="77777777" w:rsidR="00C2708D" w:rsidRPr="00C2708D" w:rsidRDefault="00C2708D" w:rsidP="00CE4017">
      <w:pPr>
        <w:widowControl/>
        <w:autoSpaceDE/>
        <w:autoSpaceDN/>
        <w:jc w:val="both"/>
        <w:rPr>
          <w:rFonts w:eastAsia="Times New Roman"/>
          <w:color w:val="000000"/>
          <w:lang w:val="es-CO" w:eastAsia="es-CO"/>
        </w:rPr>
      </w:pPr>
    </w:p>
    <w:p w14:paraId="3FFA7C4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La prestación de servicios a las mujeres víctimas de violencias incluirá la atención psicológica y psiquiátrica y la habitación provisional en los términos de la Ley 1257 de 2008.   </w:t>
      </w:r>
    </w:p>
    <w:p w14:paraId="077F5E22" w14:textId="77777777" w:rsidR="00C2708D" w:rsidRPr="00C2708D" w:rsidRDefault="00C2708D" w:rsidP="00CE4017">
      <w:pPr>
        <w:widowControl/>
        <w:autoSpaceDE/>
        <w:autoSpaceDN/>
        <w:jc w:val="both"/>
        <w:rPr>
          <w:rFonts w:eastAsia="Times New Roman"/>
          <w:color w:val="000000"/>
          <w:lang w:val="es-CO" w:eastAsia="es-CO"/>
        </w:rPr>
      </w:pPr>
      <w:bookmarkStart w:id="74" w:name="ver_1680489"/>
      <w:bookmarkEnd w:id="74"/>
    </w:p>
    <w:p w14:paraId="3C4AEEC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55.</w:t>
      </w:r>
      <w:r w:rsidRPr="00C2708D">
        <w:rPr>
          <w:rFonts w:eastAsia="Times New Roman"/>
          <w:i/>
          <w:iCs/>
          <w:color w:val="000000"/>
          <w:lang w:val="es-CO" w:eastAsia="es-CO"/>
        </w:rPr>
        <w:t> Multas por inasistencia en las citas médicas.</w:t>
      </w:r>
      <w:r w:rsidRPr="00C2708D">
        <w:rPr>
          <w:rFonts w:eastAsia="Times New Roman"/>
          <w:color w:val="000000"/>
          <w:lang w:val="es-CO" w:eastAsia="es-CO"/>
        </w:rPr>
        <w:t> Entrada en vigencia esta ley queda prohibido el cobro de cualquier tipo de multas a los cotizantes y beneficiarios de los regímenes contributivo y subsidiado, así como la población vinculada, en lo establecido para citas médicas programadas, para lo cual el Ministerio de la Protección Social diseñará un mecanismo idóneo para su respectivo cumplimiento, esto es ser sancionado pedagógicamente, mediante método de recursos capacitación que deberán ser diseñados por las Entidades Promotoras de Salud para tal fin. </w:t>
      </w:r>
    </w:p>
    <w:p w14:paraId="21B648FE" w14:textId="77777777" w:rsidR="00C2708D" w:rsidRPr="00C2708D" w:rsidRDefault="00C2708D" w:rsidP="00CE4017">
      <w:pPr>
        <w:widowControl/>
        <w:autoSpaceDE/>
        <w:autoSpaceDN/>
        <w:jc w:val="both"/>
        <w:rPr>
          <w:rFonts w:eastAsia="Times New Roman"/>
          <w:color w:val="000000"/>
          <w:lang w:val="es-CO" w:eastAsia="es-CO"/>
        </w:rPr>
      </w:pPr>
      <w:bookmarkStart w:id="75" w:name="ver_1680490"/>
      <w:bookmarkEnd w:id="75"/>
    </w:p>
    <w:p w14:paraId="691AFAC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56.</w:t>
      </w:r>
      <w:r w:rsidRPr="00C2708D">
        <w:rPr>
          <w:rFonts w:eastAsia="Times New Roman"/>
          <w:i/>
          <w:iCs/>
          <w:color w:val="000000"/>
          <w:lang w:val="es-CO" w:eastAsia="es-CO"/>
        </w:rPr>
        <w:t> Pagos a los prestadores de servicios de salud.</w:t>
      </w:r>
      <w:r w:rsidRPr="00C2708D">
        <w:rPr>
          <w:rFonts w:eastAsia="Times New Roman"/>
          <w:color w:val="000000"/>
          <w:lang w:val="es-CO" w:eastAsia="es-CO"/>
        </w:rPr>
        <w:t> Las Entidades Promotoras de Salud pagarán los servicios a los prestadores de servicios de salud dentro de los plazos, condiciones, términos y porcentajes que establezca el Gobierno Nacional según el mecanismo de pago, de acuerdo con lo establecido en la Ley 1122 de 2007. </w:t>
      </w:r>
    </w:p>
    <w:p w14:paraId="4B14BC6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58D8AA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no pago dentro de los plazos causará intereses moratorios a la tasa establecida para los impuestos administrados por la Dirección de Impuestos y Aduanas Nacionales (DIAN). </w:t>
      </w:r>
    </w:p>
    <w:p w14:paraId="520CCF1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0721FB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Se prohíbe el establecimiento de la obligatoriedad de procesos de auditoría previa a la presentación de las facturas por prestación de servicios o cualquier práctica tendiente a impedir la recepción. </w:t>
      </w:r>
    </w:p>
    <w:p w14:paraId="45369DD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B5156E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entidades a que se refiere este artículo, deberán establecer mecanismos que permitan la facturación en línea de los servicios de salud, de acuerdo con los estándares que defina el Ministerio de la Protección Social. </w:t>
      </w:r>
    </w:p>
    <w:p w14:paraId="5A80D9E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C344CE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También se entienden por recibidas las facturas que hayan sido enviadas por los prestadores de servicios de salud a las Entidades Promotoras de Salud a través de correo certificado, de acuerdo a lo establecido en la Ley 1122 de 2007, sin perjuicio del cobro ejecutivo que podrán realizar los prestadores de servicios de salud a las Entidades Promotoras de Salud en caso de no cancelación de los recursos. </w:t>
      </w:r>
    </w:p>
    <w:p w14:paraId="1D773FE4" w14:textId="77777777" w:rsidR="00C2708D" w:rsidRPr="00C2708D" w:rsidRDefault="00C2708D" w:rsidP="00CE4017">
      <w:pPr>
        <w:widowControl/>
        <w:autoSpaceDE/>
        <w:autoSpaceDN/>
        <w:jc w:val="both"/>
        <w:rPr>
          <w:rFonts w:eastAsia="Times New Roman"/>
          <w:color w:val="000000"/>
          <w:lang w:val="es-CO" w:eastAsia="es-CO"/>
        </w:rPr>
      </w:pPr>
      <w:bookmarkStart w:id="76" w:name="ver_1680491"/>
      <w:bookmarkEnd w:id="76"/>
    </w:p>
    <w:p w14:paraId="02DADEF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57.</w:t>
      </w:r>
      <w:r w:rsidRPr="00C2708D">
        <w:rPr>
          <w:rFonts w:eastAsia="Times New Roman"/>
          <w:i/>
          <w:iCs/>
          <w:color w:val="000000"/>
          <w:lang w:val="es-CO" w:eastAsia="es-CO"/>
        </w:rPr>
        <w:t> Trámite de glosas</w:t>
      </w:r>
      <w:r w:rsidRPr="00C2708D">
        <w:rPr>
          <w:rFonts w:eastAsia="Times New Roman"/>
          <w:color w:val="000000"/>
          <w:lang w:val="es-CO" w:eastAsia="es-CO"/>
        </w:rPr>
        <w:t>. Las entidades responsables del pago de servicios de salud dentro de los veinte (20) días hábiles siguientes a la presentación de la factura con todos sus soportes, formularán y comunicarán a los prestadores de servicios de salud las glosas a cada factura, con base en la codificación y alcance definidos en la normatividad vigente. Una vez formuladas las glosas a una factura no se podrán formular nuevas glosas a la misma factura, salvo las que surjan de hechos nuevos detectados en la respuesta dada a la glosa inicial. </w:t>
      </w:r>
    </w:p>
    <w:p w14:paraId="21A8EBC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86AB5D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prestador de servicios de salud deberá dar respuesta a las glosas presentadas por las entidades responsables del pago de servicios de salud, dentro de los quince (15) días hábiles siguientes a su recepción, indicando su aceptación o justificando la no aceptación. La entidad responsable del pago, dentro de los diez (10) días hábiles siguientes a la recepción de la respuesta, decidirá si levanta total o parcialmente las glosas o las deja como definitivas. </w:t>
      </w:r>
    </w:p>
    <w:p w14:paraId="60CE196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DB21FC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Si cumplidos los quince (15) días hábiles, el prestador de servicios de salud considera que la glosa es subsanable, tendrá un plazo máximo de siete (7) días hábiles para subsanar la </w:t>
      </w:r>
      <w:r w:rsidRPr="00C2708D">
        <w:rPr>
          <w:rFonts w:eastAsia="Times New Roman"/>
          <w:color w:val="000000"/>
          <w:lang w:val="es-CO" w:eastAsia="es-CO"/>
        </w:rPr>
        <w:lastRenderedPageBreak/>
        <w:t>causa de las glosas no levantadas y enviar las facturas enviadas nuevamente a la entidad responsable del pago. </w:t>
      </w:r>
    </w:p>
    <w:p w14:paraId="157AAD9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E62B44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valores por las glosas levantadas total o parcialmente deberán ser cancelados dentro del mismo plazo de los cinco (5) días hábiles siguientes, a su levantamiento, informando al prestador la justificación de las glosas o su proporción, que no fueron levantadas. </w:t>
      </w:r>
    </w:p>
    <w:p w14:paraId="4BAADEA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52BDAB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Una vez vencidos los términos, y en el caso de que persista el desacuerdo se acudirá a la Superintendencia Nacional de Salud, bien sea en uso de la facultad de conciliación o jurisdiccional a elección del prestador, en los términos establecidos por la ley. </w:t>
      </w:r>
    </w:p>
    <w:p w14:paraId="2E71C37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D63ABB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Gobierno Nacional reglamentará los mecanismos para desestimular o sancionar el abuso con el trámite de glosas por parte de las entidades responsables del pago. </w:t>
      </w:r>
    </w:p>
    <w:p w14:paraId="04A9C59E" w14:textId="7EFDF201"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77" w:name="ver_30207015"/>
      <w:bookmarkStart w:id="78" w:name="ver_1680492"/>
      <w:bookmarkStart w:id="79" w:name="ver_30164050"/>
      <w:bookmarkEnd w:id="77"/>
    </w:p>
    <w:p w14:paraId="000EFB1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58. </w:t>
      </w:r>
      <w:r w:rsidRPr="00C2708D">
        <w:rPr>
          <w:rFonts w:eastAsia="Times New Roman"/>
          <w:i/>
          <w:iCs/>
          <w:color w:val="000000"/>
          <w:lang w:val="es-CO" w:eastAsia="es-CO"/>
        </w:rPr>
        <w:t>Habilitación de prestadores de servicios de salud.</w:t>
      </w:r>
      <w:r w:rsidRPr="00C2708D">
        <w:rPr>
          <w:rFonts w:eastAsia="Times New Roman"/>
          <w:color w:val="000000"/>
          <w:lang w:val="es-CO" w:eastAsia="es-CO"/>
        </w:rPr>
        <w:t> Las Entidades Promotoras de Salud, los prestadores de servicios de salud, las Administradoras de Riesgos Profesionales deberán contar con las condiciones necesarias para prestar un servicio de calidad; para tal fin los reglamentos que el Ministerio de la Protección Social expida, deberán garantizar la verificación de dichas condiciones y su periódica revisión. Las Direcciones Territoriales de Salud deberán garantizar la verificación de los servicios que lo requieran en el plazo que establezca el reglamento. La actividad de habilitación, para ser realizada oportuna y en los términos establecidos, puede ser contratada por las entidades territoriales con terceros especializados en la materia. </w:t>
      </w:r>
    </w:p>
    <w:p w14:paraId="59C3802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17B64D" w14:textId="77777777" w:rsidR="00C2708D" w:rsidRPr="00C2708D" w:rsidRDefault="00C2708D" w:rsidP="00CE4017">
      <w:pPr>
        <w:widowControl/>
        <w:autoSpaceDE/>
        <w:autoSpaceDN/>
        <w:jc w:val="both"/>
        <w:rPr>
          <w:rFonts w:eastAsia="Times New Roman"/>
          <w:color w:val="000000"/>
          <w:lang w:val="es-CO" w:eastAsia="es-CO"/>
        </w:rPr>
      </w:pPr>
      <w:proofErr w:type="spellStart"/>
      <w:r w:rsidRPr="00C2708D">
        <w:rPr>
          <w:rFonts w:eastAsia="Times New Roman"/>
          <w:color w:val="000000"/>
          <w:lang w:val="es-CO" w:eastAsia="es-CO"/>
        </w:rPr>
        <w:t>Parágrafo.Toda</w:t>
      </w:r>
      <w:proofErr w:type="spellEnd"/>
      <w:r w:rsidRPr="00C2708D">
        <w:rPr>
          <w:rFonts w:eastAsia="Times New Roman"/>
          <w:color w:val="000000"/>
          <w:lang w:val="es-CO" w:eastAsia="es-CO"/>
        </w:rPr>
        <w:t xml:space="preserve"> nueva institución prestadora de servicios de salud, los nuevos servicios de urgencias, alta complejidad y oncología, para el inicio de actividades y para que el prestador de servicios de salud pueda ofertarlos y contratar, deberán contar con verificación previa del cumplimiento de condiciones de habilitación expedida por la secretaría de salud departamental o distrital, o la entidad que tenga a cargo dichas competencias, para lo cual dispondrá de seis (6) meses desde la presentación de la solicitud.</w:t>
      </w:r>
    </w:p>
    <w:p w14:paraId="74B98B8D" w14:textId="77777777" w:rsidR="00C2708D" w:rsidRPr="00C2708D" w:rsidRDefault="00C2708D" w:rsidP="00CE4017">
      <w:pPr>
        <w:widowControl/>
        <w:autoSpaceDE/>
        <w:autoSpaceDN/>
        <w:jc w:val="both"/>
        <w:rPr>
          <w:rFonts w:eastAsia="Times New Roman"/>
          <w:color w:val="000000"/>
          <w:lang w:val="es-CO" w:eastAsia="es-CO"/>
        </w:rPr>
      </w:pPr>
      <w:bookmarkStart w:id="80" w:name="ver_1680493"/>
      <w:bookmarkEnd w:id="78"/>
      <w:bookmarkEnd w:id="79"/>
      <w:bookmarkEnd w:id="80"/>
    </w:p>
    <w:p w14:paraId="0D2B896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59. </w:t>
      </w:r>
      <w:r w:rsidRPr="00C2708D">
        <w:rPr>
          <w:rFonts w:eastAsia="Times New Roman"/>
          <w:i/>
          <w:iCs/>
          <w:color w:val="000000"/>
          <w:lang w:val="es-CO" w:eastAsia="es-CO"/>
        </w:rPr>
        <w:t>Operación con terceros.</w:t>
      </w:r>
      <w:r w:rsidRPr="00C2708D">
        <w:rPr>
          <w:rFonts w:eastAsia="Times New Roman"/>
          <w:color w:val="000000"/>
          <w:lang w:val="es-CO" w:eastAsia="es-CO"/>
        </w:rPr>
        <w:t> Las Empresas Sociales del Estado podrán desarrollar sus funciones mediante contratación con terceros, Empresas Sociales del Estado de mayor nivel de complejidad, entidades privadas o con operadores externos, previa verificación de las condiciones de habilitación conforme al sistema obligatorio de garantía en calidad. </w:t>
      </w:r>
    </w:p>
    <w:p w14:paraId="5A43CEF9" w14:textId="77777777" w:rsidR="00C2708D" w:rsidRPr="00C2708D" w:rsidRDefault="00C2708D" w:rsidP="00CE4017">
      <w:pPr>
        <w:widowControl/>
        <w:autoSpaceDE/>
        <w:autoSpaceDN/>
        <w:jc w:val="both"/>
        <w:rPr>
          <w:rFonts w:eastAsia="Times New Roman"/>
          <w:color w:val="000000"/>
          <w:lang w:val="es-CO" w:eastAsia="es-CO"/>
        </w:rPr>
      </w:pPr>
    </w:p>
    <w:p w14:paraId="7667FF05" w14:textId="6F3A07F2" w:rsidR="00C2708D" w:rsidRDefault="00C2708D" w:rsidP="00CE4017">
      <w:pPr>
        <w:widowControl/>
        <w:autoSpaceDE/>
        <w:autoSpaceDN/>
        <w:jc w:val="center"/>
        <w:rPr>
          <w:rFonts w:eastAsia="Times New Roman"/>
          <w:b/>
          <w:bCs/>
          <w:color w:val="000000"/>
          <w:lang w:val="es-CO" w:eastAsia="es-CO"/>
        </w:rPr>
      </w:pPr>
      <w:bookmarkStart w:id="81" w:name="ver_30027941"/>
      <w:bookmarkEnd w:id="81"/>
      <w:r w:rsidRPr="00C2708D">
        <w:rPr>
          <w:rFonts w:eastAsia="Times New Roman"/>
          <w:b/>
          <w:bCs/>
          <w:color w:val="000000"/>
          <w:lang w:val="es-CO" w:eastAsia="es-CO"/>
        </w:rPr>
        <w:t>CAPÍTULO II</w:t>
      </w:r>
    </w:p>
    <w:p w14:paraId="204FCB39" w14:textId="77777777" w:rsidR="00CE4017" w:rsidRPr="00C2708D" w:rsidRDefault="00CE4017" w:rsidP="00CE4017">
      <w:pPr>
        <w:widowControl/>
        <w:autoSpaceDE/>
        <w:autoSpaceDN/>
        <w:jc w:val="center"/>
        <w:rPr>
          <w:rFonts w:eastAsia="Times New Roman"/>
          <w:b/>
          <w:bCs/>
          <w:color w:val="000000"/>
          <w:lang w:val="es-CO" w:eastAsia="es-CO"/>
        </w:rPr>
      </w:pPr>
    </w:p>
    <w:p w14:paraId="0EAF577C"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Redes Integradas de Servicios de Salud</w:t>
      </w:r>
    </w:p>
    <w:p w14:paraId="77BBDC7A" w14:textId="77777777" w:rsidR="00C2708D" w:rsidRPr="00C2708D" w:rsidRDefault="00C2708D" w:rsidP="00CE4017">
      <w:pPr>
        <w:widowControl/>
        <w:autoSpaceDE/>
        <w:autoSpaceDN/>
        <w:jc w:val="both"/>
        <w:rPr>
          <w:rFonts w:eastAsia="Times New Roman"/>
          <w:color w:val="000000"/>
          <w:lang w:val="es-CO" w:eastAsia="es-CO"/>
        </w:rPr>
      </w:pPr>
      <w:bookmarkStart w:id="82" w:name="ver_1680494"/>
      <w:bookmarkEnd w:id="82"/>
    </w:p>
    <w:p w14:paraId="7D06298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60.</w:t>
      </w:r>
      <w:r w:rsidRPr="00C2708D">
        <w:rPr>
          <w:rFonts w:eastAsia="Times New Roman"/>
          <w:i/>
          <w:iCs/>
          <w:color w:val="000000"/>
          <w:lang w:val="es-CO" w:eastAsia="es-CO"/>
        </w:rPr>
        <w:t> Definición de redes integradas de servicios de salud</w:t>
      </w:r>
      <w:r w:rsidRPr="00C2708D">
        <w:rPr>
          <w:rFonts w:eastAsia="Times New Roman"/>
          <w:color w:val="000000"/>
          <w:lang w:val="es-CO" w:eastAsia="es-CO"/>
        </w:rPr>
        <w:t>. Las redes integradas de servicios de salud se definen como el conjunto de organizaciones o redes que prestan servicios o hacen acuerdos para prestar servicios de salud individuales y/o colectivos, más eficientes, equitativos, integrales, continuos a una población definida, dispuesta conforme a la demanda. </w:t>
      </w:r>
    </w:p>
    <w:p w14:paraId="1005EA3C" w14:textId="320BD689"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83" w:name="ver_1680495"/>
      <w:bookmarkEnd w:id="83"/>
    </w:p>
    <w:p w14:paraId="4DF7C45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61. </w:t>
      </w:r>
      <w:r w:rsidRPr="00C2708D">
        <w:rPr>
          <w:rFonts w:eastAsia="Times New Roman"/>
          <w:i/>
          <w:iCs/>
          <w:color w:val="000000"/>
          <w:lang w:val="es-CO" w:eastAsia="es-CO"/>
        </w:rPr>
        <w:t>De las redes integradas de servicios de salud.</w:t>
      </w:r>
      <w:r w:rsidRPr="00C2708D">
        <w:rPr>
          <w:rFonts w:eastAsia="Times New Roman"/>
          <w:color w:val="000000"/>
          <w:lang w:val="es-CO" w:eastAsia="es-CO"/>
        </w:rPr>
        <w:t> La prestación de servicios de salud dentro del Sistema General de Seguridad Social en Salud se hará a través de las redes integradas de servicios de salud ubicadas en un espacio poblacional determinado. </w:t>
      </w:r>
    </w:p>
    <w:p w14:paraId="3534B89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29B4BE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Las redes de atención que se organicen dispensarán con la suficiencia técnica, administrativa y financiera requerida, los servicios en materia de promoción de la salud, prevención de la enfermedad, diagnóstico, tratamiento, rehabilitación que demande el cumplimiento eficaz de los planes de beneficios. </w:t>
      </w:r>
    </w:p>
    <w:p w14:paraId="5ABBDA3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3AEA4F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Entidades Promotoras de Salud deberán garantizar, y ofrecer los servicios a sus afiliados de manera integral, continua, coordinada y eficiente, con portabilidad, calidad y oportunidad, a través de las redes. </w:t>
      </w:r>
    </w:p>
    <w:p w14:paraId="14858D73" w14:textId="0B320935"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84" w:name="ver_1680496"/>
      <w:bookmarkEnd w:id="84"/>
    </w:p>
    <w:p w14:paraId="62903E5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62. </w:t>
      </w:r>
      <w:r w:rsidRPr="00C2708D">
        <w:rPr>
          <w:rFonts w:eastAsia="Times New Roman"/>
          <w:i/>
          <w:iCs/>
          <w:color w:val="000000"/>
          <w:lang w:val="es-CO" w:eastAsia="es-CO"/>
        </w:rPr>
        <w:t>Conformación de redes integradas de servicios de salud</w:t>
      </w:r>
      <w:r w:rsidRPr="00C2708D">
        <w:rPr>
          <w:rFonts w:eastAsia="Times New Roman"/>
          <w:color w:val="000000"/>
          <w:lang w:val="es-CO" w:eastAsia="es-CO"/>
        </w:rPr>
        <w:t>. Las entidades territoriales, municipios, distritos, departamentos y la Nación, según corresponda, en coordinación con las Entidades Promotoras de Salud a través de los Consejos Territoriales de Seguridad Social en Salud, organizarán y conformarán las redes integradas incluyendo prestadores públicos, privados y mixtos que presten los servicios de acuerdo con el Plan de Beneficios a su cargo. Las redes se habilitarán de acuerdo con la reglamentación que expida el Ministerio de la Protección Social, quien podrá delegar en los departamentos y distritos. La implementación de la estrategia de Atención Primaria en Salud consagrada en la presente ley será la guía para la organización y funcionamiento de la red. </w:t>
      </w:r>
    </w:p>
    <w:p w14:paraId="52B5112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75F2AA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instituciones prestadoras de servicios de salud podrán asociarse mediante Uniones Temporales, consorcios u otra figura jurídica con Instituciones Prestadoras de Salud, públicas, privadas o mixtas. En ejercicio de su autonomía determinarán la forma de integración y podrán hacer uso de mecanismos administrativos y financieros que las hagan eficientes, observando los principios de libre competencia. </w:t>
      </w:r>
    </w:p>
    <w:p w14:paraId="7C2F809D" w14:textId="1997FC04"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85" w:name="ver_1680497"/>
      <w:bookmarkEnd w:id="85"/>
    </w:p>
    <w:p w14:paraId="45660E9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63.</w:t>
      </w:r>
      <w:r w:rsidRPr="00C2708D">
        <w:rPr>
          <w:rFonts w:eastAsia="Times New Roman"/>
          <w:i/>
          <w:iCs/>
          <w:color w:val="000000"/>
          <w:lang w:val="es-CO" w:eastAsia="es-CO"/>
        </w:rPr>
        <w:t> Criterios determinantes para la conformación de las redes integradas de servicios de salud.</w:t>
      </w:r>
      <w:r w:rsidRPr="00C2708D">
        <w:rPr>
          <w:rFonts w:eastAsia="Times New Roman"/>
          <w:color w:val="000000"/>
          <w:lang w:val="es-CO" w:eastAsia="es-CO"/>
        </w:rPr>
        <w:t> La reglamentación para la habilitación de las redes integradas de servicios de salud se realizará a partir de los siguientes criterios: </w:t>
      </w:r>
    </w:p>
    <w:p w14:paraId="774A343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4C2ADE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63.1 Población y territorio a cargo, con conocimiento de sus necesidades y preferencias en salud, que defina la oferta de servicios a la demanda real y potencial de la población a atender, tomando en consideración la accesibilidad geográfica, cultural y económica. </w:t>
      </w:r>
    </w:p>
    <w:p w14:paraId="6B97258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08884F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63.2 Oferta de servicios de salud existente para la prestación de servicios de promoción, prevención, diagnóstico, tratamiento, rehabilitación, integrando tanto los servicios de salud individual como los servicios de salud colectiva. </w:t>
      </w:r>
    </w:p>
    <w:p w14:paraId="3060C8A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BFD690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63.3 Modelo de atención primaria en salud centrado en la persona, la familia y la comunidad, teniendo en cuenta las particularidades culturales, raciales y de género. </w:t>
      </w:r>
    </w:p>
    <w:p w14:paraId="13B2452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912967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63.4 Recurso humano suficiente, valorado, competente y comprometido. </w:t>
      </w:r>
    </w:p>
    <w:p w14:paraId="19235C2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C920BF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63.5 Adecuada estructuración de los servicios de baja complejidad de atención fortalecida y multidisciplinaria que garantice el acceso al sistema, con la capacidad resolutiva para atender las demandas más frecuentes en la atención de la salud de la población a cargo. </w:t>
      </w:r>
    </w:p>
    <w:p w14:paraId="09E2FD5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41DEC5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63.6 Mecanismos efectivos de referencia y contrarreferencia para garantizar la integralidad y continuidad de la atención del usuario en los diferentes niveles de atención y escenarios intramurales y extramurales. </w:t>
      </w:r>
    </w:p>
    <w:p w14:paraId="6B018BF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56471C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63.7 Red de transporte y comunicaciones. </w:t>
      </w:r>
    </w:p>
    <w:p w14:paraId="696EC04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  </w:t>
      </w:r>
    </w:p>
    <w:p w14:paraId="58D358D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63.8 Acción intersectorial efectiva. </w:t>
      </w:r>
    </w:p>
    <w:p w14:paraId="3F03B29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BE6B16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63.9 Esquemas de participación social amplia. </w:t>
      </w:r>
    </w:p>
    <w:p w14:paraId="2C2FB95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DE730E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63.10 Gestión integrada de los sistemas de apoyo administrativo, financiero y logístico. </w:t>
      </w:r>
    </w:p>
    <w:p w14:paraId="694BDB0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E1E252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63.11 Sistema de información único e integral de todos los actores de la red, con desglose de los datos por sexo, edad, lugar de residencia, origen étnico y otras variables pertinentes. </w:t>
      </w:r>
    </w:p>
    <w:p w14:paraId="05836CC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DF10FE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63.12 Financiamiento adecuado y mecanismos de seguimiento y evaluación de resultados. </w:t>
      </w:r>
    </w:p>
    <w:p w14:paraId="43FC8D5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AC78D8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63.13 Cumplimiento de estándares de habilitación por parte de cada uno de los integrantes de la red conforme al sistema obligatorio de garantía de la calidad. </w:t>
      </w:r>
    </w:p>
    <w:p w14:paraId="04463965" w14:textId="76ABDD0C"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86" w:name="ver_1680498"/>
      <w:bookmarkEnd w:id="86"/>
    </w:p>
    <w:p w14:paraId="15149BC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64.</w:t>
      </w:r>
      <w:r w:rsidRPr="00C2708D">
        <w:rPr>
          <w:rFonts w:eastAsia="Times New Roman"/>
          <w:i/>
          <w:iCs/>
          <w:color w:val="000000"/>
          <w:lang w:val="es-CO" w:eastAsia="es-CO"/>
        </w:rPr>
        <w:t> Articulación de las redes integradas.</w:t>
      </w:r>
      <w:r w:rsidRPr="00C2708D">
        <w:rPr>
          <w:rFonts w:eastAsia="Times New Roman"/>
          <w:color w:val="000000"/>
          <w:lang w:val="es-CO" w:eastAsia="es-CO"/>
        </w:rPr>
        <w:t> La articulación de la red estará a cargo de las entidades territoriales en coordinación con las Entidades Promotoras de Salud, a través de los Consejos Territoriales de la Seguridad Social en Salud; en el caso de los municipios no certificados la entidad territorial será el departamento, sin vulneración del ejercicio de la autonomía de los actores de las redes existentes en el espacio poblacional determinado, buscará que el servicio de salud se brinde de forma precisa, oportuna y pertinente, para garantizar su calidad, reducir complicaciones, optimizar recursos y lograr resultados clínicos eficaces y costo-efectivos. La función de coordinación será esencialmente un proceso del ámbito clínico y administrativo, teniendo como objetivos y componentes: </w:t>
      </w:r>
    </w:p>
    <w:p w14:paraId="52A9E59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AD9645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64.1 La identificación de la población a atender y la determinación del riesgo en salud. </w:t>
      </w:r>
    </w:p>
    <w:p w14:paraId="60EC187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C72FDB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64.2 La identificación de factores de riesgo y factores protectores. </w:t>
      </w:r>
    </w:p>
    <w:p w14:paraId="427C650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93D31B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64.3 Consenso en torno a la implementación de la estrategia de Atención Primaria en Salud. </w:t>
      </w:r>
    </w:p>
    <w:p w14:paraId="7BA9D1D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E4D99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64.4 Consenso en torno al modelo de atención centrado en la intervención de los factores de riesgo y el perfil de la población. </w:t>
      </w:r>
    </w:p>
    <w:p w14:paraId="327C224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F3C3FB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64.5 El desarrollo de un proceso de vigilancia epidemiológica, que incluya la notificación y la aplicación de medidas que sean de su competencia en la prestación de servicios y en la evaluación de resultados. </w:t>
      </w:r>
    </w:p>
    <w:p w14:paraId="2564DFE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9EDFF3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64.6 La articulación de la oferta de servicios de los prestadores que la conforman y la información permanente y actualizada a los usuarios sobre los servicios disponibles, en el espacio poblacional determinado. </w:t>
      </w:r>
    </w:p>
    <w:p w14:paraId="2A642B6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FE2137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64.7 La garantía de un punto de primer contacto, que serán los equipos básicos de salud, con capacidad de acceder a la información clínica obtenida en los diferentes escenarios de atención y de proporcionarla a estos mismos. </w:t>
      </w:r>
    </w:p>
    <w:p w14:paraId="7F12930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69F4D9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64.8 La coordinación y desarrollo conjunto de sistemas de gestión e información. </w:t>
      </w:r>
    </w:p>
    <w:p w14:paraId="28711A0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600A63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64.9 Las condiciones de acceso y los principales indicadores de calidad que se establezcan en el reglamento técnico de la red. </w:t>
      </w:r>
    </w:p>
    <w:p w14:paraId="31F612E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  </w:t>
      </w:r>
    </w:p>
    <w:p w14:paraId="4840103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64.10 La coordinación de esquemas de comunicación electrónica, servicios de telemedicina, asistencia y atención domiciliaria y las demás modalidades que convengan a las condiciones del país y a las buenas prácticas en la materia. </w:t>
      </w:r>
    </w:p>
    <w:p w14:paraId="5CBB083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E35FD1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La coordinación de las redes basadas en el modelo de atención y riesgo poblacional, será reglamentada por el Ministerio de la Protección Social con el acompañamiento de las direcciones territoriales para el cumplimiento de las funciones administrativas y clínicas anteriormente nombradas. </w:t>
      </w:r>
    </w:p>
    <w:p w14:paraId="25CD2A4C" w14:textId="3A4C0D05"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87" w:name="ver_1680499"/>
      <w:bookmarkEnd w:id="87"/>
    </w:p>
    <w:p w14:paraId="4ADC7E8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65. </w:t>
      </w:r>
      <w:r w:rsidRPr="00C2708D">
        <w:rPr>
          <w:rFonts w:eastAsia="Times New Roman"/>
          <w:i/>
          <w:iCs/>
          <w:color w:val="000000"/>
          <w:lang w:val="es-CO" w:eastAsia="es-CO"/>
        </w:rPr>
        <w:t>Atención integral en salud mental.</w:t>
      </w:r>
      <w:r w:rsidRPr="00C2708D">
        <w:rPr>
          <w:rFonts w:eastAsia="Times New Roman"/>
          <w:color w:val="000000"/>
          <w:lang w:val="es-CO" w:eastAsia="es-CO"/>
        </w:rPr>
        <w:t> Las acciones de salud deben incluir la garantía del ejercicio pleno del derecho a la salud mental de los colombianos y colombianas, mediante atención integral en salud mental para garantizar la satisfacción de las necesidades de salud y su atención como parte del Plan de Beneficios y la implementación, seguimiento y evaluación de la política nacional de salud mental. </w:t>
      </w:r>
    </w:p>
    <w:p w14:paraId="118C8E7B" w14:textId="129C55CE"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88" w:name="ver_1680500"/>
      <w:bookmarkEnd w:id="88"/>
    </w:p>
    <w:p w14:paraId="5842CE6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66.</w:t>
      </w:r>
      <w:r w:rsidRPr="00C2708D">
        <w:rPr>
          <w:rFonts w:eastAsia="Times New Roman"/>
          <w:i/>
          <w:iCs/>
          <w:color w:val="000000"/>
          <w:lang w:val="es-CO" w:eastAsia="es-CO"/>
        </w:rPr>
        <w:t> Atención integral en salud a discapacitados.</w:t>
      </w:r>
      <w:r w:rsidRPr="00C2708D">
        <w:rPr>
          <w:rFonts w:eastAsia="Times New Roman"/>
          <w:color w:val="000000"/>
          <w:lang w:val="es-CO" w:eastAsia="es-CO"/>
        </w:rPr>
        <w:t> Las acciones de salud deben incluir la garantía a la salud del discapacitado, mediante una atención integral y una implementación de una política nacional de salud con un enfoque diferencial con base en un plan de salud del Ministerio de la Protección Social.</w:t>
      </w:r>
    </w:p>
    <w:p w14:paraId="15F58829" w14:textId="77777777" w:rsidR="00C2708D" w:rsidRPr="00C2708D" w:rsidRDefault="00C2708D" w:rsidP="00CE4017">
      <w:pPr>
        <w:widowControl/>
        <w:autoSpaceDE/>
        <w:autoSpaceDN/>
        <w:jc w:val="both"/>
        <w:rPr>
          <w:rFonts w:eastAsia="Times New Roman"/>
          <w:color w:val="000000"/>
          <w:lang w:val="es-CO" w:eastAsia="es-CO"/>
        </w:rPr>
      </w:pPr>
      <w:bookmarkStart w:id="89" w:name="ver_1680501"/>
      <w:bookmarkEnd w:id="89"/>
    </w:p>
    <w:p w14:paraId="0775439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67.</w:t>
      </w:r>
      <w:r w:rsidRPr="00C2708D">
        <w:rPr>
          <w:rFonts w:eastAsia="Times New Roman"/>
          <w:i/>
          <w:iCs/>
          <w:color w:val="000000"/>
          <w:lang w:val="es-CO" w:eastAsia="es-CO"/>
        </w:rPr>
        <w:t> Sistemas de emergencias médicas</w:t>
      </w:r>
      <w:r w:rsidRPr="00C2708D">
        <w:rPr>
          <w:rFonts w:eastAsia="Times New Roman"/>
          <w:color w:val="000000"/>
          <w:lang w:val="es-CO" w:eastAsia="es-CO"/>
        </w:rPr>
        <w:t>. Con el propósito de responder de manera oportuna a las víctimas de enfermedad, accidentes de tránsito, traumatismos o paros cardiorrespiratorios que requieran atención médica de urgencias, se desarrollará el sistema de emergencias médicas, entendido como un modelo general integrado, que comprende, entre otros los mecanismos para notificar las emergencias médicas, la prestación de servicios pre hospitalarios y de urgencias, las formas de transporte básico y medicalizado, la atención hospitalaria, el trabajo de los centros reguladores de urgencias y emergencias, los programas educacionales y procesos de vigilancia. </w:t>
      </w:r>
    </w:p>
    <w:p w14:paraId="38AEE8A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91F03C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Ministerio de la Protección Social reglamentará, en el transcurso de un año (1) a partir de la vigencia de la presente ley, el desarrollo y operación del sistema de emergencias médicas, que garantice la articulación de los diferentes actores del Sistema General de Segundad Social en Salud de acuerdo con sus competencias, incluyendo los casos en los que deberá contarse con personal con entrenamiento básico donde haya alta afluencia de público. Para la operación del sistema se podrán utilizar recursos del programa institucional de fortalecimiento de la Red Nacional de Urgencias. </w:t>
      </w:r>
    </w:p>
    <w:p w14:paraId="24584220" w14:textId="12948346"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90" w:name="ver_1680502"/>
      <w:bookmarkEnd w:id="90"/>
    </w:p>
    <w:p w14:paraId="68ED8DE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68.</w:t>
      </w:r>
      <w:r w:rsidRPr="00C2708D">
        <w:rPr>
          <w:rFonts w:eastAsia="Times New Roman"/>
          <w:i/>
          <w:iCs/>
          <w:color w:val="000000"/>
          <w:lang w:val="es-CO" w:eastAsia="es-CO"/>
        </w:rPr>
        <w:t> Fundaciones sin ánimo de lucro</w:t>
      </w:r>
      <w:r w:rsidRPr="00C2708D">
        <w:rPr>
          <w:rFonts w:eastAsia="Times New Roman"/>
          <w:color w:val="000000"/>
          <w:lang w:val="es-CO" w:eastAsia="es-CO"/>
        </w:rPr>
        <w:t>. Las fundaciones sin ánimo de lucro que venían prestando servicios como parte de la red hospitalaria pública, antes de la entrada en vigencia de la Ley 100 de 1993, y continúan desarrollando esta actividad para los efectos señalados en los artículos 16 y 20 de la Ley 1122 de 2007 sobre la contratación de servicios de salud, las entidades territoriales y las Entidades Promotoras de Salud del Régimen Subsidiado les darán a estas instituciones prestadoras de servicios de salud tratamiento de Empresas Sociales del Estado. </w:t>
      </w:r>
    </w:p>
    <w:p w14:paraId="7C6AC82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78DD1E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Así mismo, dichas fundaciones y las instituciones públicas prestadoras de servicios de salud podrán acceder a recursos de crédito blandos de tasa compensada y de largo plazo que otorgue el Gobierno Nacional a través de Findeter u otras entidades. </w:t>
      </w:r>
    </w:p>
    <w:p w14:paraId="06BA018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8DA6361" w14:textId="77777777" w:rsidR="00C2708D" w:rsidRPr="00C2708D" w:rsidRDefault="00C2708D" w:rsidP="00CE4017">
      <w:pPr>
        <w:widowControl/>
        <w:autoSpaceDE/>
        <w:autoSpaceDN/>
        <w:jc w:val="center"/>
        <w:rPr>
          <w:rFonts w:eastAsia="Times New Roman"/>
          <w:b/>
          <w:bCs/>
          <w:color w:val="000000"/>
          <w:lang w:val="es-CO" w:eastAsia="es-CO"/>
        </w:rPr>
      </w:pPr>
      <w:bookmarkStart w:id="91" w:name="ver_30027950"/>
      <w:bookmarkEnd w:id="91"/>
      <w:r w:rsidRPr="00C2708D">
        <w:rPr>
          <w:rFonts w:eastAsia="Times New Roman"/>
          <w:b/>
          <w:bCs/>
          <w:color w:val="000000"/>
          <w:lang w:val="es-CO" w:eastAsia="es-CO"/>
        </w:rPr>
        <w:t>CAPÍTULO III</w:t>
      </w:r>
    </w:p>
    <w:p w14:paraId="5D233BF4"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lastRenderedPageBreak/>
        <w:t>Instituciones Prestadoras de Servicios de Salud Públicas y</w:t>
      </w:r>
    </w:p>
    <w:p w14:paraId="2BBFF6EE"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Empresas Sociales del Estado</w:t>
      </w:r>
    </w:p>
    <w:p w14:paraId="7E70C287" w14:textId="77777777" w:rsidR="00C2708D" w:rsidRPr="00C2708D" w:rsidRDefault="00C2708D" w:rsidP="00CE4017">
      <w:pPr>
        <w:widowControl/>
        <w:autoSpaceDE/>
        <w:autoSpaceDN/>
        <w:jc w:val="both"/>
        <w:rPr>
          <w:rFonts w:eastAsia="Times New Roman"/>
          <w:color w:val="000000"/>
          <w:lang w:val="es-CO" w:eastAsia="es-CO"/>
        </w:rPr>
      </w:pPr>
      <w:bookmarkStart w:id="92" w:name="ver_1680503"/>
      <w:bookmarkEnd w:id="92"/>
    </w:p>
    <w:p w14:paraId="46E3AC7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69. </w:t>
      </w:r>
      <w:r w:rsidRPr="00C2708D">
        <w:rPr>
          <w:rFonts w:eastAsia="Times New Roman"/>
          <w:i/>
          <w:iCs/>
          <w:color w:val="000000"/>
          <w:lang w:val="es-CO" w:eastAsia="es-CO"/>
        </w:rPr>
        <w:t>Programa de Fortalecimiento de Hospitales Públicos</w:t>
      </w:r>
      <w:r w:rsidRPr="00C2708D">
        <w:rPr>
          <w:rFonts w:eastAsia="Times New Roman"/>
          <w:color w:val="000000"/>
          <w:lang w:val="es-CO" w:eastAsia="es-CO"/>
        </w:rPr>
        <w:t>. El Gobierno Nacional establecerá un Programa de Fortalecimiento de las Empresas Sociales del Estado. Para tal fin podrá constituir un fondo con recursos del Presupuesto Nacional que permita desarrollar un Plan de Inversiones para fortalecer su capacidad instalada y modernizar su gestión con énfasis en el primero y segundo nivel de atención. </w:t>
      </w:r>
    </w:p>
    <w:p w14:paraId="275CB2D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A45B8E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Las Empresas Sociales del Estado articuladas en red, que demuestren buenos resultados en los indicadores de salud, bajo riesgo fiscal y financiero, y documenten trabajo en el proceso de calidad podrán acceder a créditos </w:t>
      </w:r>
      <w:proofErr w:type="spellStart"/>
      <w:r w:rsidRPr="00C2708D">
        <w:rPr>
          <w:rFonts w:eastAsia="Times New Roman"/>
          <w:color w:val="000000"/>
          <w:lang w:val="es-CO" w:eastAsia="es-CO"/>
        </w:rPr>
        <w:t>condonables</w:t>
      </w:r>
      <w:proofErr w:type="spellEnd"/>
      <w:r w:rsidRPr="00C2708D">
        <w:rPr>
          <w:rFonts w:eastAsia="Times New Roman"/>
          <w:color w:val="000000"/>
          <w:lang w:val="es-CO" w:eastAsia="es-CO"/>
        </w:rPr>
        <w:t xml:space="preserve"> y otros estímulos que ofrezca el Gobierno Nacional, en especial para dotación tecnológica y capacitación del talento humano. </w:t>
      </w:r>
    </w:p>
    <w:p w14:paraId="4C9DD25D" w14:textId="667CDA30"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93" w:name="ver_1680504"/>
      <w:bookmarkEnd w:id="93"/>
    </w:p>
    <w:p w14:paraId="5D9C1F0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70.</w:t>
      </w:r>
      <w:r w:rsidRPr="00C2708D">
        <w:rPr>
          <w:rFonts w:eastAsia="Times New Roman"/>
          <w:i/>
          <w:iCs/>
          <w:color w:val="000000"/>
          <w:lang w:val="es-CO" w:eastAsia="es-CO"/>
        </w:rPr>
        <w:t> De la Junta Directiva de las Empresas Sociales del Estado.</w:t>
      </w:r>
      <w:r w:rsidRPr="00C2708D">
        <w:rPr>
          <w:rFonts w:eastAsia="Times New Roman"/>
          <w:color w:val="000000"/>
          <w:lang w:val="es-CO" w:eastAsia="es-CO"/>
        </w:rPr>
        <w:t> La Junta Directiva de las Empresas Sociales del Estado de nivel territorial de primer nivel de complejidad, estará integrada de la siguiente manera: </w:t>
      </w:r>
    </w:p>
    <w:p w14:paraId="495E9F2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E0BF4E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70.1 El jefe de la administración departamental, distrital o municipal o su delegado, quien la presidirá. </w:t>
      </w:r>
    </w:p>
    <w:p w14:paraId="3BBE3C8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C25946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70.2 El director de salud de la entidad territorial departamental, distrital o municipal o su delegado. </w:t>
      </w:r>
    </w:p>
    <w:p w14:paraId="18BB59E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6750A5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70.3 Un representante de los usuarios, designado por las alianzas o asociaciones de usuarios legalmente establecidas, mediante convocatoria realizada por parte de la dirección departamental, distrital o municipal de salud. </w:t>
      </w:r>
    </w:p>
    <w:p w14:paraId="331AD5D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78A8D5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70.4 Dos (2) representantes profesionales de los empleados públicos de la institución, uno administrativo y uno asistencial, elegidos por voto secreto. En el evento de no existir en la ESE profesionales en el área administrativa, la Junta Directiva podrá integrarse con un servidor de dicha área con formación de técnico o tecnólogo. </w:t>
      </w:r>
    </w:p>
    <w:p w14:paraId="095C521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5C5106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1°. Los representantes de los usuarios y de los servidores públicos de la entidad tendrán un periodo de dos (2) años y no podrán ser reelegidos para periodos consecutivos, ni podrán ser parte de las Juntas Directivas de las Empresas Sociales del Estado en más de dos ocasiones. En los municipios de 6ª categoría, los representantes de los usuarios y los empleados públicos tendrán un periodo de 4 años. </w:t>
      </w:r>
    </w:p>
    <w:p w14:paraId="6412D1B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103A62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2°. La Junta Directiva de las Empresas Sociales del Estado del nivel municipal que hagan parte de convenios o planes de desempeño suscritos o que se llegaren a suscribir entre el departamento y la Nación, tendrá además de los miembros ya definidos en el presente artículo, tendrán como miembro de la Junta Directiva al gobernador del departamento o su delegado. </w:t>
      </w:r>
    </w:p>
    <w:p w14:paraId="440A161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1FF183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3°. Cuando en una sesión de Junta Directiva exista empate para la toma de decisiones, el mismo se resolverá con el voto de quien preside la Junta Directiva. </w:t>
      </w:r>
    </w:p>
    <w:p w14:paraId="42520E3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0F73774" w14:textId="77777777" w:rsidR="00C2708D" w:rsidRPr="00C2708D" w:rsidRDefault="00C2708D" w:rsidP="00CE4017">
      <w:pPr>
        <w:widowControl/>
        <w:autoSpaceDE/>
        <w:autoSpaceDN/>
        <w:jc w:val="both"/>
        <w:rPr>
          <w:rFonts w:eastAsia="Times New Roman"/>
          <w:color w:val="000000"/>
          <w:lang w:val="es-CO" w:eastAsia="es-CO"/>
        </w:rPr>
      </w:pPr>
      <w:bookmarkStart w:id="94" w:name="ver_1680505"/>
      <w:bookmarkEnd w:id="94"/>
    </w:p>
    <w:p w14:paraId="07174C3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Artículo 71.</w:t>
      </w:r>
      <w:r w:rsidRPr="00C2708D">
        <w:rPr>
          <w:rFonts w:eastAsia="Times New Roman"/>
          <w:i/>
          <w:iCs/>
          <w:color w:val="000000"/>
          <w:lang w:val="es-CO" w:eastAsia="es-CO"/>
        </w:rPr>
        <w:t> Inhabilidades e incompatibilidades.</w:t>
      </w:r>
      <w:r w:rsidRPr="00C2708D">
        <w:rPr>
          <w:rFonts w:eastAsia="Times New Roman"/>
          <w:color w:val="000000"/>
          <w:lang w:val="es-CO" w:eastAsia="es-CO"/>
        </w:rPr>
        <w:t> Los miembros de las juntas directivas de las Empresas Sociales del Estado no podrán ser representante legal, miembros de los organismos directivos, directores, socios, o administradores de entidades del sector salud, ni tener participación en el capital de estas en forma directa o a través de su cónyuge, compañero o compañera permanente o parientes hasta el cuarto grado de consanguinidad, segundo de afinidad o único civil o participar a través de interpuesta persona, excepto alcaldes y gobernadores, siempre y cuando la vinculación de estos últimos a la entidad del sector salud obedezca a la participación del ente territorial al que representa. Esta inhabilidad regirá hasta por un año después de la dejación del cargo. </w:t>
      </w:r>
    </w:p>
    <w:p w14:paraId="5EC21601" w14:textId="5ECB4165"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95" w:name="ver_1680506"/>
      <w:bookmarkEnd w:id="95"/>
    </w:p>
    <w:p w14:paraId="56D30FE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72. </w:t>
      </w:r>
      <w:r w:rsidRPr="00C2708D">
        <w:rPr>
          <w:rFonts w:eastAsia="Times New Roman"/>
          <w:i/>
          <w:iCs/>
          <w:color w:val="000000"/>
          <w:lang w:val="es-CO" w:eastAsia="es-CO"/>
        </w:rPr>
        <w:t>Elección y evaluación de Directores o Gerentes de Hospitales.</w:t>
      </w:r>
      <w:r w:rsidRPr="00C2708D">
        <w:rPr>
          <w:rFonts w:eastAsia="Times New Roman"/>
          <w:color w:val="000000"/>
          <w:lang w:val="es-CO" w:eastAsia="es-CO"/>
        </w:rPr>
        <w:t> La Junta Directiva de la Empresa Social del Estado del orden territorial deberá aprobar el plan de gestión para ser ejecutado por el Director o Gerente de la entidad, durante el período para el cual ha sido designado y respecto del cual dicho funcionario deberá ser evaluado. Dicho plan contendrá, entre otros aspectos, las metas de gestión y resultados relacionados con la viabilidad financiera, la calidad y eficiencia en la prestación de los servicios, y las metas y compromisos incluidos en convenios suscritos con la Nación o con la entidad territorial si los hubiere, y el reporte de información a la Superintendencia Nacional de Salud y al Ministerio de la Protección Social. El plan de gestión deberá ajustarse a las condiciones y metodología que defina el Ministerio de la Protección Social. La evaluación insatisfactoria de dichos planes será causal de retiro del servicio del Director o Gerente para lo cual se deberá adelantar el proceso que establezca en la presente ley. En caso de que el cargo de Director o Gerente de una Empresa Social del Estado esté vacante a más tardar dentro de los sesenta (60) días calendario siguientes se iniciará un proceso de concurso público para su elección. </w:t>
      </w:r>
    </w:p>
    <w:p w14:paraId="7A15440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CE025E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Junta Directiva conformará una terna con los concursantes que hayan obtenido las tres mejores calificaciones en el proceso de selección adelantado. El nominador deberá designar en el cargo de gerente o director a quien haya alcanzado el más alto puntaje dentro de los quince (15) días calendario siguientes a la finalización del proceso de elección. El resto de la terna operará como un listado de elegibles, para que en el caso de no poder designarse el candidato con mayor puntuación, se continuará con el segundo y de no ser posible la designación de este, con el tercero. </w:t>
      </w:r>
    </w:p>
    <w:p w14:paraId="43A62E1B" w14:textId="3698B75A"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96" w:name="ver_1680507"/>
      <w:bookmarkEnd w:id="96"/>
    </w:p>
    <w:p w14:paraId="594392F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73.</w:t>
      </w:r>
      <w:r w:rsidRPr="00C2708D">
        <w:rPr>
          <w:rFonts w:eastAsia="Times New Roman"/>
          <w:i/>
          <w:iCs/>
          <w:color w:val="000000"/>
          <w:lang w:val="es-CO" w:eastAsia="es-CO"/>
        </w:rPr>
        <w:t>Procedimiento para la aprobación del Plan de Gestión de las Empresas Sociales del Estado del orden territorial.</w:t>
      </w:r>
      <w:r w:rsidRPr="00C2708D">
        <w:rPr>
          <w:rFonts w:eastAsia="Times New Roman"/>
          <w:color w:val="000000"/>
          <w:lang w:val="es-CO" w:eastAsia="es-CO"/>
        </w:rPr>
        <w:t> Para la aprobación del plan de gestión se deberá seguir el siguiente procedimiento: </w:t>
      </w:r>
    </w:p>
    <w:p w14:paraId="10698FF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C554E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73.1 El Director o Gerente de la Empresa Social del Estado deberá presentar a la Junta Directiva el proyecto de plan de gestión de la misma, dentro de los treinta (30) días hábiles siguientes a su posesión en el cargo, o para los ya posesionados a los treinta (30) días hábiles siguientes a la expedición de la reglamentación. El proyecto de plan de gestión deberá ajustarse a las condiciones y metodología que defina el Ministerio de la Protección Social. </w:t>
      </w:r>
    </w:p>
    <w:p w14:paraId="79569E5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B04946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73.2 La Junta Directiva de la respectiva Empresa Social del Estado deberá aprobar, el plan de gestión dentro de los quince (15) días hábiles siguientes a la presentación del plan de gestión. </w:t>
      </w:r>
    </w:p>
    <w:p w14:paraId="49BEA49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1BDE96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73.3 El gerente podrá presentar observaciones al plan de gestión aprobado en los 5 días hábiles siguientes a su aprobación, y se resolverá dentro de los diez (10) días hábiles siguientes. </w:t>
      </w:r>
    </w:p>
    <w:p w14:paraId="5DB03AD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CCDE77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73.4 En caso de que la Junta Directiva no apruebe el proyecto de plan de gestión durante el término aquí establecido, el plan de gestión inicialmente presentado por el Director o Gerente se entenderá aprobado. </w:t>
      </w:r>
    </w:p>
    <w:p w14:paraId="3FCEA21E" w14:textId="1BBED49C"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97" w:name="ver_1680508"/>
      <w:bookmarkEnd w:id="97"/>
    </w:p>
    <w:p w14:paraId="752E2BB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74. </w:t>
      </w:r>
      <w:r w:rsidRPr="00C2708D">
        <w:rPr>
          <w:rFonts w:eastAsia="Times New Roman"/>
          <w:i/>
          <w:iCs/>
          <w:color w:val="000000"/>
          <w:lang w:val="es-CO" w:eastAsia="es-CO"/>
        </w:rPr>
        <w:t>Evaluación del Plan de Gestión del Director o Gerente de Empresas Sociales del Estado del orden territorial.</w:t>
      </w:r>
      <w:r w:rsidRPr="00C2708D">
        <w:rPr>
          <w:rFonts w:eastAsia="Times New Roman"/>
          <w:color w:val="000000"/>
          <w:lang w:val="es-CO" w:eastAsia="es-CO"/>
        </w:rPr>
        <w:t> Para la evaluación de los planes de gestión, se deberá dar cumplimiento al siguiente proceso: </w:t>
      </w:r>
    </w:p>
    <w:p w14:paraId="074F1A7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0B80A8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74.1 El Director o Gerente de la Empresa Social del Estado del orden territorial deberá presentar a la Junta Directiva un informe anual sobre el cumplimiento del plan de gestión, el cual deberá ser presentado a más tardar el 1° de abril de cada año con corte al 31 de diciembre del año inmediatamente anterior. Los contenidos del informe y de la metodología serán definidos por el Ministerio de la Protección Social. </w:t>
      </w:r>
    </w:p>
    <w:p w14:paraId="2F796E3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086B15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74.2 La Junta Directiva deberá evaluar el cumplimiento del plan de gestión del Director o Gerente, dentro de los quince (15) días hábiles siguientes a la presentación del informe de gestión. </w:t>
      </w:r>
    </w:p>
    <w:p w14:paraId="2A4D344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EDB3A4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74.3 Los resultados de la evaluación se harán constar en un acuerdo de la Junta Directiva, debidamente motivado, el cual se notificará al Director o Gerente quien podrá interponer recurso de reposición ante la Junta Directiva dentro de los cinco (5) días hábiles siguientes a su notificación. </w:t>
      </w:r>
    </w:p>
    <w:p w14:paraId="6B58396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29FA68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74.4 La decisión de la Junta Directiva tendrá recurso de reposición ante la misma junta y de apelación en el efecto suspensivo, ante el Superintendente Nacional de Salud, para resolver dichos recursos se contará con un término de quince días (15) hábiles. </w:t>
      </w:r>
    </w:p>
    <w:p w14:paraId="31C5194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166CEF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74.5 Una vez cumplido el proceso establecido en el presente artículo y en firme el resultado de la evaluación y esta fuere insatisfactorio dicho resultado será causal de retiro del servicio del Director o Gerente, para lo cual la Junta Directiva dentro de los cinco (5) días hábiles siguientes a haber quedado en firme el resultado de la evaluación, deberá solicitar al nominador con carácter obligatorio para este, la remoción del Director o Gerente aun sin terminar su período, para lo cual el nominador deberá expedir el acto administrativo correspondiente dentro de los cinco (5) días hábiles siguientes, contra este acto procederán los recursos de ley. </w:t>
      </w:r>
    </w:p>
    <w:p w14:paraId="101FD43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01C47A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74.6 La no presentación del proyecto de plan de gestión o del informe de cumplimiento del plan de gestión dentro de los plazos señalados en la presente norma, conllevará a que la Superintendencia Nacional de Salud, en los términos y plazos establecidos para tal fin, produzca de manera inmediata la evaluación no satisfactoria, la cual será causal de retiro. </w:t>
      </w:r>
    </w:p>
    <w:p w14:paraId="0AF40467" w14:textId="02EF2125"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98" w:name="ver_1680509"/>
      <w:bookmarkEnd w:id="98"/>
    </w:p>
    <w:p w14:paraId="4E59987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75. </w:t>
      </w:r>
      <w:r w:rsidRPr="00C2708D">
        <w:rPr>
          <w:rFonts w:eastAsia="Times New Roman"/>
          <w:i/>
          <w:iCs/>
          <w:color w:val="000000"/>
          <w:lang w:val="es-CO" w:eastAsia="es-CO"/>
        </w:rPr>
        <w:t>Metodología de reporte de ingresos, gastos y costos de las instituciones públicas prestadoras de servicios de salud.</w:t>
      </w:r>
      <w:r w:rsidRPr="00C2708D">
        <w:rPr>
          <w:rFonts w:eastAsia="Times New Roman"/>
          <w:color w:val="000000"/>
          <w:lang w:val="es-CO" w:eastAsia="es-CO"/>
        </w:rPr>
        <w:t xml:space="preserve"> El Ministerio de la Protección Social en un término no superior a un año establecerá la metodología para la clasificación y reporte de los ingresos que incluirá la cartera total, los gastos y los costos de las Instituciones Prestadoras de Salud públicas, teniendo en cuenta las condiciones que pueden afectar las estructuras de costos. Con base en esta información se construirán razones de costo y </w:t>
      </w:r>
      <w:r w:rsidRPr="00C2708D">
        <w:rPr>
          <w:rFonts w:eastAsia="Times New Roman"/>
          <w:color w:val="000000"/>
          <w:lang w:val="es-CO" w:eastAsia="es-CO"/>
        </w:rPr>
        <w:lastRenderedPageBreak/>
        <w:t>gasto que deberán hacer parte de los planes de gestión para evaluar la gestión de los gerentes y de los indicadores de desempeño de las instituciones. </w:t>
      </w:r>
    </w:p>
    <w:p w14:paraId="5E3AFE2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834C76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Las ESE tendrán un periodo de un año para ajustarse y reportar los indicadores antes definidos. </w:t>
      </w:r>
    </w:p>
    <w:p w14:paraId="75804D67" w14:textId="2AD72BF6"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99" w:name="ver_1680510"/>
      <w:bookmarkEnd w:id="99"/>
    </w:p>
    <w:p w14:paraId="5626500B" w14:textId="77777777" w:rsidR="00BD2AD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76.</w:t>
      </w:r>
      <w:r w:rsidRPr="00C2708D">
        <w:rPr>
          <w:rFonts w:eastAsia="Times New Roman"/>
          <w:i/>
          <w:iCs/>
          <w:color w:val="000000"/>
          <w:lang w:val="es-CO" w:eastAsia="es-CO"/>
        </w:rPr>
        <w:t>Eficiencia y transparencia en contratación, adquisiciones y compras de las Empresas Sociales del Estado</w:t>
      </w:r>
      <w:r w:rsidRPr="00C2708D">
        <w:rPr>
          <w:rFonts w:eastAsia="Times New Roman"/>
          <w:color w:val="000000"/>
          <w:lang w:val="es-CO" w:eastAsia="es-CO"/>
        </w:rPr>
        <w:t>. Con el propósito de promover la eficiencia y transparencia en la contratación las Empresas Sociales del Estado podrán asociarse entre sí, constituir cooperativas o utilizar sistemas de compras electrónicas o cualquier otro mecanismo que beneficie a las entidades con economías de escala, calidad, oportunidad y eficiencia, respetando los principios de la actuación administrativa y la contratación pública. Para lo anterior la Junta Directiva deberá adoptar un estatuto de contratación de acuerdo con los lineamientos que defina el Ministerio de la Protección Social. </w:t>
      </w:r>
    </w:p>
    <w:p w14:paraId="16D997EE" w14:textId="77777777" w:rsidR="00BD2ADD" w:rsidRDefault="00BD2ADD" w:rsidP="00CE4017">
      <w:pPr>
        <w:widowControl/>
        <w:autoSpaceDE/>
        <w:autoSpaceDN/>
        <w:jc w:val="both"/>
        <w:rPr>
          <w:rFonts w:eastAsia="Times New Roman"/>
          <w:color w:val="000000"/>
          <w:lang w:val="es-CO" w:eastAsia="es-CO"/>
        </w:rPr>
      </w:pPr>
    </w:p>
    <w:p w14:paraId="34A64873" w14:textId="25913811" w:rsidR="00BD2ADD" w:rsidRPr="00BD2ADD" w:rsidRDefault="00BD2ADD" w:rsidP="00CE4017">
      <w:pPr>
        <w:widowControl/>
        <w:autoSpaceDE/>
        <w:autoSpaceDN/>
        <w:jc w:val="both"/>
        <w:rPr>
          <w:rFonts w:eastAsia="Times New Roman"/>
          <w:color w:val="000000"/>
          <w:sz w:val="20"/>
          <w:szCs w:val="20"/>
          <w:lang w:val="es-CO" w:eastAsia="es-CO"/>
        </w:rPr>
      </w:pPr>
      <w:r w:rsidRPr="00BD2ADD">
        <w:rPr>
          <w:rFonts w:eastAsia="Times New Roman"/>
          <w:color w:val="000000"/>
          <w:sz w:val="20"/>
          <w:szCs w:val="20"/>
          <w:lang w:val="es-CO" w:eastAsia="es-CO"/>
        </w:rPr>
        <w:t>(</w:t>
      </w:r>
      <w:r w:rsidRPr="00BD2ADD">
        <w:rPr>
          <w:sz w:val="20"/>
          <w:szCs w:val="20"/>
        </w:rPr>
        <w:t xml:space="preserve">Ver conceptos: </w:t>
      </w:r>
      <w:hyperlink r:id="rId8" w:history="1">
        <w:r w:rsidRPr="00CE4017">
          <w:rPr>
            <w:rStyle w:val="Hipervnculo"/>
            <w:sz w:val="20"/>
            <w:szCs w:val="20"/>
          </w:rPr>
          <w:t>C</w:t>
        </w:r>
        <w:r w:rsidR="003A52B9" w:rsidRPr="00CE4017">
          <w:rPr>
            <w:rStyle w:val="Hipervnculo"/>
            <w:sz w:val="20"/>
            <w:szCs w:val="20"/>
          </w:rPr>
          <w:t>−</w:t>
        </w:r>
        <w:r w:rsidRPr="00CE4017">
          <w:rPr>
            <w:rStyle w:val="Hipervnculo"/>
            <w:sz w:val="20"/>
            <w:szCs w:val="20"/>
          </w:rPr>
          <w:t>462 del 23/7/2020</w:t>
        </w:r>
      </w:hyperlink>
      <w:r w:rsidRPr="00BD2ADD">
        <w:rPr>
          <w:sz w:val="20"/>
          <w:szCs w:val="20"/>
        </w:rPr>
        <w:t>)</w:t>
      </w:r>
    </w:p>
    <w:p w14:paraId="6A362616" w14:textId="77777777" w:rsidR="00C2708D" w:rsidRPr="00C2708D" w:rsidRDefault="00C2708D" w:rsidP="00CE4017">
      <w:pPr>
        <w:widowControl/>
        <w:autoSpaceDE/>
        <w:autoSpaceDN/>
        <w:jc w:val="both"/>
        <w:rPr>
          <w:rFonts w:eastAsia="Times New Roman"/>
          <w:color w:val="000000"/>
          <w:lang w:val="es-CO" w:eastAsia="es-CO"/>
        </w:rPr>
      </w:pPr>
    </w:p>
    <w:p w14:paraId="3A6010A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Igualmente, las Empresas Sociales del Estado podrán contratar de manera conjunta sistemas de información, sistema de control interno, de interventorías, gestión de calidad y auditorías, de recurso humano y demás funciones administrativas, para el desarrollo de actividades especializadas, de tipo operativo y de apoyo que puedan cubrir las necesidades de la empresa, de forma tal que la gestión resulte más eficiente, con calidad e implique menor costo. </w:t>
      </w:r>
    </w:p>
    <w:p w14:paraId="126CB24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EFF800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Estas instituciones podrán utilizar mecanismos de subasta inversa para lograr mayor eficiencia en sus adquisiciones. </w:t>
      </w:r>
    </w:p>
    <w:p w14:paraId="38C8F7BB" w14:textId="4BC5936C"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00" w:name="ver_1680511"/>
      <w:bookmarkEnd w:id="100"/>
    </w:p>
    <w:p w14:paraId="10D49C0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77.</w:t>
      </w:r>
      <w:r w:rsidRPr="00C2708D">
        <w:rPr>
          <w:rFonts w:eastAsia="Times New Roman"/>
          <w:i/>
          <w:iCs/>
          <w:color w:val="000000"/>
          <w:lang w:val="es-CO" w:eastAsia="es-CO"/>
        </w:rPr>
        <w:t>Saneamiento de cartera</w:t>
      </w:r>
      <w:r w:rsidRPr="00C2708D">
        <w:rPr>
          <w:rFonts w:eastAsia="Times New Roman"/>
          <w:color w:val="000000"/>
          <w:lang w:val="es-CO" w:eastAsia="es-CO"/>
        </w:rPr>
        <w:t>. El Gobierno Nacional, a partir de la vigencia de la presente ley, pondrá en marcha un Programa para el Saneamiento de cartera de las Empresas Sociales del Estado.  </w:t>
      </w:r>
    </w:p>
    <w:p w14:paraId="47734D67" w14:textId="77777777" w:rsidR="00C2708D" w:rsidRPr="00C2708D" w:rsidRDefault="00C2708D" w:rsidP="00CE4017">
      <w:pPr>
        <w:widowControl/>
        <w:autoSpaceDE/>
        <w:autoSpaceDN/>
        <w:jc w:val="both"/>
        <w:rPr>
          <w:rFonts w:eastAsia="Times New Roman"/>
          <w:color w:val="000000"/>
          <w:lang w:val="es-CO" w:eastAsia="es-CO"/>
        </w:rPr>
      </w:pPr>
      <w:bookmarkStart w:id="101" w:name="ver_1680512"/>
      <w:bookmarkEnd w:id="101"/>
    </w:p>
    <w:p w14:paraId="2D6D487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78.</w:t>
      </w:r>
      <w:r w:rsidRPr="00C2708D">
        <w:rPr>
          <w:rFonts w:eastAsia="Times New Roman"/>
          <w:i/>
          <w:iCs/>
          <w:color w:val="000000"/>
          <w:lang w:val="es-CO" w:eastAsia="es-CO"/>
        </w:rPr>
        <w:t>Pasivo prestacional de las Empresas Sociales del Estado e instituciones del sector salud.</w:t>
      </w:r>
      <w:r w:rsidRPr="00C2708D">
        <w:rPr>
          <w:rFonts w:eastAsia="Times New Roman"/>
          <w:color w:val="000000"/>
          <w:lang w:val="es-CO" w:eastAsia="es-CO"/>
        </w:rPr>
        <w:t> En concordancia con el artículo 242 de la Ley 100 de 1993 y los artículos 61, 62 y 63 de la Ley 715 de 2001, el Gobierno Nacional, a través del Ministerio de Hacienda y Crédito público y los entes territoriales departamentales firmarán los contratos de concurrencia y cancelarán el pasivo prestacional por concepto de cesantías, reserva para pensiones y pensiones de jubilación, vejez, invalidez y sustituciones pensionales, causadas en las instituciones del sector salud públicas causadas al finalizar la vigencia de 1993 con cargo a los mayores recursos del monopolio de juegos de suerte y azar y del fondo pensional que se crea en el Proyecto de Ley de Regalías. </w:t>
      </w:r>
    </w:p>
    <w:p w14:paraId="548244E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49AA19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Concédase el plazo mínimo de dos (2) años, contados a partir de la entrada en vigencia de la presente ley, para que las entidades territoriales y los hospitales públicos le suministren al Ministerio de Hacienda y Crédito Público la información que le permita suscribir los convenios de concurrencia y emitan los bonos de valor constante respectivos de acuerdo a la concurrencia entre el Gobierno Nacional y el ente territorial departamental. El incumplimiento de lo establecido en el presente artículo será sancionado como falta gravísima. </w:t>
      </w:r>
    </w:p>
    <w:p w14:paraId="5B3717B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B95C83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Con esto se cumplirá con las Leyes 60 y 100 de 1993 y 715 de 2001 que viabilizan el pago de esta deuda que no es responsabilidad de las ESE, pues ellas no tenían vida jurídica </w:t>
      </w:r>
      <w:r w:rsidRPr="00C2708D">
        <w:rPr>
          <w:rFonts w:eastAsia="Times New Roman"/>
          <w:color w:val="000000"/>
          <w:lang w:val="es-CO" w:eastAsia="es-CO"/>
        </w:rPr>
        <w:lastRenderedPageBreak/>
        <w:t>antes de diciembre de 1993. En ese entonces eran financiados y administrados por los departamentos y el Gobierno Nacional. </w:t>
      </w:r>
    </w:p>
    <w:p w14:paraId="6C2E7557" w14:textId="77777777" w:rsidR="00C2708D" w:rsidRPr="00C2708D" w:rsidRDefault="00C2708D" w:rsidP="00CE4017">
      <w:pPr>
        <w:widowControl/>
        <w:autoSpaceDE/>
        <w:autoSpaceDN/>
        <w:jc w:val="both"/>
        <w:rPr>
          <w:rFonts w:eastAsia="Times New Roman"/>
          <w:color w:val="000000"/>
          <w:lang w:val="es-CO" w:eastAsia="es-CO"/>
        </w:rPr>
      </w:pPr>
      <w:bookmarkStart w:id="102" w:name="ver_1680513"/>
      <w:bookmarkEnd w:id="102"/>
    </w:p>
    <w:p w14:paraId="4D586D9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79.</w:t>
      </w:r>
      <w:r w:rsidRPr="00C2708D">
        <w:rPr>
          <w:rFonts w:eastAsia="Times New Roman"/>
          <w:i/>
          <w:iCs/>
          <w:color w:val="000000"/>
          <w:lang w:val="es-CO" w:eastAsia="es-CO"/>
        </w:rPr>
        <w:t>Financiación de la prestación del servicio en zonas alejadas.</w:t>
      </w:r>
      <w:r w:rsidRPr="00C2708D">
        <w:rPr>
          <w:rFonts w:eastAsia="Times New Roman"/>
          <w:color w:val="000000"/>
          <w:lang w:val="es-CO" w:eastAsia="es-CO"/>
        </w:rPr>
        <w:t> Se garantizarán los recursos necesarios para financiar la prestación de servicios de salud a través de instituciones públicas en aquellos lugares alejados, con poblaciones dispersas o de difícil acceso, en donde estas sean la única opción de prestación de servicios, y los ingresos por venta de servicios sean insuficientes para garantizar su sostenibilidad en condiciones de eficiencia.  </w:t>
      </w:r>
    </w:p>
    <w:p w14:paraId="5470EB62" w14:textId="77777777" w:rsidR="00C2708D" w:rsidRPr="00C2708D" w:rsidRDefault="00C2708D" w:rsidP="00CE4017">
      <w:pPr>
        <w:widowControl/>
        <w:autoSpaceDE/>
        <w:autoSpaceDN/>
        <w:jc w:val="both"/>
        <w:rPr>
          <w:rFonts w:eastAsia="Times New Roman"/>
          <w:color w:val="000000"/>
          <w:lang w:val="es-CO" w:eastAsia="es-CO"/>
        </w:rPr>
      </w:pPr>
      <w:bookmarkStart w:id="103" w:name="ver_1680514"/>
      <w:bookmarkEnd w:id="103"/>
    </w:p>
    <w:p w14:paraId="0B02EAE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80.</w:t>
      </w:r>
      <w:r w:rsidRPr="00C2708D">
        <w:rPr>
          <w:rFonts w:eastAsia="Times New Roman"/>
          <w:i/>
          <w:iCs/>
          <w:color w:val="000000"/>
          <w:lang w:val="es-CO" w:eastAsia="es-CO"/>
        </w:rPr>
        <w:t>Determinación del riesgo de las Empresas Sociales del Estado.</w:t>
      </w:r>
      <w:r w:rsidRPr="00C2708D">
        <w:rPr>
          <w:rFonts w:eastAsia="Times New Roman"/>
          <w:color w:val="000000"/>
          <w:lang w:val="es-CO" w:eastAsia="es-CO"/>
        </w:rPr>
        <w:t> El Ministerio de la Protección Social determinará y comunicará a las direcciones departamentales, municipales y distritales de salud, a más tardar el 30 de mayo de cada año, el riesgo de las Empresas Sociales del Estado teniendo en cuenta sus condiciones de mercado, de equilibrio y viabilidad financiero, a partir de sus indicadores financieros, sin perjuicio de la evaluación por indicadores de salud establecida en la presente ley. </w:t>
      </w:r>
    </w:p>
    <w:p w14:paraId="09FAE47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91B20F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Empresas Sociales del Estado, atendiendo su situación financiera se clasificarán de acuerdo a la reglamentación que expida el Ministerio de la Protección Social. </w:t>
      </w:r>
    </w:p>
    <w:p w14:paraId="20CD648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2954D3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Cuando no se reciba la información utilizada para la categorización del riesgo de una Empresa Social del Estado o se detecte alguna imprecisión en esta y no sea corregida o entregada oportunamente, dicha empresa quedará categorizada en riesgo alto y deberá adoptar un programa de saneamiento fiscal y financiero, sin perjuicio de las investigaciones que se deban adelantar por parte de los organismos de vigilancia y control. </w:t>
      </w:r>
    </w:p>
    <w:p w14:paraId="34BFA16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69FBA4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informe de riesgo hará parte del plan de gestión del gerente de la respectiva entidad a la Junta Directiva y a otras entidades que lo requieran, sin perjuicio de las acciones legales pertinentes. </w:t>
      </w:r>
    </w:p>
    <w:p w14:paraId="28B9CF58" w14:textId="77777777" w:rsidR="00C2708D" w:rsidRPr="00C2708D" w:rsidRDefault="00C2708D" w:rsidP="00CE4017">
      <w:pPr>
        <w:widowControl/>
        <w:autoSpaceDE/>
        <w:autoSpaceDN/>
        <w:jc w:val="both"/>
        <w:rPr>
          <w:rFonts w:eastAsia="Times New Roman"/>
          <w:color w:val="000000"/>
          <w:lang w:val="es-CO" w:eastAsia="es-CO"/>
        </w:rPr>
      </w:pPr>
      <w:bookmarkStart w:id="104" w:name="ver_30191301"/>
      <w:bookmarkStart w:id="105" w:name="ver_1680515"/>
      <w:bookmarkEnd w:id="104"/>
    </w:p>
    <w:p w14:paraId="7B543A7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81.Derogado </w:t>
      </w:r>
    </w:p>
    <w:p w14:paraId="695486E1" w14:textId="77777777" w:rsidR="00C2708D" w:rsidRPr="00C2708D" w:rsidRDefault="00C2708D" w:rsidP="00CE4017">
      <w:pPr>
        <w:widowControl/>
        <w:autoSpaceDE/>
        <w:autoSpaceDN/>
        <w:jc w:val="both"/>
        <w:rPr>
          <w:rFonts w:eastAsia="Times New Roman"/>
          <w:color w:val="000000"/>
          <w:lang w:val="es-CO" w:eastAsia="es-CO"/>
        </w:rPr>
      </w:pPr>
      <w:bookmarkStart w:id="106" w:name="ver_1680516"/>
      <w:bookmarkEnd w:id="105"/>
      <w:bookmarkEnd w:id="106"/>
    </w:p>
    <w:p w14:paraId="6AC74BD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82.</w:t>
      </w:r>
      <w:r w:rsidRPr="00C2708D">
        <w:rPr>
          <w:rFonts w:eastAsia="Times New Roman"/>
          <w:i/>
          <w:iCs/>
          <w:color w:val="000000"/>
          <w:lang w:val="es-CO" w:eastAsia="es-CO"/>
        </w:rPr>
        <w:t>Incumplimiento del Programa de Saneamiento Fiscal</w:t>
      </w:r>
      <w:r w:rsidRPr="00C2708D">
        <w:rPr>
          <w:rFonts w:eastAsia="Times New Roman"/>
          <w:color w:val="000000"/>
          <w:lang w:val="es-CO" w:eastAsia="es-CO"/>
        </w:rPr>
        <w:t>. Si con la implementación del programa de saneamiento fiscal y financiero, la Empresa Social del Estado en riesgo alto no logra categorizarse en riesgo medio en los términos definidos en la presente ley, deberá adoptar una o más de las siguientes medidas: </w:t>
      </w:r>
    </w:p>
    <w:p w14:paraId="7AB64D3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EBD924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82.1 Acuerdos de reestructuración de pasivos. </w:t>
      </w:r>
    </w:p>
    <w:p w14:paraId="09A23A9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FAD6EB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82.2 Intervención por parte de la Superintendencia Nacional de Salud, independientemente de que la Empresa Social del Estado esté adelantando o no programas de saneamiento. </w:t>
      </w:r>
    </w:p>
    <w:p w14:paraId="2B7C67F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EAD95F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82.3 Liquidación o supresión, o fusión de la entidad. </w:t>
      </w:r>
    </w:p>
    <w:p w14:paraId="445F351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3859A9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Generará responsabilidad disciplinaria y fiscal al Gobernador o Alcalde que no den cumplimiento a lo dispuesto en el presente artículo. </w:t>
      </w:r>
    </w:p>
    <w:p w14:paraId="078757E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E44581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Parágrafo. En las liquidaciones de Empresas Sociales del Estado que se adelanten por parte de la Superintendencia Nacional de Salud, se dará aplicación a lo dispuesto en el Decreto-ley 254 de 2000 y en la Ley 1105 de 2006, y demás normas que los modifiquen, </w:t>
      </w:r>
      <w:r w:rsidRPr="00C2708D">
        <w:rPr>
          <w:rFonts w:eastAsia="Times New Roman"/>
          <w:color w:val="000000"/>
          <w:lang w:val="es-CO" w:eastAsia="es-CO"/>
        </w:rPr>
        <w:lastRenderedPageBreak/>
        <w:t>adicionen o sustituyan. Las liquidaciones que se estén adelantando, se ajustarán a lo aquí dispuesto. </w:t>
      </w:r>
    </w:p>
    <w:p w14:paraId="4EF35685" w14:textId="77777777" w:rsidR="00C2708D" w:rsidRPr="00C2708D" w:rsidRDefault="00C2708D" w:rsidP="00CE4017">
      <w:pPr>
        <w:widowControl/>
        <w:autoSpaceDE/>
        <w:autoSpaceDN/>
        <w:jc w:val="both"/>
        <w:rPr>
          <w:rFonts w:eastAsia="Times New Roman"/>
          <w:color w:val="000000"/>
          <w:lang w:val="es-CO" w:eastAsia="es-CO"/>
        </w:rPr>
      </w:pPr>
      <w:bookmarkStart w:id="107" w:name="ver_1680517"/>
      <w:bookmarkEnd w:id="107"/>
    </w:p>
    <w:p w14:paraId="684B1E2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83. </w:t>
      </w:r>
      <w:r w:rsidRPr="00C2708D">
        <w:rPr>
          <w:rFonts w:eastAsia="Times New Roman"/>
          <w:i/>
          <w:iCs/>
          <w:color w:val="000000"/>
          <w:lang w:val="es-CO" w:eastAsia="es-CO"/>
        </w:rPr>
        <w:t>Recursos de crédito para el rediseño, modernización y reorganización de los hospitales de la red pública para desarrollo de las redes territoriales de prestación de servicios de salud.</w:t>
      </w:r>
      <w:r w:rsidRPr="00C2708D">
        <w:rPr>
          <w:rFonts w:eastAsia="Times New Roman"/>
          <w:color w:val="000000"/>
          <w:lang w:val="es-CO" w:eastAsia="es-CO"/>
        </w:rPr>
        <w:t xml:space="preserve"> Para la ejecución de los créditos </w:t>
      </w:r>
      <w:proofErr w:type="spellStart"/>
      <w:r w:rsidRPr="00C2708D">
        <w:rPr>
          <w:rFonts w:eastAsia="Times New Roman"/>
          <w:color w:val="000000"/>
          <w:lang w:val="es-CO" w:eastAsia="es-CO"/>
        </w:rPr>
        <w:t>condonables</w:t>
      </w:r>
      <w:proofErr w:type="spellEnd"/>
      <w:r w:rsidRPr="00C2708D">
        <w:rPr>
          <w:rFonts w:eastAsia="Times New Roman"/>
          <w:color w:val="000000"/>
          <w:lang w:val="es-CO" w:eastAsia="es-CO"/>
        </w:rPr>
        <w:t xml:space="preserve"> de que trata el parágrafo 3° del artículo 54 de la Ley 715 de 2001, la Nación y las entidades territoriales concurrirán, bajo la modalidad de préstamos </w:t>
      </w:r>
      <w:proofErr w:type="spellStart"/>
      <w:r w:rsidRPr="00C2708D">
        <w:rPr>
          <w:rFonts w:eastAsia="Times New Roman"/>
          <w:color w:val="000000"/>
          <w:lang w:val="es-CO" w:eastAsia="es-CO"/>
        </w:rPr>
        <w:t>condonables</w:t>
      </w:r>
      <w:proofErr w:type="spellEnd"/>
      <w:r w:rsidRPr="00C2708D">
        <w:rPr>
          <w:rFonts w:eastAsia="Times New Roman"/>
          <w:color w:val="000000"/>
          <w:lang w:val="es-CO" w:eastAsia="es-CO"/>
        </w:rPr>
        <w:t>, en el financiamiento de los procesos de rediseño, modernización y reorganización de Instituciones Prestadoras de Salud Públicas, mediante convenios de desempeño con las instituciones hospitalarias, que como mínimo garanticen, por parte de la entidad hospitalaria, su sostenibilidad durante diez (10) años, mediante el equilibrio financiero, eficiencia en la prestación de los servicios y su articulación en red. </w:t>
      </w:r>
    </w:p>
    <w:p w14:paraId="24CFD4D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424474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asignación de estos recursos de crédito por el Gobierno Nacional permitirá que las Instituciones Prestadoras de Salud públicas puedan participar del proceso de conformación de redes territoriales de servicios de salud para poder desarrollar la política de Atención Primaria en Salud. Dicha asignación se regirá por los principios de proporcionalidad y equidad territoriales. </w:t>
      </w:r>
    </w:p>
    <w:p w14:paraId="0ECFDB45" w14:textId="77777777" w:rsidR="00C2708D" w:rsidRPr="00C2708D" w:rsidRDefault="00C2708D" w:rsidP="00CE4017">
      <w:pPr>
        <w:widowControl/>
        <w:autoSpaceDE/>
        <w:autoSpaceDN/>
        <w:jc w:val="both"/>
        <w:rPr>
          <w:rFonts w:eastAsia="Times New Roman"/>
          <w:color w:val="000000"/>
          <w:lang w:val="es-CO" w:eastAsia="es-CO"/>
        </w:rPr>
      </w:pPr>
      <w:bookmarkStart w:id="108" w:name="ver_1680518"/>
      <w:bookmarkEnd w:id="108"/>
    </w:p>
    <w:p w14:paraId="571BA36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84.</w:t>
      </w:r>
      <w:r w:rsidRPr="00C2708D">
        <w:rPr>
          <w:rFonts w:eastAsia="Times New Roman"/>
          <w:i/>
          <w:iCs/>
          <w:color w:val="000000"/>
          <w:lang w:val="es-CO" w:eastAsia="es-CO"/>
        </w:rPr>
        <w:t>Saneamiento de pasivos</w:t>
      </w:r>
      <w:r w:rsidRPr="00C2708D">
        <w:rPr>
          <w:rFonts w:eastAsia="Times New Roman"/>
          <w:color w:val="000000"/>
          <w:lang w:val="es-CO" w:eastAsia="es-CO"/>
        </w:rPr>
        <w:t>. Con el fin de facilitar los procesos de saneamiento de pasivos, las Empresas Sociales del Estado que hayan adoptado programas de saneamiento fiscal y financiero en virtud de lo dispuesto en la presente ley, que tengan suscrito o suscriban programas o convenios de desempeño en virtud de lo establecido en la Ley 715 de 2001 o estén intervenidas por la Superintendencia Nacional de Salud, podrán iniciar simultáneamente o en cualquier momento durante la vigencia de los mismos, la promoción de acuerdos de reestructuración de pasivos de que tratan las Leyes 550 de 1999 y 1116 de 2006 y demás normas que las modifiquen, adicionen o sustituyan. </w:t>
      </w:r>
    </w:p>
    <w:p w14:paraId="5A59AA18" w14:textId="77777777" w:rsidR="00C2708D" w:rsidRPr="00C2708D" w:rsidRDefault="00C2708D" w:rsidP="00CE4017">
      <w:pPr>
        <w:widowControl/>
        <w:autoSpaceDE/>
        <w:autoSpaceDN/>
        <w:jc w:val="both"/>
        <w:rPr>
          <w:rFonts w:eastAsia="Times New Roman"/>
          <w:color w:val="000000"/>
          <w:lang w:val="es-CO" w:eastAsia="es-CO"/>
        </w:rPr>
      </w:pPr>
      <w:bookmarkStart w:id="109" w:name="ver_1680519"/>
      <w:bookmarkEnd w:id="109"/>
    </w:p>
    <w:p w14:paraId="3CDF539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85.</w:t>
      </w:r>
      <w:r w:rsidRPr="00C2708D">
        <w:rPr>
          <w:rFonts w:eastAsia="Times New Roman"/>
          <w:i/>
          <w:iCs/>
          <w:color w:val="000000"/>
          <w:lang w:val="es-CO" w:eastAsia="es-CO"/>
        </w:rPr>
        <w:t>Saneamiento de aportes patronales.</w:t>
      </w:r>
      <w:r w:rsidRPr="00C2708D">
        <w:rPr>
          <w:rFonts w:eastAsia="Times New Roman"/>
          <w:color w:val="000000"/>
          <w:lang w:val="es-CO" w:eastAsia="es-CO"/>
        </w:rPr>
        <w:t xml:space="preserve"> Las Entidades Promotoras de Salud y Entidades Obligadas a compensar o el Fondo de Solidaridad y Garantía,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según corresponda, las Administradoras de Riesgos Profesionales, las entidades administradoras de pensiones tanto del Régimen de Prima Media con Prestación Definida, como las de ahorro individual con solidaridad y las administradoras de cesantías, incluido el Fondo Nacional de Ahorro, que hubieren recibido o que tengan en su poder recursos por concepto de aportes patronales del Situado Fiscal y del Sistema General de Participaciones para Salud, las direcciones territoriales de salud, las Instituciones Prestadoras de Salud Públicas y demás entidades a las que se les hayan asignado recursos para el pago de aportes patronales, contarán con doce (12) meses, para realizar el proceso de saneamiento por concepto de aportes patronales con el procedimiento que determine el Ministerio de la Protección Social. En este proceso de saneamiento podrán concurrir recursos de ambas fuentes. </w:t>
      </w:r>
    </w:p>
    <w:p w14:paraId="5E962E1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272A2E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Fondos de Pensiones, Cesantías, Entidades Promotoras de Salud y Administradoras de Riesgos Profesionales de Salud, deberán implementar las acciones administrativas necesarias para que se realice el procedimiento operativo de saneamiento de los aportes patronales con las direcciones territoriales de salud, las instituciones prestadoras de servicio de salud pública y demás entidades a las que se les hayan asignado recursos para el pago de aportes patronales, con oportunidad y eficacia. </w:t>
      </w:r>
    </w:p>
    <w:p w14:paraId="42DFAE5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A300B3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Las peticiones de las entidades aportantes relacionadas con el proceso de saneamiento de dichos recursos a las entidades administradoras de los mismos, deben ser entendidas en un plazo no superior a treinta (30) días calendario. En caso de no respuesta se informará del incumplimiento a la Superintendencia Financiera o la Superintendencia de Salud según corresponda, la inspección y vigilancia de la entidad administradora de los aportes patronales, para lo de su competencia. </w:t>
      </w:r>
    </w:p>
    <w:p w14:paraId="402AD4A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62D1A2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Si vencido este término de los doce (12) meses dispuestos para concluir el proceso de saneamiento no se hubiere realizado el mismo, las entidades administradoras de aportes patronales girarán los recursos excedentes con el mecanismo financiero que determine el Ministerio de la Protección Social, sin perjuicio de los contratos que se hubieren ejecutado con cargo a estos recursos. </w:t>
      </w:r>
    </w:p>
    <w:p w14:paraId="4B51444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7B61AAA" w14:textId="75B5735E" w:rsidR="00C2708D" w:rsidRDefault="00C2708D" w:rsidP="00CE4017">
      <w:pPr>
        <w:widowControl/>
        <w:autoSpaceDE/>
        <w:autoSpaceDN/>
        <w:jc w:val="center"/>
        <w:rPr>
          <w:rFonts w:eastAsia="Times New Roman"/>
          <w:b/>
          <w:bCs/>
          <w:color w:val="000000"/>
          <w:lang w:val="es-CO" w:eastAsia="es-CO"/>
        </w:rPr>
      </w:pPr>
      <w:bookmarkStart w:id="110" w:name="ver_30027942"/>
      <w:bookmarkEnd w:id="110"/>
      <w:r w:rsidRPr="00C2708D">
        <w:rPr>
          <w:rFonts w:eastAsia="Times New Roman"/>
          <w:b/>
          <w:bCs/>
          <w:color w:val="000000"/>
          <w:lang w:val="es-CO" w:eastAsia="es-CO"/>
        </w:rPr>
        <w:t>CAPÍTULO IV</w:t>
      </w:r>
    </w:p>
    <w:p w14:paraId="4D17D4E2" w14:textId="77777777" w:rsidR="00CE4017" w:rsidRPr="00C2708D" w:rsidRDefault="00CE4017" w:rsidP="00CE4017">
      <w:pPr>
        <w:widowControl/>
        <w:autoSpaceDE/>
        <w:autoSpaceDN/>
        <w:jc w:val="center"/>
        <w:rPr>
          <w:rFonts w:eastAsia="Times New Roman"/>
          <w:b/>
          <w:bCs/>
          <w:color w:val="000000"/>
          <w:lang w:val="es-CO" w:eastAsia="es-CO"/>
        </w:rPr>
      </w:pPr>
    </w:p>
    <w:p w14:paraId="70299351"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Medicamentos, insumos y dispositivos médicos</w:t>
      </w:r>
    </w:p>
    <w:p w14:paraId="06058709" w14:textId="77777777" w:rsidR="00C2708D" w:rsidRPr="00C2708D" w:rsidRDefault="00C2708D" w:rsidP="00CE4017">
      <w:pPr>
        <w:widowControl/>
        <w:autoSpaceDE/>
        <w:autoSpaceDN/>
        <w:jc w:val="both"/>
        <w:rPr>
          <w:rFonts w:eastAsia="Times New Roman"/>
          <w:color w:val="000000"/>
          <w:lang w:val="es-CO" w:eastAsia="es-CO"/>
        </w:rPr>
      </w:pPr>
      <w:bookmarkStart w:id="111" w:name="ver_1680520"/>
      <w:bookmarkEnd w:id="111"/>
    </w:p>
    <w:p w14:paraId="1D1A1A7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86.</w:t>
      </w:r>
      <w:r w:rsidRPr="00C2708D">
        <w:rPr>
          <w:rFonts w:eastAsia="Times New Roman"/>
          <w:i/>
          <w:iCs/>
          <w:color w:val="000000"/>
          <w:lang w:val="es-CO" w:eastAsia="es-CO"/>
        </w:rPr>
        <w:t>Política farmacéutica, de insumos y dispositivos m</w:t>
      </w:r>
      <w:r w:rsidRPr="00C2708D">
        <w:rPr>
          <w:rFonts w:eastAsia="Times New Roman"/>
          <w:color w:val="000000"/>
          <w:lang w:val="es-CO" w:eastAsia="es-CO"/>
        </w:rPr>
        <w:t>é</w:t>
      </w:r>
      <w:r w:rsidRPr="00C2708D">
        <w:rPr>
          <w:rFonts w:eastAsia="Times New Roman"/>
          <w:i/>
          <w:iCs/>
          <w:color w:val="000000"/>
          <w:lang w:val="es-CO" w:eastAsia="es-CO"/>
        </w:rPr>
        <w:t>dicos</w:t>
      </w:r>
      <w:r w:rsidRPr="00C2708D">
        <w:rPr>
          <w:rFonts w:eastAsia="Times New Roman"/>
          <w:color w:val="000000"/>
          <w:lang w:val="es-CO" w:eastAsia="es-CO"/>
        </w:rPr>
        <w:t>. El Ministerio de la Protección Social definirá la política farmacéutica, de insumos y dispositivos médicos a nivel nacional y en su implementación, establecerá y desarrollará mecanismos y estrategias dirigidas a optimizar la utilización de medicamentos, insumos y dispositivos, a evitar las inequidades en el acceso y asegurar la calidad de los mismos, en el marco del Sistema General de Seguridad Social en Salud.</w:t>
      </w:r>
    </w:p>
    <w:p w14:paraId="0D754768" w14:textId="77777777" w:rsidR="00C2708D" w:rsidRPr="00C2708D" w:rsidRDefault="00C2708D" w:rsidP="00CE4017">
      <w:pPr>
        <w:widowControl/>
        <w:autoSpaceDE/>
        <w:autoSpaceDN/>
        <w:jc w:val="both"/>
        <w:rPr>
          <w:rFonts w:eastAsia="Times New Roman"/>
          <w:color w:val="000000"/>
          <w:lang w:val="es-CO" w:eastAsia="es-CO"/>
        </w:rPr>
      </w:pPr>
      <w:bookmarkStart w:id="112" w:name="ver_1680521"/>
      <w:bookmarkEnd w:id="112"/>
    </w:p>
    <w:p w14:paraId="674118E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87.</w:t>
      </w:r>
      <w:r w:rsidRPr="00C2708D">
        <w:rPr>
          <w:rFonts w:eastAsia="Times New Roman"/>
          <w:i/>
          <w:iCs/>
          <w:color w:val="000000"/>
          <w:lang w:val="es-CO" w:eastAsia="es-CO"/>
        </w:rPr>
        <w:t>Comisión Nacional de Precios de Medicamentos y Dispositivos M</w:t>
      </w:r>
      <w:r w:rsidRPr="00C2708D">
        <w:rPr>
          <w:rFonts w:eastAsia="Times New Roman"/>
          <w:color w:val="000000"/>
          <w:lang w:val="es-CO" w:eastAsia="es-CO"/>
        </w:rPr>
        <w:t>é</w:t>
      </w:r>
      <w:r w:rsidRPr="00C2708D">
        <w:rPr>
          <w:rFonts w:eastAsia="Times New Roman"/>
          <w:i/>
          <w:iCs/>
          <w:color w:val="000000"/>
          <w:lang w:val="es-CO" w:eastAsia="es-CO"/>
        </w:rPr>
        <w:t>dicos - CNPMD.</w:t>
      </w:r>
      <w:r w:rsidRPr="00C2708D">
        <w:rPr>
          <w:rFonts w:eastAsia="Times New Roman"/>
          <w:color w:val="000000"/>
          <w:lang w:val="es-CO" w:eastAsia="es-CO"/>
        </w:rPr>
        <w:t> En adelante la Comisión Nacional de Precios de Medicamentos de que trata el artículo 245 de la Ley 100 de 1993, se denominará Comisión Nacional de Precios de Medicamentos y Dispositivos Médicos, y tendrá a su cargo la formulación y la regulación de la política de precios de medicamentos y dispositivos médicos. </w:t>
      </w:r>
    </w:p>
    <w:p w14:paraId="476531A1" w14:textId="77777777" w:rsidR="00C2708D" w:rsidRPr="00C2708D" w:rsidRDefault="00C2708D" w:rsidP="00CE4017">
      <w:pPr>
        <w:widowControl/>
        <w:autoSpaceDE/>
        <w:autoSpaceDN/>
        <w:jc w:val="both"/>
        <w:rPr>
          <w:rFonts w:eastAsia="Times New Roman"/>
          <w:color w:val="000000"/>
          <w:lang w:val="es-CO" w:eastAsia="es-CO"/>
        </w:rPr>
      </w:pPr>
      <w:bookmarkStart w:id="113" w:name="ver_1680522"/>
      <w:bookmarkEnd w:id="113"/>
    </w:p>
    <w:p w14:paraId="102DD3E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88.</w:t>
      </w:r>
      <w:r w:rsidRPr="00C2708D">
        <w:rPr>
          <w:rFonts w:eastAsia="Times New Roman"/>
          <w:i/>
          <w:iCs/>
          <w:color w:val="000000"/>
          <w:lang w:val="es-CO" w:eastAsia="es-CO"/>
        </w:rPr>
        <w:t>Negociación de medicamentos, insumos y dispositivos</w:t>
      </w:r>
      <w:r w:rsidRPr="00C2708D">
        <w:rPr>
          <w:rFonts w:eastAsia="Times New Roman"/>
          <w:color w:val="000000"/>
          <w:lang w:val="es-CO" w:eastAsia="es-CO"/>
        </w:rPr>
        <w:t>. El Ministerio de la Protección Social establecerá los mecanismos para adelantar negociaciones de precios de medicamentos, insumos y dispositivos. </w:t>
      </w:r>
    </w:p>
    <w:p w14:paraId="49279D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FD08F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Ministerio de la Protección Social establecerá los mecanismos para adelantar negociaciones que generen precios de referencia de medicamentos y dispositivos de calidad. En el caso que los mismos no operen en la cadena, el Gobierno Nacional podrá acudir a la compra directa. Las instituciones públicas prestadoras del servicio de salud no podrán comprar por encima de los precios de referencia. </w:t>
      </w:r>
    </w:p>
    <w:p w14:paraId="4F1C624E" w14:textId="77777777" w:rsidR="00C2708D" w:rsidRPr="00C2708D" w:rsidRDefault="00C2708D" w:rsidP="00CE4017">
      <w:pPr>
        <w:widowControl/>
        <w:autoSpaceDE/>
        <w:autoSpaceDN/>
        <w:jc w:val="both"/>
        <w:rPr>
          <w:rFonts w:eastAsia="Times New Roman"/>
          <w:color w:val="000000"/>
          <w:lang w:val="es-CO" w:eastAsia="es-CO"/>
        </w:rPr>
      </w:pPr>
      <w:bookmarkStart w:id="114" w:name="ver_1680523"/>
      <w:bookmarkEnd w:id="114"/>
    </w:p>
    <w:p w14:paraId="0EF42C4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89.</w:t>
      </w:r>
      <w:r w:rsidRPr="00C2708D">
        <w:rPr>
          <w:rFonts w:eastAsia="Times New Roman"/>
          <w:i/>
          <w:iCs/>
          <w:color w:val="000000"/>
          <w:lang w:val="es-CO" w:eastAsia="es-CO"/>
        </w:rPr>
        <w:t> Garantía de la calidad de medicamentos, insumos y dispositivos m</w:t>
      </w:r>
      <w:r w:rsidRPr="00C2708D">
        <w:rPr>
          <w:rFonts w:eastAsia="Times New Roman"/>
          <w:color w:val="000000"/>
          <w:lang w:val="es-CO" w:eastAsia="es-CO"/>
        </w:rPr>
        <w:t>é</w:t>
      </w:r>
      <w:r w:rsidRPr="00C2708D">
        <w:rPr>
          <w:rFonts w:eastAsia="Times New Roman"/>
          <w:i/>
          <w:iCs/>
          <w:color w:val="000000"/>
          <w:lang w:val="es-CO" w:eastAsia="es-CO"/>
        </w:rPr>
        <w:t>dicos</w:t>
      </w:r>
      <w:r w:rsidRPr="00C2708D">
        <w:rPr>
          <w:rFonts w:eastAsia="Times New Roman"/>
          <w:color w:val="000000"/>
          <w:lang w:val="es-CO" w:eastAsia="es-CO"/>
        </w:rPr>
        <w:t>. El Invima garantizará la calidad, eficacia y seguridad de los medicamentos, insumos y dispositivos médicos que se comercialicen en el país de acuerdo con los estándares internacionales de calidad, reglamentación que hará el Gobierno Nacional. </w:t>
      </w:r>
    </w:p>
    <w:p w14:paraId="4853160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681D96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El Gobierno Nacional tendrá un (1) año para expedir reglamentación para la aprobación de productos biotecnológicos y biológicos. </w:t>
      </w:r>
    </w:p>
    <w:p w14:paraId="2E7DEE61" w14:textId="77777777" w:rsidR="00C2708D" w:rsidRPr="00C2708D" w:rsidRDefault="00C2708D" w:rsidP="00CE4017">
      <w:pPr>
        <w:widowControl/>
        <w:autoSpaceDE/>
        <w:autoSpaceDN/>
        <w:jc w:val="both"/>
        <w:rPr>
          <w:rFonts w:eastAsia="Times New Roman"/>
          <w:color w:val="000000"/>
          <w:lang w:val="es-CO" w:eastAsia="es-CO"/>
        </w:rPr>
      </w:pPr>
      <w:bookmarkStart w:id="115" w:name="ver_1680524"/>
      <w:bookmarkEnd w:id="115"/>
    </w:p>
    <w:p w14:paraId="302ECE4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90.</w:t>
      </w:r>
      <w:r w:rsidRPr="00C2708D">
        <w:rPr>
          <w:rFonts w:eastAsia="Times New Roman"/>
          <w:i/>
          <w:iCs/>
          <w:color w:val="000000"/>
          <w:lang w:val="es-CO" w:eastAsia="es-CO"/>
        </w:rPr>
        <w:t> Garantía de la competencia.</w:t>
      </w:r>
      <w:r w:rsidRPr="00C2708D">
        <w:rPr>
          <w:rFonts w:eastAsia="Times New Roman"/>
          <w:color w:val="000000"/>
          <w:lang w:val="es-CO" w:eastAsia="es-CO"/>
        </w:rPr>
        <w:t xml:space="preserve"> El Gobierno Nacional deberá garantizar la competencia efectiva para la producción, venta, comercialización y distribución de medicamentos, insumos y dispositivos médicos podrá realizar o autorizar la importación </w:t>
      </w:r>
      <w:r w:rsidRPr="00C2708D">
        <w:rPr>
          <w:rFonts w:eastAsia="Times New Roman"/>
          <w:color w:val="000000"/>
          <w:lang w:val="es-CO" w:eastAsia="es-CO"/>
        </w:rPr>
        <w:lastRenderedPageBreak/>
        <w:t>paralela de estos, establecer límites al gasto y adelantar las gestiones necesarias para que la población disponga de medicamentos, insumos y dispositivos médicos de buena calidad a precios accesibles. </w:t>
      </w:r>
    </w:p>
    <w:p w14:paraId="0EACB89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331315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Gobierno Nacional, las entidades públicas y privadas podrán realizar compras centralizadas de medicamentos insumos y dispositivos médicos dentro y fuera del país y desarrollar modelos de gestión que permitan disminuir los precios de los medicamentos insumos y dispositivos médicos y facilitar el acceso de la población a estos.  </w:t>
      </w:r>
    </w:p>
    <w:p w14:paraId="613DFBCA" w14:textId="77777777" w:rsidR="00C2708D" w:rsidRPr="00C2708D" w:rsidRDefault="00C2708D" w:rsidP="00CE4017">
      <w:pPr>
        <w:widowControl/>
        <w:autoSpaceDE/>
        <w:autoSpaceDN/>
        <w:jc w:val="both"/>
        <w:rPr>
          <w:rFonts w:eastAsia="Times New Roman"/>
          <w:color w:val="000000"/>
          <w:lang w:val="es-CO" w:eastAsia="es-CO"/>
        </w:rPr>
      </w:pPr>
      <w:bookmarkStart w:id="116" w:name="ver_1680525"/>
      <w:bookmarkEnd w:id="116"/>
    </w:p>
    <w:p w14:paraId="21F16EE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91.</w:t>
      </w:r>
      <w:r w:rsidRPr="00C2708D">
        <w:rPr>
          <w:rFonts w:eastAsia="Times New Roman"/>
          <w:i/>
          <w:iCs/>
          <w:color w:val="000000"/>
          <w:lang w:val="es-CO" w:eastAsia="es-CO"/>
        </w:rPr>
        <w:t> Codificación de insumos y dispositivos médicos.</w:t>
      </w:r>
      <w:r w:rsidRPr="00C2708D">
        <w:rPr>
          <w:rFonts w:eastAsia="Times New Roman"/>
          <w:color w:val="000000"/>
          <w:lang w:val="es-CO" w:eastAsia="es-CO"/>
        </w:rPr>
        <w:t> El Ministerio de la Protección Social, expedirá en un plazo máximo de 6 meses, la norma que permita la codificación de los insumos y dispositivos médicos a los cuales el Invima haya otorgado registro sanitario y los que en el futuro autorice. </w:t>
      </w:r>
    </w:p>
    <w:p w14:paraId="4637F9F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C7E64F4" w14:textId="264EC622" w:rsidR="00C2708D" w:rsidRDefault="00C2708D" w:rsidP="00CE4017">
      <w:pPr>
        <w:widowControl/>
        <w:autoSpaceDE/>
        <w:autoSpaceDN/>
        <w:jc w:val="center"/>
        <w:rPr>
          <w:rFonts w:eastAsia="Times New Roman"/>
          <w:b/>
          <w:bCs/>
          <w:color w:val="000000"/>
          <w:lang w:val="es-CO" w:eastAsia="es-CO"/>
        </w:rPr>
      </w:pPr>
      <w:bookmarkStart w:id="117" w:name="ver_30027943"/>
      <w:bookmarkEnd w:id="117"/>
      <w:r w:rsidRPr="00C2708D">
        <w:rPr>
          <w:rFonts w:eastAsia="Times New Roman"/>
          <w:b/>
          <w:bCs/>
          <w:color w:val="000000"/>
          <w:lang w:val="es-CO" w:eastAsia="es-CO"/>
        </w:rPr>
        <w:t>CAPÍTULO V</w:t>
      </w:r>
    </w:p>
    <w:p w14:paraId="3713CCA3" w14:textId="77777777" w:rsidR="00CE4017" w:rsidRPr="00C2708D" w:rsidRDefault="00CE4017" w:rsidP="00CE4017">
      <w:pPr>
        <w:widowControl/>
        <w:autoSpaceDE/>
        <w:autoSpaceDN/>
        <w:jc w:val="center"/>
        <w:rPr>
          <w:rFonts w:eastAsia="Times New Roman"/>
          <w:b/>
          <w:bCs/>
          <w:color w:val="000000"/>
          <w:lang w:val="es-CO" w:eastAsia="es-CO"/>
        </w:rPr>
      </w:pPr>
    </w:p>
    <w:p w14:paraId="47F3E31F"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Instituto de Evaluación Tecnológica en Salud</w:t>
      </w:r>
    </w:p>
    <w:p w14:paraId="725CE71D" w14:textId="77777777" w:rsidR="00C2708D" w:rsidRPr="00C2708D" w:rsidRDefault="00C2708D" w:rsidP="00CE4017">
      <w:pPr>
        <w:widowControl/>
        <w:autoSpaceDE/>
        <w:autoSpaceDN/>
        <w:jc w:val="both"/>
        <w:rPr>
          <w:rFonts w:eastAsia="Times New Roman"/>
          <w:color w:val="000000"/>
          <w:lang w:val="es-CO" w:eastAsia="es-CO"/>
        </w:rPr>
      </w:pPr>
      <w:bookmarkStart w:id="118" w:name="ver_1680526"/>
      <w:bookmarkEnd w:id="118"/>
    </w:p>
    <w:p w14:paraId="711B2EF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92.</w:t>
      </w:r>
      <w:r w:rsidRPr="00C2708D">
        <w:rPr>
          <w:rFonts w:eastAsia="Times New Roman"/>
          <w:i/>
          <w:iCs/>
          <w:color w:val="000000"/>
          <w:lang w:val="es-CO" w:eastAsia="es-CO"/>
        </w:rPr>
        <w:t> Instituto de Evaluación Tecnológica en Salud.</w:t>
      </w:r>
      <w:r w:rsidRPr="00C2708D">
        <w:rPr>
          <w:rFonts w:eastAsia="Times New Roman"/>
          <w:color w:val="000000"/>
          <w:lang w:val="es-CO" w:eastAsia="es-CO"/>
        </w:rPr>
        <w:t> Autorícese al Ministerio de la Protección Social la creación del Instituto de Evaluación Tecnológica en Salud como una corporación sin ánimo de lucro de naturaleza mixta, de la cual podrán hacer parte, entre otros, las sociedades científicas y la Academia Nacional de Medicina, esta entidad será responsable de la evaluación de tecnologías en salud basada en la evidencia científica, guías y protocolos sobre procedimientos, medicamentos y tratamiento de acuerdo con los contenidos del Plan de Beneficios, sus orientaciones serán un referente para la definición de planes de beneficios, para los conceptos técnicos de los Comités Científicos y la Junta Técnico Científico y para los prestadores de los servicios de salud. </w:t>
      </w:r>
    </w:p>
    <w:p w14:paraId="2E17715F" w14:textId="0D9E4B3B"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19" w:name="ver_1680527"/>
      <w:bookmarkEnd w:id="119"/>
    </w:p>
    <w:p w14:paraId="546521C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93. </w:t>
      </w:r>
      <w:r w:rsidRPr="00C2708D">
        <w:rPr>
          <w:rFonts w:eastAsia="Times New Roman"/>
          <w:i/>
          <w:iCs/>
          <w:color w:val="000000"/>
          <w:lang w:val="es-CO" w:eastAsia="es-CO"/>
        </w:rPr>
        <w:t>Objetivos del Instituto de Evaluación Tecnológica en Salud.</w:t>
      </w:r>
      <w:r w:rsidRPr="00C2708D">
        <w:rPr>
          <w:rFonts w:eastAsia="Times New Roman"/>
          <w:color w:val="000000"/>
          <w:lang w:val="es-CO" w:eastAsia="es-CO"/>
        </w:rPr>
        <w:t> Son objetivos del Instituto de Evaluación de Tecnologías en Salud: </w:t>
      </w:r>
    </w:p>
    <w:p w14:paraId="46CDA81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AB610D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93.1 Evaluar las tecnologías en materia de salud, teniendo en cuenta los siguientes aspectos: seguridad, eficacia, eficiencia, efectividad, utilidad e impacto económico. </w:t>
      </w:r>
    </w:p>
    <w:p w14:paraId="15B0A81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52DB66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93.2 Consultar las evaluaciones de tecnologías con Centros de Evaluación acreditados para la evaluación de tecnologías médicas nacionales e internacionales. </w:t>
      </w:r>
    </w:p>
    <w:p w14:paraId="35BC4A4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37AD8C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93.3 Articular la evaluación de los medios técnicos y de procedimientos para la promoción y atención en salud en sus fases de prevención, diagnóstico, tratamiento y rehabilitación y su impacto en la reducción de la morbilidad y mortalidad del país, así como el impacto potencial por la adopción de nuevas tecnologías. </w:t>
      </w:r>
    </w:p>
    <w:p w14:paraId="6ADBAA6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825164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93.4 Diseñar estándares, protocolos y guías de atención en salud, basados en evidencia científica, que sirvan de referente para la prestación de los servicios de salud. </w:t>
      </w:r>
    </w:p>
    <w:p w14:paraId="11D441C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6ECAB5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93.5 Difundir las metodologías empleadas y la información producida. </w:t>
      </w:r>
    </w:p>
    <w:p w14:paraId="1076E57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4E593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93.6 Los demás que sean necesarios para el desarrollo de su objeto. </w:t>
      </w:r>
    </w:p>
    <w:p w14:paraId="24C1F31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F979E36" w14:textId="77777777" w:rsidR="00C2708D" w:rsidRPr="00C2708D" w:rsidRDefault="00C2708D" w:rsidP="00CE4017">
      <w:pPr>
        <w:widowControl/>
        <w:autoSpaceDE/>
        <w:autoSpaceDN/>
        <w:jc w:val="both"/>
        <w:rPr>
          <w:rFonts w:eastAsia="Times New Roman"/>
          <w:color w:val="000000"/>
          <w:lang w:val="es-CO" w:eastAsia="es-CO"/>
        </w:rPr>
      </w:pPr>
      <w:bookmarkStart w:id="120" w:name="ver_1680528"/>
      <w:bookmarkEnd w:id="120"/>
    </w:p>
    <w:p w14:paraId="369D43D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Artículo 94. </w:t>
      </w:r>
      <w:r w:rsidRPr="00C2708D">
        <w:rPr>
          <w:rFonts w:eastAsia="Times New Roman"/>
          <w:i/>
          <w:iCs/>
          <w:color w:val="000000"/>
          <w:lang w:val="es-CO" w:eastAsia="es-CO"/>
        </w:rPr>
        <w:t>Referentes basados en evidencia científica</w:t>
      </w:r>
      <w:r w:rsidRPr="00C2708D">
        <w:rPr>
          <w:rFonts w:eastAsia="Times New Roman"/>
          <w:color w:val="000000"/>
          <w:lang w:val="es-CO" w:eastAsia="es-CO"/>
        </w:rPr>
        <w:t>. Son los estándares, guías, normas técnicas, conjuntos de acciones o protocolos que se adopten para una o más fases de la atención como promoción de la salud, prevención, diagnóstico, tratamiento y rehabilitación de la enfermedad, para la atención de una situación específica de la salud, basados en evidencia científica. Incluyen principalmente las evaluaciones de tecnologías en salud y las guías de atención integral que presentan el conjunto de actividades, procedimientos, intervenciones, medicamentos e insumos o dispositivos que procuran que la atención sea de calidad, segura y costo-efectiva. </w:t>
      </w:r>
    </w:p>
    <w:p w14:paraId="4A3FD70F" w14:textId="77777777" w:rsidR="00C2708D" w:rsidRPr="00C2708D" w:rsidRDefault="00C2708D" w:rsidP="00CE4017">
      <w:pPr>
        <w:widowControl/>
        <w:autoSpaceDE/>
        <w:autoSpaceDN/>
        <w:jc w:val="both"/>
        <w:rPr>
          <w:rFonts w:eastAsia="Times New Roman"/>
          <w:color w:val="000000"/>
          <w:lang w:val="es-CO" w:eastAsia="es-CO"/>
        </w:rPr>
      </w:pPr>
      <w:bookmarkStart w:id="121" w:name="ver_1680529"/>
      <w:bookmarkEnd w:id="121"/>
    </w:p>
    <w:p w14:paraId="0E2A396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95.</w:t>
      </w:r>
      <w:r w:rsidRPr="00C2708D">
        <w:rPr>
          <w:rFonts w:eastAsia="Times New Roman"/>
          <w:i/>
          <w:iCs/>
          <w:color w:val="000000"/>
          <w:lang w:val="es-CO" w:eastAsia="es-CO"/>
        </w:rPr>
        <w:t>De los protocolos de atención.</w:t>
      </w:r>
      <w:r w:rsidRPr="00C2708D">
        <w:rPr>
          <w:rFonts w:eastAsia="Times New Roman"/>
          <w:color w:val="000000"/>
          <w:lang w:val="es-CO" w:eastAsia="es-CO"/>
        </w:rPr>
        <w:t> La autoridad competente desarrollará como referentes basados en evidencia científica protocolos sobre procedimientos, medicamentos y tratamientos de acuerdo con los contenidos del Plan de Beneficios. Para su elaboración se consultará a los profesionales de la salud, las sociedades científicas, los colegios de profesionales y las facultades de salud. </w:t>
      </w:r>
    </w:p>
    <w:p w14:paraId="04E843C4" w14:textId="77777777" w:rsidR="00C2708D" w:rsidRPr="00C2708D" w:rsidRDefault="00C2708D" w:rsidP="00CE4017">
      <w:pPr>
        <w:widowControl/>
        <w:autoSpaceDE/>
        <w:autoSpaceDN/>
        <w:jc w:val="both"/>
        <w:rPr>
          <w:rFonts w:eastAsia="Times New Roman"/>
          <w:color w:val="000000"/>
          <w:lang w:val="es-CO" w:eastAsia="es-CO"/>
        </w:rPr>
      </w:pPr>
      <w:bookmarkStart w:id="122" w:name="ver_1680530"/>
      <w:bookmarkEnd w:id="122"/>
    </w:p>
    <w:p w14:paraId="5D7C5D8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96.</w:t>
      </w:r>
      <w:r w:rsidRPr="00C2708D">
        <w:rPr>
          <w:rFonts w:eastAsia="Times New Roman"/>
          <w:i/>
          <w:iCs/>
          <w:color w:val="000000"/>
          <w:lang w:val="es-CO" w:eastAsia="es-CO"/>
        </w:rPr>
        <w:t>De las guías de atención.</w:t>
      </w:r>
      <w:r w:rsidRPr="00C2708D">
        <w:rPr>
          <w:rFonts w:eastAsia="Times New Roman"/>
          <w:color w:val="000000"/>
          <w:lang w:val="es-CO" w:eastAsia="es-CO"/>
        </w:rPr>
        <w:t> La autoridad competente desarrollará como referentes basados en evidencia científica guías de atención sobre procedimientos, medicamentos y tratamientos de acuerdo con los contenidos del Plan de Beneficios. Las guías médicas serán desarrolladas por la autoridad competente en coordinación con los profesionales de la salud, las sociedades científicas, los colegios de profesionales y las facultades de salud. </w:t>
      </w:r>
    </w:p>
    <w:p w14:paraId="071D5ED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CCBFA35" w14:textId="0CB8CAE3" w:rsidR="00C2708D" w:rsidRDefault="00C2708D" w:rsidP="00CE4017">
      <w:pPr>
        <w:widowControl/>
        <w:autoSpaceDE/>
        <w:autoSpaceDN/>
        <w:jc w:val="center"/>
        <w:rPr>
          <w:rFonts w:eastAsia="Times New Roman"/>
          <w:b/>
          <w:bCs/>
          <w:color w:val="000000"/>
          <w:lang w:val="es-CO" w:eastAsia="es-CO"/>
        </w:rPr>
      </w:pPr>
      <w:bookmarkStart w:id="123" w:name="ver_30027944"/>
      <w:bookmarkEnd w:id="123"/>
      <w:r w:rsidRPr="00C2708D">
        <w:rPr>
          <w:rFonts w:eastAsia="Times New Roman"/>
          <w:b/>
          <w:bCs/>
          <w:color w:val="000000"/>
          <w:lang w:val="es-CO" w:eastAsia="es-CO"/>
        </w:rPr>
        <w:t>CAPÍTULO VI</w:t>
      </w:r>
    </w:p>
    <w:p w14:paraId="284C1FA3" w14:textId="77777777" w:rsidR="00CE4017" w:rsidRPr="00C2708D" w:rsidRDefault="00CE4017" w:rsidP="00CE4017">
      <w:pPr>
        <w:widowControl/>
        <w:autoSpaceDE/>
        <w:autoSpaceDN/>
        <w:jc w:val="center"/>
        <w:rPr>
          <w:rFonts w:eastAsia="Times New Roman"/>
          <w:b/>
          <w:bCs/>
          <w:color w:val="000000"/>
          <w:lang w:val="es-CO" w:eastAsia="es-CO"/>
        </w:rPr>
      </w:pPr>
    </w:p>
    <w:p w14:paraId="084A7B27"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Talento Humano</w:t>
      </w:r>
    </w:p>
    <w:p w14:paraId="2C634DFA" w14:textId="77777777" w:rsidR="00C2708D" w:rsidRPr="00C2708D" w:rsidRDefault="00C2708D" w:rsidP="00CE4017">
      <w:pPr>
        <w:widowControl/>
        <w:autoSpaceDE/>
        <w:autoSpaceDN/>
        <w:jc w:val="both"/>
        <w:rPr>
          <w:rFonts w:eastAsia="Times New Roman"/>
          <w:color w:val="000000"/>
          <w:lang w:val="es-CO" w:eastAsia="es-CO"/>
        </w:rPr>
      </w:pPr>
      <w:bookmarkStart w:id="124" w:name="ver_1680531"/>
      <w:bookmarkEnd w:id="124"/>
    </w:p>
    <w:p w14:paraId="78B33C3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97.</w:t>
      </w:r>
      <w:r w:rsidRPr="00C2708D">
        <w:rPr>
          <w:rFonts w:eastAsia="Times New Roman"/>
          <w:i/>
          <w:iCs/>
          <w:color w:val="000000"/>
          <w:lang w:val="es-CO" w:eastAsia="es-CO"/>
        </w:rPr>
        <w:t> De la política de Talento Humano.</w:t>
      </w:r>
      <w:r w:rsidRPr="00C2708D">
        <w:rPr>
          <w:rFonts w:eastAsia="Times New Roman"/>
          <w:color w:val="000000"/>
          <w:lang w:val="es-CO" w:eastAsia="es-CO"/>
        </w:rPr>
        <w:t> El Ministerio de la Protección Social, teniendo en cuenta las recomendaciones del Consejo Nacional de Talento Humano en Salud, definirá la política de Talento Humano en Salud que oriente la formación, ejercicio y gestión de las profesiones y ocupaciones del área de la salud, en coherencia con las necesidades de la población colombiana, las características y objetivos del Sistema General de Seguridad Social en Salud. </w:t>
      </w:r>
    </w:p>
    <w:p w14:paraId="0F1B213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ED61D3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La Política de Talento Humano en Salud consultará los postulados de trabajo decente de la OIT. </w:t>
      </w:r>
    </w:p>
    <w:p w14:paraId="172B7F7B" w14:textId="77777777" w:rsidR="00C2708D" w:rsidRPr="00C2708D" w:rsidRDefault="00C2708D" w:rsidP="00CE4017">
      <w:pPr>
        <w:widowControl/>
        <w:autoSpaceDE/>
        <w:autoSpaceDN/>
        <w:jc w:val="both"/>
        <w:rPr>
          <w:rFonts w:eastAsia="Times New Roman"/>
          <w:color w:val="000000"/>
          <w:lang w:val="es-CO" w:eastAsia="es-CO"/>
        </w:rPr>
      </w:pPr>
      <w:bookmarkStart w:id="125" w:name="ver_1680532"/>
      <w:bookmarkEnd w:id="125"/>
    </w:p>
    <w:p w14:paraId="7AC6438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98.</w:t>
      </w:r>
      <w:r w:rsidRPr="00C2708D">
        <w:rPr>
          <w:rFonts w:eastAsia="Times New Roman"/>
          <w:i/>
          <w:iCs/>
          <w:color w:val="000000"/>
          <w:lang w:val="es-CO" w:eastAsia="es-CO"/>
        </w:rPr>
        <w:t> De la formación continua del Talento Humano en Salud.</w:t>
      </w:r>
      <w:r w:rsidRPr="00C2708D">
        <w:rPr>
          <w:rFonts w:eastAsia="Times New Roman"/>
          <w:color w:val="000000"/>
          <w:lang w:val="es-CO" w:eastAsia="es-CO"/>
        </w:rPr>
        <w:t> El Gobierno Nacional establecerá los lineamientos para poner en marcha un sistema de formación continua para el Talento Humano en Salud, dando prioridad a la implementación de un programa de Atención Primaria para los agentes del Sistema General de Seguridad Social en Salud, que deberá implementarse en forma progresiva. Dicho programa contendrá módulos específicos para profesionales, técnicos, tecnólogos, auxiliares de la salud, directivos y ejecutivos de las direcciones territoriales de salud, Entidades Promotoras de Servicios de Salud e Instituciones Prestadoras de Servicios. </w:t>
      </w:r>
    </w:p>
    <w:p w14:paraId="2318CA6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91A057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Concurrirán para este efecto las entidades territoriales, las sociedades científicas, los centros de formación, superior y media y los empleadores. </w:t>
      </w:r>
    </w:p>
    <w:p w14:paraId="4650B8F1" w14:textId="77777777" w:rsidR="00C2708D" w:rsidRPr="00C2708D" w:rsidRDefault="00C2708D" w:rsidP="00CE4017">
      <w:pPr>
        <w:widowControl/>
        <w:autoSpaceDE/>
        <w:autoSpaceDN/>
        <w:jc w:val="both"/>
        <w:rPr>
          <w:rFonts w:eastAsia="Times New Roman"/>
          <w:color w:val="000000"/>
          <w:lang w:val="es-CO" w:eastAsia="es-CO"/>
        </w:rPr>
      </w:pPr>
      <w:bookmarkStart w:id="126" w:name="ver_1680533"/>
      <w:bookmarkEnd w:id="126"/>
    </w:p>
    <w:p w14:paraId="21D3C20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99. </w:t>
      </w:r>
      <w:r w:rsidRPr="00C2708D">
        <w:rPr>
          <w:rFonts w:eastAsia="Times New Roman"/>
          <w:i/>
          <w:iCs/>
          <w:color w:val="000000"/>
          <w:lang w:val="es-CO" w:eastAsia="es-CO"/>
        </w:rPr>
        <w:t>De la pertinencia y calidad en la formación de Talento Humano en Salud.</w:t>
      </w:r>
      <w:r w:rsidRPr="00C2708D">
        <w:rPr>
          <w:rFonts w:eastAsia="Times New Roman"/>
          <w:color w:val="000000"/>
          <w:lang w:val="es-CO" w:eastAsia="es-CO"/>
        </w:rPr>
        <w:t> </w:t>
      </w:r>
      <w:proofErr w:type="spellStart"/>
      <w:r w:rsidRPr="00C2708D">
        <w:rPr>
          <w:rFonts w:eastAsia="Times New Roman"/>
          <w:color w:val="000000"/>
          <w:lang w:val="es-CO" w:eastAsia="es-CO"/>
        </w:rPr>
        <w:t>Modifícase</w:t>
      </w:r>
      <w:proofErr w:type="spellEnd"/>
      <w:r w:rsidRPr="00C2708D">
        <w:rPr>
          <w:rFonts w:eastAsia="Times New Roman"/>
          <w:color w:val="000000"/>
          <w:lang w:val="es-CO" w:eastAsia="es-CO"/>
        </w:rPr>
        <w:t xml:space="preserve"> el artículo 13 de la Ley 1164 de 2007, el cual quedará así: </w:t>
      </w:r>
    </w:p>
    <w:p w14:paraId="53C8580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7E595D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"Artículo 13. De la pertinencia y calidad en la formación de Talento Humano en Salud. Las instituciones y programas de formación del Talento Humano en Salud buscarán el desarrollo de perfiles y competencias que respondan a las características y necesidades en salud de la población colombiana, a los estándares aceptados internacionalmente y a los requerimientos del Sistema General de Seguridad Social en Salud, fundados en la ética, calidad, pertinencia y responsabilidad social. El Ministerio de la Protección Social desarrollará los mecanismos para definir y actualizar las competencias de cada profesión atendiendo las recomendaciones del Consejo Nacional de Talento Humano en Salud. </w:t>
      </w:r>
    </w:p>
    <w:p w14:paraId="4DB2A4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95C1BA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programas que requieran adelantar prácticas formativas en servicios asistenciales deberán contar con escenarios de prácticas conformados en el marco de la relación docencia servicio. Esta relación se sustentará en un proyecto educativo de largo plazo compartido entre una institución educativa y una entidad prestadora de servicios, que integrará las actividades asistenciales, académicas, docentes y de investigación. </w:t>
      </w:r>
    </w:p>
    <w:p w14:paraId="3D9DDF3D" w14:textId="77777777" w:rsidR="00C2708D" w:rsidRPr="00C2708D" w:rsidRDefault="00C2708D" w:rsidP="00CE4017">
      <w:pPr>
        <w:widowControl/>
        <w:autoSpaceDE/>
        <w:autoSpaceDN/>
        <w:jc w:val="both"/>
        <w:rPr>
          <w:rFonts w:eastAsia="Times New Roman"/>
          <w:color w:val="000000"/>
          <w:lang w:val="es-CO" w:eastAsia="es-CO"/>
        </w:rPr>
      </w:pPr>
      <w:bookmarkStart w:id="127" w:name="ver_30208387"/>
      <w:bookmarkStart w:id="128" w:name="ver_1680534"/>
      <w:bookmarkStart w:id="129" w:name="ver_30207083"/>
      <w:bookmarkStart w:id="130" w:name="ver_30207084"/>
      <w:bookmarkEnd w:id="127"/>
    </w:p>
    <w:p w14:paraId="6C89ED8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100.</w:t>
      </w:r>
      <w:r w:rsidRPr="00C2708D">
        <w:rPr>
          <w:rFonts w:eastAsia="Times New Roman"/>
          <w:i/>
          <w:iCs/>
          <w:color w:val="000000"/>
          <w:lang w:val="es-CO" w:eastAsia="es-CO"/>
        </w:rPr>
        <w:t> Hospitales universitarios</w:t>
      </w:r>
      <w:r w:rsidRPr="00C2708D">
        <w:rPr>
          <w:rFonts w:eastAsia="Times New Roman"/>
          <w:color w:val="000000"/>
          <w:lang w:val="es-CO" w:eastAsia="es-CO"/>
        </w:rPr>
        <w:t>. El Hospital Universitario es una Institución Prestadora de Salud que proporciona entrenamiento universitario, enfocado principalmente en programas de posgrado, supervisado por autoridades académicas competentes y comprometidas con las funciones de formación, investigación y extensión. </w:t>
      </w:r>
    </w:p>
    <w:p w14:paraId="0269D04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068CA7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Hospital Universitario es un escenario de práctica con características especiales por cuanto debe cumplir como mínimo con los siguientes requisitos: </w:t>
      </w:r>
    </w:p>
    <w:p w14:paraId="3F2B8BA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4984E8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100.1 Estar habilitado y acreditado, de acuerdo con el Sistema Obligatorio de Garantía de Calidad. </w:t>
      </w:r>
    </w:p>
    <w:p w14:paraId="620A070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5BCA44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100.2 Tener convenios de prácticas formativas, en el marco de la relación docencia servicio, con instituciones de educación superior que cuenten con programas en salud acreditados. </w:t>
      </w:r>
    </w:p>
    <w:p w14:paraId="20F6567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55FC89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100.3 Diseñar procesos que integren en forma armónica las prácticas formativas, la docencia y la investigación, a prestación de los servicios asistenciales. </w:t>
      </w:r>
    </w:p>
    <w:p w14:paraId="669EBC3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2A6894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100.4 Contar con servicios que permitan desarrollar los programas docentes preferentemente de posgrado. </w:t>
      </w:r>
    </w:p>
    <w:p w14:paraId="79EC5A3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B4D63C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100.5 Obtener y mantener reconocimiento nacional o internacional de las investigaciones en salud que realice la entidad y contar con la vinculación de por lo menos un grupo de investigación reconocido por Colciencias. </w:t>
      </w:r>
    </w:p>
    <w:p w14:paraId="62F93F2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EF98D9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100.6 Incluir procesos orientados a la formación investigativa de los estudiantes y contar con publicaciones y otros medios de información propios que permitan la participación y difusión de aportes de sus grupos de investigación. </w:t>
      </w:r>
    </w:p>
    <w:p w14:paraId="16BAD24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82276A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100.7 Contar con una vinculación de docentes que garanticen la idoneidad y calidad científica, académica e investigativa. </w:t>
      </w:r>
    </w:p>
    <w:p w14:paraId="7D2F356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72125A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Hospitales Universitarios reconocidos conforme a la presente ley, tendrán prioridad en la participación en los proyectos de investigación, docencia y formación continua del Talento Humano financiados con recursos estatales. </w:t>
      </w:r>
    </w:p>
    <w:p w14:paraId="6DAE8B8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C2A95CC" w14:textId="77777777"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Parágrafo transitorio. Las instituciones prestadoras de servicios de salud que hoy ostenten el carácter de hospitales universitarios, para la acreditación en salud deben realizar los siguientes trámites: </w:t>
      </w:r>
    </w:p>
    <w:p w14:paraId="68C1AD51" w14:textId="77777777" w:rsidR="00C2708D" w:rsidRPr="00C2708D" w:rsidRDefault="00C2708D" w:rsidP="00CE4017">
      <w:pPr>
        <w:widowControl/>
        <w:autoSpaceDE/>
        <w:autoSpaceDN/>
        <w:jc w:val="both"/>
        <w:rPr>
          <w:rFonts w:eastAsia="Times New Roman"/>
          <w:color w:val="000000"/>
          <w:lang w:val="es-CO" w:eastAsia="es-CO"/>
        </w:rPr>
      </w:pPr>
    </w:p>
    <w:p w14:paraId="6922E01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1.1. La autoevaluación con los estándares de acreditación que le sean aplicables, en las vigencias 2020 a 2021, lo cual se soportará con el documento de autoevaluación remitido al Ministerio de Salud y Protección Social. </w:t>
      </w:r>
    </w:p>
    <w:p w14:paraId="79FB4F6E" w14:textId="77777777" w:rsidR="00C2708D" w:rsidRDefault="00C2708D" w:rsidP="00CE4017">
      <w:pPr>
        <w:widowControl/>
        <w:autoSpaceDE/>
        <w:autoSpaceDN/>
        <w:jc w:val="both"/>
        <w:rPr>
          <w:rFonts w:eastAsia="Times New Roman"/>
          <w:color w:val="000000"/>
          <w:lang w:val="es-CO" w:eastAsia="es-CO"/>
        </w:rPr>
      </w:pPr>
    </w:p>
    <w:p w14:paraId="39232BF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1.2. La gestión interna, ajustes e implementación de mejoras de acuerdo con los hallazgos de la autoevaluación, realizando nuevamente la evaluación de seguimiento, en las vigencias 2022 a 2023, lo cual se soportará con el documento de evaluación de seguimiento remitido al Ministerio de Salud y Protección Social. </w:t>
      </w:r>
    </w:p>
    <w:p w14:paraId="1559957E" w14:textId="77777777" w:rsidR="00C2708D" w:rsidRDefault="00C2708D" w:rsidP="00CE4017">
      <w:pPr>
        <w:widowControl/>
        <w:autoSpaceDE/>
        <w:autoSpaceDN/>
        <w:jc w:val="both"/>
        <w:rPr>
          <w:rFonts w:eastAsia="Times New Roman"/>
          <w:color w:val="000000"/>
          <w:lang w:val="es-CO" w:eastAsia="es-CO"/>
        </w:rPr>
      </w:pPr>
    </w:p>
    <w:p w14:paraId="28C8CD8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 El proceso de postulación con el ente acreditador que se encuentre inscrito en el registro especial de acreditadores en salud de Colombia, en la vigencia 2024, lo cual se soportará con el documento que determine el Ministerio de Salud y Protección Social. </w:t>
      </w:r>
    </w:p>
    <w:p w14:paraId="3A827EB4" w14:textId="77777777" w:rsidR="00C2708D" w:rsidRDefault="00C2708D" w:rsidP="00CE4017">
      <w:pPr>
        <w:widowControl/>
        <w:autoSpaceDE/>
        <w:autoSpaceDN/>
        <w:jc w:val="both"/>
        <w:rPr>
          <w:rFonts w:eastAsia="Times New Roman"/>
          <w:color w:val="000000"/>
          <w:lang w:val="es-CO" w:eastAsia="es-CO"/>
        </w:rPr>
      </w:pPr>
    </w:p>
    <w:p w14:paraId="3B43891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1.4. Contar con estudio de capacidad instalada para la docencia en servicios que permitan desarrollar los programas académicos preferentemente de posgrado. </w:t>
      </w:r>
    </w:p>
    <w:p w14:paraId="28F039EA" w14:textId="77777777" w:rsidR="00C2708D" w:rsidRDefault="00C2708D" w:rsidP="00CE4017">
      <w:pPr>
        <w:widowControl/>
        <w:autoSpaceDE/>
        <w:autoSpaceDN/>
        <w:jc w:val="both"/>
        <w:rPr>
          <w:rFonts w:eastAsia="Times New Roman"/>
          <w:color w:val="000000"/>
          <w:lang w:val="es-CO" w:eastAsia="es-CO"/>
        </w:rPr>
      </w:pPr>
    </w:p>
    <w:p w14:paraId="22EA7CB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1.5. En adelante mantener la condición de acreditado en salud. </w:t>
      </w:r>
    </w:p>
    <w:p w14:paraId="18BEF629" w14:textId="77777777" w:rsidR="00C2708D" w:rsidRDefault="00C2708D" w:rsidP="00CE4017">
      <w:pPr>
        <w:widowControl/>
        <w:autoSpaceDE/>
        <w:autoSpaceDN/>
        <w:jc w:val="both"/>
        <w:rPr>
          <w:rFonts w:eastAsia="Times New Roman"/>
          <w:color w:val="000000"/>
          <w:lang w:val="es-CO" w:eastAsia="es-CO"/>
        </w:rPr>
      </w:pPr>
    </w:p>
    <w:p w14:paraId="70F6448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anteriores requisitos podrán ser cumplidos, en su totalidad, en cualquier momento dentro de los plazos aquí establecidos y deberán cumplir con los requisitos definidos en los numerales 100.2, 100.3, 100.4, 100.5, 100.6 y 100.7 del presente artículo, sin superar los términos señalados en este artículo. </w:t>
      </w:r>
    </w:p>
    <w:p w14:paraId="32AFF3BE" w14:textId="77777777" w:rsidR="00C2708D" w:rsidRDefault="00C2708D" w:rsidP="00CE4017">
      <w:pPr>
        <w:widowControl/>
        <w:autoSpaceDE/>
        <w:autoSpaceDN/>
        <w:jc w:val="both"/>
        <w:rPr>
          <w:rFonts w:eastAsia="Times New Roman"/>
          <w:color w:val="000000"/>
          <w:lang w:val="es-CO" w:eastAsia="es-CO"/>
        </w:rPr>
      </w:pPr>
    </w:p>
    <w:p w14:paraId="23268DE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demás instituciones prestadoras de servicios de salud, que pretendan ser hospitales universitarios deberán cumplir con los requisitos establecidos en el presente artículo. </w:t>
      </w:r>
    </w:p>
    <w:p w14:paraId="191D99A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 partir del 31 de diciembre del año 2020 solo podrán denominarse hospitales universitarios, aquellas instituciones que cumplan con los requisitos definidos en el presente artículo. </w:t>
      </w:r>
    </w:p>
    <w:p w14:paraId="1F9C55E4" w14:textId="77777777" w:rsidR="00C2708D" w:rsidRPr="00C2708D" w:rsidRDefault="00C2708D" w:rsidP="00CE4017">
      <w:pPr>
        <w:widowControl/>
        <w:autoSpaceDE/>
        <w:autoSpaceDN/>
        <w:jc w:val="both"/>
        <w:rPr>
          <w:rFonts w:eastAsia="Times New Roman"/>
          <w:color w:val="000000"/>
          <w:lang w:val="es-CO" w:eastAsia="es-CO"/>
        </w:rPr>
      </w:pPr>
      <w:bookmarkStart w:id="131" w:name="ver_1680535"/>
      <w:bookmarkEnd w:id="128"/>
      <w:bookmarkEnd w:id="129"/>
      <w:bookmarkEnd w:id="130"/>
      <w:bookmarkEnd w:id="131"/>
    </w:p>
    <w:p w14:paraId="4B97C47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101. </w:t>
      </w:r>
      <w:r w:rsidRPr="00C2708D">
        <w:rPr>
          <w:rFonts w:eastAsia="Times New Roman"/>
          <w:i/>
          <w:iCs/>
          <w:color w:val="000000"/>
          <w:lang w:val="es-CO" w:eastAsia="es-CO"/>
        </w:rPr>
        <w:t>De la formación de especialistas del área de la salud.</w:t>
      </w:r>
      <w:r w:rsidRPr="00C2708D">
        <w:rPr>
          <w:rFonts w:eastAsia="Times New Roman"/>
          <w:color w:val="000000"/>
          <w:lang w:val="es-CO" w:eastAsia="es-CO"/>
        </w:rPr>
        <w:t> </w:t>
      </w:r>
      <w:proofErr w:type="spellStart"/>
      <w:r w:rsidRPr="00C2708D">
        <w:rPr>
          <w:rFonts w:eastAsia="Times New Roman"/>
          <w:color w:val="000000"/>
          <w:lang w:val="es-CO" w:eastAsia="es-CO"/>
        </w:rPr>
        <w:t>Modifícase</w:t>
      </w:r>
      <w:proofErr w:type="spellEnd"/>
      <w:r w:rsidRPr="00C2708D">
        <w:rPr>
          <w:rFonts w:eastAsia="Times New Roman"/>
          <w:color w:val="000000"/>
          <w:lang w:val="es-CO" w:eastAsia="es-CO"/>
        </w:rPr>
        <w:t xml:space="preserve"> el artículo 30 de la Ley 1164 de 2007, adicionándole los siguientes incisos. </w:t>
      </w:r>
    </w:p>
    <w:p w14:paraId="18593C1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262E19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instituciones que forman parte del Sistema General de Seguridad Social en Salud promoverán y facilitarán la formación de especialistas en el área de la salud, conforme a las necesidades de la población y las características del Sistema General de Seguridad Social en Salud. </w:t>
      </w:r>
    </w:p>
    <w:p w14:paraId="1674861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F49EBD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Ministerio de la Protección Social definirá las condiciones, requisitos y procedimientos para la oferta, aprobación y asignación de cupos de prácticas formativas de los programas de especialización que impliquen residencia. </w:t>
      </w:r>
    </w:p>
    <w:p w14:paraId="21E960C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131E18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cupos de residentes de los programas de especialización en salud se aprobarán conforme a las normas que regulan la relación docencia servicio y, en todo caso, deberán corresponder a cargos empleos temporales no sujetos a carrera administrativa creados para tal fin en las Instituciones Prestadoras de Salud. </w:t>
      </w:r>
    </w:p>
    <w:p w14:paraId="41A58C8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70BD48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Se autoriza a las Instituciones Prestadoras de Salud públicas a crear cargos en sus plantas de personal para la formación de residentes, los cuales tendrán carácter temporal y no estarán sujetos a las normas de carrera administrativa. El Estado cofinanciará parte del costo de los cargos de residentes que cursen programas de especialización considerados prioritarios para el país, para lo cual los recursos del presupuesto nacional destinados a financiar el programa de becas crédito establecido en el parágrafo 1° del artículo 193 de la Ley 100 de 1993, se reorientarán a la financiación de los cargos contemplados en el presente artículo, el Gobierno Nacional determinará la contraprestación para estos. </w:t>
      </w:r>
    </w:p>
    <w:p w14:paraId="6BE52A9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19EC94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Para las regiones donde no se cuenta con Entidades de Educación Superior, aquellos profesionales de la salud que deseen especializarse podrán recibir becas financiadas con recursos de los entes territoriales y del Gobierno Nacional, suscribiendo convenios para prestar los servicios especializados durante un tiempo no inferior al requerido para la especialización en la región correspondiente. Estos profesionales tendrán prioridad de acceso a las especializaciones. </w:t>
      </w:r>
    </w:p>
    <w:p w14:paraId="539B8EA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1BCF79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Para efectos administrativos y asistenciales, a los profesionales de la salud vinculados mediante la modalidad de residentes se les reconocerá conforme al título más alto obtenido y a la autorización para ejercer por la entidad competente. </w:t>
      </w:r>
    </w:p>
    <w:p w14:paraId="1973EC1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F34448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Los programas de formación en el área de la salud serán aprobados considerando criterios de calidad y pertinencia de los mismos y la evaluación de la relación docencia-servicio y de los escenarios de práctica, según los estándares y procedimientos que definan los Ministerios de la Protección Social y de Educación Nacional, los cuales harán parte integral del Sistema de Aseguramiento de la Calidad de la Educación Superior. Para determinar la pertinencia de los nuevos programas de formación en el área de la salud se requerirá concepto del Ministerio de la Protección Social.</w:t>
      </w:r>
    </w:p>
    <w:p w14:paraId="6336E981" w14:textId="77777777" w:rsidR="00C2708D" w:rsidRPr="00C2708D" w:rsidRDefault="00C2708D" w:rsidP="00CE4017">
      <w:pPr>
        <w:widowControl/>
        <w:autoSpaceDE/>
        <w:autoSpaceDN/>
        <w:jc w:val="both"/>
        <w:rPr>
          <w:rFonts w:eastAsia="Times New Roman"/>
          <w:color w:val="000000"/>
          <w:lang w:val="es-CO" w:eastAsia="es-CO"/>
        </w:rPr>
      </w:pPr>
      <w:bookmarkStart w:id="132" w:name="ver_1680536"/>
      <w:bookmarkEnd w:id="132"/>
    </w:p>
    <w:p w14:paraId="4CA8E59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102.</w:t>
      </w:r>
      <w:r w:rsidRPr="00C2708D">
        <w:rPr>
          <w:rFonts w:eastAsia="Times New Roman"/>
          <w:i/>
          <w:iCs/>
          <w:color w:val="000000"/>
          <w:lang w:val="es-CO" w:eastAsia="es-CO"/>
        </w:rPr>
        <w:t> Matrículas de residentes.</w:t>
      </w:r>
      <w:r w:rsidRPr="00C2708D">
        <w:rPr>
          <w:rFonts w:eastAsia="Times New Roman"/>
          <w:color w:val="000000"/>
          <w:lang w:val="es-CO" w:eastAsia="es-CO"/>
        </w:rPr>
        <w:t> El Ministerio de la Protección Social y el Ministerio de Educación Nacional establecerán las pautas para la supervisión coordinada a las instituciones de educación superior en lo referente al costo de las matrículas de los residentes de programas de especialización clínica. </w:t>
      </w:r>
    </w:p>
    <w:p w14:paraId="15B78513" w14:textId="0B667A66"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33" w:name="ver_1680537"/>
      <w:bookmarkEnd w:id="133"/>
    </w:p>
    <w:p w14:paraId="3C78DE9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103. </w:t>
      </w:r>
      <w:r w:rsidRPr="00C2708D">
        <w:rPr>
          <w:rFonts w:eastAsia="Times New Roman"/>
          <w:i/>
          <w:iCs/>
          <w:color w:val="000000"/>
          <w:lang w:val="es-CO" w:eastAsia="es-CO"/>
        </w:rPr>
        <w:t>Contratación del personal misional permanente.</w:t>
      </w:r>
      <w:r w:rsidRPr="00C2708D">
        <w:rPr>
          <w:rFonts w:eastAsia="Times New Roman"/>
          <w:color w:val="000000"/>
          <w:lang w:val="es-CO" w:eastAsia="es-CO"/>
        </w:rPr>
        <w:t> El personal misional permanente de las Instituciones públicas Prestadoras de Salud no podrá estar vinculado mediante la modalidad de cooperativas de trabajo asociado que hagan intermediación laboral, o bajo ninguna otra modalidad de vinculación que afecte sus derechos constitucionales, legales y prestacionales consagrados en las normas laborales vigentes. </w:t>
      </w:r>
    </w:p>
    <w:p w14:paraId="03FFA1D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0F0994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Esta disposición entrará en vigencia a partir del primero (1°) de julio de dos mil trece (2013).</w:t>
      </w:r>
    </w:p>
    <w:p w14:paraId="293559BE" w14:textId="77777777" w:rsidR="00C2708D" w:rsidRPr="00C2708D" w:rsidRDefault="00C2708D" w:rsidP="00CE4017">
      <w:pPr>
        <w:widowControl/>
        <w:autoSpaceDE/>
        <w:autoSpaceDN/>
        <w:jc w:val="both"/>
        <w:rPr>
          <w:rFonts w:eastAsia="Times New Roman"/>
          <w:color w:val="000000"/>
          <w:lang w:val="es-CO" w:eastAsia="es-CO"/>
        </w:rPr>
      </w:pPr>
      <w:bookmarkStart w:id="134" w:name="ver_1680538"/>
      <w:bookmarkEnd w:id="134"/>
    </w:p>
    <w:p w14:paraId="7EC087C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104.</w:t>
      </w:r>
      <w:r w:rsidRPr="00C2708D">
        <w:rPr>
          <w:rFonts w:eastAsia="Times New Roman"/>
          <w:i/>
          <w:iCs/>
          <w:color w:val="000000"/>
          <w:lang w:val="es-CO" w:eastAsia="es-CO"/>
        </w:rPr>
        <w:t> Autorregulación profesional</w:t>
      </w:r>
      <w:r w:rsidRPr="00C2708D">
        <w:rPr>
          <w:rFonts w:eastAsia="Times New Roman"/>
          <w:color w:val="000000"/>
          <w:lang w:val="es-CO" w:eastAsia="es-CO"/>
        </w:rPr>
        <w:t xml:space="preserve">. </w:t>
      </w:r>
      <w:proofErr w:type="spellStart"/>
      <w:r w:rsidRPr="00C2708D">
        <w:rPr>
          <w:rFonts w:eastAsia="Times New Roman"/>
          <w:color w:val="000000"/>
          <w:lang w:val="es-CO" w:eastAsia="es-CO"/>
        </w:rPr>
        <w:t>Modifícase</w:t>
      </w:r>
      <w:proofErr w:type="spellEnd"/>
      <w:r w:rsidRPr="00C2708D">
        <w:rPr>
          <w:rFonts w:eastAsia="Times New Roman"/>
          <w:color w:val="000000"/>
          <w:lang w:val="es-CO" w:eastAsia="es-CO"/>
        </w:rPr>
        <w:t xml:space="preserve"> el artículo 26 de la Ley 1164 de 2007, el cual quedará así: </w:t>
      </w:r>
    </w:p>
    <w:p w14:paraId="3B265DD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9E9B56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26. </w:t>
      </w:r>
      <w:r w:rsidRPr="00C2708D">
        <w:rPr>
          <w:rFonts w:eastAsia="Times New Roman"/>
          <w:i/>
          <w:iCs/>
          <w:color w:val="000000"/>
          <w:lang w:val="es-CO" w:eastAsia="es-CO"/>
        </w:rPr>
        <w:t>Acto propio de los profesionales de la salud.</w:t>
      </w:r>
      <w:r w:rsidRPr="00C2708D">
        <w:rPr>
          <w:rFonts w:eastAsia="Times New Roman"/>
          <w:color w:val="000000"/>
          <w:lang w:val="es-CO" w:eastAsia="es-CO"/>
        </w:rPr>
        <w:t> Es el conjunto de acciones orientadas a la atención integral de salud, aplicadas por el profesional autorizado legalmente para ejercerlas. El acto profesional se caracteriza por la autonomía profesional y la relación entre el profesional de la salud y el usuario. Esta relación de asistencia en salud genera una obligación de medio, basada en la competencia profesional. </w:t>
      </w:r>
    </w:p>
    <w:p w14:paraId="25E0024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DC47F4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Los profesionales de la salud tienen la responsabilidad permanente de la autorregulación. Cada profesión debe tomar a su cargo la tarea de regular concertadamente la conducta y actividades profesionales de sus pares sobre la base de: </w:t>
      </w:r>
    </w:p>
    <w:p w14:paraId="165317E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CC8448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 El ejercicio profesional responsable, ético y competente, para mayor beneficio de los usuarios. </w:t>
      </w:r>
    </w:p>
    <w:p w14:paraId="79FA639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5CC2CB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2. La pertinencia clínica y uso racional de tecnologías, dada la necesidad de la racionalización del gasto en salud, en la medida que los recursos son bienes limitados y de beneficio social. </w:t>
      </w:r>
    </w:p>
    <w:p w14:paraId="54DC489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1DA8A9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3. En el contexto de la autonomía se buscará prestar los servicios médicos que requieran los usuarios, aplicando la autorregulación, en el marco de las disposiciones legales. </w:t>
      </w:r>
    </w:p>
    <w:p w14:paraId="5803E81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8EAE83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4. No debe permitirse el uso inadecuado de tecnologías médicas que limite o impida el acceso a los servicios a quienes los requieran. </w:t>
      </w:r>
    </w:p>
    <w:p w14:paraId="56DC1CA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543870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5. Las actividades profesionales y la conducta de los profesionales de la salud debe estar dentro de los límites de los Códigos de Ética Profesional vigentes. Las asociaciones científicas deben alentar a los profesionales a adoptar conductas éticas para mayor beneficio de sus pacientes.</w:t>
      </w:r>
    </w:p>
    <w:p w14:paraId="1AA12F3B" w14:textId="77777777" w:rsidR="00C2708D" w:rsidRPr="00C2708D" w:rsidRDefault="00C2708D" w:rsidP="00CE4017">
      <w:pPr>
        <w:widowControl/>
        <w:autoSpaceDE/>
        <w:autoSpaceDN/>
        <w:jc w:val="both"/>
        <w:rPr>
          <w:rFonts w:eastAsia="Times New Roman"/>
          <w:color w:val="000000"/>
          <w:lang w:val="es-CO" w:eastAsia="es-CO"/>
        </w:rPr>
      </w:pPr>
      <w:bookmarkStart w:id="135" w:name="ver_1680539"/>
      <w:bookmarkEnd w:id="135"/>
    </w:p>
    <w:p w14:paraId="349DA9A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105.</w:t>
      </w:r>
      <w:r w:rsidRPr="00C2708D">
        <w:rPr>
          <w:rFonts w:eastAsia="Times New Roman"/>
          <w:i/>
          <w:iCs/>
          <w:color w:val="000000"/>
          <w:lang w:val="es-CO" w:eastAsia="es-CO"/>
        </w:rPr>
        <w:t> Autonomía profesional.</w:t>
      </w:r>
      <w:r w:rsidRPr="00C2708D">
        <w:rPr>
          <w:rFonts w:eastAsia="Times New Roman"/>
          <w:color w:val="000000"/>
          <w:lang w:val="es-CO" w:eastAsia="es-CO"/>
        </w:rPr>
        <w:t> Entiéndase por autonomía de los profesionales de la salud, la garantía que el profesional de la salud pueda emitir con toda libertad su opinión profesional con respecto a la atención y tratamiento de sus pacientes con calidad, aplicando las normas, principios y valores que regulan el ejercicio de su profesión. </w:t>
      </w:r>
    </w:p>
    <w:p w14:paraId="1F831104" w14:textId="77777777" w:rsidR="00C2708D" w:rsidRPr="00C2708D" w:rsidRDefault="00C2708D" w:rsidP="00CE4017">
      <w:pPr>
        <w:widowControl/>
        <w:autoSpaceDE/>
        <w:autoSpaceDN/>
        <w:jc w:val="both"/>
        <w:rPr>
          <w:rFonts w:eastAsia="Times New Roman"/>
          <w:color w:val="000000"/>
          <w:lang w:val="es-CO" w:eastAsia="es-CO"/>
        </w:rPr>
      </w:pPr>
      <w:bookmarkStart w:id="136" w:name="ver_1680540"/>
      <w:bookmarkEnd w:id="136"/>
    </w:p>
    <w:p w14:paraId="02307EA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106.</w:t>
      </w:r>
      <w:r w:rsidRPr="00C2708D">
        <w:rPr>
          <w:rFonts w:eastAsia="Times New Roman"/>
          <w:i/>
          <w:iCs/>
          <w:color w:val="000000"/>
          <w:lang w:val="es-CO" w:eastAsia="es-CO"/>
        </w:rPr>
        <w:t> Prohibición de prebendas o dádivas a trabajadores en el sector de la salud.</w:t>
      </w:r>
      <w:r w:rsidRPr="00C2708D">
        <w:rPr>
          <w:rFonts w:eastAsia="Times New Roman"/>
          <w:color w:val="000000"/>
          <w:lang w:val="es-CO" w:eastAsia="es-CO"/>
        </w:rPr>
        <w:t> Queda expresamente prohibida la promoción u otorgamiento de cualquier tipo de prebendas, dádivas a trabajadores de las entidades del Sistema General de Seguridad Social en Salud y trabajadores independientes, sean estas en dinero o en especie, por parte de las Entidades Promotoras de Salud, Instituciones Prestadoras de Salud, empresas farmacéuticas productoras, distribuidoras, comercializadoras u otros, de medicamentos, insumos, dispositivos y equipos, que no esté vinculado al cumplimiento de una relación laboral contractual o laboral formalmente establecida entre la institución y el trabajador de las entidades del Sistema General de Seguridad Social en Salud. </w:t>
      </w:r>
    </w:p>
    <w:p w14:paraId="197788F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9CF0DD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1°. Las empresas o instituciones que incumplan con lo establecido en el presente artículo serán sancionadas con multas que van de 100 a 500 SMMLV, multa que se duplicará en caso de reincidencia. Estas sanciones serán tenidas en cuenta al momento de evaluar procesos contractuales con el Estado y estarán a cargo de la Superintendencia Nacional de Salud. </w:t>
      </w:r>
    </w:p>
    <w:p w14:paraId="3753610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4BE148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2°. Los trabajadores de las entidades del Sistema General de Seguridad Social en Salud que reciban este tipo de prebendas y/o dádivas, serán investigados por las autoridades competentes. Lo anterior, sin perjuicio de las normas disciplinarias vigentes. </w:t>
      </w:r>
    </w:p>
    <w:p w14:paraId="5B2711E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4E5C879" w14:textId="757247C9" w:rsidR="00C2708D" w:rsidRDefault="00C2708D" w:rsidP="00CE4017">
      <w:pPr>
        <w:widowControl/>
        <w:autoSpaceDE/>
        <w:autoSpaceDN/>
        <w:jc w:val="center"/>
        <w:rPr>
          <w:rFonts w:eastAsia="Times New Roman"/>
          <w:b/>
          <w:bCs/>
          <w:color w:val="000000"/>
          <w:lang w:val="es-CO" w:eastAsia="es-CO"/>
        </w:rPr>
      </w:pPr>
      <w:bookmarkStart w:id="137" w:name="ver_30027945"/>
      <w:bookmarkEnd w:id="137"/>
      <w:r w:rsidRPr="00C2708D">
        <w:rPr>
          <w:rFonts w:eastAsia="Times New Roman"/>
          <w:b/>
          <w:bCs/>
          <w:color w:val="000000"/>
          <w:lang w:val="es-CO" w:eastAsia="es-CO"/>
        </w:rPr>
        <w:t>CAPÍTULO VII</w:t>
      </w:r>
    </w:p>
    <w:p w14:paraId="3C38D4B8" w14:textId="77777777" w:rsidR="00CE4017" w:rsidRPr="00C2708D" w:rsidRDefault="00CE4017" w:rsidP="00CE4017">
      <w:pPr>
        <w:widowControl/>
        <w:autoSpaceDE/>
        <w:autoSpaceDN/>
        <w:jc w:val="center"/>
        <w:rPr>
          <w:rFonts w:eastAsia="Times New Roman"/>
          <w:b/>
          <w:bCs/>
          <w:color w:val="000000"/>
          <w:lang w:val="es-CO" w:eastAsia="es-CO"/>
        </w:rPr>
      </w:pPr>
    </w:p>
    <w:p w14:paraId="7E48745D"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Calidad y sistemas de información</w:t>
      </w:r>
    </w:p>
    <w:p w14:paraId="3CA50CA5" w14:textId="77777777" w:rsidR="00C2708D" w:rsidRPr="00C2708D" w:rsidRDefault="00C2708D" w:rsidP="00CE4017">
      <w:pPr>
        <w:widowControl/>
        <w:autoSpaceDE/>
        <w:autoSpaceDN/>
        <w:jc w:val="both"/>
        <w:rPr>
          <w:rFonts w:eastAsia="Times New Roman"/>
          <w:color w:val="000000"/>
          <w:lang w:val="es-CO" w:eastAsia="es-CO"/>
        </w:rPr>
      </w:pPr>
      <w:bookmarkStart w:id="138" w:name="ver_1680541"/>
      <w:bookmarkEnd w:id="138"/>
    </w:p>
    <w:p w14:paraId="22E2EF5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Artículo 107.</w:t>
      </w:r>
      <w:r w:rsidRPr="00C2708D">
        <w:rPr>
          <w:rFonts w:eastAsia="Times New Roman"/>
          <w:i/>
          <w:iCs/>
          <w:color w:val="000000"/>
          <w:lang w:val="es-CO" w:eastAsia="es-CO"/>
        </w:rPr>
        <w:t> Garantía de calidad y resultados en la atención en el Sistema General de Seguridad Social de Salud.</w:t>
      </w:r>
      <w:r w:rsidRPr="00C2708D">
        <w:rPr>
          <w:rFonts w:eastAsia="Times New Roman"/>
          <w:color w:val="000000"/>
          <w:lang w:val="es-CO" w:eastAsia="es-CO"/>
        </w:rPr>
        <w:t> En desarrollo del principio de calidad del Sistema General de Seguridad Social de Salud establecido en la presente ley, y en el marco del Sistema Obligatorio de Garantía de Calidad de la Atención de Salud, se definirá e implementará un plan nacional de mejoramiento de calidad, con clara orientación hacia la obtención de resultados que puedan ser evaluados. Dicho plan contendrá como mínimo: </w:t>
      </w:r>
    </w:p>
    <w:p w14:paraId="77045E1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D9AFD8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107.1 La consolidación del componente de habilitación exigible a direcciones territoriales de salud, a los prestadores de servicios de salud, a Entidades Promotoras de Salud y a administradoras de riesgos profesionales, incluyendo el establecimiento de condiciones de habilitación para la conformación y operación de redes de prestación de servicios de salud; </w:t>
      </w:r>
    </w:p>
    <w:p w14:paraId="3DFE495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F515CB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107.2 El establecimiento de incentivos al componente de acreditación aplicable a las instituciones prestadoras de servicios de salud, Entidades Promotoras de Salud y direcciones territoriales de salud, y </w:t>
      </w:r>
    </w:p>
    <w:p w14:paraId="4F5E897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8CD2BF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107.3 El fortalecimiento del sistema de información para la calidad, a través de indicadores que den cuenta del desempeño y resultados de los prestadores de servicios de salud y Entidades Promotoras de Salud, con el fin de que los ciudadanos puedan contar con información objetiva para garantizar al usuario su derecho a la libre elección. </w:t>
      </w:r>
    </w:p>
    <w:p w14:paraId="721BAAD8" w14:textId="77777777" w:rsidR="00C2708D" w:rsidRPr="00C2708D" w:rsidRDefault="00C2708D" w:rsidP="00CE4017">
      <w:pPr>
        <w:widowControl/>
        <w:autoSpaceDE/>
        <w:autoSpaceDN/>
        <w:jc w:val="both"/>
        <w:rPr>
          <w:rFonts w:eastAsia="Times New Roman"/>
          <w:color w:val="000000"/>
          <w:lang w:val="es-CO" w:eastAsia="es-CO"/>
        </w:rPr>
      </w:pPr>
      <w:bookmarkStart w:id="139" w:name="ver_1680542"/>
      <w:bookmarkEnd w:id="139"/>
    </w:p>
    <w:p w14:paraId="2A7608B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108. </w:t>
      </w:r>
      <w:r w:rsidRPr="00C2708D">
        <w:rPr>
          <w:rFonts w:eastAsia="Times New Roman"/>
          <w:i/>
          <w:iCs/>
          <w:color w:val="000000"/>
          <w:lang w:val="es-CO" w:eastAsia="es-CO"/>
        </w:rPr>
        <w:t>Indicadores en salud.</w:t>
      </w:r>
      <w:r w:rsidRPr="00C2708D">
        <w:rPr>
          <w:rFonts w:eastAsia="Times New Roman"/>
          <w:color w:val="000000"/>
          <w:lang w:val="es-CO" w:eastAsia="es-CO"/>
        </w:rPr>
        <w:t> El Ministerio de la Protección Social deberá establecer indicadores de salud, tales como indicadores centinela y trazadores, así como indicadores administrativos que den cuenta del desempeño de las direcciones territoriales de salud, Entidades Promotoras de Salud, Administradoras de Riesgos Profesionales y de las Instituciones Prestadoras de Salud, con el fin de que los ciudadanos puedan contar con información objetiva que permita reducir las asimetrías de información y garantizar al usuario su derecho a la libre elección de los prestadores de servicios y aseguradores.  </w:t>
      </w:r>
    </w:p>
    <w:p w14:paraId="0D38619E" w14:textId="77777777" w:rsidR="00C2708D" w:rsidRPr="00C2708D" w:rsidRDefault="00C2708D" w:rsidP="00CE4017">
      <w:pPr>
        <w:widowControl/>
        <w:autoSpaceDE/>
        <w:autoSpaceDN/>
        <w:jc w:val="both"/>
        <w:rPr>
          <w:rFonts w:eastAsia="Times New Roman"/>
          <w:color w:val="000000"/>
          <w:lang w:val="es-CO" w:eastAsia="es-CO"/>
        </w:rPr>
      </w:pPr>
      <w:bookmarkStart w:id="140" w:name="ver_1680543"/>
      <w:bookmarkEnd w:id="140"/>
    </w:p>
    <w:p w14:paraId="4705B2C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109. </w:t>
      </w:r>
      <w:r w:rsidRPr="00C2708D">
        <w:rPr>
          <w:rFonts w:eastAsia="Times New Roman"/>
          <w:i/>
          <w:iCs/>
          <w:color w:val="000000"/>
          <w:lang w:val="es-CO" w:eastAsia="es-CO"/>
        </w:rPr>
        <w:t>Obligatoriedad de audiencias públicas de Entidades Promotoras de Salud y Empresas Sociales del Estado</w:t>
      </w:r>
      <w:r w:rsidRPr="00C2708D">
        <w:rPr>
          <w:rFonts w:eastAsia="Times New Roman"/>
          <w:color w:val="000000"/>
          <w:lang w:val="es-CO" w:eastAsia="es-CO"/>
        </w:rPr>
        <w:t>. Todas las Entidades Promotoras de Salud y Empresas Sociales del Estado del sector salud y las Instituciones Prestadoras de Salud públicas, tienen la obligación de realizar audiencias públicas, por lo menos una vez al año, con el objeto de involucrar a los ciudadanos y organizaciones de la sociedad civil en la formulación, ejecución, control y evaluación de su gestión. Para ello deberán presentar sus indicadores en salud, gestión financiera, satisfacción de usuarios y administración. </w:t>
      </w:r>
    </w:p>
    <w:p w14:paraId="40A867F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7A9493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instituciones privadas prestadoras de servicios de salud deberán publicar anualmente por internet sus indicadores de calidad y de gestión en la forma que establezca el reglamento.  </w:t>
      </w:r>
    </w:p>
    <w:p w14:paraId="546BB98C" w14:textId="77777777" w:rsidR="00C2708D" w:rsidRPr="00C2708D" w:rsidRDefault="00C2708D" w:rsidP="00CE4017">
      <w:pPr>
        <w:widowControl/>
        <w:autoSpaceDE/>
        <w:autoSpaceDN/>
        <w:jc w:val="both"/>
        <w:rPr>
          <w:rFonts w:eastAsia="Times New Roman"/>
          <w:color w:val="000000"/>
          <w:lang w:val="es-CO" w:eastAsia="es-CO"/>
        </w:rPr>
      </w:pPr>
      <w:bookmarkStart w:id="141" w:name="ver_1680544"/>
      <w:bookmarkEnd w:id="141"/>
    </w:p>
    <w:p w14:paraId="43BA0A8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110. </w:t>
      </w:r>
      <w:r w:rsidRPr="00C2708D">
        <w:rPr>
          <w:rFonts w:eastAsia="Times New Roman"/>
          <w:i/>
          <w:iCs/>
          <w:color w:val="000000"/>
          <w:lang w:val="es-CO" w:eastAsia="es-CO"/>
        </w:rPr>
        <w:t>Informe del estado actual de las Entidades Promotoras de Salud.</w:t>
      </w:r>
      <w:r w:rsidRPr="00C2708D">
        <w:rPr>
          <w:rFonts w:eastAsia="Times New Roman"/>
          <w:color w:val="000000"/>
          <w:lang w:val="es-CO" w:eastAsia="es-CO"/>
        </w:rPr>
        <w:t> El Gobierno Nacional y la Superintendencia Nacional de Salud, en procura del proceso de transparencia y de publicidad en los servicios, sesenta días (60) después de entrada en vigencia la presente ley, deberán presentar un informe del estado actual de las Entidades Promotoras de Salud donde se dará a conocer aspectos, en relación con al cumplimiento de los giros a los prestadores, recaudo y cumplimiento del Plan de Beneficios.</w:t>
      </w:r>
    </w:p>
    <w:p w14:paraId="53328847" w14:textId="77777777" w:rsidR="00C2708D" w:rsidRPr="00C2708D" w:rsidRDefault="00C2708D" w:rsidP="00CE4017">
      <w:pPr>
        <w:widowControl/>
        <w:autoSpaceDE/>
        <w:autoSpaceDN/>
        <w:jc w:val="both"/>
        <w:rPr>
          <w:rFonts w:eastAsia="Times New Roman"/>
          <w:color w:val="000000"/>
          <w:lang w:val="es-CO" w:eastAsia="es-CO"/>
        </w:rPr>
      </w:pPr>
      <w:bookmarkStart w:id="142" w:name="ver_1680545"/>
      <w:bookmarkEnd w:id="142"/>
    </w:p>
    <w:p w14:paraId="54A2DE3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111.</w:t>
      </w:r>
      <w:r w:rsidRPr="00C2708D">
        <w:rPr>
          <w:rFonts w:eastAsia="Times New Roman"/>
          <w:i/>
          <w:iCs/>
          <w:color w:val="000000"/>
          <w:lang w:val="es-CO" w:eastAsia="es-CO"/>
        </w:rPr>
        <w:t> Sistema de evaluación y calificación de direcciones territoriales de salud, Entidades Promotoras de Salud e Instituciones Prestadoras de Salud.</w:t>
      </w:r>
      <w:r w:rsidRPr="00C2708D">
        <w:rPr>
          <w:rFonts w:eastAsia="Times New Roman"/>
          <w:color w:val="000000"/>
          <w:lang w:val="es-CO" w:eastAsia="es-CO"/>
        </w:rPr>
        <w:t xml:space="preserve"> Como resultado de la aplicación de los indicadores, el Ministerio de la Protección Social desarrollará un sistema </w:t>
      </w:r>
      <w:r w:rsidRPr="00C2708D">
        <w:rPr>
          <w:rFonts w:eastAsia="Times New Roman"/>
          <w:color w:val="000000"/>
          <w:lang w:val="es-CO" w:eastAsia="es-CO"/>
        </w:rPr>
        <w:lastRenderedPageBreak/>
        <w:t>de evaluación y calificación de las direcciones territoriales de salud, de Entidades Promotoras de Salud e Instituciones Prestadoras de Salud que permita conocer públicamente a más tardar el primero (1°) de marzo de cada año, como mínimo: número de quejas, gestión de riesgo, programas de prevención y control de enfermedades implementados, resultados en la atención de la enfermedad, prevalencia de enfermedades de interés en salud pública, listas de espera; administración y flujo de recursos. </w:t>
      </w:r>
    </w:p>
    <w:p w14:paraId="0733B65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5E67FE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Deberá también alimentarse de las metas de los planes de desarrollo nacional, y territoriales. </w:t>
      </w:r>
    </w:p>
    <w:p w14:paraId="56C543B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8C2AC6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Se definirán igualmente indicadores de calidad en la atención, de calidad técnica y de satisfacción del usuario. </w:t>
      </w:r>
    </w:p>
    <w:p w14:paraId="0F5DA43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672C5C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incumplimiento de las condiciones mínimas de calidad dará lugar a la descertificación en el proceso de habilitación. En el caso de los entes territoriales se notificará a la SNS para que obre de acuerdo a su competencia. </w:t>
      </w:r>
    </w:p>
    <w:p w14:paraId="4C1A224F" w14:textId="77777777" w:rsidR="00C2708D" w:rsidRPr="00C2708D" w:rsidRDefault="00C2708D" w:rsidP="00CE4017">
      <w:pPr>
        <w:widowControl/>
        <w:autoSpaceDE/>
        <w:autoSpaceDN/>
        <w:jc w:val="both"/>
        <w:rPr>
          <w:rFonts w:eastAsia="Times New Roman"/>
          <w:color w:val="000000"/>
          <w:lang w:val="es-CO" w:eastAsia="es-CO"/>
        </w:rPr>
      </w:pPr>
      <w:bookmarkStart w:id="143" w:name="ver_1680546"/>
      <w:bookmarkEnd w:id="143"/>
    </w:p>
    <w:p w14:paraId="21A3015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112. </w:t>
      </w:r>
      <w:r w:rsidRPr="00C2708D">
        <w:rPr>
          <w:rFonts w:eastAsia="Times New Roman"/>
          <w:i/>
          <w:iCs/>
          <w:color w:val="000000"/>
          <w:lang w:val="es-CO" w:eastAsia="es-CO"/>
        </w:rPr>
        <w:t>Articulación del Sistema de Información.</w:t>
      </w:r>
      <w:r w:rsidRPr="00C2708D">
        <w:rPr>
          <w:rFonts w:eastAsia="Times New Roman"/>
          <w:color w:val="000000"/>
          <w:lang w:val="es-CO" w:eastAsia="es-CO"/>
        </w:rPr>
        <w:t> El Ministerio de la Protección Social, a través del Sistema Integrado de Información de la Protección Social (</w:t>
      </w:r>
      <w:proofErr w:type="spellStart"/>
      <w:r w:rsidRPr="00C2708D">
        <w:rPr>
          <w:rFonts w:eastAsia="Times New Roman"/>
          <w:color w:val="000000"/>
          <w:lang w:val="es-CO" w:eastAsia="es-CO"/>
        </w:rPr>
        <w:t>Sispro</w:t>
      </w:r>
      <w:proofErr w:type="spellEnd"/>
      <w:r w:rsidRPr="00C2708D">
        <w:rPr>
          <w:rFonts w:eastAsia="Times New Roman"/>
          <w:color w:val="000000"/>
          <w:lang w:val="es-CO" w:eastAsia="es-CO"/>
        </w:rPr>
        <w:t>), articulará el manejo y será el responsable de la administración de la información. </w:t>
      </w:r>
    </w:p>
    <w:p w14:paraId="057691B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0C0D4A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bases de datos de afiliados en salud se articularán con las bases de datos de la Registraduría Nacional del Estado Civil, el Ministerio de Hacienda y Crédito Público, la Dirección de Aduanas e Impuestos Nacionales, el Sisbén y de las Entidades Promotoras de Salud para identificar a los beneficiarios y su lugar de residencia, entre otras, dicha articulación deberá estar implementada antes del 31 de diciembre de 2012. </w:t>
      </w:r>
    </w:p>
    <w:p w14:paraId="70ABB75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6A5F4F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identidad de los usuarios y beneficiarios se verificará mediante procesamiento y consulta de la base de datos de la Registraduría Nacional del Estado Civil. </w:t>
      </w:r>
    </w:p>
    <w:p w14:paraId="27B3E94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C08DCB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La historia clínica única electrónica será de obligatoria aplicación antes del 31 de diciembre del año 2013, esta tendrá plena validez probatoria. </w:t>
      </w:r>
    </w:p>
    <w:p w14:paraId="3B088B2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1D06C14" w14:textId="77777777" w:rsidR="00C2708D" w:rsidRPr="00C2708D" w:rsidRDefault="00C2708D" w:rsidP="00CE4017">
      <w:pPr>
        <w:widowControl/>
        <w:autoSpaceDE/>
        <w:autoSpaceDN/>
        <w:jc w:val="both"/>
        <w:rPr>
          <w:rFonts w:eastAsia="Times New Roman"/>
          <w:color w:val="000000"/>
          <w:lang w:val="es-CO" w:eastAsia="es-CO"/>
        </w:rPr>
      </w:pPr>
      <w:bookmarkStart w:id="144" w:name="ver_1680547"/>
      <w:bookmarkEnd w:id="144"/>
    </w:p>
    <w:p w14:paraId="43CF2B9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113. Sistema de Información Integrado del Sector Salud. El Ministerio de la Protección Social junto con el Ministerio de Tecnologías de la Información y las Comunicaciones definirá y contratará un plan para que en un periodo menor a 3 años se garantice la conectividad de las instituciones vinculadas con el sector de salud en el marco del Plan Nacional de Tecnologías de Información y Comunicaciones - TIC. </w:t>
      </w:r>
    </w:p>
    <w:p w14:paraId="76AA2545" w14:textId="6B45637E"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45" w:name="ver_1680548"/>
      <w:bookmarkEnd w:id="145"/>
    </w:p>
    <w:p w14:paraId="7864BA0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114.</w:t>
      </w:r>
      <w:r w:rsidRPr="00C2708D">
        <w:rPr>
          <w:rFonts w:eastAsia="Times New Roman"/>
          <w:i/>
          <w:iCs/>
          <w:color w:val="000000"/>
          <w:lang w:val="es-CO" w:eastAsia="es-CO"/>
        </w:rPr>
        <w:t> Obligación de reportar.</w:t>
      </w:r>
      <w:r w:rsidRPr="00C2708D">
        <w:rPr>
          <w:rFonts w:eastAsia="Times New Roman"/>
          <w:color w:val="000000"/>
          <w:lang w:val="es-CO" w:eastAsia="es-CO"/>
        </w:rPr>
        <w:t> Es una obligación de las Entidades Promotoras de Salud, los prestadores de servicios de salud, de las direcciones territoriales de salud, las empresas farmacéuticas, las cajas de compensación, las administradoras de riesgos profesionales y los demás agentes del sistema, proveer la información solicitada de forma confiable, oportuna y clara dentro de los plazos que se establezcan en el reglamento, con el objetivo de elaborar los indicadores. Es deber de los ciudadanos proveer información veraz y oportuna. </w:t>
      </w:r>
    </w:p>
    <w:p w14:paraId="4B41A962" w14:textId="77777777" w:rsidR="00C2708D" w:rsidRPr="00C2708D" w:rsidRDefault="00C2708D" w:rsidP="00CE4017">
      <w:pPr>
        <w:widowControl/>
        <w:autoSpaceDE/>
        <w:autoSpaceDN/>
        <w:jc w:val="both"/>
        <w:rPr>
          <w:rFonts w:eastAsia="Times New Roman"/>
          <w:color w:val="000000"/>
          <w:lang w:val="es-CO" w:eastAsia="es-CO"/>
        </w:rPr>
      </w:pPr>
      <w:bookmarkStart w:id="146" w:name="ver_1680549"/>
      <w:bookmarkEnd w:id="146"/>
    </w:p>
    <w:p w14:paraId="310C04C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115.</w:t>
      </w:r>
      <w:r w:rsidRPr="00C2708D">
        <w:rPr>
          <w:rFonts w:eastAsia="Times New Roman"/>
          <w:i/>
          <w:iCs/>
          <w:color w:val="000000"/>
          <w:lang w:val="es-CO" w:eastAsia="es-CO"/>
        </w:rPr>
        <w:t> Indicadores de salud sobre niños, niñas y adolescentes.</w:t>
      </w:r>
      <w:r w:rsidRPr="00C2708D">
        <w:rPr>
          <w:rFonts w:eastAsia="Times New Roman"/>
          <w:color w:val="000000"/>
          <w:lang w:val="es-CO" w:eastAsia="es-CO"/>
        </w:rPr>
        <w:t xml:space="preserve"> Las Entidades Promotoras de Salud y las Instituciones Prestadoras de Salud deberán presentar </w:t>
      </w:r>
      <w:r w:rsidRPr="00C2708D">
        <w:rPr>
          <w:rFonts w:eastAsia="Times New Roman"/>
          <w:color w:val="000000"/>
          <w:lang w:val="es-CO" w:eastAsia="es-CO"/>
        </w:rPr>
        <w:lastRenderedPageBreak/>
        <w:t>anualmente a la Superintendencia Nacional de Salud información detallada sobre el estado de salud de los menores de edad afiliados. </w:t>
      </w:r>
    </w:p>
    <w:p w14:paraId="351FD02F" w14:textId="77777777" w:rsidR="00C2708D" w:rsidRPr="00C2708D" w:rsidRDefault="00C2708D" w:rsidP="00CE4017">
      <w:pPr>
        <w:widowControl/>
        <w:autoSpaceDE/>
        <w:autoSpaceDN/>
        <w:jc w:val="both"/>
        <w:rPr>
          <w:rFonts w:eastAsia="Times New Roman"/>
          <w:color w:val="000000"/>
          <w:lang w:val="es-CO" w:eastAsia="es-CO"/>
        </w:rPr>
      </w:pPr>
      <w:bookmarkStart w:id="147" w:name="ver_1680550"/>
      <w:bookmarkEnd w:id="147"/>
    </w:p>
    <w:p w14:paraId="2082740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116. </w:t>
      </w:r>
      <w:r w:rsidRPr="00C2708D">
        <w:rPr>
          <w:rFonts w:eastAsia="Times New Roman"/>
          <w:i/>
          <w:iCs/>
          <w:color w:val="000000"/>
          <w:lang w:val="es-CO" w:eastAsia="es-CO"/>
        </w:rPr>
        <w:t>Sanciones por la no provisión de información</w:t>
      </w:r>
      <w:r w:rsidRPr="00C2708D">
        <w:rPr>
          <w:rFonts w:eastAsia="Times New Roman"/>
          <w:color w:val="000000"/>
          <w:lang w:val="es-CO" w:eastAsia="es-CO"/>
        </w:rPr>
        <w:t>. Los obligados a reportar que no cumplan con el reporte oportuno, confiable, suficiente y con la calidad mínima aceptable de la información necesaria para la operación del sistema de monitoreo, de los sistemas de información del sector salud, o de las prestaciones de salud (Registros Individuales de Prestación de Servicios), serán reportados ante las autoridades competentes para que impongan las sanciones a que hubiera lugar. En el caso de las Entidades Promotoras de Salud y prestadores de servicios de salud podrá dar lugar a la suspensión de giros, la revocatoria de la certificación de habilitación. En el caso de los entes territoriales se notificará a la Superintendencia Nacional de Salud para que obre de acuerdo a su competencia. </w:t>
      </w:r>
    </w:p>
    <w:p w14:paraId="47A9883B" w14:textId="77777777" w:rsidR="00C2708D" w:rsidRPr="00C2708D" w:rsidRDefault="00C2708D" w:rsidP="00CE4017">
      <w:pPr>
        <w:widowControl/>
        <w:autoSpaceDE/>
        <w:autoSpaceDN/>
        <w:jc w:val="both"/>
        <w:rPr>
          <w:rFonts w:eastAsia="Times New Roman"/>
          <w:color w:val="000000"/>
          <w:lang w:val="es-CO" w:eastAsia="es-CO"/>
        </w:rPr>
      </w:pPr>
      <w:bookmarkStart w:id="148" w:name="ver_1680551"/>
      <w:bookmarkEnd w:id="148"/>
    </w:p>
    <w:p w14:paraId="4DDC23E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117.</w:t>
      </w:r>
      <w:r w:rsidRPr="00C2708D">
        <w:rPr>
          <w:rFonts w:eastAsia="Times New Roman"/>
          <w:i/>
          <w:iCs/>
          <w:color w:val="000000"/>
          <w:lang w:val="es-CO" w:eastAsia="es-CO"/>
        </w:rPr>
        <w:t> Análisis de condiciones de mercado a nivel regional.</w:t>
      </w:r>
      <w:r w:rsidRPr="00C2708D">
        <w:rPr>
          <w:rFonts w:eastAsia="Times New Roman"/>
          <w:color w:val="000000"/>
          <w:lang w:val="es-CO" w:eastAsia="es-CO"/>
        </w:rPr>
        <w:t> El Gobierno Nacional realizará análisis periódicos de las condiciones de competencia en el mercado de aseguradores y prestadores, así como de las tarifas de prestación de servicios, a nivel territorial. </w:t>
      </w:r>
    </w:p>
    <w:p w14:paraId="115A91B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A95CF4F" w14:textId="6006D201" w:rsidR="00C2708D" w:rsidRDefault="00C2708D" w:rsidP="00CE4017">
      <w:pPr>
        <w:widowControl/>
        <w:autoSpaceDE/>
        <w:autoSpaceDN/>
        <w:jc w:val="center"/>
        <w:rPr>
          <w:rFonts w:eastAsia="Times New Roman"/>
          <w:b/>
          <w:bCs/>
          <w:color w:val="000000"/>
          <w:lang w:val="es-CO" w:eastAsia="es-CO"/>
        </w:rPr>
      </w:pPr>
      <w:bookmarkStart w:id="149" w:name="ver_30027946"/>
      <w:bookmarkEnd w:id="149"/>
      <w:r w:rsidRPr="00C2708D">
        <w:rPr>
          <w:rFonts w:eastAsia="Times New Roman"/>
          <w:b/>
          <w:bCs/>
          <w:color w:val="000000"/>
          <w:lang w:val="es-CO" w:eastAsia="es-CO"/>
        </w:rPr>
        <w:t>TÍTULO VII</w:t>
      </w:r>
    </w:p>
    <w:p w14:paraId="00B36CAC" w14:textId="77777777" w:rsidR="00CE4017" w:rsidRPr="00C2708D" w:rsidRDefault="00CE4017" w:rsidP="00CE4017">
      <w:pPr>
        <w:widowControl/>
        <w:autoSpaceDE/>
        <w:autoSpaceDN/>
        <w:jc w:val="center"/>
        <w:rPr>
          <w:rFonts w:eastAsia="Times New Roman"/>
          <w:b/>
          <w:bCs/>
          <w:color w:val="000000"/>
          <w:lang w:val="es-CO" w:eastAsia="es-CO"/>
        </w:rPr>
      </w:pPr>
    </w:p>
    <w:p w14:paraId="403EE6C3" w14:textId="77777777" w:rsidR="00C2708D" w:rsidRPr="00C2708D" w:rsidRDefault="00C2708D" w:rsidP="00CE4017">
      <w:pPr>
        <w:widowControl/>
        <w:autoSpaceDE/>
        <w:autoSpaceDN/>
        <w:jc w:val="center"/>
        <w:rPr>
          <w:rFonts w:eastAsia="Times New Roman"/>
          <w:b/>
          <w:bCs/>
          <w:color w:val="000000"/>
          <w:lang w:val="es-CO" w:eastAsia="es-CO"/>
        </w:rPr>
      </w:pPr>
      <w:r w:rsidRPr="00C2708D">
        <w:rPr>
          <w:rFonts w:eastAsia="Times New Roman"/>
          <w:b/>
          <w:bCs/>
          <w:color w:val="000000"/>
          <w:lang w:val="es-CO" w:eastAsia="es-CO"/>
        </w:rPr>
        <w:t>INSPECCIÓN, VIGILANCIA Y CONTROL</w:t>
      </w:r>
    </w:p>
    <w:p w14:paraId="4827913E" w14:textId="77777777" w:rsidR="00C2708D" w:rsidRPr="00C2708D" w:rsidRDefault="00C2708D" w:rsidP="00CE4017">
      <w:pPr>
        <w:widowControl/>
        <w:autoSpaceDE/>
        <w:autoSpaceDN/>
        <w:jc w:val="both"/>
        <w:rPr>
          <w:rFonts w:eastAsia="Times New Roman"/>
          <w:color w:val="000000"/>
          <w:lang w:val="es-CO" w:eastAsia="es-CO"/>
        </w:rPr>
      </w:pPr>
      <w:bookmarkStart w:id="150" w:name="ver_1680552"/>
      <w:bookmarkEnd w:id="150"/>
    </w:p>
    <w:p w14:paraId="30FBDF8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118.</w:t>
      </w:r>
      <w:r w:rsidRPr="00C2708D">
        <w:rPr>
          <w:rFonts w:eastAsia="Times New Roman"/>
          <w:i/>
          <w:iCs/>
          <w:color w:val="000000"/>
          <w:lang w:val="es-CO" w:eastAsia="es-CO"/>
        </w:rPr>
        <w:t> Desconcentración</w:t>
      </w:r>
      <w:r w:rsidRPr="00C2708D">
        <w:rPr>
          <w:rFonts w:eastAsia="Times New Roman"/>
          <w:color w:val="000000"/>
          <w:lang w:val="es-CO" w:eastAsia="es-CO"/>
        </w:rPr>
        <w:t>. Con el fin de tener mayor efectividad en las actividades del sistema de inspección, vigilancia y control, la Superintendencia Nacional de Salud se desconcentrará y adicionalmente podrá delegar sus funciones a nivel departamental o distrital. </w:t>
      </w:r>
    </w:p>
    <w:p w14:paraId="49BAF60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47CC53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Superintendencia Nacional de Salud ejecutará sus funciones de manera directa o por convenio interadministrativo con las direcciones departamentales o distritales de salud, acreditadas, en el marco del Sistema Obligatorio de Garantía de la Calidad, las cuales para los efectos de las atribuciones correspondientes responderán funcionalmente ante el Superintendente Nacional de Salud. </w:t>
      </w:r>
    </w:p>
    <w:p w14:paraId="61A730B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605A75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direcciones departamentales o distritales de salud, presentarán en audiencia pública semestral y en los plazos que la Superintendencia establezca, los informes que esta requiera. El incumplimiento de esta función dará lugar a multas al respectivo Director de hasta diez (10) salarios mínimos legales mensuales y en caso de reincidencia podrá dar lugar a la intervención administrativa. </w:t>
      </w:r>
    </w:p>
    <w:p w14:paraId="01F2796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E28E78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Superintendencia Nacional de Salud implementará procedimientos participativos que permitan la operación del sistema de forma articulada, vinculando las personerías, la Defensoría del Pueblo, las contralorías y otras entidades u organismos que cumplan funciones de control. </w:t>
      </w:r>
    </w:p>
    <w:p w14:paraId="1246B78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DFAA6B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Superintendencia Nacional de Salud podrá delegar la facultad sancionatoria para que las entidades del nivel departamental o distrital surtan la primera instancia de los procesos que se adelanten a las entidades e instituciones que presten sus servicios dentro del territorio de su competencia. </w:t>
      </w:r>
    </w:p>
    <w:p w14:paraId="53DA353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539239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Parágrafo. Dadas las funciones que deba asumir la Superintendencia Nacional de Salud definidas por esta ley el Gobierno Nacional adelantará las acciones que le permitan su fortalecimiento y reestructuración. </w:t>
      </w:r>
    </w:p>
    <w:p w14:paraId="7B9E9FE3" w14:textId="7E5CC312"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51" w:name="ver_1680553"/>
      <w:bookmarkEnd w:id="151"/>
    </w:p>
    <w:p w14:paraId="0F68CC6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119. </w:t>
      </w:r>
      <w:r w:rsidRPr="00C2708D">
        <w:rPr>
          <w:rFonts w:eastAsia="Times New Roman"/>
          <w:i/>
          <w:iCs/>
          <w:color w:val="000000"/>
          <w:lang w:val="es-CO" w:eastAsia="es-CO"/>
        </w:rPr>
        <w:t>Recursos para fortalecer las funciones de inspección vigilancia y control.</w:t>
      </w:r>
      <w:r w:rsidRPr="00C2708D">
        <w:rPr>
          <w:rFonts w:eastAsia="Times New Roman"/>
          <w:color w:val="000000"/>
          <w:lang w:val="es-CO" w:eastAsia="es-CO"/>
        </w:rPr>
        <w:t xml:space="preserve"> Los recursos a que se refiere el literal e) del artículo 13 de la Ley 1122 de 2007 se destinarán a la Superintendencia Nacional de Salud para que ejerza la inspección, vigilancia y control en las entidades territoriales. El recaudo al que hace referencia el presente inciso, será reglamentado por el Gobierno Nacional, por primera vez, dentro de los tres (3) meses siguientes a la entrada en vigencia de la presente ley. Los recursos del régimen subsidiado destinados por los municipios y distritos a la Superintendencia Nacional de Salud para que ejerza la inspección vigilancia y control en las entidades territoriales, se incrementarán del 0.2% al 0.4%, que serán descontados de los recursos que del Sistema General de Participaciones para Salud se destinen a los subsidios a la demanda o de los recursos de la subcuenta de Solidaridad del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según la reglamentación que expida el Gobierno Nacional. </w:t>
      </w:r>
    </w:p>
    <w:p w14:paraId="4275D4C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D715FF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1°. Los recursos a que se refiere el inciso 1° del literal e) del artículo 13 de la Ley 1122 de 2007 se aplicarán a la auditoría para el cumplimiento del seguimiento y control del aseguramiento de los afiliados y el acceso oportuno y de calidad al Plan de Beneficios. Para este efecto la Superintendencia Nacional de Salud, acreditará empresas de interventoría con los cuales contratarán los municipios mediante concurso de méritos. La Superintendencia Nacional de Salud ejercerá vigilancia sobre el proceso y ejecución de esta contratación. </w:t>
      </w:r>
    </w:p>
    <w:p w14:paraId="417C4A7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842BEF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transitorio 2°. Mientras se reglamentan las funciones de auditoría, las empresas que hoy están prestando el servicio podrán continuar haciéndolo.</w:t>
      </w:r>
    </w:p>
    <w:p w14:paraId="13A48829" w14:textId="77777777" w:rsidR="00C2708D" w:rsidRPr="00C2708D" w:rsidRDefault="00C2708D" w:rsidP="00CE4017">
      <w:pPr>
        <w:widowControl/>
        <w:autoSpaceDE/>
        <w:autoSpaceDN/>
        <w:jc w:val="both"/>
        <w:rPr>
          <w:rFonts w:eastAsia="Times New Roman"/>
          <w:color w:val="000000"/>
          <w:lang w:val="es-CO" w:eastAsia="es-CO"/>
        </w:rPr>
      </w:pPr>
      <w:bookmarkStart w:id="152" w:name="ver_30191754"/>
      <w:bookmarkStart w:id="153" w:name="ver_1680554"/>
      <w:bookmarkEnd w:id="152"/>
    </w:p>
    <w:p w14:paraId="2A08477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120. </w:t>
      </w:r>
      <w:r w:rsidRPr="00C2708D">
        <w:rPr>
          <w:rFonts w:eastAsia="Times New Roman"/>
          <w:i/>
          <w:iCs/>
          <w:color w:val="000000"/>
          <w:lang w:val="es-CO" w:eastAsia="es-CO"/>
        </w:rPr>
        <w:t>Recursos por multas</w:t>
      </w:r>
      <w:r w:rsidRPr="00C2708D">
        <w:rPr>
          <w:rFonts w:eastAsia="Times New Roman"/>
          <w:color w:val="000000"/>
          <w:lang w:val="es-CO" w:eastAsia="es-CO"/>
        </w:rPr>
        <w:t>. Las multas impuestas por la Superintendencia Nacional de Salud serán apropiadas en el Presupuesto General de la Nación como recursos adicionales de la Superintendencia Nacional de Salud.  </w:t>
      </w:r>
    </w:p>
    <w:p w14:paraId="1AAB61E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BD7861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Para cada vigencia, el Gobierno nacional determinará el porcentaje del recaudo total por concepto de multas impuestas por la Superintendencia Nacional de Salud que se destinará a la sostenibilidad financiera del Sistema de Seguridad Social en Salud.  </w:t>
      </w:r>
    </w:p>
    <w:p w14:paraId="563F78B8" w14:textId="77777777" w:rsidR="00C2708D" w:rsidRPr="00C2708D" w:rsidRDefault="00C2708D" w:rsidP="00CE4017">
      <w:pPr>
        <w:widowControl/>
        <w:autoSpaceDE/>
        <w:autoSpaceDN/>
        <w:jc w:val="both"/>
        <w:rPr>
          <w:rFonts w:eastAsia="Times New Roman"/>
          <w:color w:val="000000"/>
          <w:lang w:val="es-CO" w:eastAsia="es-CO"/>
        </w:rPr>
      </w:pPr>
      <w:bookmarkStart w:id="154" w:name="ver_1680555"/>
      <w:bookmarkEnd w:id="153"/>
      <w:bookmarkEnd w:id="154"/>
    </w:p>
    <w:p w14:paraId="5C07014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121.</w:t>
      </w:r>
      <w:r w:rsidRPr="00C2708D">
        <w:rPr>
          <w:rFonts w:eastAsia="Times New Roman"/>
          <w:i/>
          <w:iCs/>
          <w:color w:val="000000"/>
          <w:lang w:val="es-CO" w:eastAsia="es-CO"/>
        </w:rPr>
        <w:t>Sujetos de inspección, vigilancia y control de la Superintendencia Nacional de Salud</w:t>
      </w:r>
      <w:r w:rsidRPr="00C2708D">
        <w:rPr>
          <w:rFonts w:eastAsia="Times New Roman"/>
          <w:color w:val="000000"/>
          <w:lang w:val="es-CO" w:eastAsia="es-CO"/>
        </w:rPr>
        <w:t>. Serán sujetos de inspección, vigilancia y control integral de la Superintendencia Nacional de Salud: </w:t>
      </w:r>
    </w:p>
    <w:p w14:paraId="13CA251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CFCD03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121.1 Las Entidades Promotoras de Salud del Régimen Contributivo y Subsidiado, las Empresas Solidarias, las Asociaciones Mutuales en sus actividades de Salud, las Cajas de Compensación Familiar en sus actividades de salud, las actividades de salud que realizan las aseguradoras, las Entidades que administren planes adicionales de salud, las entidades obligadas a compensar, las entidades adaptadas de Salud, las administradoras de riesgos profesionales en sus actividades de salud. Las entidades pertenecientes al régimen de excepción de salud y las universidades en sus actividades de salud, sin perjuicio de las competencias de la Superintendencia de Subsidio Familiar. </w:t>
      </w:r>
    </w:p>
    <w:p w14:paraId="19CBF1E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00BAEF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121.2 Las Direcciones Territoriales de Salud en el ejercicio de las funciones que las mismas desarrollan en el ámbito del sector salud, tales como el aseguramiento, la inspección, </w:t>
      </w:r>
      <w:r w:rsidRPr="00C2708D">
        <w:rPr>
          <w:rFonts w:eastAsia="Times New Roman"/>
          <w:color w:val="000000"/>
          <w:lang w:val="es-CO" w:eastAsia="es-CO"/>
        </w:rPr>
        <w:lastRenderedPageBreak/>
        <w:t>vigilancia y control, la prestación de servicios de salud y demás relacionadas con el sector salud. </w:t>
      </w:r>
    </w:p>
    <w:p w14:paraId="1B440C3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C95E66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121.3 Los prestadores de servicios de salud públicos, privados o mixtos. </w:t>
      </w:r>
    </w:p>
    <w:p w14:paraId="3DB42B3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3EAF99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121.4 La Comisión de Regulación en Salud y el Fondo de Solidaridad y Garantía,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o quienes hagan sus veces. </w:t>
      </w:r>
    </w:p>
    <w:p w14:paraId="287594B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1D7AE5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121.5 Los que exploten, produzcan, administren u operen, bajo cualquier modalidad, el monopolio rentístico de loterías, apuestas permanentes y demás modalidades de los juegos de suerte y azar. </w:t>
      </w:r>
    </w:p>
    <w:p w14:paraId="0A48025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78FA3E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121.6 Los que programen, gestionen, recauden, distribuyan, administren, transfieran o asignen los recursos públicos y demás arbitrios rentísticos del Sistema General de Seguridad Social en Salud. </w:t>
      </w:r>
    </w:p>
    <w:p w14:paraId="2C904B0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69C4C6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121.7 Las rentas que produzcan cervezas, sifones, refajos, vinos, aperitivos y similares y quienes importen licores, vinos, aperitivos y similares y cervezas. </w:t>
      </w:r>
    </w:p>
    <w:p w14:paraId="252AD51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73EBC5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121.8 Los que exploten, administren u operen, bajo cualquier modalidad, el monopolio rentístico de los licores. </w:t>
      </w:r>
      <w:bookmarkStart w:id="155" w:name="ver_1680556"/>
      <w:bookmarkEnd w:id="155"/>
    </w:p>
    <w:p w14:paraId="3CCCF4C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122.</w:t>
      </w:r>
      <w:r w:rsidRPr="00C2708D">
        <w:rPr>
          <w:rFonts w:eastAsia="Times New Roman"/>
          <w:i/>
          <w:iCs/>
          <w:color w:val="000000"/>
          <w:lang w:val="es-CO" w:eastAsia="es-CO"/>
        </w:rPr>
        <w:t>Presentación de informes financieros de las entidades del Sistema General de Seguridad Social en Salud.</w:t>
      </w:r>
      <w:r w:rsidRPr="00C2708D">
        <w:rPr>
          <w:rFonts w:eastAsia="Times New Roman"/>
          <w:color w:val="000000"/>
          <w:lang w:val="es-CO" w:eastAsia="es-CO"/>
        </w:rPr>
        <w:t> Para la vigilancia y control de las Entidades Promotoras de Salud, las Instituciones Prestadoras de Salud, y otros actores del sistema deberán presentar los estados financieros consolidados del grupo económico, incluyendo todas las entidades subordinadas que directa o indirectamente reciban recursos del Sistema General de Seguridad Social en Salud. </w:t>
      </w:r>
    </w:p>
    <w:p w14:paraId="11BB5B43" w14:textId="47B47968"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56" w:name="ver_1680557"/>
      <w:bookmarkEnd w:id="156"/>
    </w:p>
    <w:p w14:paraId="5BA8D8C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123.</w:t>
      </w:r>
      <w:r w:rsidRPr="00C2708D">
        <w:rPr>
          <w:rFonts w:eastAsia="Times New Roman"/>
          <w:i/>
          <w:iCs/>
          <w:color w:val="000000"/>
          <w:lang w:val="es-CO" w:eastAsia="es-CO"/>
        </w:rPr>
        <w:t>Control a los deberes de los empleadores y otras personas obligadas a cotizar.</w:t>
      </w:r>
      <w:r w:rsidRPr="00C2708D">
        <w:rPr>
          <w:rFonts w:eastAsia="Times New Roman"/>
          <w:color w:val="000000"/>
          <w:lang w:val="es-CO" w:eastAsia="es-CO"/>
        </w:rPr>
        <w:t> La Unidad Administrativa de Gestión Pensional y Contribuciones Parafiscales de la Protección Social (UGPP), verificará el cumplimiento de los deberes de los empleadores y otras personas obligadas a cotizar, en relación con el pago de las cotizaciones a la seguridad social. </w:t>
      </w:r>
    </w:p>
    <w:p w14:paraId="77922AE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D84D87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Unidad Administrativa de Gestión Pensional y Contribuciones Parafiscales de la Protección Social (UGPP), previa solicitud de explicaciones, podrá imponer, en caso de violación a las normas contenidas en los artículos 161, 204 y 210 de la Ley 100 de 1993 por una sola vez, o en forma sucesiva, multas en cuantía hasta de mil (1.000) salarios mínimos legales mensuales vigentes a favor de la subcuenta de Solidaridad del Fondo de Solidaridad y Garantía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w:t>
      </w:r>
    </w:p>
    <w:p w14:paraId="2C71A434" w14:textId="77777777" w:rsidR="00C2708D" w:rsidRPr="00C2708D" w:rsidRDefault="00C2708D" w:rsidP="00CE4017">
      <w:pPr>
        <w:widowControl/>
        <w:autoSpaceDE/>
        <w:autoSpaceDN/>
        <w:jc w:val="both"/>
        <w:rPr>
          <w:rFonts w:eastAsia="Times New Roman"/>
          <w:color w:val="000000"/>
          <w:lang w:val="es-CO" w:eastAsia="es-CO"/>
        </w:rPr>
      </w:pPr>
      <w:bookmarkStart w:id="157" w:name="ver_1680558"/>
      <w:bookmarkEnd w:id="157"/>
    </w:p>
    <w:p w14:paraId="1EB5173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124.</w:t>
      </w:r>
      <w:r w:rsidRPr="00C2708D">
        <w:rPr>
          <w:rFonts w:eastAsia="Times New Roman"/>
          <w:i/>
          <w:iCs/>
          <w:color w:val="000000"/>
          <w:lang w:val="es-CO" w:eastAsia="es-CO"/>
        </w:rPr>
        <w:t>Eje de acciones y medidas especiales.</w:t>
      </w:r>
      <w:r w:rsidRPr="00C2708D">
        <w:rPr>
          <w:rFonts w:eastAsia="Times New Roman"/>
          <w:color w:val="000000"/>
          <w:lang w:val="es-CO" w:eastAsia="es-CO"/>
        </w:rPr>
        <w:t> El numeral 5 del artículo 37 de la Ley 1122 de 2007, quedará así: </w:t>
      </w:r>
    </w:p>
    <w:p w14:paraId="2449496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A92419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xml:space="preserve">"5. Eje de acciones y medidas especiales. Su objetivo es adelantar los procesos de intervención forzosa administrativa para administrar o liquidar las entidades vigiladas que cumplen funciones de Entidades Promotoras de Salud, Instituciones Prestadoras de Salud de cualquier naturaleza y monopolios rentísticos cedidos al sector salud no asignados a otra entidad, así como para intervenir técnica y administrativamente las direcciones territoriales de salud. Tratándose de liquidaciones voluntarias, la Superintendencia Nacional de Salud ejercerá inspección, vigilancia y control sobre los derechos de los afiliados y los </w:t>
      </w:r>
      <w:r w:rsidRPr="00C2708D">
        <w:rPr>
          <w:rFonts w:eastAsia="Times New Roman"/>
          <w:color w:val="000000"/>
          <w:lang w:val="es-CO" w:eastAsia="es-CO"/>
        </w:rPr>
        <w:lastRenderedPageBreak/>
        <w:t>recursos del sector salud. En casos en que la Superintendencia Nacional de Salud revoque el certificado de autorización o funcionamiento que le otorgue a las Entidades Promotoras de Salud o Instituciones Prestadoras de Salud, deberá decidir sobre su liquidación"</w:t>
      </w:r>
      <w:r w:rsidR="00BD2ADD">
        <w:rPr>
          <w:rFonts w:eastAsia="Times New Roman"/>
          <w:color w:val="000000"/>
          <w:lang w:val="es-CO" w:eastAsia="es-CO"/>
        </w:rPr>
        <w:t>.</w:t>
      </w:r>
    </w:p>
    <w:p w14:paraId="47EA649E" w14:textId="77777777" w:rsidR="00C2708D" w:rsidRPr="00C2708D" w:rsidRDefault="00C2708D" w:rsidP="00CE4017">
      <w:pPr>
        <w:widowControl/>
        <w:autoSpaceDE/>
        <w:autoSpaceDN/>
        <w:jc w:val="both"/>
        <w:rPr>
          <w:rFonts w:eastAsia="Times New Roman"/>
          <w:color w:val="000000"/>
          <w:lang w:val="es-CO" w:eastAsia="es-CO"/>
        </w:rPr>
      </w:pPr>
      <w:bookmarkStart w:id="158" w:name="ver_1680559"/>
      <w:bookmarkEnd w:id="158"/>
    </w:p>
    <w:p w14:paraId="0622CE6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125.</w:t>
      </w:r>
      <w:r w:rsidRPr="00C2708D">
        <w:rPr>
          <w:rFonts w:eastAsia="Times New Roman"/>
          <w:i/>
          <w:iCs/>
          <w:color w:val="000000"/>
          <w:lang w:val="es-CO" w:eastAsia="es-CO"/>
        </w:rPr>
        <w:t>Cesación provisional.</w:t>
      </w:r>
      <w:r w:rsidRPr="00C2708D">
        <w:rPr>
          <w:rFonts w:eastAsia="Times New Roman"/>
          <w:color w:val="000000"/>
          <w:lang w:val="es-CO" w:eastAsia="es-CO"/>
        </w:rPr>
        <w:t> El Superintendente Nacional de Salud podrá ordenar de manera inmediata, a la entidad competente, la medida cautelar de cesación provisional de las acciones que pongan en riesgo la vida o la integridad física de los pacientes o el destino de los recursos del Sistema General de Seguridad Social en Salud. </w:t>
      </w:r>
    </w:p>
    <w:p w14:paraId="0055FAF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D88FD7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medidas señaladas anteriormente se adoptarán mediante acto administrativo motivado y dará lugar al inicio del proceso administrativo ante el Superintendente Nacional de Salud. </w:t>
      </w:r>
    </w:p>
    <w:p w14:paraId="79AF08DC" w14:textId="71A27780"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59" w:name="ver_1680560"/>
      <w:bookmarkEnd w:id="159"/>
    </w:p>
    <w:p w14:paraId="4AF3CE8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126.</w:t>
      </w:r>
      <w:r w:rsidRPr="00C2708D">
        <w:rPr>
          <w:rFonts w:eastAsia="Times New Roman"/>
          <w:i/>
          <w:iCs/>
          <w:color w:val="000000"/>
          <w:lang w:val="es-CO" w:eastAsia="es-CO"/>
        </w:rPr>
        <w:t>Función jurisdiccional de la Superintendencia Nacional de Salud.</w:t>
      </w:r>
      <w:r w:rsidRPr="00C2708D">
        <w:rPr>
          <w:rFonts w:eastAsia="Times New Roman"/>
          <w:color w:val="000000"/>
          <w:lang w:val="es-CO" w:eastAsia="es-CO"/>
        </w:rPr>
        <w:t> Adiciónense los literales e), f) y g), al artículo 41 de la Ley 1122 de 2007, así: </w:t>
      </w:r>
    </w:p>
    <w:p w14:paraId="06467BB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903F1B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 Sobre las prestaciones excluidas del Plan de Beneficios que no sean pertinentes para atender las condiciones particulares del individuo; </w:t>
      </w:r>
    </w:p>
    <w:p w14:paraId="075BFC9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EF5751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f) Conflictos derivados de las devoluciones o glosas a las facturas entre entidades del Sistema General de Seguridad Social en Salud; </w:t>
      </w:r>
    </w:p>
    <w:p w14:paraId="599A879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851872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g) Conocer y decidir sobre el reconocimiento y pago de las prestaciones económicas por parte de las EPS o del empleador". </w:t>
      </w:r>
    </w:p>
    <w:p w14:paraId="0ABA92F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2A52FF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Modificar el parágrafo 2° del artículo 41 de la Ley 1122 de 2007, el cual quedará así: </w:t>
      </w:r>
    </w:p>
    <w:p w14:paraId="062D60C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5E6BAE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función jurisdiccional de la Superintendencia Nacional de Salud se desarrollará mediante un procedimiento preferente y sumario, con arreglo a los principios de publicidad, prevalencia del derecho sustancial, economía, celeridad y eficacia, garantizando debidamente los derechos al debido proceso, defensa y contradicción. </w:t>
      </w:r>
    </w:p>
    <w:p w14:paraId="4F9C755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04DC95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 solicitud dirigida a la Superintendencia Nacional de Salud, debe expresar con la mayor claridad, la causal que la motiva, el derecho que se considere violado, las circunstancias de tiempo, modo y lugar, así como el nombre y residencia del solicitante. La acción podrá ser ejercida, sin ninguna formalidad o autenticación, por memorial, telegrama u otro medio de comunicación que se manifieste por escrito, para lo cual se gozará de franquicia. No será necesario actuar por medio de apoderado. Dentro de los diez días siguientes a la solicitud se dictará fallo, el cual se notificará por telegrama o por otro medio expedito que asegure su cumplimiento. Dentro de los tres días siguientes a la notificación, el fallo podrá ser impugnado. En el trámite del procedimiento jurisdiccional prevalecerá la informalidad".</w:t>
      </w:r>
    </w:p>
    <w:p w14:paraId="033206CB" w14:textId="77777777" w:rsidR="00C2708D" w:rsidRPr="00C2708D" w:rsidRDefault="00C2708D" w:rsidP="00CE4017">
      <w:pPr>
        <w:widowControl/>
        <w:autoSpaceDE/>
        <w:autoSpaceDN/>
        <w:jc w:val="both"/>
        <w:rPr>
          <w:rFonts w:eastAsia="Times New Roman"/>
          <w:color w:val="000000"/>
          <w:lang w:val="es-CO" w:eastAsia="es-CO"/>
        </w:rPr>
      </w:pPr>
      <w:bookmarkStart w:id="160" w:name="ver_1680561"/>
      <w:bookmarkEnd w:id="160"/>
    </w:p>
    <w:p w14:paraId="313B5AB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127.</w:t>
      </w:r>
      <w:r w:rsidRPr="00C2708D">
        <w:rPr>
          <w:rFonts w:eastAsia="Times New Roman"/>
          <w:i/>
          <w:iCs/>
          <w:color w:val="000000"/>
          <w:lang w:val="es-CO" w:eastAsia="es-CO"/>
        </w:rPr>
        <w:t>Medidas cautelares en la función jurisdiccional de la Superintendencia Nacional de Salud.</w:t>
      </w:r>
      <w:r w:rsidRPr="00C2708D">
        <w:rPr>
          <w:rFonts w:eastAsia="Times New Roman"/>
          <w:color w:val="000000"/>
          <w:lang w:val="es-CO" w:eastAsia="es-CO"/>
        </w:rPr>
        <w:t> Adicionar un nuevo parágrafo al artículo 41 de la Ley 1122 de 2007 así: </w:t>
      </w:r>
    </w:p>
    <w:p w14:paraId="4D13BE1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970CEF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3°. La Superintendencia Nacional de Salud, deberá: </w:t>
      </w:r>
    </w:p>
    <w:p w14:paraId="47C0228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0F8B41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 Ordenar, dentro del proceso judicial, las medidas provisionales para la protección del usuario del Sistema. </w:t>
      </w:r>
    </w:p>
    <w:p w14:paraId="5021882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17244E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2. Definir en forma provisional la Entidad a la cual se entiende que continúa afiliado o atendido el demandante mientras se resuelve el conflicto que se suscite en materia de afiliación múltiple y movilidad dentro del Sistema General de Seguridad Social en Salud. </w:t>
      </w:r>
    </w:p>
    <w:p w14:paraId="07C9EC8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883704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Para tal efecto, el funcionario competente en ejercicio de las funciones jurisdiccionales consultará, antes de emitir su fallo definitivo o la medida cautelar, la doctrina médica, las guías, los protocolos o las recomendaciones del Comité Técnico-Científico, según sea el caso"</w:t>
      </w:r>
      <w:r w:rsidR="00BD2ADD">
        <w:rPr>
          <w:rFonts w:eastAsia="Times New Roman"/>
          <w:color w:val="000000"/>
          <w:lang w:val="es-CO" w:eastAsia="es-CO"/>
        </w:rPr>
        <w:t>.</w:t>
      </w:r>
    </w:p>
    <w:p w14:paraId="1578067A" w14:textId="77777777" w:rsidR="00C2708D" w:rsidRPr="00C2708D" w:rsidRDefault="00C2708D" w:rsidP="00CE4017">
      <w:pPr>
        <w:widowControl/>
        <w:autoSpaceDE/>
        <w:autoSpaceDN/>
        <w:jc w:val="both"/>
        <w:rPr>
          <w:rFonts w:eastAsia="Times New Roman"/>
          <w:color w:val="000000"/>
          <w:lang w:val="es-CO" w:eastAsia="es-CO"/>
        </w:rPr>
      </w:pPr>
      <w:bookmarkStart w:id="161" w:name="ver_1680562"/>
      <w:bookmarkEnd w:id="161"/>
    </w:p>
    <w:p w14:paraId="389D3B4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128.</w:t>
      </w:r>
      <w:r w:rsidRPr="00C2708D">
        <w:rPr>
          <w:rFonts w:eastAsia="Times New Roman"/>
          <w:i/>
          <w:iCs/>
          <w:color w:val="000000"/>
          <w:lang w:val="es-CO" w:eastAsia="es-CO"/>
        </w:rPr>
        <w:t>Procedimiento sancionatorio.</w:t>
      </w:r>
      <w:r w:rsidRPr="00C2708D">
        <w:rPr>
          <w:rFonts w:eastAsia="Times New Roman"/>
          <w:color w:val="000000"/>
          <w:lang w:val="es-CO" w:eastAsia="es-CO"/>
        </w:rPr>
        <w:t> La Superintendencia Nacional de Salud aplicará las multas o la revocatoria de la licencia de funcionamiento realizando un proceso administrativo sancionatorio consistente en la solicitud de explicaciones en un plazo de cinco (5) días hábiles después de recibida la información, la práctica de las pruebas a que hubiere lugar en un plazo máximo de quince (15) días calendario, vencido el término probatorio las partes podrán presentar alegatos de conclusión dentro de los cinco (5) días hábiles siguientes. La Superintendencia dispondrá de un término de diez (10) días calendario después del vencimiento del término para presentar alegatos de conclusión para imponer la sanción u ordenar el archivo de las actuaciones. Si no hubiere lugar a decretar pruebas, se obviará el término correspondiente. La sanción será susceptible de los recursos contenidos en el Código Contencioso Administrativo. </w:t>
      </w:r>
    </w:p>
    <w:p w14:paraId="02F70AA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A605A9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Con sujeción a lo anterior y teniendo en cuenta en lo que no se oponga, lo previsto en el Código Contencioso Administrativo, la Superintendencia Nacional de Salud, mediante acto administrativo, desarrollará el procedimiento administrativo sancionatorio, respetando los derechos al debido proceso, defensa, contradicción y doble instancia. </w:t>
      </w:r>
    </w:p>
    <w:p w14:paraId="3D7F6BD5" w14:textId="77777777" w:rsidR="00C2708D" w:rsidRPr="00C2708D" w:rsidRDefault="00C2708D" w:rsidP="00CE4017">
      <w:pPr>
        <w:widowControl/>
        <w:autoSpaceDE/>
        <w:autoSpaceDN/>
        <w:jc w:val="both"/>
        <w:rPr>
          <w:rFonts w:eastAsia="Times New Roman"/>
          <w:color w:val="000000"/>
          <w:lang w:val="es-CO" w:eastAsia="es-CO"/>
        </w:rPr>
      </w:pPr>
      <w:bookmarkStart w:id="162" w:name="ver_1680563"/>
      <w:bookmarkEnd w:id="162"/>
    </w:p>
    <w:p w14:paraId="5C589E3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129.</w:t>
      </w:r>
      <w:r w:rsidRPr="00C2708D">
        <w:rPr>
          <w:rFonts w:eastAsia="Times New Roman"/>
          <w:i/>
          <w:iCs/>
          <w:color w:val="000000"/>
          <w:lang w:val="es-CO" w:eastAsia="es-CO"/>
        </w:rPr>
        <w:t>Normas de procedimiento intervención forzosa administrativa.</w:t>
      </w:r>
      <w:r w:rsidRPr="00C2708D">
        <w:rPr>
          <w:rFonts w:eastAsia="Times New Roman"/>
          <w:color w:val="000000"/>
          <w:lang w:val="es-CO" w:eastAsia="es-CO"/>
        </w:rPr>
        <w:t> El Gobierno Nacional reglamentará las normas de procedimiento a aplicar por parte de la Superintendencia Nacional de Salud en los procesos de intervención forzosa administrativa para administrar o liquidar las entidades vigiladas que cumplan funciones de explotación, administración u operación de monopolios rentísticos cedidos al sector salud, Entidades Promotoras de Salud, las Instituciones Prestadoras de Salud de cualquier naturaleza, así como para intervenir técnica y administrativamente las direcciones territoriales de salud cualquiera sea la denominación que le otorgue el ente territorial en los términos de la ley y los reglamentos.</w:t>
      </w:r>
    </w:p>
    <w:p w14:paraId="4EBAD45C" w14:textId="77777777" w:rsidR="00C2708D" w:rsidRPr="00C2708D" w:rsidRDefault="00C2708D" w:rsidP="00CE4017">
      <w:pPr>
        <w:widowControl/>
        <w:autoSpaceDE/>
        <w:autoSpaceDN/>
        <w:jc w:val="both"/>
        <w:rPr>
          <w:rFonts w:eastAsia="Times New Roman"/>
          <w:color w:val="000000"/>
          <w:lang w:val="es-CO" w:eastAsia="es-CO"/>
        </w:rPr>
      </w:pPr>
      <w:bookmarkStart w:id="163" w:name="ver_30182188"/>
      <w:bookmarkStart w:id="164" w:name="ver_1680564"/>
      <w:bookmarkEnd w:id="163"/>
    </w:p>
    <w:p w14:paraId="7071BD96" w14:textId="0F271D8C" w:rsidR="00BD2ADD" w:rsidRPr="00BD2ADD" w:rsidRDefault="00C2708D" w:rsidP="00CE4017">
      <w:pPr>
        <w:widowControl/>
        <w:autoSpaceDE/>
        <w:autoSpaceDN/>
        <w:jc w:val="both"/>
        <w:rPr>
          <w:rFonts w:eastAsia="Times New Roman"/>
          <w:color w:val="000000"/>
          <w:spacing w:val="45"/>
          <w:lang w:val="es-CO" w:eastAsia="es-CO"/>
        </w:rPr>
      </w:pPr>
      <w:r w:rsidRPr="00C2708D">
        <w:rPr>
          <w:rFonts w:eastAsia="Times New Roman"/>
          <w:color w:val="000000"/>
          <w:lang w:val="es-CO" w:eastAsia="es-CO"/>
        </w:rPr>
        <w:t>Artículo 130. Infracciones administrativas. La Superintendencia Nacional de Salud impondrá sanciones de acuerdo con la conducta o infracción investigada, sin perjuicio de lo dispuesto en otras disposiciones del Sistema General de Seguridad Social en Salud, así:</w:t>
      </w:r>
      <w:r w:rsidRPr="00C2708D">
        <w:rPr>
          <w:rFonts w:eastAsia="Times New Roman"/>
          <w:color w:val="000000"/>
          <w:lang w:val="es-CO" w:eastAsia="es-CO"/>
        </w:rPr>
        <w:br/>
      </w:r>
      <w:r w:rsidRPr="00C2708D">
        <w:rPr>
          <w:rFonts w:eastAsia="Times New Roman"/>
          <w:color w:val="000000"/>
          <w:lang w:val="es-CO" w:eastAsia="es-CO"/>
        </w:rPr>
        <w:br/>
        <w:t>1. Infringir la Ley 1098 de 2006 en lo relativo a la prestación de servicios de salud.</w:t>
      </w:r>
      <w:r w:rsidRPr="00C2708D">
        <w:rPr>
          <w:rFonts w:eastAsia="Times New Roman"/>
          <w:color w:val="000000"/>
          <w:lang w:val="es-CO" w:eastAsia="es-CO"/>
        </w:rPr>
        <w:br/>
      </w:r>
      <w:r w:rsidRPr="00C2708D">
        <w:rPr>
          <w:rFonts w:eastAsia="Times New Roman"/>
          <w:color w:val="000000"/>
          <w:lang w:val="es-CO" w:eastAsia="es-CO"/>
        </w:rPr>
        <w:br/>
        <w:t>2. No dar aplicación a los mandatos de la Ley 1751 de 2015, en lo correspondiente a la prestación de los servicios de salud.</w:t>
      </w:r>
      <w:r w:rsidRPr="00C2708D">
        <w:rPr>
          <w:rFonts w:eastAsia="Times New Roman"/>
          <w:color w:val="000000"/>
          <w:lang w:val="es-CO" w:eastAsia="es-CO"/>
        </w:rPr>
        <w:br/>
      </w:r>
      <w:r w:rsidRPr="00C2708D">
        <w:rPr>
          <w:rFonts w:eastAsia="Times New Roman"/>
          <w:color w:val="000000"/>
          <w:lang w:val="es-CO" w:eastAsia="es-CO"/>
        </w:rPr>
        <w:br/>
        <w:t>3. Aplicar preexistencias a los afiliados por parte de la Entidad Promotora de Salud.</w:t>
      </w:r>
      <w:r w:rsidRPr="00C2708D">
        <w:rPr>
          <w:rFonts w:eastAsia="Times New Roman"/>
          <w:color w:val="000000"/>
          <w:lang w:val="es-CO" w:eastAsia="es-CO"/>
        </w:rPr>
        <w:br/>
      </w:r>
      <w:r w:rsidRPr="00C2708D">
        <w:rPr>
          <w:rFonts w:eastAsia="Times New Roman"/>
          <w:color w:val="000000"/>
          <w:lang w:val="es-CO" w:eastAsia="es-CO"/>
        </w:rPr>
        <w:br/>
        <w:t>4. Impedir u obstaculizar la atención de urgencias.</w:t>
      </w:r>
      <w:r w:rsidRPr="00C2708D">
        <w:rPr>
          <w:rFonts w:eastAsia="Times New Roman"/>
          <w:color w:val="000000"/>
          <w:lang w:val="es-CO" w:eastAsia="es-CO"/>
        </w:rPr>
        <w:br/>
      </w:r>
      <w:r w:rsidRPr="00C2708D">
        <w:rPr>
          <w:rFonts w:eastAsia="Times New Roman"/>
          <w:color w:val="000000"/>
          <w:lang w:val="es-CO" w:eastAsia="es-CO"/>
        </w:rPr>
        <w:br/>
        <w:t>5. Incumplir las normas de afiliación o dificultar dicho proceso.</w:t>
      </w:r>
      <w:r w:rsidRPr="00C2708D">
        <w:rPr>
          <w:rFonts w:eastAsia="Times New Roman"/>
          <w:color w:val="000000"/>
          <w:lang w:val="es-CO" w:eastAsia="es-CO"/>
        </w:rPr>
        <w:br/>
      </w:r>
      <w:r w:rsidRPr="00C2708D">
        <w:rPr>
          <w:rFonts w:eastAsia="Times New Roman"/>
          <w:color w:val="000000"/>
          <w:lang w:val="es-CO" w:eastAsia="es-CO"/>
        </w:rPr>
        <w:br/>
      </w:r>
      <w:r w:rsidRPr="00C2708D">
        <w:rPr>
          <w:rFonts w:eastAsia="Times New Roman"/>
          <w:color w:val="000000"/>
          <w:lang w:val="es-CO" w:eastAsia="es-CO"/>
        </w:rPr>
        <w:lastRenderedPageBreak/>
        <w:t>6. Incumplir con los beneficios a los cuales tienen derecho todos los afiliados al Sistema General de Seguridad Social en Salud en Colombia, en especial, con la negociación de los medicamentos, procedimientos, tecnologías, terapias y otros que se encuentran incluidos en el Plan Obligatorio de Salud.</w:t>
      </w:r>
      <w:r w:rsidRPr="00C2708D">
        <w:rPr>
          <w:rFonts w:eastAsia="Times New Roman"/>
          <w:color w:val="000000"/>
          <w:lang w:val="es-CO" w:eastAsia="es-CO"/>
        </w:rPr>
        <w:br/>
      </w:r>
      <w:r w:rsidRPr="00C2708D">
        <w:rPr>
          <w:rFonts w:eastAsia="Times New Roman"/>
          <w:color w:val="000000"/>
          <w:lang w:val="es-CO" w:eastAsia="es-CO"/>
        </w:rPr>
        <w:br/>
        <w:t>7. Impedir o atentar contra la selección de organismos e instituciones del Sistema de Seguridad Social Integral, por parte del empleador y, en general, por cualquier persona natural o jurídica.</w:t>
      </w:r>
      <w:r w:rsidRPr="00C2708D">
        <w:rPr>
          <w:rFonts w:eastAsia="Times New Roman"/>
          <w:color w:val="000000"/>
          <w:lang w:val="es-CO" w:eastAsia="es-CO"/>
        </w:rPr>
        <w:br/>
      </w:r>
      <w:r w:rsidRPr="00C2708D">
        <w:rPr>
          <w:rFonts w:eastAsia="Times New Roman"/>
          <w:color w:val="000000"/>
          <w:lang w:val="es-CO" w:eastAsia="es-CO"/>
        </w:rPr>
        <w:br/>
        <w:t>8. La violación de la normatividad vigente sobre la prestación del servicio público de salud y el Sistema General de Seguridad Social en Salud.</w:t>
      </w:r>
      <w:r w:rsidRPr="00C2708D">
        <w:rPr>
          <w:rFonts w:eastAsia="Times New Roman"/>
          <w:color w:val="000000"/>
          <w:lang w:val="es-CO" w:eastAsia="es-CO"/>
        </w:rPr>
        <w:br/>
      </w:r>
      <w:r w:rsidRPr="00C2708D">
        <w:rPr>
          <w:rFonts w:eastAsia="Times New Roman"/>
          <w:color w:val="000000"/>
          <w:lang w:val="es-CO" w:eastAsia="es-CO"/>
        </w:rPr>
        <w:br/>
        <w:t>9. Efectuar por un mismo servicio o prestación un doble cobro o pago al Sistema General de Seguridad Social en Salud.</w:t>
      </w:r>
      <w:r w:rsidRPr="00C2708D">
        <w:rPr>
          <w:rFonts w:eastAsia="Times New Roman"/>
          <w:color w:val="000000"/>
          <w:lang w:val="es-CO" w:eastAsia="es-CO"/>
        </w:rPr>
        <w:br/>
      </w:r>
      <w:r w:rsidRPr="00C2708D">
        <w:rPr>
          <w:rFonts w:eastAsia="Times New Roman"/>
          <w:color w:val="000000"/>
          <w:lang w:val="es-CO" w:eastAsia="es-CO"/>
        </w:rPr>
        <w:br/>
        <w:t>10. Efectuar cobros al Sistema General de Seguridad Social en Salud con datos inexactos o suministrando información falsa.</w:t>
      </w:r>
      <w:r w:rsidRPr="00C2708D">
        <w:rPr>
          <w:rFonts w:eastAsia="Times New Roman"/>
          <w:color w:val="000000"/>
          <w:lang w:val="es-CO" w:eastAsia="es-CO"/>
        </w:rPr>
        <w:br/>
      </w:r>
      <w:r w:rsidRPr="00C2708D">
        <w:rPr>
          <w:rFonts w:eastAsia="Times New Roman"/>
          <w:color w:val="000000"/>
          <w:lang w:val="es-CO" w:eastAsia="es-CO"/>
        </w:rPr>
        <w:br/>
        <w:t>11. No reportar información con calidad, cobertura, oportunidad, pertinencia, fluidez y transparencia para el ejercicio de las funciones de inspección, vigilancia y control de la Superintendencia Nacional de Salud y aquella que solicite el Ministerio de Salud y Protección Social en el marco de sus competencias.</w:t>
      </w:r>
      <w:r w:rsidRPr="00C2708D">
        <w:rPr>
          <w:rFonts w:eastAsia="Times New Roman"/>
          <w:color w:val="000000"/>
          <w:lang w:val="es-CO" w:eastAsia="es-CO"/>
        </w:rPr>
        <w:br/>
      </w:r>
      <w:r w:rsidRPr="00C2708D">
        <w:rPr>
          <w:rFonts w:eastAsia="Times New Roman"/>
          <w:color w:val="000000"/>
          <w:lang w:val="es-CO" w:eastAsia="es-CO"/>
        </w:rPr>
        <w:br/>
        <w:t>12. Obstruir las funciones de inspección, vigilancia y control de la Superintendencia Nacional de Salud por renuencia en el suministro de información, impedir o no autorizar el acceso a sus archivos e instalaciones.</w:t>
      </w:r>
      <w:r w:rsidRPr="00C2708D">
        <w:rPr>
          <w:rFonts w:eastAsia="Times New Roman"/>
          <w:color w:val="000000"/>
          <w:lang w:val="es-CO" w:eastAsia="es-CO"/>
        </w:rPr>
        <w:br/>
      </w:r>
      <w:r w:rsidRPr="00C2708D">
        <w:rPr>
          <w:rFonts w:eastAsia="Times New Roman"/>
          <w:color w:val="000000"/>
          <w:lang w:val="es-CO" w:eastAsia="es-CO"/>
        </w:rPr>
        <w:br/>
        <w:t>13. El no reconocimiento, el reconocimiento inoportuno, el pago inoportuno o el no pago de las prestaciones económicas en el Sistema General de Seguridad Social en Salud.</w:t>
      </w:r>
      <w:r w:rsidRPr="00C2708D">
        <w:rPr>
          <w:rFonts w:eastAsia="Times New Roman"/>
          <w:color w:val="000000"/>
          <w:lang w:val="es-CO" w:eastAsia="es-CO"/>
        </w:rPr>
        <w:br/>
      </w:r>
      <w:r w:rsidRPr="00C2708D">
        <w:rPr>
          <w:rFonts w:eastAsia="Times New Roman"/>
          <w:color w:val="000000"/>
          <w:lang w:val="es-CO" w:eastAsia="es-CO"/>
        </w:rPr>
        <w:br/>
        <w:t>14. Incumplir los compromisos obligatorios de pago y/o depuración de cartera producto de las mesas de saneamiento de cartera, acuerdos conciliatorios y/o cualquier otro acuerdo suscrito entre las Instituciones Prestadoras de Servicios de Salud y las Entidades Promotoras de Salud del Régimen Subsidiado y del Contributivo o entre estas y cualquier otra entidad de los regímenes especiales o de excepción.</w:t>
      </w:r>
      <w:r w:rsidRPr="00C2708D">
        <w:rPr>
          <w:rFonts w:eastAsia="Times New Roman"/>
          <w:color w:val="000000"/>
          <w:lang w:val="es-CO" w:eastAsia="es-CO"/>
        </w:rPr>
        <w:br/>
      </w:r>
      <w:r w:rsidRPr="00C2708D">
        <w:rPr>
          <w:rFonts w:eastAsia="Times New Roman"/>
          <w:color w:val="000000"/>
          <w:lang w:val="es-CO" w:eastAsia="es-CO"/>
        </w:rPr>
        <w:br/>
        <w:t>15. No brindar un diagnóstico oportuno, entendido como el deber que tienen las entidades responsables de prestar servicios de salud en aras de determinar el estado de salud de sus usuarios, de manera que se impida o entorpezca el tratamiento oportuno.</w:t>
      </w:r>
      <w:r w:rsidRPr="00C2708D">
        <w:rPr>
          <w:rFonts w:eastAsia="Times New Roman"/>
          <w:color w:val="000000"/>
          <w:lang w:val="es-CO" w:eastAsia="es-CO"/>
        </w:rPr>
        <w:br/>
      </w:r>
      <w:r w:rsidRPr="00C2708D">
        <w:rPr>
          <w:rFonts w:eastAsia="Times New Roman"/>
          <w:color w:val="000000"/>
          <w:lang w:val="es-CO" w:eastAsia="es-CO"/>
        </w:rPr>
        <w:br/>
        <w:t>16. Aplicar descuentos directos, sobre los pagos a realizar a los prestadores de servicios de salud sin previa conciliación con estos, en los eventos en que las entidades responsables de pago efectúen reintegros de recursos a la Administradora de Recursos del Sistema General de Seguridad Social en Salud (ADRES). En todo caso, se respetarán los acuerdos de voluntades suscritos entre las entidades, en relación con los pagos y sus descuentos.</w:t>
      </w:r>
      <w:r w:rsidRPr="00C2708D">
        <w:rPr>
          <w:rFonts w:eastAsia="Times New Roman"/>
          <w:color w:val="000000"/>
          <w:lang w:val="es-CO" w:eastAsia="es-CO"/>
        </w:rPr>
        <w:br/>
      </w:r>
      <w:r w:rsidRPr="00C2708D">
        <w:rPr>
          <w:rFonts w:eastAsia="Times New Roman"/>
          <w:color w:val="000000"/>
          <w:lang w:val="es-CO" w:eastAsia="es-CO"/>
        </w:rPr>
        <w:br/>
        <w:t>17. Incumplir las instrucciones y órdenes impartidas por la Superintendencia Nacional de Salud.</w:t>
      </w:r>
      <w:r w:rsidRPr="00C2708D">
        <w:rPr>
          <w:rFonts w:eastAsia="Times New Roman"/>
          <w:color w:val="000000"/>
          <w:lang w:val="es-CO" w:eastAsia="es-CO"/>
        </w:rPr>
        <w:br/>
      </w:r>
      <w:r w:rsidRPr="00C2708D">
        <w:rPr>
          <w:rFonts w:eastAsia="Times New Roman"/>
          <w:color w:val="000000"/>
          <w:lang w:val="es-CO" w:eastAsia="es-CO"/>
        </w:rPr>
        <w:br/>
        <w:t>18. Incumplir los planes de mejoramiento suscritos en ejercicio de las funciones de inspección y vigilancia de la Superintendencia Nacional de Salud.</w:t>
      </w:r>
      <w:r w:rsidRPr="00C2708D">
        <w:rPr>
          <w:rFonts w:eastAsia="Times New Roman"/>
          <w:color w:val="000000"/>
          <w:lang w:val="es-CO" w:eastAsia="es-CO"/>
        </w:rPr>
        <w:br/>
      </w:r>
      <w:r w:rsidRPr="00C2708D">
        <w:rPr>
          <w:rFonts w:eastAsia="Times New Roman"/>
          <w:color w:val="000000"/>
          <w:lang w:val="es-CO" w:eastAsia="es-CO"/>
        </w:rPr>
        <w:lastRenderedPageBreak/>
        <w:br/>
        <w:t>19. Incumplir con las normas que regulan el flujo de recursos y el financiamiento del Sistema General de Seguridad Social en Salud.</w:t>
      </w:r>
      <w:r w:rsidRPr="00C2708D">
        <w:rPr>
          <w:rFonts w:eastAsia="Times New Roman"/>
          <w:color w:val="000000"/>
          <w:lang w:val="es-CO" w:eastAsia="es-CO"/>
        </w:rPr>
        <w:br/>
      </w:r>
      <w:r w:rsidRPr="00C2708D">
        <w:rPr>
          <w:rFonts w:eastAsia="Times New Roman"/>
          <w:color w:val="000000"/>
          <w:lang w:val="es-CO" w:eastAsia="es-CO"/>
        </w:rPr>
        <w:br/>
        <w:t>20. Incumplir los términos y condiciones del trámite de glosas a las facturas por servicios de salud, impedir la radicación de las facturas e imponer causales de glosas y devoluciones injustificadas o inexistentes.</w:t>
      </w:r>
      <w:r w:rsidRPr="00C2708D">
        <w:rPr>
          <w:rFonts w:eastAsia="Times New Roman"/>
          <w:color w:val="000000"/>
          <w:lang w:val="es-CO" w:eastAsia="es-CO"/>
        </w:rPr>
        <w:br/>
      </w:r>
      <w:r w:rsidRPr="00C2708D">
        <w:rPr>
          <w:rFonts w:eastAsia="Times New Roman"/>
          <w:color w:val="000000"/>
          <w:lang w:val="es-CO" w:eastAsia="es-CO"/>
        </w:rPr>
        <w:br/>
        <w:t>21. Incurrir en las conductas establecidas en el artículo 133 de la Ley 1438 de 2011.</w:t>
      </w:r>
      <w:r w:rsidRPr="00C2708D">
        <w:rPr>
          <w:rFonts w:eastAsia="Times New Roman"/>
          <w:color w:val="000000"/>
          <w:lang w:val="es-CO" w:eastAsia="es-CO"/>
        </w:rPr>
        <w:br/>
      </w:r>
      <w:r w:rsidRPr="00C2708D">
        <w:rPr>
          <w:rFonts w:eastAsia="Times New Roman"/>
          <w:color w:val="000000"/>
          <w:lang w:val="es-CO" w:eastAsia="es-CO"/>
        </w:rPr>
        <w:br/>
      </w:r>
      <w:r w:rsidRPr="00C2708D">
        <w:rPr>
          <w:rFonts w:eastAsia="Times New Roman"/>
          <w:color w:val="000000"/>
          <w:lang w:val="es-CO" w:eastAsia="es-CO"/>
        </w:rPr>
        <w:br/>
        <w:t>Parágrafo 1°. En los casos en los que, como resultado de las investigaciones adelantadas por la Superintendencia Nacional de Salud, se compruebe que cualquier sujeto vigilado ha cometido una o más infracciones previstas en el presente artículo, por una razón atribuible a cualquier otra entidad sujeta a la vigilancia y control de la Superintendencia Nacional de Salud, este iniciará y/o vinculará a dicho sujeto al proceso administrativo sancionatorio.</w:t>
      </w:r>
      <w:r w:rsidRPr="00C2708D">
        <w:rPr>
          <w:rFonts w:eastAsia="Times New Roman"/>
          <w:color w:val="000000"/>
          <w:lang w:val="es-CO" w:eastAsia="es-CO"/>
        </w:rPr>
        <w:br/>
      </w:r>
      <w:r w:rsidRPr="00C2708D">
        <w:rPr>
          <w:rFonts w:eastAsia="Times New Roman"/>
          <w:color w:val="000000"/>
          <w:lang w:val="es-CO" w:eastAsia="es-CO"/>
        </w:rPr>
        <w:br/>
      </w:r>
      <w:r w:rsidRPr="00C2708D">
        <w:rPr>
          <w:rFonts w:eastAsia="Times New Roman"/>
          <w:color w:val="000000"/>
          <w:lang w:val="es-CO" w:eastAsia="es-CO"/>
        </w:rPr>
        <w:br/>
        <w:t>Parágrafo 2°. En el proceso sancionatorio de la Superintendencia Nacional de Salud se atenderán los criterios eximentes de responsabilidad regulados por la ley respecto de cada una de las conductas señaladas en el presente artículo cuando haya lugar a ello.</w:t>
      </w:r>
      <w:r w:rsidRPr="00C2708D">
        <w:rPr>
          <w:rFonts w:eastAsia="Times New Roman"/>
          <w:color w:val="000000"/>
          <w:lang w:val="es-CO" w:eastAsia="es-CO"/>
        </w:rPr>
        <w:br/>
      </w:r>
      <w:r w:rsidRPr="00C2708D">
        <w:rPr>
          <w:rFonts w:eastAsia="Times New Roman"/>
          <w:color w:val="000000"/>
          <w:lang w:val="es-CO" w:eastAsia="es-CO"/>
        </w:rPr>
        <w:br/>
      </w:r>
      <w:r w:rsidRPr="00C2708D">
        <w:rPr>
          <w:rFonts w:eastAsia="Times New Roman"/>
          <w:color w:val="000000"/>
          <w:lang w:val="es-CO" w:eastAsia="es-CO"/>
        </w:rPr>
        <w:br/>
        <w:t>Parágrafo 3°. La Superintendencia Nacional de Salud no es competente para adelantar investigaciones administrativas respecto de la praxis en los servicios de salud</w:t>
      </w:r>
      <w:r w:rsidR="00BD2ADD">
        <w:rPr>
          <w:rFonts w:eastAsia="Times New Roman"/>
          <w:color w:val="000000"/>
          <w:lang w:val="es-CO" w:eastAsia="es-CO"/>
        </w:rPr>
        <w:t>.</w:t>
      </w:r>
    </w:p>
    <w:p w14:paraId="56832079" w14:textId="77777777" w:rsidR="00C2708D" w:rsidRPr="00C2708D" w:rsidRDefault="00C2708D" w:rsidP="00CE4017">
      <w:pPr>
        <w:widowControl/>
        <w:autoSpaceDE/>
        <w:autoSpaceDN/>
        <w:jc w:val="both"/>
        <w:rPr>
          <w:rFonts w:eastAsia="Times New Roman"/>
          <w:color w:val="000000"/>
          <w:lang w:val="es-CO" w:eastAsia="es-CO"/>
        </w:rPr>
      </w:pPr>
    </w:p>
    <w:p w14:paraId="7F819AE5" w14:textId="77777777" w:rsidR="00C2708D" w:rsidRPr="00C2708D" w:rsidRDefault="00C2708D" w:rsidP="00CE4017">
      <w:pPr>
        <w:widowControl/>
        <w:autoSpaceDE/>
        <w:autoSpaceDN/>
        <w:jc w:val="both"/>
        <w:rPr>
          <w:rFonts w:eastAsia="Times New Roman"/>
          <w:color w:val="000000"/>
          <w:lang w:val="es-CO" w:eastAsia="es-CO"/>
        </w:rPr>
      </w:pPr>
      <w:bookmarkStart w:id="165" w:name="ver_30182189"/>
      <w:bookmarkEnd w:id="164"/>
      <w:bookmarkEnd w:id="165"/>
    </w:p>
    <w:p w14:paraId="2A203456" w14:textId="6AA54DC6" w:rsid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130A. Sujetos de sanciones administrativas. Sin perjuicio de lo establecido en el artículo 121 de la Ley 1438 de 2011, serán sujetos de las sanciones administrativas que imponga la Superintendencia Nacional de Salud entre otros los siguientes: Las personas jurídicas sujetas a la inspección, vigilancia y control de la Superintendencia Nacional de Salud.</w:t>
      </w:r>
      <w:r w:rsidRPr="00C2708D">
        <w:rPr>
          <w:rFonts w:eastAsia="Times New Roman"/>
          <w:color w:val="000000"/>
          <w:lang w:val="es-CO" w:eastAsia="es-CO"/>
        </w:rPr>
        <w:br/>
      </w:r>
      <w:r w:rsidRPr="00C2708D">
        <w:rPr>
          <w:rFonts w:eastAsia="Times New Roman"/>
          <w:color w:val="000000"/>
          <w:lang w:val="es-CO" w:eastAsia="es-CO"/>
        </w:rPr>
        <w:br/>
      </w:r>
      <w:r w:rsidRPr="00C2708D">
        <w:rPr>
          <w:rFonts w:eastAsia="Times New Roman"/>
          <w:color w:val="000000"/>
          <w:lang w:val="es-CO" w:eastAsia="es-CO"/>
        </w:rPr>
        <w:br/>
        <w:t>Los representantes legales de las entidades públicas y privadas, directores o secretarios de salud o quienes hagan sus veces, jefes de presupuesto, los revisores fiscales, tesoreros y demás funcionarios responsables de la administración y manejo de los recursos del sector salud en las entidades territoriales, funcionarios y empleados del sector público y particulares que cumplan funciones públicas de forma permanente o transitoria. </w:t>
      </w:r>
      <w:bookmarkStart w:id="166" w:name="ver_30182195"/>
      <w:bookmarkEnd w:id="166"/>
    </w:p>
    <w:p w14:paraId="30848582" w14:textId="77777777" w:rsidR="00BD2ADD" w:rsidRPr="00C2708D" w:rsidRDefault="00BD2ADD" w:rsidP="00CE4017">
      <w:pPr>
        <w:widowControl/>
        <w:autoSpaceDE/>
        <w:autoSpaceDN/>
        <w:jc w:val="both"/>
        <w:rPr>
          <w:rFonts w:eastAsia="Times New Roman"/>
          <w:color w:val="000000"/>
          <w:lang w:val="es-CO" w:eastAsia="es-CO"/>
        </w:rPr>
      </w:pPr>
    </w:p>
    <w:p w14:paraId="6702A3E4" w14:textId="39DD01FE" w:rsidR="00C2708D" w:rsidRPr="00C2708D" w:rsidRDefault="00C2708D" w:rsidP="00CE4017">
      <w:pPr>
        <w:widowControl/>
        <w:autoSpaceDE/>
        <w:autoSpaceDN/>
        <w:jc w:val="both"/>
        <w:rPr>
          <w:rFonts w:eastAsia="Times New Roman"/>
          <w:color w:val="000000"/>
          <w:lang w:val="es-CO" w:eastAsia="es-CO"/>
        </w:rPr>
      </w:pPr>
      <w:r w:rsidRPr="1FAF4D54">
        <w:rPr>
          <w:rFonts w:eastAsia="Times New Roman"/>
          <w:color w:val="000000" w:themeColor="text1"/>
          <w:lang w:val="es-CO" w:eastAsia="es-CO"/>
        </w:rPr>
        <w:t>Artículo 130B. Caducidad de la facultad sancionatoria de la Superintendencia Nacional de Salud. La facultad que tiene la Superintendencia Nacional de Salud para imponer sanciones, caduca a los cinco (5) años de haber sucedido el hecho, la conducta u omisión que pudiere ocasionarlas, término dentro del cual el acto administrativo sancionatorio debe haber sido expedido y notificado. Tratándose de un hecho u omisión continuada, el término empezará a correr desde el día siguiente a aquel en que cesó la infracción. En todo caso, mientras la conducta o infracción que vulnera el Sistema General de Seguridad Social en Salud y el Derecho a la Salud persistan ininterrumpidamente, la sanción podrá imponerse en cualquier tiempo.</w:t>
      </w:r>
      <w:r>
        <w:br/>
      </w:r>
      <w:r>
        <w:br/>
      </w:r>
      <w:r w:rsidRPr="1FAF4D54">
        <w:rPr>
          <w:rFonts w:eastAsia="Times New Roman"/>
          <w:color w:val="000000" w:themeColor="text1"/>
          <w:lang w:val="es-CO" w:eastAsia="es-CO"/>
        </w:rPr>
        <w:t xml:space="preserve">En contra de las decisiones administrativas definitivas en materia sancionatoria emitidas </w:t>
      </w:r>
      <w:r w:rsidRPr="1FAF4D54">
        <w:rPr>
          <w:rFonts w:eastAsia="Times New Roman"/>
          <w:color w:val="000000" w:themeColor="text1"/>
          <w:lang w:val="es-CO" w:eastAsia="es-CO"/>
        </w:rPr>
        <w:lastRenderedPageBreak/>
        <w:t>por la Superintendencia Nacional de Salud procederán los recursos establecidos en la forma y términos previstos en el procedimiento administrativo general y común. Para resolverlos, la Superintendencia contará con un término de dos (2) años, contados a partir del día siguiente al de su debida y oportuna interposición. Transcurrido este plazo sin que se hubieran emitido las decisiones correspondientes se configurará el silencio administrativo positivo.</w:t>
      </w:r>
      <w:r>
        <w:br/>
      </w:r>
      <w:r>
        <w:br/>
      </w:r>
      <w:r>
        <w:br/>
      </w:r>
      <w:r w:rsidRPr="1FAF4D54">
        <w:rPr>
          <w:rFonts w:eastAsia="Times New Roman"/>
          <w:color w:val="000000" w:themeColor="text1"/>
          <w:lang w:val="es-CO" w:eastAsia="es-CO"/>
        </w:rPr>
        <w:t>Parágrafo 1°. El término de excepción propuesto en este artículo para resolver los recursos de vía gubernativa se aplicará por el término de tres años (3) a partir de la entrada en vigencia de la presente ley. Vencido este tiempo se aplicará el término de un (1) año para resolver recursos conforme a lo estipulado en el artículo 52 de la Ley 1437 de 2011.</w:t>
      </w:r>
      <w:r>
        <w:br/>
      </w:r>
      <w:r w:rsidRPr="1FAF4D54">
        <w:rPr>
          <w:rFonts w:eastAsia="Times New Roman"/>
          <w:color w:val="000000" w:themeColor="text1"/>
          <w:lang w:val="es-CO" w:eastAsia="es-CO"/>
        </w:rPr>
        <w:t> </w:t>
      </w:r>
      <w:bookmarkStart w:id="167" w:name="ver_30182196"/>
      <w:bookmarkEnd w:id="167"/>
    </w:p>
    <w:p w14:paraId="6B564F99" w14:textId="3E4AE513"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130C. Competencia preferente. En cualquiera de las etapas del ejercicio de las funciones de inspección, vigilancia y control, la Superintendencia Nacional de Salud podrá asumir la competencia preferente respecto de los asuntos de su competencia que estén a cargo de otros órganos de inspección, vigilancia y control del Sistema General de Seguridad Social en Salud, en cuyo desarrollo se podrá iniciar, proseguir o remitir cualquier actuación, investigación o juzgamiento garantizando el derecho al debido proceso.</w:t>
      </w:r>
      <w:r w:rsidRPr="00C2708D">
        <w:rPr>
          <w:rFonts w:eastAsia="Times New Roman"/>
          <w:color w:val="000000"/>
          <w:lang w:val="es-CO" w:eastAsia="es-CO"/>
        </w:rPr>
        <w:br/>
      </w:r>
      <w:r w:rsidRPr="00C2708D">
        <w:rPr>
          <w:rFonts w:eastAsia="Times New Roman"/>
          <w:color w:val="000000"/>
          <w:lang w:val="es-CO" w:eastAsia="es-CO"/>
        </w:rPr>
        <w:br/>
        <w:t>Parágrafo. Acogida la competencia preferente frente a las Instituciones Prestadoras de Salud sobre el cumplimiento de cualquiera de las condiciones o requisitos previstos para el otorgamiento de la habilitación y permanencia dentro del Sistema General de Seguridad Social en Salud, la Superintendencia Nacional de Salud bajo su propio procedimiento aplicará las medidas sanitarias y preventivas de seguridad previstas en la Ley 9 de 1979, y las sanciones administrativas determinadas en la presente ley.</w:t>
      </w:r>
      <w:r w:rsidRPr="00C2708D">
        <w:rPr>
          <w:rFonts w:eastAsia="Times New Roman"/>
          <w:color w:val="000000"/>
          <w:lang w:val="es-CO" w:eastAsia="es-CO"/>
        </w:rPr>
        <w:br/>
        <w:t> </w:t>
      </w:r>
    </w:p>
    <w:p w14:paraId="69387E64" w14:textId="77777777" w:rsidR="00C2708D" w:rsidRPr="00C2708D" w:rsidRDefault="00C2708D" w:rsidP="00CE4017">
      <w:pPr>
        <w:widowControl/>
        <w:autoSpaceDE/>
        <w:autoSpaceDN/>
        <w:jc w:val="both"/>
        <w:rPr>
          <w:rFonts w:eastAsia="Times New Roman"/>
          <w:color w:val="000000"/>
          <w:lang w:val="es-CO" w:eastAsia="es-CO"/>
        </w:rPr>
      </w:pPr>
      <w:bookmarkStart w:id="168" w:name="ver_30182187"/>
      <w:bookmarkStart w:id="169" w:name="ver_1680565"/>
      <w:bookmarkEnd w:id="168"/>
    </w:p>
    <w:p w14:paraId="3755AC0E" w14:textId="34C5D6E1"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131. Tipos de sanciones administrativas. En ejercicio de la función de control sancionatorio y en desarrollo del procedimiento que para el efecto se haya previsto, la Superintendencia Nacional de Salud podrá imponer las siguientes sanciones:</w:t>
      </w:r>
      <w:r w:rsidRPr="00C2708D">
        <w:rPr>
          <w:rFonts w:eastAsia="Times New Roman"/>
          <w:color w:val="000000"/>
          <w:lang w:val="es-CO" w:eastAsia="es-CO"/>
        </w:rPr>
        <w:br/>
      </w:r>
      <w:r w:rsidRPr="00C2708D">
        <w:rPr>
          <w:rFonts w:eastAsia="Times New Roman"/>
          <w:color w:val="000000"/>
          <w:lang w:val="es-CO" w:eastAsia="es-CO"/>
        </w:rPr>
        <w:br/>
        <w:t>1. Amonestación escrita.</w:t>
      </w:r>
      <w:r w:rsidRPr="00C2708D">
        <w:rPr>
          <w:rFonts w:eastAsia="Times New Roman"/>
          <w:color w:val="000000"/>
          <w:lang w:val="es-CO" w:eastAsia="es-CO"/>
        </w:rPr>
        <w:br/>
      </w:r>
      <w:r w:rsidRPr="00C2708D">
        <w:rPr>
          <w:rFonts w:eastAsia="Times New Roman"/>
          <w:color w:val="000000"/>
          <w:lang w:val="es-CO" w:eastAsia="es-CO"/>
        </w:rPr>
        <w:br/>
        <w:t>2. Multas entre doscientos (200) y hasta ocho mil (8.000) salarios mínimos legales mensuales vigentes para personas jurídicas, y entre (50) y hasta (2.000) salarios mínimos legales mensuales vigentes para las personas naturales.</w:t>
      </w:r>
      <w:r w:rsidRPr="00C2708D">
        <w:rPr>
          <w:rFonts w:eastAsia="Times New Roman"/>
          <w:color w:val="000000"/>
          <w:lang w:val="es-CO" w:eastAsia="es-CO"/>
        </w:rPr>
        <w:br/>
      </w:r>
      <w:r w:rsidRPr="00C2708D">
        <w:rPr>
          <w:rFonts w:eastAsia="Times New Roman"/>
          <w:color w:val="000000"/>
          <w:lang w:val="es-CO" w:eastAsia="es-CO"/>
        </w:rPr>
        <w:br/>
        <w:t>3. Multas sucesivas, para las personas jurídicas de hasta tres mil (3.000) salarios mínimos mensuales legales vigentes, y para el caso de las personas naturales de hasta trescientos (300) salarios mínimos mensuales legales vigentes, cuando en un acto administrativo de la Superintendencia Nacional de Salud se imponga una obligación no dineraria y no se cumpla en el término concedido.</w:t>
      </w:r>
      <w:r w:rsidRPr="00C2708D">
        <w:rPr>
          <w:rFonts w:eastAsia="Times New Roman"/>
          <w:color w:val="000000"/>
          <w:lang w:val="es-CO" w:eastAsia="es-CO"/>
        </w:rPr>
        <w:br/>
      </w:r>
      <w:r w:rsidRPr="00C2708D">
        <w:rPr>
          <w:rFonts w:eastAsia="Times New Roman"/>
          <w:color w:val="000000"/>
          <w:lang w:val="es-CO" w:eastAsia="es-CO"/>
        </w:rPr>
        <w:br/>
        <w:t>4. Revocatoria total o parcial de la autorización de funcionamiento, suspensión del certificado de autorización y/o el cierre temporal o definitivo de uno o varios servicios, en los eventos en que resulte procedente.</w:t>
      </w:r>
      <w:r w:rsidRPr="00C2708D">
        <w:rPr>
          <w:rFonts w:eastAsia="Times New Roman"/>
          <w:color w:val="000000"/>
          <w:lang w:val="es-CO" w:eastAsia="es-CO"/>
        </w:rPr>
        <w:br/>
      </w:r>
      <w:r w:rsidRPr="00C2708D">
        <w:rPr>
          <w:rFonts w:eastAsia="Times New Roman"/>
          <w:color w:val="000000"/>
          <w:lang w:val="es-CO" w:eastAsia="es-CO"/>
        </w:rPr>
        <w:br/>
        <w:t>5. Remoción de representantes legales y/o revisores fiscales en los eventos en que se compruebe que autorizó, ejecutó o toleró con dolo o culpa grave conductas violatorias de las normas del Sistema de Seguridad Social en Salud.</w:t>
      </w:r>
      <w:r w:rsidRPr="00C2708D">
        <w:rPr>
          <w:rFonts w:eastAsia="Times New Roman"/>
          <w:color w:val="000000"/>
          <w:lang w:val="es-CO" w:eastAsia="es-CO"/>
        </w:rPr>
        <w:br/>
      </w:r>
      <w:r w:rsidRPr="00C2708D">
        <w:rPr>
          <w:rFonts w:eastAsia="Times New Roman"/>
          <w:color w:val="000000"/>
          <w:lang w:val="es-CO" w:eastAsia="es-CO"/>
        </w:rPr>
        <w:lastRenderedPageBreak/>
        <w:br/>
        <w:t>Parágrafo 1°. El monto de las multas se liquidará teniendo en cuenta el valor del salario mínimo legal mensual vigente a la fecha de expedición de la resolución sancionatoria, y el pago de aquellas que se impongan a título personal debe hacerse con recursos diferentes a los de la entidad. En el caso de que las sanciones se impongan a personas jurídicas, deberán ser asumidas con su patrimonio y en ningún caso para su pago se podrá acudir a los recursos del Sistema General de Seguridad Social en Salud. Las multas se aplicarán sin perjuicio de la facultad de revocatoria de la autorización de funcionamiento y la remoción de los representantes legales y/o revisores fiscales cuando a ello hubiere lugar.</w:t>
      </w:r>
      <w:r w:rsidRPr="00C2708D">
        <w:rPr>
          <w:rFonts w:eastAsia="Times New Roman"/>
          <w:color w:val="000000"/>
          <w:lang w:val="es-CO" w:eastAsia="es-CO"/>
        </w:rPr>
        <w:br/>
      </w:r>
      <w:r w:rsidRPr="00C2708D">
        <w:rPr>
          <w:rFonts w:eastAsia="Times New Roman"/>
          <w:color w:val="000000"/>
          <w:lang w:val="es-CO" w:eastAsia="es-CO"/>
        </w:rPr>
        <w:br/>
        <w:t>Cuando en el proceso administrativo sancionatorio se encuentren posibles infracciones relacionadas con el mal manejo de los recursos a cargo de personas naturales que sean sujetos vigilados de la Superintendencia Nacional de Salud, se iniciará proceso administrativo sancionatorio en su contra.</w:t>
      </w:r>
      <w:r w:rsidRPr="00C2708D">
        <w:rPr>
          <w:rFonts w:eastAsia="Times New Roman"/>
          <w:color w:val="000000"/>
          <w:lang w:val="es-CO" w:eastAsia="es-CO"/>
        </w:rPr>
        <w:br/>
      </w:r>
      <w:r w:rsidRPr="00C2708D">
        <w:rPr>
          <w:rFonts w:eastAsia="Times New Roman"/>
          <w:color w:val="000000"/>
          <w:lang w:val="es-CO" w:eastAsia="es-CO"/>
        </w:rPr>
        <w:br/>
        <w:t>Parágrafo 2°. Los actos administrativos expedidos en el marco del procedimiento administrativo sancionatorio de la Superintendencia Nacional de Salud podrán contener órdenes o instrucciones dirigidas al propio infractor y/o a otros sujetos de inspección, vigilancia y control que tengan relación directa o indirecta con la garantía del servicio público esencial de salud en el caso, con el propósito de superar la situación crítica o irregular de que dio lugar a la investigación administrativa y evitar que la conducta sancionada se repita. El incumplimiento de dichas órdenes o instrucciones dará lugar a la imposición de las multas sucesivas a las que se refiere el artículo tercero numeral 3° de la presente ley.</w:t>
      </w:r>
      <w:r w:rsidRPr="00C2708D">
        <w:rPr>
          <w:rFonts w:eastAsia="Times New Roman"/>
          <w:color w:val="000000"/>
          <w:lang w:val="es-CO" w:eastAsia="es-CO"/>
        </w:rPr>
        <w:br/>
      </w:r>
      <w:r w:rsidRPr="00C2708D">
        <w:rPr>
          <w:rFonts w:eastAsia="Times New Roman"/>
          <w:color w:val="000000"/>
          <w:lang w:val="es-CO" w:eastAsia="es-CO"/>
        </w:rPr>
        <w:br/>
        <w:t>Parágrafo 3°. Quienes hayan sido sancionados administrativamente de conformidad con lo dispuesto en el numeral 5° de este artículo, quedarán inhabilitados hasta por un término de quince (15) años para el ejercicio de cargos que contemplen la administración de los recursos públicos del Sistema General de Seguridad Social en Salud. Esta inhabilidad se aplicará siempre de forma gradual y proporcional a la gravedad de la conducta.</w:t>
      </w:r>
      <w:r w:rsidRPr="00C2708D">
        <w:rPr>
          <w:rFonts w:eastAsia="Times New Roman"/>
          <w:color w:val="000000"/>
          <w:lang w:val="es-CO" w:eastAsia="es-CO"/>
        </w:rPr>
        <w:br/>
      </w:r>
      <w:r w:rsidRPr="00C2708D">
        <w:rPr>
          <w:rFonts w:eastAsia="Times New Roman"/>
          <w:color w:val="000000"/>
          <w:lang w:val="es-CO" w:eastAsia="es-CO"/>
        </w:rPr>
        <w:br/>
        <w:t>La Superintendencia Nacional de Salud adoptará los criterios técnicos y jurídicos necesarios para la adecuada dosificación de la inhabilidad.</w:t>
      </w:r>
      <w:r w:rsidRPr="00C2708D">
        <w:rPr>
          <w:rFonts w:eastAsia="Times New Roman"/>
          <w:color w:val="000000"/>
          <w:lang w:val="es-CO" w:eastAsia="es-CO"/>
        </w:rPr>
        <w:br/>
      </w:r>
      <w:r w:rsidRPr="00C2708D">
        <w:rPr>
          <w:rFonts w:eastAsia="Times New Roman"/>
          <w:color w:val="000000"/>
          <w:lang w:val="es-CO" w:eastAsia="es-CO"/>
        </w:rPr>
        <w:br/>
        <w:t>Parágrafo 4°. Cuando proceda la sanción determinada en el numeral 5 del presente artículo, el reemplazo o designación del nuevo representante legal y/o revisor fiscal removido, estará a cargo de la misma entidad a quien le competa realizar el nombramiento, conforme a la normatividad que regule la materia.</w:t>
      </w:r>
      <w:r w:rsidRPr="00C2708D">
        <w:rPr>
          <w:rFonts w:eastAsia="Times New Roman"/>
          <w:color w:val="000000"/>
          <w:lang w:val="es-CO" w:eastAsia="es-CO"/>
        </w:rPr>
        <w:br/>
      </w:r>
      <w:r w:rsidRPr="00C2708D">
        <w:rPr>
          <w:rFonts w:eastAsia="Times New Roman"/>
          <w:color w:val="000000"/>
          <w:lang w:val="es-CO" w:eastAsia="es-CO"/>
        </w:rPr>
        <w:br/>
        <w:t>Parágrafo 5°. Las sanciones administrativas impuestas no eximen de la responsabilidad civil, fiscal, penal o disciplinaria a que haya lugar.</w:t>
      </w:r>
      <w:r w:rsidRPr="00C2708D">
        <w:rPr>
          <w:rFonts w:eastAsia="Times New Roman"/>
          <w:color w:val="000000"/>
          <w:lang w:val="es-CO" w:eastAsia="es-CO"/>
        </w:rPr>
        <w:br/>
      </w:r>
      <w:r w:rsidRPr="00C2708D">
        <w:rPr>
          <w:rFonts w:eastAsia="Times New Roman"/>
          <w:color w:val="000000"/>
          <w:lang w:val="es-CO" w:eastAsia="es-CO"/>
        </w:rPr>
        <w:br/>
        <w:t>Parágrafo 6°. Para efectos de la imposición de las sanciones acá previstas, la Superintendencia Nacional de Salud aplicará el proceso administrativo sancionatorio establecido en el artículo 128 de la Ley 1438 de 2011, a excepción de las sanciones derivadas de la conducta descrita en el numeral 10 del artículo 3° de esta ley, la cual solo será excusada por evento de fuerza mayor, que deberá ser acreditada por el infractor dentro de los 5 días hábiles siguientes a su ocurrencia. La Superintendencia Nacional de Salud diseñará un procedimiento y una metodología sancionatoria para la imposición de sanciones por el incumplimiento en el reporte de información. </w:t>
      </w:r>
    </w:p>
    <w:p w14:paraId="6CB653E0" w14:textId="77777777" w:rsidR="00C2708D" w:rsidRPr="00C2708D" w:rsidRDefault="00C2708D" w:rsidP="00CE4017">
      <w:pPr>
        <w:widowControl/>
        <w:autoSpaceDE/>
        <w:autoSpaceDN/>
        <w:jc w:val="both"/>
        <w:rPr>
          <w:rFonts w:eastAsia="Times New Roman"/>
          <w:color w:val="000000"/>
          <w:lang w:val="es-CO" w:eastAsia="es-CO"/>
        </w:rPr>
      </w:pPr>
      <w:bookmarkStart w:id="170" w:name="ver_1680566"/>
      <w:bookmarkEnd w:id="169"/>
      <w:bookmarkEnd w:id="170"/>
    </w:p>
    <w:p w14:paraId="29BC9A7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Artículo 132. </w:t>
      </w:r>
      <w:r w:rsidRPr="00C2708D">
        <w:rPr>
          <w:rFonts w:eastAsia="Times New Roman"/>
          <w:i/>
          <w:iCs/>
          <w:color w:val="000000"/>
          <w:lang w:val="es-CO" w:eastAsia="es-CO"/>
        </w:rPr>
        <w:t>Multas por infracciones al régimen aplicable al control de precios de medicamentos y dispositivos médicos.</w:t>
      </w:r>
      <w:r w:rsidRPr="00C2708D">
        <w:rPr>
          <w:rFonts w:eastAsia="Times New Roman"/>
          <w:color w:val="000000"/>
          <w:lang w:val="es-CO" w:eastAsia="es-CO"/>
        </w:rPr>
        <w:t> La Superintendencia de Industria y Comercio impondrá multas hasta de cinco mil salarios mínimos legales mensuales vigentes (5.000 SMLMV) a cualquiera de las entidades, agentes y actores de las cadenas de producción, distribución, comercialización y otras formas de intermediación de medicamentos, dispositivos médicos o bienes del sector salud, sean personas naturales o jurídicas, cuando infrinjan el régimen aplicable al control de precios de medicamentos o dispositivos médicos. Igual sanción se podrá imponer por la omisión, renuencia o inexactitud en el suministro de la información que deba ser reportada periódicamente. </w:t>
      </w:r>
    </w:p>
    <w:p w14:paraId="437E4B8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F2354E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Cuando se infrinja el régimen de control de precios de medicamentos y dispositivos médicos acudiendo a maniobras tendientes a ocultar a través de descuentos o promociones o en cualquier otra forma el precio real de venta, se incrementará la multa de una tercera parte a la mitad. </w:t>
      </w:r>
    </w:p>
    <w:p w14:paraId="78E4A964" w14:textId="24D1410B"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71" w:name="ver_1680567"/>
      <w:bookmarkEnd w:id="171"/>
    </w:p>
    <w:p w14:paraId="77434CF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133.</w:t>
      </w:r>
      <w:r w:rsidRPr="00C2708D">
        <w:rPr>
          <w:rFonts w:eastAsia="Times New Roman"/>
          <w:i/>
          <w:iCs/>
          <w:color w:val="000000"/>
          <w:lang w:val="es-CO" w:eastAsia="es-CO"/>
        </w:rPr>
        <w:t xml:space="preserve">Multas por no pago de las acreencias por parte del </w:t>
      </w:r>
      <w:proofErr w:type="spellStart"/>
      <w:r w:rsidRPr="00C2708D">
        <w:rPr>
          <w:rFonts w:eastAsia="Times New Roman"/>
          <w:i/>
          <w:iCs/>
          <w:color w:val="000000"/>
          <w:lang w:val="es-CO" w:eastAsia="es-CO"/>
        </w:rPr>
        <w:t>Fosyga</w:t>
      </w:r>
      <w:proofErr w:type="spellEnd"/>
      <w:r w:rsidRPr="00C2708D">
        <w:rPr>
          <w:rFonts w:eastAsia="Times New Roman"/>
          <w:i/>
          <w:iCs/>
          <w:color w:val="000000"/>
          <w:lang w:val="es-CO" w:eastAsia="es-CO"/>
        </w:rPr>
        <w:t xml:space="preserve"> o la Entidad Promotora de Salud.</w:t>
      </w:r>
      <w:r w:rsidRPr="00C2708D">
        <w:rPr>
          <w:rFonts w:eastAsia="Times New Roman"/>
          <w:color w:val="000000"/>
          <w:lang w:val="es-CO" w:eastAsia="es-CO"/>
        </w:rPr>
        <w:t xml:space="preserve"> La Superintendencia Nacional de Salud impondrá multas entre cien (100) y dos mil quinientos (2.500) salarios mínimos mensuales vigentes cuando el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injustificadamente, no gire oportunamente de acuerdo con los tiempos definidos en la ley, las obligaciones causadas por prestaciones o medicamentos o cuando la Entidad Promotora de Salud no gire oportunamente a una Institución Prestadora de Salud las obligaciones causadas por actividades o medicamentos. En caso de que el comportamiento de las Entidades Promotoras de Salud sea reiterativo será causal de pérdida de su acreditación. </w:t>
      </w:r>
    </w:p>
    <w:p w14:paraId="6BEDD39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DDB129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El pago de las multas que se impongan a título personal debe hacerse con recursos de su propio patrimonio y, en consecuencia, no se puede imputar al presupuesto de la entidad de la cual dependen, lo que procederá siempre que se pruebe que hubo negligencia por falta del funcionario. </w:t>
      </w:r>
    </w:p>
    <w:p w14:paraId="2903BD97" w14:textId="0AB90B88"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72" w:name="ver_30182197"/>
      <w:bookmarkStart w:id="173" w:name="ver_1680568"/>
      <w:bookmarkEnd w:id="172"/>
    </w:p>
    <w:p w14:paraId="326BCEAF" w14:textId="33A343AB"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134. Criterios agravantes y atenuantes de la responsabilidad administrativa. Son circunstancias agravantes de la responsabilidad de los sujetos de sanciones administrativas las siguientes:</w:t>
      </w:r>
      <w:r w:rsidRPr="00C2708D">
        <w:rPr>
          <w:rFonts w:eastAsia="Times New Roman"/>
          <w:color w:val="000000"/>
          <w:lang w:val="es-CO" w:eastAsia="es-CO"/>
        </w:rPr>
        <w:br/>
      </w:r>
      <w:r w:rsidRPr="00C2708D">
        <w:rPr>
          <w:rFonts w:eastAsia="Times New Roman"/>
          <w:color w:val="000000"/>
          <w:lang w:val="es-CO" w:eastAsia="es-CO"/>
        </w:rPr>
        <w:br/>
        <w:t>1. El grado de culpabilidad.</w:t>
      </w:r>
      <w:r w:rsidRPr="00C2708D">
        <w:rPr>
          <w:rFonts w:eastAsia="Times New Roman"/>
          <w:color w:val="000000"/>
          <w:lang w:val="es-CO" w:eastAsia="es-CO"/>
        </w:rPr>
        <w:br/>
      </w:r>
      <w:r w:rsidRPr="00C2708D">
        <w:rPr>
          <w:rFonts w:eastAsia="Times New Roman"/>
          <w:color w:val="000000"/>
          <w:lang w:val="es-CO" w:eastAsia="es-CO"/>
        </w:rPr>
        <w:br/>
        <w:t>2. La trascendencia social de la falta, el perjuicio causado o el impacto que la conducta tenga sobre el Sistema General de Seguridad Social en Salud en función de la tecnología en salud requerida.</w:t>
      </w:r>
      <w:r w:rsidRPr="00C2708D">
        <w:rPr>
          <w:rFonts w:eastAsia="Times New Roman"/>
          <w:color w:val="000000"/>
          <w:lang w:val="es-CO" w:eastAsia="es-CO"/>
        </w:rPr>
        <w:br/>
      </w:r>
      <w:r w:rsidRPr="00C2708D">
        <w:rPr>
          <w:rFonts w:eastAsia="Times New Roman"/>
          <w:color w:val="000000"/>
          <w:lang w:val="es-CO" w:eastAsia="es-CO"/>
        </w:rPr>
        <w:br/>
        <w:t>3. La infracción recaiga sobre personas en debilidad manifiesta o en sujetos de especial protección.</w:t>
      </w:r>
      <w:r w:rsidRPr="00C2708D">
        <w:rPr>
          <w:rFonts w:eastAsia="Times New Roman"/>
          <w:color w:val="000000"/>
          <w:lang w:val="es-CO" w:eastAsia="es-CO"/>
        </w:rPr>
        <w:br/>
      </w:r>
      <w:r w:rsidRPr="00C2708D">
        <w:rPr>
          <w:rFonts w:eastAsia="Times New Roman"/>
          <w:color w:val="000000"/>
          <w:lang w:val="es-CO" w:eastAsia="es-CO"/>
        </w:rPr>
        <w:br/>
        <w:t>4. Poner en riesgo la vida o la integridad física de la persona, en especial de pacientes con enfermedades crónicas o catastróficas.</w:t>
      </w:r>
      <w:r w:rsidRPr="00C2708D">
        <w:rPr>
          <w:rFonts w:eastAsia="Times New Roman"/>
          <w:color w:val="000000"/>
          <w:lang w:val="es-CO" w:eastAsia="es-CO"/>
        </w:rPr>
        <w:br/>
      </w:r>
      <w:r w:rsidRPr="00C2708D">
        <w:rPr>
          <w:rFonts w:eastAsia="Times New Roman"/>
          <w:color w:val="000000"/>
          <w:lang w:val="es-CO" w:eastAsia="es-CO"/>
        </w:rPr>
        <w:br/>
        <w:t>5. Obtener beneficio con la infracción para sí o un tercero.</w:t>
      </w:r>
      <w:r w:rsidRPr="00C2708D">
        <w:rPr>
          <w:rFonts w:eastAsia="Times New Roman"/>
          <w:color w:val="000000"/>
          <w:lang w:val="es-CO" w:eastAsia="es-CO"/>
        </w:rPr>
        <w:br/>
      </w:r>
      <w:r w:rsidRPr="00C2708D">
        <w:rPr>
          <w:rFonts w:eastAsia="Times New Roman"/>
          <w:color w:val="000000"/>
          <w:lang w:val="es-CO" w:eastAsia="es-CO"/>
        </w:rPr>
        <w:br/>
        <w:t>6. La reincidencia en la conducta infractora.</w:t>
      </w:r>
      <w:r w:rsidRPr="00C2708D">
        <w:rPr>
          <w:rFonts w:eastAsia="Times New Roman"/>
          <w:color w:val="000000"/>
          <w:lang w:val="es-CO" w:eastAsia="es-CO"/>
        </w:rPr>
        <w:br/>
      </w:r>
      <w:r w:rsidRPr="00C2708D">
        <w:rPr>
          <w:rFonts w:eastAsia="Times New Roman"/>
          <w:color w:val="000000"/>
          <w:lang w:val="es-CO" w:eastAsia="es-CO"/>
        </w:rPr>
        <w:br/>
        <w:t>7. Obstruir o dilatar las investigaciones administrativas.</w:t>
      </w:r>
      <w:r w:rsidRPr="00C2708D">
        <w:rPr>
          <w:rFonts w:eastAsia="Times New Roman"/>
          <w:color w:val="000000"/>
          <w:lang w:val="es-CO" w:eastAsia="es-CO"/>
        </w:rPr>
        <w:br/>
      </w:r>
      <w:r w:rsidRPr="00C2708D">
        <w:rPr>
          <w:rFonts w:eastAsia="Times New Roman"/>
          <w:color w:val="000000"/>
          <w:lang w:val="es-CO" w:eastAsia="es-CO"/>
        </w:rPr>
        <w:lastRenderedPageBreak/>
        <w:br/>
        <w:t>8. La existencia de antecedentes en relación con infracciones al régimen de Seguridad Social en Salud, al régimen de control de precios de medicamentos o dispositivos médicos.</w:t>
      </w:r>
      <w:r w:rsidRPr="00C2708D">
        <w:rPr>
          <w:rFonts w:eastAsia="Times New Roman"/>
          <w:color w:val="000000"/>
          <w:lang w:val="es-CO" w:eastAsia="es-CO"/>
        </w:rPr>
        <w:br/>
      </w:r>
      <w:r w:rsidRPr="00C2708D">
        <w:rPr>
          <w:rFonts w:eastAsia="Times New Roman"/>
          <w:color w:val="000000"/>
          <w:lang w:val="es-CO" w:eastAsia="es-CO"/>
        </w:rPr>
        <w:br/>
        <w:t>9. Haber sido sancionado o amonestado con anterioridad por infracciones que atentan contra el Sistema General de Seguridad Social en Salud.</w:t>
      </w:r>
      <w:r w:rsidRPr="00C2708D">
        <w:rPr>
          <w:rFonts w:eastAsia="Times New Roman"/>
          <w:color w:val="000000"/>
          <w:lang w:val="es-CO" w:eastAsia="es-CO"/>
        </w:rPr>
        <w:br/>
      </w:r>
      <w:r w:rsidRPr="00C2708D">
        <w:rPr>
          <w:rFonts w:eastAsia="Times New Roman"/>
          <w:color w:val="000000"/>
          <w:lang w:val="es-CO" w:eastAsia="es-CO"/>
        </w:rPr>
        <w:br/>
        <w:t>Son circunstancias que atenúan la responsabilidad de los sujetos de sanciones administrativas las siguientes:</w:t>
      </w:r>
      <w:r w:rsidRPr="00C2708D">
        <w:rPr>
          <w:rFonts w:eastAsia="Times New Roman"/>
          <w:color w:val="000000"/>
          <w:lang w:val="es-CO" w:eastAsia="es-CO"/>
        </w:rPr>
        <w:br/>
      </w:r>
      <w:r w:rsidRPr="00C2708D">
        <w:rPr>
          <w:rFonts w:eastAsia="Times New Roman"/>
          <w:color w:val="000000"/>
          <w:lang w:val="es-CO" w:eastAsia="es-CO"/>
        </w:rPr>
        <w:br/>
        <w:t>1 El grado de colaboración del infractor con la investigación.</w:t>
      </w:r>
      <w:r w:rsidRPr="00C2708D">
        <w:rPr>
          <w:rFonts w:eastAsia="Times New Roman"/>
          <w:color w:val="000000"/>
          <w:lang w:val="es-CO" w:eastAsia="es-CO"/>
        </w:rPr>
        <w:br/>
      </w:r>
      <w:r w:rsidRPr="00C2708D">
        <w:rPr>
          <w:rFonts w:eastAsia="Times New Roman"/>
          <w:color w:val="000000"/>
          <w:lang w:val="es-CO" w:eastAsia="es-CO"/>
        </w:rPr>
        <w:br/>
        <w:t>2. Reconocimiento o aceptación expresa de la infracción antes de emitir el acto administrativo definitivo dentro de la primera oportunidad de defensa mediante la presentación de descargos.</w:t>
      </w:r>
      <w:r w:rsidRPr="00C2708D">
        <w:rPr>
          <w:rFonts w:eastAsia="Times New Roman"/>
          <w:color w:val="000000"/>
          <w:lang w:val="es-CO" w:eastAsia="es-CO"/>
        </w:rPr>
        <w:br/>
      </w:r>
      <w:r w:rsidRPr="00C2708D">
        <w:rPr>
          <w:rFonts w:eastAsia="Times New Roman"/>
          <w:color w:val="000000"/>
          <w:lang w:val="es-CO" w:eastAsia="es-CO"/>
        </w:rPr>
        <w:br/>
        <w:t>3. Compensar o corregir la infracción administrativa antes de emitir fallo administrativo sancionatorio.</w:t>
      </w:r>
      <w:r w:rsidRPr="00C2708D">
        <w:rPr>
          <w:rFonts w:eastAsia="Times New Roman"/>
          <w:color w:val="000000"/>
          <w:lang w:val="es-CO" w:eastAsia="es-CO"/>
        </w:rPr>
        <w:br/>
      </w:r>
      <w:r w:rsidRPr="00C2708D">
        <w:rPr>
          <w:rFonts w:eastAsia="Times New Roman"/>
          <w:color w:val="000000"/>
          <w:lang w:val="es-CO" w:eastAsia="es-CO"/>
        </w:rPr>
        <w:br/>
        <w:t>4. La capacidad económica del sujeto de sanciones, probada con los ingresos y obligaciones a cargo o, según el caso, con la categorización del ente territorial para el respectivo año en que se estudia la infracción.</w:t>
      </w:r>
      <w:r w:rsidRPr="00C2708D">
        <w:rPr>
          <w:rFonts w:eastAsia="Times New Roman"/>
          <w:color w:val="000000"/>
          <w:lang w:val="es-CO" w:eastAsia="es-CO"/>
        </w:rPr>
        <w:br/>
      </w:r>
      <w:r w:rsidRPr="00C2708D">
        <w:rPr>
          <w:rFonts w:eastAsia="Times New Roman"/>
          <w:color w:val="000000"/>
          <w:lang w:val="es-CO" w:eastAsia="es-CO"/>
        </w:rPr>
        <w:br/>
        <w:t>Parágrafo 1°. La Superintendencia Nacional de Salud, en el término de seis (6) meses contados a partir de la entrada en vigencia de la presente ley, adoptará los criterios técnicos y jurídicos necesarios para la adecuada dosificación de las sanciones</w:t>
      </w:r>
      <w:r w:rsidR="00BD2ADD">
        <w:rPr>
          <w:rFonts w:eastAsia="Times New Roman"/>
          <w:color w:val="000000"/>
          <w:lang w:val="es-CO" w:eastAsia="es-CO"/>
        </w:rPr>
        <w:t>.</w:t>
      </w:r>
      <w:r w:rsidRPr="00C2708D">
        <w:rPr>
          <w:rFonts w:eastAsia="Times New Roman"/>
          <w:color w:val="000000"/>
          <w:lang w:val="es-CO" w:eastAsia="es-CO"/>
        </w:rPr>
        <w:br/>
      </w:r>
      <w:r w:rsidRPr="00C2708D">
        <w:rPr>
          <w:rFonts w:eastAsia="Times New Roman"/>
          <w:color w:val="000000"/>
          <w:lang w:val="es-CO" w:eastAsia="es-CO"/>
        </w:rPr>
        <w:br/>
        <w:t>Parágrafo 2°. Las modificaciones introducidas en la presente ley se aplicarán a los procedimientos administrativos sancionatorios que se inicien después de su entrada en vigencia, para aquellos iniciados bajo el régimen legal anterior se sujetarán al que ya traían.</w:t>
      </w:r>
      <w:r w:rsidRPr="00C2708D">
        <w:rPr>
          <w:rFonts w:eastAsia="Times New Roman"/>
          <w:color w:val="000000"/>
          <w:lang w:val="es-CO" w:eastAsia="es-CO"/>
        </w:rPr>
        <w:br/>
        <w:t>.</w:t>
      </w:r>
      <w:bookmarkStart w:id="174" w:name="ver_1680569"/>
      <w:bookmarkEnd w:id="173"/>
      <w:bookmarkEnd w:id="174"/>
    </w:p>
    <w:p w14:paraId="6CE4EB0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135.</w:t>
      </w:r>
      <w:r w:rsidRPr="00C2708D">
        <w:rPr>
          <w:rFonts w:eastAsia="Times New Roman"/>
          <w:i/>
          <w:iCs/>
          <w:color w:val="000000"/>
          <w:lang w:val="es-CO" w:eastAsia="es-CO"/>
        </w:rPr>
        <w:t>Competencia de conciliación.</w:t>
      </w:r>
      <w:r w:rsidRPr="00C2708D">
        <w:rPr>
          <w:rFonts w:eastAsia="Times New Roman"/>
          <w:color w:val="000000"/>
          <w:lang w:val="es-CO" w:eastAsia="es-CO"/>
        </w:rPr>
        <w:t xml:space="preserve"> La Superintendencia Nacional de Salud podrá actuar como conciliadora de oficio o a petición de parte en los conflictos que surjan entre el administrador del </w:t>
      </w:r>
      <w:proofErr w:type="spellStart"/>
      <w:r w:rsidRPr="00C2708D">
        <w:rPr>
          <w:rFonts w:eastAsia="Times New Roman"/>
          <w:color w:val="000000"/>
          <w:lang w:val="es-CO" w:eastAsia="es-CO"/>
        </w:rPr>
        <w:t>Fosyga</w:t>
      </w:r>
      <w:proofErr w:type="spellEnd"/>
      <w:r w:rsidRPr="00C2708D">
        <w:rPr>
          <w:rFonts w:eastAsia="Times New Roman"/>
          <w:color w:val="000000"/>
          <w:lang w:val="es-CO" w:eastAsia="es-CO"/>
        </w:rPr>
        <w:t>, las Entidades Promotoras de Salud, los prestadores de servicios, las compañías aseguradoras del SOAT y entidades territoriales. </w:t>
      </w:r>
    </w:p>
    <w:p w14:paraId="08062CB3" w14:textId="6036A738"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FED7F21" w14:textId="1967B5B0" w:rsidR="00C2708D" w:rsidRDefault="00C2708D" w:rsidP="00CE4017">
      <w:pPr>
        <w:widowControl/>
        <w:autoSpaceDE/>
        <w:autoSpaceDN/>
        <w:jc w:val="center"/>
        <w:rPr>
          <w:rFonts w:eastAsia="Times New Roman"/>
          <w:b/>
          <w:bCs/>
          <w:color w:val="000000"/>
          <w:lang w:val="es-CO" w:eastAsia="es-CO"/>
        </w:rPr>
      </w:pPr>
      <w:bookmarkStart w:id="175" w:name="ver_30027947"/>
      <w:bookmarkEnd w:id="175"/>
      <w:r w:rsidRPr="00BD2ADD">
        <w:rPr>
          <w:rFonts w:eastAsia="Times New Roman"/>
          <w:b/>
          <w:bCs/>
          <w:color w:val="000000"/>
          <w:lang w:val="es-CO" w:eastAsia="es-CO"/>
        </w:rPr>
        <w:t>TÍTULO VIII</w:t>
      </w:r>
    </w:p>
    <w:p w14:paraId="3AB1EE1D" w14:textId="77777777" w:rsidR="00CE4017" w:rsidRPr="00BD2ADD" w:rsidRDefault="00CE4017" w:rsidP="00CE4017">
      <w:pPr>
        <w:widowControl/>
        <w:autoSpaceDE/>
        <w:autoSpaceDN/>
        <w:jc w:val="center"/>
        <w:rPr>
          <w:rFonts w:eastAsia="Times New Roman"/>
          <w:b/>
          <w:bCs/>
          <w:color w:val="000000"/>
          <w:lang w:val="es-CO" w:eastAsia="es-CO"/>
        </w:rPr>
      </w:pPr>
    </w:p>
    <w:p w14:paraId="0533065C" w14:textId="77777777" w:rsidR="00C2708D" w:rsidRPr="00BD2ADD" w:rsidRDefault="00C2708D" w:rsidP="00CE4017">
      <w:pPr>
        <w:widowControl/>
        <w:autoSpaceDE/>
        <w:autoSpaceDN/>
        <w:jc w:val="center"/>
        <w:rPr>
          <w:rFonts w:eastAsia="Times New Roman"/>
          <w:b/>
          <w:bCs/>
          <w:color w:val="000000"/>
          <w:lang w:val="es-CO" w:eastAsia="es-CO"/>
        </w:rPr>
      </w:pPr>
      <w:r w:rsidRPr="00BD2ADD">
        <w:rPr>
          <w:rFonts w:eastAsia="Times New Roman"/>
          <w:b/>
          <w:bCs/>
          <w:color w:val="000000"/>
          <w:lang w:val="es-CO" w:eastAsia="es-CO"/>
        </w:rPr>
        <w:t>DE LOS USUARIOS DEL SISTEMA</w:t>
      </w:r>
    </w:p>
    <w:p w14:paraId="1187A428" w14:textId="77777777" w:rsidR="00C2708D" w:rsidRPr="00C2708D" w:rsidRDefault="00C2708D" w:rsidP="00CE4017">
      <w:pPr>
        <w:widowControl/>
        <w:autoSpaceDE/>
        <w:autoSpaceDN/>
        <w:jc w:val="both"/>
        <w:rPr>
          <w:rFonts w:eastAsia="Times New Roman"/>
          <w:color w:val="000000"/>
          <w:lang w:val="es-CO" w:eastAsia="es-CO"/>
        </w:rPr>
      </w:pPr>
      <w:bookmarkStart w:id="176" w:name="ver_1680570"/>
      <w:bookmarkEnd w:id="176"/>
    </w:p>
    <w:p w14:paraId="1BB156D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136.</w:t>
      </w:r>
      <w:r w:rsidRPr="00C2708D">
        <w:rPr>
          <w:rFonts w:eastAsia="Times New Roman"/>
          <w:i/>
          <w:iCs/>
          <w:color w:val="000000"/>
          <w:lang w:val="es-CO" w:eastAsia="es-CO"/>
        </w:rPr>
        <w:t>Política nacional de participación social</w:t>
      </w:r>
      <w:r w:rsidRPr="00C2708D">
        <w:rPr>
          <w:rFonts w:eastAsia="Times New Roman"/>
          <w:color w:val="000000"/>
          <w:lang w:val="es-CO" w:eastAsia="es-CO"/>
        </w:rPr>
        <w:t>. El Ministerio de la Protección Social definirá una política nacional de participación social que tenga como objetivos: </w:t>
      </w:r>
    </w:p>
    <w:p w14:paraId="7D5E4F4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6150FD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136.1 Fortalecer la capacidad ciudadana para intervenir en el ciclo de las políticas públicas de salud: diseño, ejecución, evaluación y ajuste. </w:t>
      </w:r>
    </w:p>
    <w:p w14:paraId="110DA76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3DC4E1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136.2 Promover la cultura de la salud y el autocuidado, modificar los factores de riesgo y estimular los factores protectores de la salud. </w:t>
      </w:r>
    </w:p>
    <w:p w14:paraId="45ACDE9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3E4019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136.3 Incentivar la veeduría de recursos del sector salud y el cumplimiento de los planes de beneficios. </w:t>
      </w:r>
    </w:p>
    <w:p w14:paraId="2D1E340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  </w:t>
      </w:r>
    </w:p>
    <w:p w14:paraId="7ABDFA0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136.4 Participar activamente en los ejercicios de definición de política. </w:t>
      </w:r>
    </w:p>
    <w:p w14:paraId="652CEAE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73D7BF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136.5 Participar activamente en los ejercicios de presupuestación participativa en salud. </w:t>
      </w:r>
    </w:p>
    <w:p w14:paraId="5CC95B7D"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3C7C36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136.6 Defender el derecho de la salud de los ciudadanos y detectar temas cruciales para mejorar los niveles de satisfacción del usuario. </w:t>
      </w:r>
    </w:p>
    <w:p w14:paraId="11A0C720" w14:textId="77777777" w:rsidR="00C2708D" w:rsidRPr="00C2708D" w:rsidRDefault="00C2708D" w:rsidP="00CE4017">
      <w:pPr>
        <w:widowControl/>
        <w:autoSpaceDE/>
        <w:autoSpaceDN/>
        <w:jc w:val="both"/>
        <w:rPr>
          <w:rFonts w:eastAsia="Times New Roman"/>
          <w:color w:val="000000"/>
          <w:lang w:val="es-CO" w:eastAsia="es-CO"/>
        </w:rPr>
      </w:pPr>
      <w:bookmarkStart w:id="177" w:name="ver_1680571"/>
      <w:bookmarkEnd w:id="177"/>
    </w:p>
    <w:p w14:paraId="6003D5A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137. </w:t>
      </w:r>
      <w:r w:rsidRPr="00C2708D">
        <w:rPr>
          <w:rFonts w:eastAsia="Times New Roman"/>
          <w:i/>
          <w:iCs/>
          <w:color w:val="000000"/>
          <w:lang w:val="es-CO" w:eastAsia="es-CO"/>
        </w:rPr>
        <w:t>Defensor del Usuario de la Salud.</w:t>
      </w:r>
      <w:r w:rsidRPr="00C2708D">
        <w:rPr>
          <w:rFonts w:eastAsia="Times New Roman"/>
          <w:color w:val="000000"/>
          <w:lang w:val="es-CO" w:eastAsia="es-CO"/>
        </w:rPr>
        <w:t> Para financiar el Defensor del Usuario en Salud de que trata el artículo 42 de la Ley 1122 de 2007, la tasa establecida en el artículo 98 de la Ley 488 de 1998, deberá incluir el costo que demanda su organización y funcionamiento.</w:t>
      </w:r>
    </w:p>
    <w:p w14:paraId="0E27C534" w14:textId="77777777" w:rsidR="00C2708D" w:rsidRPr="00C2708D" w:rsidRDefault="00C2708D" w:rsidP="00CE4017">
      <w:pPr>
        <w:widowControl/>
        <w:autoSpaceDE/>
        <w:autoSpaceDN/>
        <w:jc w:val="both"/>
        <w:rPr>
          <w:rFonts w:eastAsia="Times New Roman"/>
          <w:color w:val="000000"/>
          <w:lang w:val="es-CO" w:eastAsia="es-CO"/>
        </w:rPr>
      </w:pPr>
      <w:bookmarkStart w:id="178" w:name="ver_1680572"/>
      <w:bookmarkEnd w:id="178"/>
    </w:p>
    <w:p w14:paraId="26C5207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138.</w:t>
      </w:r>
      <w:r w:rsidRPr="00C2708D">
        <w:rPr>
          <w:rFonts w:eastAsia="Times New Roman"/>
          <w:i/>
          <w:iCs/>
          <w:color w:val="000000"/>
          <w:lang w:val="es-CO" w:eastAsia="es-CO"/>
        </w:rPr>
        <w:t>Antitrámites en salud.</w:t>
      </w:r>
      <w:r w:rsidRPr="00C2708D">
        <w:rPr>
          <w:rFonts w:eastAsia="Times New Roman"/>
          <w:color w:val="000000"/>
          <w:lang w:val="es-CO" w:eastAsia="es-CO"/>
        </w:rPr>
        <w:t> El Gobierno Nacional, dentro de los doce (12) meses siguientes a la promulgación de esta ley, deberá adoptar un Sistema Único de Trámites en Salud que incluirá los procedimientos y formatos de la afiliación y el recaudo, así como de la autorización, registro, auditoría, facturación y pago de los servicios de salud.  </w:t>
      </w:r>
    </w:p>
    <w:p w14:paraId="737ABD55" w14:textId="77777777" w:rsidR="00C2708D" w:rsidRPr="00C2708D" w:rsidRDefault="00C2708D" w:rsidP="00CE4017">
      <w:pPr>
        <w:widowControl/>
        <w:autoSpaceDE/>
        <w:autoSpaceDN/>
        <w:jc w:val="both"/>
        <w:rPr>
          <w:rFonts w:eastAsia="Times New Roman"/>
          <w:color w:val="000000"/>
          <w:lang w:val="es-CO" w:eastAsia="es-CO"/>
        </w:rPr>
      </w:pPr>
      <w:bookmarkStart w:id="179" w:name="ver_1680573"/>
      <w:bookmarkEnd w:id="179"/>
    </w:p>
    <w:p w14:paraId="46BE52C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139.</w:t>
      </w:r>
      <w:r w:rsidRPr="00C2708D">
        <w:rPr>
          <w:rFonts w:eastAsia="Times New Roman"/>
          <w:i/>
          <w:iCs/>
          <w:color w:val="000000"/>
          <w:lang w:val="es-CO" w:eastAsia="es-CO"/>
        </w:rPr>
        <w:t>Deberes y obligaciones.</w:t>
      </w:r>
      <w:r w:rsidRPr="00C2708D">
        <w:rPr>
          <w:rFonts w:eastAsia="Times New Roman"/>
          <w:color w:val="000000"/>
          <w:lang w:val="es-CO" w:eastAsia="es-CO"/>
        </w:rPr>
        <w:t> Los usuarios del Sistema de Seguridad Social en Salud deberán cumplir los siguientes deberes y obligaciones: </w:t>
      </w:r>
    </w:p>
    <w:p w14:paraId="0E7966B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2675C7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139.1 Actuar frente al sistema y sus actores de buena fe. </w:t>
      </w:r>
    </w:p>
    <w:p w14:paraId="3252379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172B5BD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139.2 Suministrar oportuna y cabalmente la información que se les requiera para efectos del servicio. </w:t>
      </w:r>
    </w:p>
    <w:p w14:paraId="756F4BF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9C1AB5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139.3 Informar a los responsables y autoridades de todo acto o hecho que afecte el sistema. </w:t>
      </w:r>
    </w:p>
    <w:p w14:paraId="25D7822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7A7C4B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139.4 Procurar en forma permanente por el cuidado de la salud personal y de la familia y promover las gestiones del caso para el mantenimiento de las adecuadas condiciones de la salud pública. </w:t>
      </w:r>
    </w:p>
    <w:p w14:paraId="5A32781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D35315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139.5 Pagar oportunamente las cotizaciones e impuestos y, en general, concurrir a la financiación del sistema. </w:t>
      </w:r>
    </w:p>
    <w:p w14:paraId="5CB2B88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F5E491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139.6 Realizar oportuna y cabalmente los pagos moderadores, compartidos y de recuperación que se definan dentro del sistema. </w:t>
      </w:r>
    </w:p>
    <w:p w14:paraId="6F27EC9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69AB93B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139.7 Contribuir según su capacidad económica al cubrimiento de las prestaciones y servicios adicionales a favor de los miembros de su familia y de las personas bajo su cuidado. </w:t>
      </w:r>
    </w:p>
    <w:p w14:paraId="764F159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2FD407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139.8 Cumplir las citas y atender los requerimientos del personal administrativo y asistencial de salud, así como brindar las explicaciones que ellos les demanden razonablemente en ejecución del servicio. </w:t>
      </w:r>
    </w:p>
    <w:p w14:paraId="589DF43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EAE883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139.9 Suministrar la información veraz que se le demande y mantener actualizada la información que se requiera dentro del sistema en asuntos administrativos y de salud. </w:t>
      </w:r>
    </w:p>
    <w:p w14:paraId="48ABB21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DDB1016"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139.10 Participar en las instancias de deliberación, veeduría y seguimiento del sistema. </w:t>
      </w:r>
    </w:p>
    <w:p w14:paraId="58051AF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lastRenderedPageBreak/>
        <w:t>  </w:t>
      </w:r>
    </w:p>
    <w:p w14:paraId="56E97DF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139.11 Hacer un uso racional de los recursos del sistema. </w:t>
      </w:r>
    </w:p>
    <w:p w14:paraId="5692DBC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B053F3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139.12 Respetar a las personas que ejecutan los servicios y a los usuarios. </w:t>
      </w:r>
    </w:p>
    <w:p w14:paraId="73574BD0"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7047028"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139.13 Hacer uso, bajo criterios de razonabilidad y pertinencia, de los mecanismos de defensa y de las acciones judiciales para el reconocimiento de derechos dentro del sistema. </w:t>
      </w:r>
    </w:p>
    <w:p w14:paraId="004FA9A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B2BBCD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139.14 Participar en los procesos de diseño y evaluación de las políticas y programas de salud; así como en los ejercicios de presupuestación participativa en salud. </w:t>
      </w:r>
    </w:p>
    <w:p w14:paraId="27F849C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B33AFC0" w14:textId="2BB9EECE" w:rsidR="00C2708D" w:rsidRDefault="00C2708D" w:rsidP="00CE4017">
      <w:pPr>
        <w:widowControl/>
        <w:autoSpaceDE/>
        <w:autoSpaceDN/>
        <w:jc w:val="center"/>
        <w:rPr>
          <w:rFonts w:eastAsia="Times New Roman"/>
          <w:b/>
          <w:bCs/>
          <w:color w:val="000000"/>
          <w:lang w:val="es-CO" w:eastAsia="es-CO"/>
        </w:rPr>
      </w:pPr>
      <w:bookmarkStart w:id="180" w:name="ver_1680574"/>
      <w:bookmarkEnd w:id="180"/>
      <w:r w:rsidRPr="00BD2ADD">
        <w:rPr>
          <w:rFonts w:eastAsia="Times New Roman"/>
          <w:b/>
          <w:bCs/>
          <w:color w:val="000000"/>
          <w:lang w:val="es-CO" w:eastAsia="es-CO"/>
        </w:rPr>
        <w:t>TÍTULO IX</w:t>
      </w:r>
    </w:p>
    <w:p w14:paraId="170B2F0D" w14:textId="77777777" w:rsidR="00CE4017" w:rsidRPr="00BD2ADD" w:rsidRDefault="00CE4017" w:rsidP="00CE4017">
      <w:pPr>
        <w:widowControl/>
        <w:autoSpaceDE/>
        <w:autoSpaceDN/>
        <w:jc w:val="center"/>
        <w:rPr>
          <w:rFonts w:eastAsia="Times New Roman"/>
          <w:b/>
          <w:bCs/>
          <w:color w:val="000000"/>
          <w:lang w:val="es-CO" w:eastAsia="es-CO"/>
        </w:rPr>
      </w:pPr>
    </w:p>
    <w:p w14:paraId="08EA407E" w14:textId="77777777" w:rsidR="00C2708D" w:rsidRPr="00BD2ADD" w:rsidRDefault="00C2708D" w:rsidP="00CE4017">
      <w:pPr>
        <w:widowControl/>
        <w:autoSpaceDE/>
        <w:autoSpaceDN/>
        <w:jc w:val="center"/>
        <w:rPr>
          <w:rFonts w:eastAsia="Times New Roman"/>
          <w:b/>
          <w:bCs/>
          <w:color w:val="000000"/>
          <w:lang w:val="es-CO" w:eastAsia="es-CO"/>
        </w:rPr>
      </w:pPr>
      <w:r w:rsidRPr="00BD2ADD">
        <w:rPr>
          <w:rFonts w:eastAsia="Times New Roman"/>
          <w:b/>
          <w:bCs/>
          <w:color w:val="000000"/>
          <w:lang w:val="es-CO" w:eastAsia="es-CO"/>
        </w:rPr>
        <w:t>OTRAS DISPOSICIONES</w:t>
      </w:r>
    </w:p>
    <w:p w14:paraId="1DB8D4A7" w14:textId="77777777" w:rsidR="00C2708D" w:rsidRPr="00C2708D" w:rsidRDefault="00C2708D" w:rsidP="00CE4017">
      <w:pPr>
        <w:widowControl/>
        <w:autoSpaceDE/>
        <w:autoSpaceDN/>
        <w:jc w:val="both"/>
        <w:rPr>
          <w:rFonts w:eastAsia="Times New Roman"/>
          <w:color w:val="000000"/>
          <w:lang w:val="es-CO" w:eastAsia="es-CO"/>
        </w:rPr>
      </w:pPr>
      <w:bookmarkStart w:id="181" w:name="ver_1680575"/>
      <w:bookmarkEnd w:id="181"/>
    </w:p>
    <w:p w14:paraId="56C2CAF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140.</w:t>
      </w:r>
      <w:r w:rsidRPr="00C2708D">
        <w:rPr>
          <w:rFonts w:eastAsia="Times New Roman"/>
          <w:i/>
          <w:iCs/>
          <w:color w:val="000000"/>
          <w:lang w:val="es-CO" w:eastAsia="es-CO"/>
        </w:rPr>
        <w:t>Enfermedades huérfanas</w:t>
      </w:r>
      <w:r w:rsidRPr="00C2708D">
        <w:rPr>
          <w:rFonts w:eastAsia="Times New Roman"/>
          <w:color w:val="000000"/>
          <w:lang w:val="es-CO" w:eastAsia="es-CO"/>
        </w:rPr>
        <w:t xml:space="preserve">. </w:t>
      </w:r>
      <w:proofErr w:type="spellStart"/>
      <w:r w:rsidRPr="00C2708D">
        <w:rPr>
          <w:rFonts w:eastAsia="Times New Roman"/>
          <w:color w:val="000000"/>
          <w:lang w:val="es-CO" w:eastAsia="es-CO"/>
        </w:rPr>
        <w:t>Modifícase</w:t>
      </w:r>
      <w:proofErr w:type="spellEnd"/>
      <w:r w:rsidRPr="00C2708D">
        <w:rPr>
          <w:rFonts w:eastAsia="Times New Roman"/>
          <w:color w:val="000000"/>
          <w:lang w:val="es-CO" w:eastAsia="es-CO"/>
        </w:rPr>
        <w:t xml:space="preserve"> el artículo 2° de la Ley 1392 de 2010, así: </w:t>
      </w:r>
    </w:p>
    <w:p w14:paraId="09F0ED0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AC0E43A"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2°. </w:t>
      </w:r>
      <w:r w:rsidRPr="00C2708D">
        <w:rPr>
          <w:rFonts w:eastAsia="Times New Roman"/>
          <w:i/>
          <w:iCs/>
          <w:color w:val="000000"/>
          <w:lang w:val="es-CO" w:eastAsia="es-CO"/>
        </w:rPr>
        <w:t>Denominación de las enfermedades huérfanas.</w:t>
      </w:r>
      <w:r w:rsidRPr="00C2708D">
        <w:rPr>
          <w:rFonts w:eastAsia="Times New Roman"/>
          <w:color w:val="000000"/>
          <w:lang w:val="es-CO" w:eastAsia="es-CO"/>
        </w:rPr>
        <w:t xml:space="preserve"> Las enfermedades huérfanas son aquellas crónicamente debilitantes, graves, que amenazan la vida y con una prevalencia menor de 1 por cada 5.000 personas, comprenden, las enfermedades raras, las </w:t>
      </w:r>
      <w:proofErr w:type="spellStart"/>
      <w:r w:rsidRPr="00C2708D">
        <w:rPr>
          <w:rFonts w:eastAsia="Times New Roman"/>
          <w:color w:val="000000"/>
          <w:lang w:val="es-CO" w:eastAsia="es-CO"/>
        </w:rPr>
        <w:t>ultrahuérfanas</w:t>
      </w:r>
      <w:proofErr w:type="spellEnd"/>
      <w:r w:rsidRPr="00C2708D">
        <w:rPr>
          <w:rFonts w:eastAsia="Times New Roman"/>
          <w:color w:val="000000"/>
          <w:lang w:val="es-CO" w:eastAsia="es-CO"/>
        </w:rPr>
        <w:t xml:space="preserve"> y olvidadas. </w:t>
      </w:r>
    </w:p>
    <w:p w14:paraId="55006CFF"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C624A15"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Las enfermedades olvidadas son propias de los países en desarrollo y afectan ordinariamente a la población más pobre y no cuentan con tratamientos eficaces o adecuados y accesibles a la población afectada. </w:t>
      </w:r>
    </w:p>
    <w:p w14:paraId="31C0BA2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49B16E2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Con el fin de mantener unificada la lista de denominación de las enfermedades huérfanas, el Ministerio de la Protección Social emitirá y actualizará esta lista cada dos años a través de acuerdos con la Comisión de Regulación en Salud (CRES), o el organismo competente". </w:t>
      </w:r>
    </w:p>
    <w:p w14:paraId="36DC037F" w14:textId="77777777" w:rsidR="00C2708D" w:rsidRPr="00C2708D" w:rsidRDefault="00C2708D" w:rsidP="00CE4017">
      <w:pPr>
        <w:widowControl/>
        <w:autoSpaceDE/>
        <w:autoSpaceDN/>
        <w:jc w:val="both"/>
        <w:rPr>
          <w:rFonts w:eastAsia="Times New Roman"/>
          <w:color w:val="000000"/>
          <w:lang w:val="es-CO" w:eastAsia="es-CO"/>
        </w:rPr>
      </w:pPr>
      <w:bookmarkStart w:id="182" w:name="ver_1680576"/>
      <w:bookmarkEnd w:id="182"/>
    </w:p>
    <w:p w14:paraId="317EE87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141.</w:t>
      </w:r>
      <w:r w:rsidRPr="00C2708D">
        <w:rPr>
          <w:rFonts w:eastAsia="Times New Roman"/>
          <w:i/>
          <w:iCs/>
          <w:color w:val="000000"/>
          <w:lang w:val="es-CO" w:eastAsia="es-CO"/>
        </w:rPr>
        <w:t>De los servicios que prestan las cuidadoras y los cuidadores al interior del hogar.</w:t>
      </w:r>
      <w:r w:rsidRPr="00C2708D">
        <w:rPr>
          <w:rFonts w:eastAsia="Times New Roman"/>
          <w:color w:val="000000"/>
          <w:lang w:val="es-CO" w:eastAsia="es-CO"/>
        </w:rPr>
        <w:t> Los servicios que prestan las cuidadoras y los cuidadores al interior del hogar relacionados con el autocuidado y mutuo cuidado de la salud de todos los miembros del hogar, serán registrados en las cuentas nacionales de salud de manera periódica y pública, según los criterios que defina el Departamento Administrativo Nacional de Estadística. Este reconocimiento no implicará gastos por parte del Sistema Nacional de Seguridad Social en Salud. </w:t>
      </w:r>
    </w:p>
    <w:p w14:paraId="6CA9FCF1"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50599B37"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Parágrafo. De acuerdo con lo ordenado por la Ley 1413 de 2010, el Departamento Administrativo Nacional de Estadística hará una encuesta de uso del tiempo que permitirá contabilizar el monto al que hace alusión el artículo anterior. </w:t>
      </w:r>
    </w:p>
    <w:p w14:paraId="18A47BF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933F37D" w14:textId="77777777" w:rsidR="00C2708D" w:rsidRPr="00C2708D" w:rsidRDefault="00C2708D" w:rsidP="00CE4017">
      <w:pPr>
        <w:widowControl/>
        <w:autoSpaceDE/>
        <w:autoSpaceDN/>
        <w:jc w:val="both"/>
        <w:rPr>
          <w:rFonts w:eastAsia="Times New Roman"/>
          <w:color w:val="000000"/>
          <w:lang w:val="es-CO" w:eastAsia="es-CO"/>
        </w:rPr>
      </w:pPr>
      <w:bookmarkStart w:id="183" w:name="ver_1680577"/>
      <w:bookmarkEnd w:id="183"/>
    </w:p>
    <w:p w14:paraId="5910F6EC"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142.</w:t>
      </w:r>
      <w:r w:rsidRPr="00C2708D">
        <w:rPr>
          <w:rFonts w:eastAsia="Times New Roman"/>
          <w:i/>
          <w:iCs/>
          <w:color w:val="000000"/>
          <w:lang w:val="es-CO" w:eastAsia="es-CO"/>
        </w:rPr>
        <w:t>Difusión y capacitación para el desarrollo de la ley</w:t>
      </w:r>
      <w:r w:rsidRPr="00C2708D">
        <w:rPr>
          <w:rFonts w:eastAsia="Times New Roman"/>
          <w:color w:val="000000"/>
          <w:lang w:val="es-CO" w:eastAsia="es-CO"/>
        </w:rPr>
        <w:t xml:space="preserve">. El Ministerio de la Protección Social, con las entidades adscritas y vinculadas al sector salud, deberá organizar y ejecutar un programa de difusión del Sistema General de Seguridad Social en Salud y de capacitación a las autoridades locales, las Entidades Promotoras de Salud e Instituciones </w:t>
      </w:r>
      <w:r w:rsidRPr="00C2708D">
        <w:rPr>
          <w:rFonts w:eastAsia="Times New Roman"/>
          <w:color w:val="000000"/>
          <w:lang w:val="es-CO" w:eastAsia="es-CO"/>
        </w:rPr>
        <w:lastRenderedPageBreak/>
        <w:t>Prestadoras, trabajadores y, en general, a los usuarios que integren el Sistema General de Seguridad Social en Salud.  </w:t>
      </w:r>
    </w:p>
    <w:p w14:paraId="7ADDA6F4" w14:textId="77777777" w:rsidR="00C2708D" w:rsidRPr="00C2708D" w:rsidRDefault="00C2708D" w:rsidP="00CE4017">
      <w:pPr>
        <w:widowControl/>
        <w:autoSpaceDE/>
        <w:autoSpaceDN/>
        <w:jc w:val="both"/>
        <w:rPr>
          <w:rFonts w:eastAsia="Times New Roman"/>
          <w:color w:val="000000"/>
          <w:lang w:val="es-CO" w:eastAsia="es-CO"/>
        </w:rPr>
      </w:pPr>
      <w:bookmarkStart w:id="184" w:name="ver_1680578"/>
      <w:bookmarkEnd w:id="184"/>
    </w:p>
    <w:p w14:paraId="245ADC1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143.</w:t>
      </w:r>
      <w:r w:rsidRPr="00C2708D">
        <w:rPr>
          <w:rFonts w:eastAsia="Times New Roman"/>
          <w:i/>
          <w:iCs/>
          <w:color w:val="000000"/>
          <w:lang w:val="es-CO" w:eastAsia="es-CO"/>
        </w:rPr>
        <w:t>Prueba del accidente en el SOAT.</w:t>
      </w:r>
      <w:r w:rsidRPr="00C2708D">
        <w:rPr>
          <w:rFonts w:eastAsia="Times New Roman"/>
          <w:color w:val="000000"/>
          <w:lang w:val="es-CO" w:eastAsia="es-CO"/>
        </w:rPr>
        <w:t> Para la prueba del accidente de tránsito ante la aseguradora del SOAT, será suficiente la declaración del médico de urgencias sobre este hecho, en el formato que se establezca para el efecto por parte del Ministerio de la Protección Social, sin perjuicio de la intervención de la autoridad de tránsito y de la posibilidad de que la aseguradora del SOAT realice auditorías posteriores. </w:t>
      </w:r>
    </w:p>
    <w:p w14:paraId="4CB97B13"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02B36E42" w14:textId="77777777" w:rsidR="00C2708D" w:rsidRPr="00C2708D" w:rsidRDefault="00C2708D" w:rsidP="00CE4017">
      <w:pPr>
        <w:widowControl/>
        <w:autoSpaceDE/>
        <w:autoSpaceDN/>
        <w:jc w:val="both"/>
        <w:rPr>
          <w:rFonts w:eastAsia="Times New Roman"/>
          <w:color w:val="000000"/>
          <w:lang w:val="es-CO" w:eastAsia="es-CO"/>
        </w:rPr>
      </w:pPr>
      <w:proofErr w:type="spellStart"/>
      <w:r w:rsidRPr="00C2708D">
        <w:rPr>
          <w:rFonts w:eastAsia="Times New Roman"/>
          <w:color w:val="000000"/>
          <w:lang w:val="es-CO" w:eastAsia="es-CO"/>
        </w:rPr>
        <w:t>Parágrafo.</w:t>
      </w:r>
      <w:r w:rsidRPr="00C2708D">
        <w:rPr>
          <w:rFonts w:eastAsia="Times New Roman"/>
          <w:i/>
          <w:iCs/>
          <w:color w:val="000000"/>
          <w:lang w:val="es-CO" w:eastAsia="es-CO"/>
        </w:rPr>
        <w:t>Sistema</w:t>
      </w:r>
      <w:proofErr w:type="spellEnd"/>
      <w:r w:rsidRPr="00C2708D">
        <w:rPr>
          <w:rFonts w:eastAsia="Times New Roman"/>
          <w:i/>
          <w:iCs/>
          <w:color w:val="000000"/>
          <w:lang w:val="es-CO" w:eastAsia="es-CO"/>
        </w:rPr>
        <w:t xml:space="preserve"> de Reconocimiento y Pago del SOAT.</w:t>
      </w:r>
      <w:r w:rsidRPr="00C2708D">
        <w:rPr>
          <w:rFonts w:eastAsia="Times New Roman"/>
          <w:color w:val="000000"/>
          <w:lang w:val="es-CO" w:eastAsia="es-CO"/>
        </w:rPr>
        <w:t> El Gobierno Nacional reglamentará en un término de seis (6) meses, el Sistema de Reconocimiento y pago de la atención de las víctimas de accidentes de tránsito (SOAT), disminuyendo los trámites, reduciendo los agentes intervinientes, racionalizando el proceso de pago y generando eficiencia y celeridad en el flujo de los recursos. </w:t>
      </w:r>
    </w:p>
    <w:p w14:paraId="38999219"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7686A4CB" w14:textId="77777777" w:rsidR="00C2708D" w:rsidRPr="00C2708D" w:rsidRDefault="00C2708D" w:rsidP="00CE4017">
      <w:pPr>
        <w:widowControl/>
        <w:autoSpaceDE/>
        <w:autoSpaceDN/>
        <w:jc w:val="both"/>
        <w:rPr>
          <w:rFonts w:eastAsia="Times New Roman"/>
          <w:color w:val="000000"/>
          <w:lang w:val="es-CO" w:eastAsia="es-CO"/>
        </w:rPr>
      </w:pPr>
      <w:bookmarkStart w:id="185" w:name="ver_1680579"/>
      <w:bookmarkEnd w:id="185"/>
    </w:p>
    <w:p w14:paraId="266CFD2E"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144.</w:t>
      </w:r>
      <w:r w:rsidRPr="00C2708D">
        <w:rPr>
          <w:rFonts w:eastAsia="Times New Roman"/>
          <w:i/>
          <w:iCs/>
          <w:color w:val="000000"/>
          <w:lang w:val="es-CO" w:eastAsia="es-CO"/>
        </w:rPr>
        <w:t>De la reglamentación e implementación</w:t>
      </w:r>
      <w:r w:rsidRPr="00C2708D">
        <w:rPr>
          <w:rFonts w:eastAsia="Times New Roman"/>
          <w:color w:val="000000"/>
          <w:lang w:val="es-CO" w:eastAsia="es-CO"/>
        </w:rPr>
        <w:t>. El Gobierno Nacional en un lapso no mayor de un mes a partir de la vigencia de la presente ley, establecerá un cronograma de reglamentación e implementación de la presente ley y la Ley 1164 de 2007, mediante acto administrativo. </w:t>
      </w:r>
    </w:p>
    <w:p w14:paraId="3E3983E2"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3F855B74"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El Gobierno Nacional tendrá hasta seis (6) meses a partir de la vigencia de esta ley para reglamentar y aplicar los artículos 26, 29, 31, 50 y 62 de la misma; y de hasta doce (12) meses para el artículo 118. </w:t>
      </w:r>
    </w:p>
    <w:p w14:paraId="2B8588D7" w14:textId="2318D3E0"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bookmarkStart w:id="186" w:name="ver_1680580"/>
      <w:bookmarkEnd w:id="186"/>
    </w:p>
    <w:p w14:paraId="3CDF602B" w14:textId="77777777" w:rsidR="00C2708D" w:rsidRPr="00C2708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Artículo 145.</w:t>
      </w:r>
      <w:r w:rsidRPr="00C2708D">
        <w:rPr>
          <w:rFonts w:eastAsia="Times New Roman"/>
          <w:i/>
          <w:iCs/>
          <w:color w:val="000000"/>
          <w:lang w:val="es-CO" w:eastAsia="es-CO"/>
        </w:rPr>
        <w:t>Vigencia y derogatorias</w:t>
      </w:r>
      <w:r w:rsidRPr="00C2708D">
        <w:rPr>
          <w:rFonts w:eastAsia="Times New Roman"/>
          <w:color w:val="000000"/>
          <w:lang w:val="es-CO" w:eastAsia="es-CO"/>
        </w:rPr>
        <w:t>. La presente ley rige a partir de la fecha de su publicación y deroga las normas que le sean contrarias, en especial los parágrafos de los artículos 171, 172, 175, 215 y 216 numeral 1 de la Ley 100 de 1993, el parágrafo del artículo 3°, el literal (c) del artículo 13, los literales (d) y (j) del artículo 14 de la Ley 1122 de 2007, el artículo 121 del Decreto-ley 2150 de 1995, el numeral 43.4.2 del artículo 43 y los numerales 44.1.7, 44.2.3 del artículo 44 de la Ley 715 de 2001, así como los artículos relacionados con salud de Ley 1066 de 2006. </w:t>
      </w:r>
    </w:p>
    <w:p w14:paraId="7D2FCC4C" w14:textId="3F578F9F" w:rsidR="00BD2ADD" w:rsidRDefault="00C2708D" w:rsidP="00CE4017">
      <w:pPr>
        <w:widowControl/>
        <w:autoSpaceDE/>
        <w:autoSpaceDN/>
        <w:jc w:val="both"/>
        <w:rPr>
          <w:rFonts w:eastAsia="Times New Roman"/>
          <w:color w:val="000000"/>
          <w:lang w:val="es-CO" w:eastAsia="es-CO"/>
        </w:rPr>
      </w:pPr>
      <w:r w:rsidRPr="00C2708D">
        <w:rPr>
          <w:rFonts w:eastAsia="Times New Roman"/>
          <w:color w:val="000000"/>
          <w:lang w:val="es-CO" w:eastAsia="es-CO"/>
        </w:rPr>
        <w:t> </w:t>
      </w:r>
    </w:p>
    <w:p w14:paraId="2DBD6AFC" w14:textId="77777777" w:rsidR="00BD2ADD" w:rsidRPr="00CE4017" w:rsidRDefault="00BD2ADD" w:rsidP="00CE4017">
      <w:pPr>
        <w:widowControl/>
        <w:autoSpaceDE/>
        <w:autoSpaceDN/>
        <w:jc w:val="both"/>
        <w:rPr>
          <w:rFonts w:eastAsia="Times New Roman"/>
          <w:color w:val="000000"/>
          <w:lang w:val="es-CO" w:eastAsia="es-CO"/>
        </w:rPr>
      </w:pPr>
    </w:p>
    <w:p w14:paraId="56BE0443" w14:textId="77777777" w:rsidR="00C2708D" w:rsidRPr="00CE4017" w:rsidRDefault="00C2708D" w:rsidP="1FAF4D54">
      <w:pPr>
        <w:widowControl/>
        <w:autoSpaceDE/>
        <w:autoSpaceDN/>
        <w:jc w:val="center"/>
        <w:rPr>
          <w:rFonts w:eastAsia="Times New Roman"/>
          <w:color w:val="000000"/>
          <w:lang w:val="es-CO" w:eastAsia="es-CO"/>
        </w:rPr>
      </w:pPr>
      <w:bookmarkStart w:id="187" w:name="ver_1680581"/>
      <w:bookmarkEnd w:id="187"/>
      <w:r w:rsidRPr="1FAF4D54">
        <w:rPr>
          <w:rFonts w:eastAsia="Times New Roman"/>
          <w:color w:val="000000" w:themeColor="text1"/>
          <w:lang w:val="es-CO" w:eastAsia="es-CO"/>
        </w:rPr>
        <w:t>El Presidente del honorable Senado de la República,</w:t>
      </w:r>
    </w:p>
    <w:p w14:paraId="52B65974" w14:textId="77777777" w:rsidR="00C2708D" w:rsidRPr="00CE4017" w:rsidRDefault="00C2708D" w:rsidP="1FAF4D54">
      <w:pPr>
        <w:widowControl/>
        <w:autoSpaceDE/>
        <w:autoSpaceDN/>
        <w:jc w:val="center"/>
        <w:rPr>
          <w:rFonts w:eastAsia="Times New Roman"/>
          <w:color w:val="000000"/>
          <w:lang w:val="es-CO" w:eastAsia="es-CO"/>
        </w:rPr>
      </w:pPr>
    </w:p>
    <w:p w14:paraId="38928C2F"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Armando Alberto Benedetti Villaneda.</w:t>
      </w:r>
    </w:p>
    <w:p w14:paraId="6918C721" w14:textId="77777777" w:rsidR="00C2708D" w:rsidRPr="00CE4017" w:rsidRDefault="00C2708D" w:rsidP="1FAF4D54">
      <w:pPr>
        <w:widowControl/>
        <w:autoSpaceDE/>
        <w:autoSpaceDN/>
        <w:jc w:val="center"/>
        <w:rPr>
          <w:rFonts w:eastAsia="Times New Roman"/>
          <w:color w:val="000000"/>
          <w:lang w:val="es-CO" w:eastAsia="es-CO"/>
        </w:rPr>
      </w:pPr>
    </w:p>
    <w:p w14:paraId="769C37F1"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El Secretario General del honorable Senado de la República,</w:t>
      </w:r>
    </w:p>
    <w:p w14:paraId="621B1B86" w14:textId="77777777" w:rsidR="00C2708D" w:rsidRPr="00CE4017" w:rsidRDefault="00C2708D" w:rsidP="1FAF4D54">
      <w:pPr>
        <w:widowControl/>
        <w:autoSpaceDE/>
        <w:autoSpaceDN/>
        <w:jc w:val="center"/>
        <w:rPr>
          <w:rFonts w:eastAsia="Times New Roman"/>
          <w:color w:val="000000"/>
          <w:lang w:val="es-CO" w:eastAsia="es-CO"/>
        </w:rPr>
      </w:pPr>
    </w:p>
    <w:p w14:paraId="44FBD100"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 xml:space="preserve">Emilio Ramón Otero </w:t>
      </w:r>
      <w:proofErr w:type="spellStart"/>
      <w:r w:rsidRPr="1FAF4D54">
        <w:rPr>
          <w:rFonts w:eastAsia="Times New Roman"/>
          <w:color w:val="000000" w:themeColor="text1"/>
          <w:lang w:val="es-CO" w:eastAsia="es-CO"/>
        </w:rPr>
        <w:t>Dajud</w:t>
      </w:r>
      <w:proofErr w:type="spellEnd"/>
      <w:r w:rsidRPr="1FAF4D54">
        <w:rPr>
          <w:rFonts w:eastAsia="Times New Roman"/>
          <w:color w:val="000000" w:themeColor="text1"/>
          <w:lang w:val="es-CO" w:eastAsia="es-CO"/>
        </w:rPr>
        <w:t>.</w:t>
      </w:r>
    </w:p>
    <w:p w14:paraId="0B8DC75E" w14:textId="77777777" w:rsidR="00C2708D" w:rsidRPr="00CE4017" w:rsidRDefault="00C2708D" w:rsidP="1FAF4D54">
      <w:pPr>
        <w:widowControl/>
        <w:autoSpaceDE/>
        <w:autoSpaceDN/>
        <w:jc w:val="center"/>
        <w:rPr>
          <w:rFonts w:eastAsia="Times New Roman"/>
          <w:color w:val="000000"/>
          <w:lang w:val="es-CO" w:eastAsia="es-CO"/>
        </w:rPr>
      </w:pPr>
    </w:p>
    <w:p w14:paraId="592616DF"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El Presidente de la honorable Cámara de Representantes,</w:t>
      </w:r>
    </w:p>
    <w:p w14:paraId="25484BEB" w14:textId="77777777" w:rsidR="00C2708D" w:rsidRPr="00CE4017" w:rsidRDefault="00C2708D" w:rsidP="1FAF4D54">
      <w:pPr>
        <w:widowControl/>
        <w:autoSpaceDE/>
        <w:autoSpaceDN/>
        <w:jc w:val="center"/>
        <w:rPr>
          <w:rFonts w:eastAsia="Times New Roman"/>
          <w:color w:val="000000"/>
          <w:lang w:val="es-CO" w:eastAsia="es-CO"/>
        </w:rPr>
      </w:pPr>
    </w:p>
    <w:p w14:paraId="61954738"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Carlos Alberto Zuluaga Díaz.</w:t>
      </w:r>
    </w:p>
    <w:p w14:paraId="36DA08CF" w14:textId="77777777" w:rsidR="00C2708D" w:rsidRPr="00CE4017" w:rsidRDefault="00C2708D" w:rsidP="1FAF4D54">
      <w:pPr>
        <w:widowControl/>
        <w:autoSpaceDE/>
        <w:autoSpaceDN/>
        <w:jc w:val="center"/>
        <w:rPr>
          <w:rFonts w:eastAsia="Times New Roman"/>
          <w:color w:val="000000"/>
          <w:lang w:val="es-CO" w:eastAsia="es-CO"/>
        </w:rPr>
      </w:pPr>
    </w:p>
    <w:p w14:paraId="6590C264"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El Secretario General de la honorable Cámara de Representantes,</w:t>
      </w:r>
    </w:p>
    <w:p w14:paraId="7D7E6452" w14:textId="77777777" w:rsidR="00C2708D" w:rsidRPr="00CE4017" w:rsidRDefault="00C2708D" w:rsidP="1FAF4D54">
      <w:pPr>
        <w:widowControl/>
        <w:autoSpaceDE/>
        <w:autoSpaceDN/>
        <w:jc w:val="center"/>
        <w:rPr>
          <w:rFonts w:eastAsia="Times New Roman"/>
          <w:color w:val="000000"/>
          <w:lang w:val="es-CO" w:eastAsia="es-CO"/>
        </w:rPr>
      </w:pPr>
    </w:p>
    <w:p w14:paraId="74DB9080"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Jesús Alfonso Rodríguez Camargo.</w:t>
      </w:r>
    </w:p>
    <w:p w14:paraId="2643824D" w14:textId="77777777" w:rsidR="00C2708D" w:rsidRPr="00CE4017" w:rsidRDefault="00C2708D" w:rsidP="1FAF4D54">
      <w:pPr>
        <w:widowControl/>
        <w:autoSpaceDE/>
        <w:autoSpaceDN/>
        <w:jc w:val="center"/>
        <w:rPr>
          <w:rFonts w:eastAsia="Times New Roman"/>
          <w:color w:val="000000"/>
          <w:lang w:val="es-CO" w:eastAsia="es-CO"/>
        </w:rPr>
      </w:pPr>
    </w:p>
    <w:p w14:paraId="06EA8AEF"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REPÚBLICA DE COLOMBIA - GOBIERNO NACIONAL</w:t>
      </w:r>
    </w:p>
    <w:p w14:paraId="6EE0A6D2" w14:textId="77777777" w:rsidR="00C2708D" w:rsidRPr="00CE4017" w:rsidRDefault="00C2708D" w:rsidP="1FAF4D54">
      <w:pPr>
        <w:widowControl/>
        <w:autoSpaceDE/>
        <w:autoSpaceDN/>
        <w:jc w:val="center"/>
        <w:rPr>
          <w:rFonts w:eastAsia="Times New Roman"/>
          <w:color w:val="000000"/>
          <w:lang w:val="es-CO" w:eastAsia="es-CO"/>
        </w:rPr>
      </w:pPr>
    </w:p>
    <w:p w14:paraId="3B6CC8BD"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Publíquese y cúmplase.</w:t>
      </w:r>
    </w:p>
    <w:p w14:paraId="575DDDA4" w14:textId="77777777" w:rsidR="00C2708D" w:rsidRPr="00CE4017" w:rsidRDefault="00C2708D" w:rsidP="1FAF4D54">
      <w:pPr>
        <w:widowControl/>
        <w:autoSpaceDE/>
        <w:autoSpaceDN/>
        <w:jc w:val="center"/>
        <w:rPr>
          <w:rFonts w:eastAsia="Times New Roman"/>
          <w:color w:val="000000"/>
          <w:lang w:val="es-CO" w:eastAsia="es-CO"/>
        </w:rPr>
      </w:pPr>
    </w:p>
    <w:p w14:paraId="470CB465"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Dada en Bogotá, D. C., a 19 de enero de 2011.</w:t>
      </w:r>
    </w:p>
    <w:p w14:paraId="4D715C09" w14:textId="77777777" w:rsidR="00C2708D" w:rsidRPr="00CE4017" w:rsidRDefault="00C2708D" w:rsidP="1FAF4D54">
      <w:pPr>
        <w:widowControl/>
        <w:autoSpaceDE/>
        <w:autoSpaceDN/>
        <w:jc w:val="center"/>
        <w:rPr>
          <w:rFonts w:eastAsia="Times New Roman"/>
          <w:color w:val="000000"/>
          <w:lang w:val="es-CO" w:eastAsia="es-CO"/>
        </w:rPr>
      </w:pPr>
    </w:p>
    <w:p w14:paraId="10E49AD7"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JUAN MANUEL SANTOS CALDERÓN</w:t>
      </w:r>
    </w:p>
    <w:p w14:paraId="2D14EE37" w14:textId="77777777" w:rsidR="00C2708D" w:rsidRPr="00CE4017" w:rsidRDefault="00C2708D" w:rsidP="1FAF4D54">
      <w:pPr>
        <w:widowControl/>
        <w:autoSpaceDE/>
        <w:autoSpaceDN/>
        <w:jc w:val="center"/>
        <w:rPr>
          <w:rFonts w:eastAsia="Times New Roman"/>
          <w:color w:val="000000"/>
          <w:lang w:val="es-CO" w:eastAsia="es-CO"/>
        </w:rPr>
      </w:pPr>
    </w:p>
    <w:p w14:paraId="17039218"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El Ministro de Hacienda y Crédito Público,</w:t>
      </w:r>
    </w:p>
    <w:p w14:paraId="7F085B96" w14:textId="77777777" w:rsidR="00C2708D" w:rsidRPr="00CE4017" w:rsidRDefault="00C2708D" w:rsidP="1FAF4D54">
      <w:pPr>
        <w:widowControl/>
        <w:autoSpaceDE/>
        <w:autoSpaceDN/>
        <w:jc w:val="center"/>
        <w:rPr>
          <w:rFonts w:eastAsia="Times New Roman"/>
          <w:color w:val="000000"/>
          <w:lang w:val="es-CO" w:eastAsia="es-CO"/>
        </w:rPr>
      </w:pPr>
    </w:p>
    <w:p w14:paraId="7EAE8485"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Juan Carlos Echeverry Garzón.</w:t>
      </w:r>
    </w:p>
    <w:p w14:paraId="081EEC6A" w14:textId="77777777" w:rsidR="00C2708D" w:rsidRPr="00CE4017" w:rsidRDefault="00C2708D" w:rsidP="1FAF4D54">
      <w:pPr>
        <w:widowControl/>
        <w:autoSpaceDE/>
        <w:autoSpaceDN/>
        <w:jc w:val="center"/>
        <w:rPr>
          <w:rFonts w:eastAsia="Times New Roman"/>
          <w:color w:val="000000"/>
          <w:lang w:val="es-CO" w:eastAsia="es-CO"/>
        </w:rPr>
      </w:pPr>
    </w:p>
    <w:p w14:paraId="256048FE"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El Ministro de la Protección Social,</w:t>
      </w:r>
    </w:p>
    <w:p w14:paraId="79DD11BC" w14:textId="77777777" w:rsidR="00C2708D" w:rsidRPr="00CE4017" w:rsidRDefault="00C2708D" w:rsidP="1FAF4D54">
      <w:pPr>
        <w:widowControl/>
        <w:autoSpaceDE/>
        <w:autoSpaceDN/>
        <w:jc w:val="center"/>
        <w:rPr>
          <w:rFonts w:eastAsia="Times New Roman"/>
          <w:color w:val="000000"/>
          <w:lang w:val="es-CO" w:eastAsia="es-CO"/>
        </w:rPr>
      </w:pPr>
    </w:p>
    <w:p w14:paraId="30FE54DB" w14:textId="77777777" w:rsidR="00C2708D" w:rsidRPr="00CE4017" w:rsidRDefault="00C2708D" w:rsidP="1FAF4D54">
      <w:pPr>
        <w:widowControl/>
        <w:autoSpaceDE/>
        <w:autoSpaceDN/>
        <w:jc w:val="center"/>
        <w:rPr>
          <w:rFonts w:eastAsia="Times New Roman"/>
          <w:color w:val="000000"/>
          <w:lang w:val="es-CO" w:eastAsia="es-CO"/>
        </w:rPr>
      </w:pPr>
      <w:r w:rsidRPr="1FAF4D54">
        <w:rPr>
          <w:rFonts w:eastAsia="Times New Roman"/>
          <w:color w:val="000000" w:themeColor="text1"/>
          <w:lang w:val="es-CO" w:eastAsia="es-CO"/>
        </w:rPr>
        <w:t>Mauricio Santa María Salamanca.</w:t>
      </w:r>
    </w:p>
    <w:p w14:paraId="280A1D44" w14:textId="77777777" w:rsidR="00C2708D" w:rsidRPr="00CE4017" w:rsidRDefault="00C2708D" w:rsidP="00CE4017">
      <w:pPr>
        <w:widowControl/>
        <w:autoSpaceDE/>
        <w:autoSpaceDN/>
        <w:jc w:val="center"/>
        <w:rPr>
          <w:rFonts w:eastAsia="Times New Roman"/>
          <w:color w:val="000000"/>
          <w:lang w:val="es-CO" w:eastAsia="es-CO"/>
        </w:rPr>
      </w:pPr>
    </w:p>
    <w:p w14:paraId="27118D06" w14:textId="77777777" w:rsidR="009D637A" w:rsidRPr="00BD2ADD" w:rsidRDefault="009D637A" w:rsidP="00CE4017">
      <w:pPr>
        <w:jc w:val="center"/>
        <w:rPr>
          <w:b/>
          <w:bCs/>
        </w:rPr>
      </w:pPr>
    </w:p>
    <w:sectPr w:rsidR="009D637A" w:rsidRPr="00BD2AD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F7D49"/>
    <w:multiLevelType w:val="multilevel"/>
    <w:tmpl w:val="E904FF0C"/>
    <w:lvl w:ilvl="0">
      <w:start w:val="16"/>
      <w:numFmt w:val="decimal"/>
      <w:lvlText w:val="%1"/>
      <w:lvlJc w:val="left"/>
      <w:pPr>
        <w:ind w:left="500" w:hanging="401"/>
      </w:pPr>
      <w:rPr>
        <w:lang w:val="es-ES" w:eastAsia="en-US" w:bidi="ar-SA"/>
      </w:rPr>
    </w:lvl>
    <w:lvl w:ilvl="1">
      <w:start w:val="1"/>
      <w:numFmt w:val="decimal"/>
      <w:lvlText w:val="%1.%2"/>
      <w:lvlJc w:val="left"/>
      <w:pPr>
        <w:ind w:left="500" w:hanging="401"/>
      </w:pPr>
      <w:rPr>
        <w:rFonts w:ascii="Arial" w:eastAsia="Arial" w:hAnsi="Arial" w:cs="Arial" w:hint="default"/>
        <w:color w:val="4A4949"/>
        <w:spacing w:val="-10"/>
        <w:w w:val="100"/>
        <w:sz w:val="18"/>
        <w:szCs w:val="18"/>
        <w:lang w:val="es-ES" w:eastAsia="en-US" w:bidi="ar-SA"/>
      </w:rPr>
    </w:lvl>
    <w:lvl w:ilvl="2">
      <w:numFmt w:val="bullet"/>
      <w:lvlText w:val="•"/>
      <w:lvlJc w:val="left"/>
      <w:pPr>
        <w:ind w:left="2388" w:hanging="401"/>
      </w:pPr>
      <w:rPr>
        <w:lang w:val="es-ES" w:eastAsia="en-US" w:bidi="ar-SA"/>
      </w:rPr>
    </w:lvl>
    <w:lvl w:ilvl="3">
      <w:numFmt w:val="bullet"/>
      <w:lvlText w:val="•"/>
      <w:lvlJc w:val="left"/>
      <w:pPr>
        <w:ind w:left="3332" w:hanging="401"/>
      </w:pPr>
      <w:rPr>
        <w:lang w:val="es-ES" w:eastAsia="en-US" w:bidi="ar-SA"/>
      </w:rPr>
    </w:lvl>
    <w:lvl w:ilvl="4">
      <w:numFmt w:val="bullet"/>
      <w:lvlText w:val="•"/>
      <w:lvlJc w:val="left"/>
      <w:pPr>
        <w:ind w:left="4276" w:hanging="401"/>
      </w:pPr>
      <w:rPr>
        <w:lang w:val="es-ES" w:eastAsia="en-US" w:bidi="ar-SA"/>
      </w:rPr>
    </w:lvl>
    <w:lvl w:ilvl="5">
      <w:numFmt w:val="bullet"/>
      <w:lvlText w:val="•"/>
      <w:lvlJc w:val="left"/>
      <w:pPr>
        <w:ind w:left="5220" w:hanging="401"/>
      </w:pPr>
      <w:rPr>
        <w:lang w:val="es-ES" w:eastAsia="en-US" w:bidi="ar-SA"/>
      </w:rPr>
    </w:lvl>
    <w:lvl w:ilvl="6">
      <w:numFmt w:val="bullet"/>
      <w:lvlText w:val="•"/>
      <w:lvlJc w:val="left"/>
      <w:pPr>
        <w:ind w:left="6164" w:hanging="401"/>
      </w:pPr>
      <w:rPr>
        <w:lang w:val="es-ES" w:eastAsia="en-US" w:bidi="ar-SA"/>
      </w:rPr>
    </w:lvl>
    <w:lvl w:ilvl="7">
      <w:numFmt w:val="bullet"/>
      <w:lvlText w:val="•"/>
      <w:lvlJc w:val="left"/>
      <w:pPr>
        <w:ind w:left="7108" w:hanging="401"/>
      </w:pPr>
      <w:rPr>
        <w:lang w:val="es-ES" w:eastAsia="en-US" w:bidi="ar-SA"/>
      </w:rPr>
    </w:lvl>
    <w:lvl w:ilvl="8">
      <w:numFmt w:val="bullet"/>
      <w:lvlText w:val="•"/>
      <w:lvlJc w:val="left"/>
      <w:pPr>
        <w:ind w:left="8052" w:hanging="401"/>
      </w:pPr>
      <w:rPr>
        <w:lang w:val="es-ES" w:eastAsia="en-US" w:bidi="ar-SA"/>
      </w:rPr>
    </w:lvl>
  </w:abstractNum>
  <w:abstractNum w:abstractNumId="1" w15:restartNumberingAfterBreak="0">
    <w:nsid w:val="25E61226"/>
    <w:multiLevelType w:val="multilevel"/>
    <w:tmpl w:val="200E299E"/>
    <w:lvl w:ilvl="0">
      <w:start w:val="2"/>
      <w:numFmt w:val="decimal"/>
      <w:lvlText w:val="%1"/>
      <w:lvlJc w:val="left"/>
      <w:pPr>
        <w:ind w:left="400" w:hanging="301"/>
      </w:pPr>
      <w:rPr>
        <w:lang w:val="es-ES" w:eastAsia="en-US" w:bidi="ar-SA"/>
      </w:rPr>
    </w:lvl>
    <w:lvl w:ilvl="1">
      <w:start w:val="1"/>
      <w:numFmt w:val="decimal"/>
      <w:lvlText w:val="%1.%2"/>
      <w:lvlJc w:val="left"/>
      <w:pPr>
        <w:ind w:left="400" w:hanging="301"/>
      </w:pPr>
      <w:rPr>
        <w:rFonts w:ascii="Arial" w:eastAsia="Arial" w:hAnsi="Arial" w:cs="Arial" w:hint="default"/>
        <w:color w:val="4A4949"/>
        <w:w w:val="100"/>
        <w:sz w:val="18"/>
        <w:szCs w:val="18"/>
        <w:lang w:val="es-ES" w:eastAsia="en-US" w:bidi="ar-SA"/>
      </w:rPr>
    </w:lvl>
    <w:lvl w:ilvl="2">
      <w:numFmt w:val="bullet"/>
      <w:lvlText w:val="•"/>
      <w:lvlJc w:val="left"/>
      <w:pPr>
        <w:ind w:left="2308" w:hanging="301"/>
      </w:pPr>
      <w:rPr>
        <w:lang w:val="es-ES" w:eastAsia="en-US" w:bidi="ar-SA"/>
      </w:rPr>
    </w:lvl>
    <w:lvl w:ilvl="3">
      <w:numFmt w:val="bullet"/>
      <w:lvlText w:val="•"/>
      <w:lvlJc w:val="left"/>
      <w:pPr>
        <w:ind w:left="3262" w:hanging="301"/>
      </w:pPr>
      <w:rPr>
        <w:lang w:val="es-ES" w:eastAsia="en-US" w:bidi="ar-SA"/>
      </w:rPr>
    </w:lvl>
    <w:lvl w:ilvl="4">
      <w:numFmt w:val="bullet"/>
      <w:lvlText w:val="•"/>
      <w:lvlJc w:val="left"/>
      <w:pPr>
        <w:ind w:left="4216" w:hanging="301"/>
      </w:pPr>
      <w:rPr>
        <w:lang w:val="es-ES" w:eastAsia="en-US" w:bidi="ar-SA"/>
      </w:rPr>
    </w:lvl>
    <w:lvl w:ilvl="5">
      <w:numFmt w:val="bullet"/>
      <w:lvlText w:val="•"/>
      <w:lvlJc w:val="left"/>
      <w:pPr>
        <w:ind w:left="5170" w:hanging="301"/>
      </w:pPr>
      <w:rPr>
        <w:lang w:val="es-ES" w:eastAsia="en-US" w:bidi="ar-SA"/>
      </w:rPr>
    </w:lvl>
    <w:lvl w:ilvl="6">
      <w:numFmt w:val="bullet"/>
      <w:lvlText w:val="•"/>
      <w:lvlJc w:val="left"/>
      <w:pPr>
        <w:ind w:left="6124" w:hanging="301"/>
      </w:pPr>
      <w:rPr>
        <w:lang w:val="es-ES" w:eastAsia="en-US" w:bidi="ar-SA"/>
      </w:rPr>
    </w:lvl>
    <w:lvl w:ilvl="7">
      <w:numFmt w:val="bullet"/>
      <w:lvlText w:val="•"/>
      <w:lvlJc w:val="left"/>
      <w:pPr>
        <w:ind w:left="7078" w:hanging="301"/>
      </w:pPr>
      <w:rPr>
        <w:lang w:val="es-ES" w:eastAsia="en-US" w:bidi="ar-SA"/>
      </w:rPr>
    </w:lvl>
    <w:lvl w:ilvl="8">
      <w:numFmt w:val="bullet"/>
      <w:lvlText w:val="•"/>
      <w:lvlJc w:val="left"/>
      <w:pPr>
        <w:ind w:left="8032" w:hanging="301"/>
      </w:pPr>
      <w:rPr>
        <w:lang w:val="es-ES" w:eastAsia="en-US" w:bidi="ar-SA"/>
      </w:rPr>
    </w:lvl>
  </w:abstractNum>
  <w:abstractNum w:abstractNumId="2" w15:restartNumberingAfterBreak="0">
    <w:nsid w:val="3C287AA5"/>
    <w:multiLevelType w:val="multilevel"/>
    <w:tmpl w:val="ED56840E"/>
    <w:lvl w:ilvl="0">
      <w:start w:val="13"/>
      <w:numFmt w:val="decimal"/>
      <w:lvlText w:val="%1"/>
      <w:lvlJc w:val="left"/>
      <w:pPr>
        <w:ind w:left="100" w:hanging="477"/>
      </w:pPr>
      <w:rPr>
        <w:lang w:val="es-ES" w:eastAsia="en-US" w:bidi="ar-SA"/>
      </w:rPr>
    </w:lvl>
    <w:lvl w:ilvl="1">
      <w:start w:val="1"/>
      <w:numFmt w:val="decimal"/>
      <w:lvlText w:val="%1.%2"/>
      <w:lvlJc w:val="left"/>
      <w:pPr>
        <w:ind w:left="100" w:hanging="477"/>
      </w:pPr>
      <w:rPr>
        <w:rFonts w:ascii="Arial" w:eastAsia="Arial" w:hAnsi="Arial" w:cs="Arial" w:hint="default"/>
        <w:color w:val="4A4949"/>
        <w:spacing w:val="-24"/>
        <w:w w:val="100"/>
        <w:sz w:val="18"/>
        <w:szCs w:val="18"/>
        <w:lang w:val="es-ES" w:eastAsia="en-US" w:bidi="ar-SA"/>
      </w:rPr>
    </w:lvl>
    <w:lvl w:ilvl="2">
      <w:numFmt w:val="bullet"/>
      <w:lvlText w:val="•"/>
      <w:lvlJc w:val="left"/>
      <w:pPr>
        <w:ind w:left="2068" w:hanging="477"/>
      </w:pPr>
      <w:rPr>
        <w:lang w:val="es-ES" w:eastAsia="en-US" w:bidi="ar-SA"/>
      </w:rPr>
    </w:lvl>
    <w:lvl w:ilvl="3">
      <w:numFmt w:val="bullet"/>
      <w:lvlText w:val="•"/>
      <w:lvlJc w:val="left"/>
      <w:pPr>
        <w:ind w:left="3052" w:hanging="477"/>
      </w:pPr>
      <w:rPr>
        <w:lang w:val="es-ES" w:eastAsia="en-US" w:bidi="ar-SA"/>
      </w:rPr>
    </w:lvl>
    <w:lvl w:ilvl="4">
      <w:numFmt w:val="bullet"/>
      <w:lvlText w:val="•"/>
      <w:lvlJc w:val="left"/>
      <w:pPr>
        <w:ind w:left="4036" w:hanging="477"/>
      </w:pPr>
      <w:rPr>
        <w:lang w:val="es-ES" w:eastAsia="en-US" w:bidi="ar-SA"/>
      </w:rPr>
    </w:lvl>
    <w:lvl w:ilvl="5">
      <w:numFmt w:val="bullet"/>
      <w:lvlText w:val="•"/>
      <w:lvlJc w:val="left"/>
      <w:pPr>
        <w:ind w:left="5020" w:hanging="477"/>
      </w:pPr>
      <w:rPr>
        <w:lang w:val="es-ES" w:eastAsia="en-US" w:bidi="ar-SA"/>
      </w:rPr>
    </w:lvl>
    <w:lvl w:ilvl="6">
      <w:numFmt w:val="bullet"/>
      <w:lvlText w:val="•"/>
      <w:lvlJc w:val="left"/>
      <w:pPr>
        <w:ind w:left="6004" w:hanging="477"/>
      </w:pPr>
      <w:rPr>
        <w:lang w:val="es-ES" w:eastAsia="en-US" w:bidi="ar-SA"/>
      </w:rPr>
    </w:lvl>
    <w:lvl w:ilvl="7">
      <w:numFmt w:val="bullet"/>
      <w:lvlText w:val="•"/>
      <w:lvlJc w:val="left"/>
      <w:pPr>
        <w:ind w:left="6988" w:hanging="477"/>
      </w:pPr>
      <w:rPr>
        <w:lang w:val="es-ES" w:eastAsia="en-US" w:bidi="ar-SA"/>
      </w:rPr>
    </w:lvl>
    <w:lvl w:ilvl="8">
      <w:numFmt w:val="bullet"/>
      <w:lvlText w:val="•"/>
      <w:lvlJc w:val="left"/>
      <w:pPr>
        <w:ind w:left="7972" w:hanging="477"/>
      </w:pPr>
      <w:rPr>
        <w:lang w:val="es-ES" w:eastAsia="en-US" w:bidi="ar-SA"/>
      </w:rPr>
    </w:lvl>
  </w:abstractNum>
  <w:abstractNum w:abstractNumId="3" w15:restartNumberingAfterBreak="0">
    <w:nsid w:val="44716212"/>
    <w:multiLevelType w:val="multilevel"/>
    <w:tmpl w:val="A95A5B4C"/>
    <w:lvl w:ilvl="0">
      <w:start w:val="3"/>
      <w:numFmt w:val="decimal"/>
      <w:lvlText w:val="%1"/>
      <w:lvlJc w:val="left"/>
      <w:pPr>
        <w:ind w:left="100" w:hanging="401"/>
      </w:pPr>
      <w:rPr>
        <w:lang w:val="es-ES" w:eastAsia="en-US" w:bidi="ar-SA"/>
      </w:rPr>
    </w:lvl>
    <w:lvl w:ilvl="1">
      <w:start w:val="19"/>
      <w:numFmt w:val="decimal"/>
      <w:lvlText w:val="%1.%2"/>
      <w:lvlJc w:val="left"/>
      <w:pPr>
        <w:ind w:left="100" w:hanging="401"/>
      </w:pPr>
      <w:rPr>
        <w:rFonts w:ascii="Arial" w:eastAsia="Arial" w:hAnsi="Arial" w:cs="Arial" w:hint="default"/>
        <w:color w:val="4A4949"/>
        <w:w w:val="100"/>
        <w:sz w:val="18"/>
        <w:szCs w:val="18"/>
        <w:lang w:val="es-ES" w:eastAsia="en-US" w:bidi="ar-SA"/>
      </w:rPr>
    </w:lvl>
    <w:lvl w:ilvl="2">
      <w:numFmt w:val="bullet"/>
      <w:lvlText w:val="•"/>
      <w:lvlJc w:val="left"/>
      <w:pPr>
        <w:ind w:left="2068" w:hanging="401"/>
      </w:pPr>
      <w:rPr>
        <w:lang w:val="es-ES" w:eastAsia="en-US" w:bidi="ar-SA"/>
      </w:rPr>
    </w:lvl>
    <w:lvl w:ilvl="3">
      <w:numFmt w:val="bullet"/>
      <w:lvlText w:val="•"/>
      <w:lvlJc w:val="left"/>
      <w:pPr>
        <w:ind w:left="3052" w:hanging="401"/>
      </w:pPr>
      <w:rPr>
        <w:lang w:val="es-ES" w:eastAsia="en-US" w:bidi="ar-SA"/>
      </w:rPr>
    </w:lvl>
    <w:lvl w:ilvl="4">
      <w:numFmt w:val="bullet"/>
      <w:lvlText w:val="•"/>
      <w:lvlJc w:val="left"/>
      <w:pPr>
        <w:ind w:left="4036" w:hanging="401"/>
      </w:pPr>
      <w:rPr>
        <w:lang w:val="es-ES" w:eastAsia="en-US" w:bidi="ar-SA"/>
      </w:rPr>
    </w:lvl>
    <w:lvl w:ilvl="5">
      <w:numFmt w:val="bullet"/>
      <w:lvlText w:val="•"/>
      <w:lvlJc w:val="left"/>
      <w:pPr>
        <w:ind w:left="5020" w:hanging="401"/>
      </w:pPr>
      <w:rPr>
        <w:lang w:val="es-ES" w:eastAsia="en-US" w:bidi="ar-SA"/>
      </w:rPr>
    </w:lvl>
    <w:lvl w:ilvl="6">
      <w:numFmt w:val="bullet"/>
      <w:lvlText w:val="•"/>
      <w:lvlJc w:val="left"/>
      <w:pPr>
        <w:ind w:left="6004" w:hanging="401"/>
      </w:pPr>
      <w:rPr>
        <w:lang w:val="es-ES" w:eastAsia="en-US" w:bidi="ar-SA"/>
      </w:rPr>
    </w:lvl>
    <w:lvl w:ilvl="7">
      <w:numFmt w:val="bullet"/>
      <w:lvlText w:val="•"/>
      <w:lvlJc w:val="left"/>
      <w:pPr>
        <w:ind w:left="6988" w:hanging="401"/>
      </w:pPr>
      <w:rPr>
        <w:lang w:val="es-ES" w:eastAsia="en-US" w:bidi="ar-SA"/>
      </w:rPr>
    </w:lvl>
    <w:lvl w:ilvl="8">
      <w:numFmt w:val="bullet"/>
      <w:lvlText w:val="•"/>
      <w:lvlJc w:val="left"/>
      <w:pPr>
        <w:ind w:left="7972" w:hanging="401"/>
      </w:pPr>
      <w:rPr>
        <w:lang w:val="es-ES" w:eastAsia="en-US" w:bidi="ar-SA"/>
      </w:rPr>
    </w:lvl>
  </w:abstractNum>
  <w:abstractNum w:abstractNumId="4" w15:restartNumberingAfterBreak="0">
    <w:nsid w:val="547004AF"/>
    <w:multiLevelType w:val="multilevel"/>
    <w:tmpl w:val="CF58E740"/>
    <w:lvl w:ilvl="0">
      <w:start w:val="42"/>
      <w:numFmt w:val="decimal"/>
      <w:lvlText w:val="%1"/>
      <w:lvlJc w:val="left"/>
      <w:pPr>
        <w:ind w:left="100" w:hanging="558"/>
      </w:pPr>
      <w:rPr>
        <w:lang w:val="es-ES" w:eastAsia="en-US" w:bidi="ar-SA"/>
      </w:rPr>
    </w:lvl>
    <w:lvl w:ilvl="1">
      <w:start w:val="22"/>
      <w:numFmt w:val="decimal"/>
      <w:lvlText w:val="%1.%2."/>
      <w:lvlJc w:val="left"/>
      <w:pPr>
        <w:ind w:left="100" w:hanging="558"/>
      </w:pPr>
      <w:rPr>
        <w:rFonts w:ascii="Arial" w:eastAsia="Arial" w:hAnsi="Arial" w:cs="Arial" w:hint="default"/>
        <w:color w:val="4A4949"/>
        <w:w w:val="100"/>
        <w:sz w:val="18"/>
        <w:szCs w:val="18"/>
        <w:lang w:val="es-ES" w:eastAsia="en-US" w:bidi="ar-SA"/>
      </w:rPr>
    </w:lvl>
    <w:lvl w:ilvl="2">
      <w:numFmt w:val="bullet"/>
      <w:lvlText w:val="•"/>
      <w:lvlJc w:val="left"/>
      <w:pPr>
        <w:ind w:left="2068" w:hanging="558"/>
      </w:pPr>
      <w:rPr>
        <w:lang w:val="es-ES" w:eastAsia="en-US" w:bidi="ar-SA"/>
      </w:rPr>
    </w:lvl>
    <w:lvl w:ilvl="3">
      <w:numFmt w:val="bullet"/>
      <w:lvlText w:val="•"/>
      <w:lvlJc w:val="left"/>
      <w:pPr>
        <w:ind w:left="3052" w:hanging="558"/>
      </w:pPr>
      <w:rPr>
        <w:lang w:val="es-ES" w:eastAsia="en-US" w:bidi="ar-SA"/>
      </w:rPr>
    </w:lvl>
    <w:lvl w:ilvl="4">
      <w:numFmt w:val="bullet"/>
      <w:lvlText w:val="•"/>
      <w:lvlJc w:val="left"/>
      <w:pPr>
        <w:ind w:left="4036" w:hanging="558"/>
      </w:pPr>
      <w:rPr>
        <w:lang w:val="es-ES" w:eastAsia="en-US" w:bidi="ar-SA"/>
      </w:rPr>
    </w:lvl>
    <w:lvl w:ilvl="5">
      <w:numFmt w:val="bullet"/>
      <w:lvlText w:val="•"/>
      <w:lvlJc w:val="left"/>
      <w:pPr>
        <w:ind w:left="5020" w:hanging="558"/>
      </w:pPr>
      <w:rPr>
        <w:lang w:val="es-ES" w:eastAsia="en-US" w:bidi="ar-SA"/>
      </w:rPr>
    </w:lvl>
    <w:lvl w:ilvl="6">
      <w:numFmt w:val="bullet"/>
      <w:lvlText w:val="•"/>
      <w:lvlJc w:val="left"/>
      <w:pPr>
        <w:ind w:left="6004" w:hanging="558"/>
      </w:pPr>
      <w:rPr>
        <w:lang w:val="es-ES" w:eastAsia="en-US" w:bidi="ar-SA"/>
      </w:rPr>
    </w:lvl>
    <w:lvl w:ilvl="7">
      <w:numFmt w:val="bullet"/>
      <w:lvlText w:val="•"/>
      <w:lvlJc w:val="left"/>
      <w:pPr>
        <w:ind w:left="6988" w:hanging="558"/>
      </w:pPr>
      <w:rPr>
        <w:lang w:val="es-ES" w:eastAsia="en-US" w:bidi="ar-SA"/>
      </w:rPr>
    </w:lvl>
    <w:lvl w:ilvl="8">
      <w:numFmt w:val="bullet"/>
      <w:lvlText w:val="•"/>
      <w:lvlJc w:val="left"/>
      <w:pPr>
        <w:ind w:left="7972" w:hanging="558"/>
      </w:pPr>
      <w:rPr>
        <w:lang w:val="es-ES" w:eastAsia="en-US" w:bidi="ar-SA"/>
      </w:rPr>
    </w:lvl>
  </w:abstractNum>
  <w:abstractNum w:abstractNumId="5" w15:restartNumberingAfterBreak="0">
    <w:nsid w:val="59485DF0"/>
    <w:multiLevelType w:val="multilevel"/>
    <w:tmpl w:val="42FE9386"/>
    <w:lvl w:ilvl="0">
      <w:start w:val="169"/>
      <w:numFmt w:val="decimal"/>
      <w:lvlText w:val="%1"/>
      <w:lvlJc w:val="left"/>
      <w:pPr>
        <w:ind w:left="100" w:hanging="509"/>
      </w:pPr>
      <w:rPr>
        <w:lang w:val="es-ES" w:eastAsia="en-US" w:bidi="ar-SA"/>
      </w:rPr>
    </w:lvl>
    <w:lvl w:ilvl="1">
      <w:start w:val="1"/>
      <w:numFmt w:val="decimal"/>
      <w:lvlText w:val="%1.%2"/>
      <w:lvlJc w:val="left"/>
      <w:pPr>
        <w:ind w:left="100" w:hanging="509"/>
      </w:pPr>
      <w:rPr>
        <w:rFonts w:ascii="Arial" w:eastAsia="Arial" w:hAnsi="Arial" w:cs="Arial" w:hint="default"/>
        <w:color w:val="4A4949"/>
        <w:w w:val="100"/>
        <w:sz w:val="18"/>
        <w:szCs w:val="18"/>
        <w:lang w:val="es-ES" w:eastAsia="en-US" w:bidi="ar-SA"/>
      </w:rPr>
    </w:lvl>
    <w:lvl w:ilvl="2">
      <w:numFmt w:val="bullet"/>
      <w:lvlText w:val="•"/>
      <w:lvlJc w:val="left"/>
      <w:pPr>
        <w:ind w:left="2068" w:hanging="509"/>
      </w:pPr>
      <w:rPr>
        <w:lang w:val="es-ES" w:eastAsia="en-US" w:bidi="ar-SA"/>
      </w:rPr>
    </w:lvl>
    <w:lvl w:ilvl="3">
      <w:numFmt w:val="bullet"/>
      <w:lvlText w:val="•"/>
      <w:lvlJc w:val="left"/>
      <w:pPr>
        <w:ind w:left="3052" w:hanging="509"/>
      </w:pPr>
      <w:rPr>
        <w:lang w:val="es-ES" w:eastAsia="en-US" w:bidi="ar-SA"/>
      </w:rPr>
    </w:lvl>
    <w:lvl w:ilvl="4">
      <w:numFmt w:val="bullet"/>
      <w:lvlText w:val="•"/>
      <w:lvlJc w:val="left"/>
      <w:pPr>
        <w:ind w:left="4036" w:hanging="509"/>
      </w:pPr>
      <w:rPr>
        <w:lang w:val="es-ES" w:eastAsia="en-US" w:bidi="ar-SA"/>
      </w:rPr>
    </w:lvl>
    <w:lvl w:ilvl="5">
      <w:numFmt w:val="bullet"/>
      <w:lvlText w:val="•"/>
      <w:lvlJc w:val="left"/>
      <w:pPr>
        <w:ind w:left="5020" w:hanging="509"/>
      </w:pPr>
      <w:rPr>
        <w:lang w:val="es-ES" w:eastAsia="en-US" w:bidi="ar-SA"/>
      </w:rPr>
    </w:lvl>
    <w:lvl w:ilvl="6">
      <w:numFmt w:val="bullet"/>
      <w:lvlText w:val="•"/>
      <w:lvlJc w:val="left"/>
      <w:pPr>
        <w:ind w:left="6004" w:hanging="509"/>
      </w:pPr>
      <w:rPr>
        <w:lang w:val="es-ES" w:eastAsia="en-US" w:bidi="ar-SA"/>
      </w:rPr>
    </w:lvl>
    <w:lvl w:ilvl="7">
      <w:numFmt w:val="bullet"/>
      <w:lvlText w:val="•"/>
      <w:lvlJc w:val="left"/>
      <w:pPr>
        <w:ind w:left="6988" w:hanging="509"/>
      </w:pPr>
      <w:rPr>
        <w:lang w:val="es-ES" w:eastAsia="en-US" w:bidi="ar-SA"/>
      </w:rPr>
    </w:lvl>
    <w:lvl w:ilvl="8">
      <w:numFmt w:val="bullet"/>
      <w:lvlText w:val="•"/>
      <w:lvlJc w:val="left"/>
      <w:pPr>
        <w:ind w:left="7972" w:hanging="509"/>
      </w:pPr>
      <w:rPr>
        <w:lang w:val="es-ES" w:eastAsia="en-US" w:bidi="ar-SA"/>
      </w:rPr>
    </w:lvl>
  </w:abstractNum>
  <w:abstractNum w:abstractNumId="6" w15:restartNumberingAfterBreak="0">
    <w:nsid w:val="5E785C6C"/>
    <w:multiLevelType w:val="multilevel"/>
    <w:tmpl w:val="FCF024FE"/>
    <w:lvl w:ilvl="0">
      <w:start w:val="3"/>
      <w:numFmt w:val="decimal"/>
      <w:lvlText w:val="%1"/>
      <w:lvlJc w:val="left"/>
      <w:pPr>
        <w:ind w:left="100" w:hanging="301"/>
      </w:pPr>
      <w:rPr>
        <w:lang w:val="es-ES" w:eastAsia="en-US" w:bidi="ar-SA"/>
      </w:rPr>
    </w:lvl>
    <w:lvl w:ilvl="1">
      <w:start w:val="1"/>
      <w:numFmt w:val="decimal"/>
      <w:lvlText w:val="%1.%2"/>
      <w:lvlJc w:val="left"/>
      <w:pPr>
        <w:ind w:left="100" w:hanging="301"/>
      </w:pPr>
      <w:rPr>
        <w:rFonts w:ascii="Arial" w:eastAsia="Arial" w:hAnsi="Arial" w:cs="Arial" w:hint="default"/>
        <w:color w:val="4A4949"/>
        <w:spacing w:val="-1"/>
        <w:w w:val="100"/>
        <w:sz w:val="18"/>
        <w:szCs w:val="18"/>
        <w:lang w:val="es-ES" w:eastAsia="en-US" w:bidi="ar-SA"/>
      </w:rPr>
    </w:lvl>
    <w:lvl w:ilvl="2">
      <w:numFmt w:val="bullet"/>
      <w:lvlText w:val="•"/>
      <w:lvlJc w:val="left"/>
      <w:pPr>
        <w:ind w:left="2068" w:hanging="301"/>
      </w:pPr>
      <w:rPr>
        <w:lang w:val="es-ES" w:eastAsia="en-US" w:bidi="ar-SA"/>
      </w:rPr>
    </w:lvl>
    <w:lvl w:ilvl="3">
      <w:numFmt w:val="bullet"/>
      <w:lvlText w:val="•"/>
      <w:lvlJc w:val="left"/>
      <w:pPr>
        <w:ind w:left="3052" w:hanging="301"/>
      </w:pPr>
      <w:rPr>
        <w:lang w:val="es-ES" w:eastAsia="en-US" w:bidi="ar-SA"/>
      </w:rPr>
    </w:lvl>
    <w:lvl w:ilvl="4">
      <w:numFmt w:val="bullet"/>
      <w:lvlText w:val="•"/>
      <w:lvlJc w:val="left"/>
      <w:pPr>
        <w:ind w:left="4036" w:hanging="301"/>
      </w:pPr>
      <w:rPr>
        <w:lang w:val="es-ES" w:eastAsia="en-US" w:bidi="ar-SA"/>
      </w:rPr>
    </w:lvl>
    <w:lvl w:ilvl="5">
      <w:numFmt w:val="bullet"/>
      <w:lvlText w:val="•"/>
      <w:lvlJc w:val="left"/>
      <w:pPr>
        <w:ind w:left="5020" w:hanging="301"/>
      </w:pPr>
      <w:rPr>
        <w:lang w:val="es-ES" w:eastAsia="en-US" w:bidi="ar-SA"/>
      </w:rPr>
    </w:lvl>
    <w:lvl w:ilvl="6">
      <w:numFmt w:val="bullet"/>
      <w:lvlText w:val="•"/>
      <w:lvlJc w:val="left"/>
      <w:pPr>
        <w:ind w:left="6004" w:hanging="301"/>
      </w:pPr>
      <w:rPr>
        <w:lang w:val="es-ES" w:eastAsia="en-US" w:bidi="ar-SA"/>
      </w:rPr>
    </w:lvl>
    <w:lvl w:ilvl="7">
      <w:numFmt w:val="bullet"/>
      <w:lvlText w:val="•"/>
      <w:lvlJc w:val="left"/>
      <w:pPr>
        <w:ind w:left="6988" w:hanging="301"/>
      </w:pPr>
      <w:rPr>
        <w:lang w:val="es-ES" w:eastAsia="en-US" w:bidi="ar-SA"/>
      </w:rPr>
    </w:lvl>
    <w:lvl w:ilvl="8">
      <w:numFmt w:val="bullet"/>
      <w:lvlText w:val="•"/>
      <w:lvlJc w:val="left"/>
      <w:pPr>
        <w:ind w:left="7972" w:hanging="301"/>
      </w:pPr>
      <w:rPr>
        <w:lang w:val="es-ES" w:eastAsia="en-US" w:bidi="ar-SA"/>
      </w:rPr>
    </w:lvl>
  </w:abstractNum>
  <w:abstractNum w:abstractNumId="7" w15:restartNumberingAfterBreak="0">
    <w:nsid w:val="6C874874"/>
    <w:multiLevelType w:val="multilevel"/>
    <w:tmpl w:val="A652342C"/>
    <w:lvl w:ilvl="0">
      <w:start w:val="32"/>
      <w:numFmt w:val="decimal"/>
      <w:lvlText w:val="%1"/>
      <w:lvlJc w:val="left"/>
      <w:pPr>
        <w:ind w:left="100" w:hanging="408"/>
      </w:pPr>
      <w:rPr>
        <w:lang w:val="es-ES" w:eastAsia="en-US" w:bidi="ar-SA"/>
      </w:rPr>
    </w:lvl>
    <w:lvl w:ilvl="1">
      <w:start w:val="1"/>
      <w:numFmt w:val="decimal"/>
      <w:lvlText w:val="%1.%2"/>
      <w:lvlJc w:val="left"/>
      <w:pPr>
        <w:ind w:left="100" w:hanging="408"/>
      </w:pPr>
      <w:rPr>
        <w:rFonts w:ascii="Arial" w:eastAsia="Arial" w:hAnsi="Arial" w:cs="Arial" w:hint="default"/>
        <w:color w:val="4A4949"/>
        <w:w w:val="100"/>
        <w:sz w:val="18"/>
        <w:szCs w:val="18"/>
        <w:lang w:val="es-ES" w:eastAsia="en-US" w:bidi="ar-SA"/>
      </w:rPr>
    </w:lvl>
    <w:lvl w:ilvl="2">
      <w:numFmt w:val="bullet"/>
      <w:lvlText w:val="•"/>
      <w:lvlJc w:val="left"/>
      <w:pPr>
        <w:ind w:left="2068" w:hanging="408"/>
      </w:pPr>
      <w:rPr>
        <w:lang w:val="es-ES" w:eastAsia="en-US" w:bidi="ar-SA"/>
      </w:rPr>
    </w:lvl>
    <w:lvl w:ilvl="3">
      <w:numFmt w:val="bullet"/>
      <w:lvlText w:val="•"/>
      <w:lvlJc w:val="left"/>
      <w:pPr>
        <w:ind w:left="3052" w:hanging="408"/>
      </w:pPr>
      <w:rPr>
        <w:lang w:val="es-ES" w:eastAsia="en-US" w:bidi="ar-SA"/>
      </w:rPr>
    </w:lvl>
    <w:lvl w:ilvl="4">
      <w:numFmt w:val="bullet"/>
      <w:lvlText w:val="•"/>
      <w:lvlJc w:val="left"/>
      <w:pPr>
        <w:ind w:left="4036" w:hanging="408"/>
      </w:pPr>
      <w:rPr>
        <w:lang w:val="es-ES" w:eastAsia="en-US" w:bidi="ar-SA"/>
      </w:rPr>
    </w:lvl>
    <w:lvl w:ilvl="5">
      <w:numFmt w:val="bullet"/>
      <w:lvlText w:val="•"/>
      <w:lvlJc w:val="left"/>
      <w:pPr>
        <w:ind w:left="5020" w:hanging="408"/>
      </w:pPr>
      <w:rPr>
        <w:lang w:val="es-ES" w:eastAsia="en-US" w:bidi="ar-SA"/>
      </w:rPr>
    </w:lvl>
    <w:lvl w:ilvl="6">
      <w:numFmt w:val="bullet"/>
      <w:lvlText w:val="•"/>
      <w:lvlJc w:val="left"/>
      <w:pPr>
        <w:ind w:left="6004" w:hanging="408"/>
      </w:pPr>
      <w:rPr>
        <w:lang w:val="es-ES" w:eastAsia="en-US" w:bidi="ar-SA"/>
      </w:rPr>
    </w:lvl>
    <w:lvl w:ilvl="7">
      <w:numFmt w:val="bullet"/>
      <w:lvlText w:val="•"/>
      <w:lvlJc w:val="left"/>
      <w:pPr>
        <w:ind w:left="6988" w:hanging="408"/>
      </w:pPr>
      <w:rPr>
        <w:lang w:val="es-ES" w:eastAsia="en-US" w:bidi="ar-SA"/>
      </w:rPr>
    </w:lvl>
    <w:lvl w:ilvl="8">
      <w:numFmt w:val="bullet"/>
      <w:lvlText w:val="•"/>
      <w:lvlJc w:val="left"/>
      <w:pPr>
        <w:ind w:left="7972" w:hanging="408"/>
      </w:pPr>
      <w:rPr>
        <w:lang w:val="es-ES" w:eastAsia="en-US" w:bidi="ar-SA"/>
      </w:rPr>
    </w:lvl>
  </w:abstractNum>
  <w:abstractNum w:abstractNumId="8" w15:restartNumberingAfterBreak="0">
    <w:nsid w:val="760B4997"/>
    <w:multiLevelType w:val="multilevel"/>
    <w:tmpl w:val="D1A666EA"/>
    <w:lvl w:ilvl="0">
      <w:start w:val="33"/>
      <w:numFmt w:val="decimal"/>
      <w:lvlText w:val="%1"/>
      <w:lvlJc w:val="left"/>
      <w:pPr>
        <w:ind w:left="100" w:hanging="428"/>
      </w:pPr>
      <w:rPr>
        <w:lang w:val="es-ES" w:eastAsia="en-US" w:bidi="ar-SA"/>
      </w:rPr>
    </w:lvl>
    <w:lvl w:ilvl="1">
      <w:start w:val="1"/>
      <w:numFmt w:val="decimal"/>
      <w:lvlText w:val="%1.%2"/>
      <w:lvlJc w:val="left"/>
      <w:pPr>
        <w:ind w:left="100" w:hanging="428"/>
      </w:pPr>
      <w:rPr>
        <w:rFonts w:ascii="Arial" w:eastAsia="Arial" w:hAnsi="Arial" w:cs="Arial" w:hint="default"/>
        <w:color w:val="4A4949"/>
        <w:spacing w:val="-23"/>
        <w:w w:val="100"/>
        <w:sz w:val="18"/>
        <w:szCs w:val="18"/>
        <w:lang w:val="es-ES" w:eastAsia="en-US" w:bidi="ar-SA"/>
      </w:rPr>
    </w:lvl>
    <w:lvl w:ilvl="2">
      <w:numFmt w:val="bullet"/>
      <w:lvlText w:val="•"/>
      <w:lvlJc w:val="left"/>
      <w:pPr>
        <w:ind w:left="2068" w:hanging="428"/>
      </w:pPr>
      <w:rPr>
        <w:lang w:val="es-ES" w:eastAsia="en-US" w:bidi="ar-SA"/>
      </w:rPr>
    </w:lvl>
    <w:lvl w:ilvl="3">
      <w:numFmt w:val="bullet"/>
      <w:lvlText w:val="•"/>
      <w:lvlJc w:val="left"/>
      <w:pPr>
        <w:ind w:left="3052" w:hanging="428"/>
      </w:pPr>
      <w:rPr>
        <w:lang w:val="es-ES" w:eastAsia="en-US" w:bidi="ar-SA"/>
      </w:rPr>
    </w:lvl>
    <w:lvl w:ilvl="4">
      <w:numFmt w:val="bullet"/>
      <w:lvlText w:val="•"/>
      <w:lvlJc w:val="left"/>
      <w:pPr>
        <w:ind w:left="4036" w:hanging="428"/>
      </w:pPr>
      <w:rPr>
        <w:lang w:val="es-ES" w:eastAsia="en-US" w:bidi="ar-SA"/>
      </w:rPr>
    </w:lvl>
    <w:lvl w:ilvl="5">
      <w:numFmt w:val="bullet"/>
      <w:lvlText w:val="•"/>
      <w:lvlJc w:val="left"/>
      <w:pPr>
        <w:ind w:left="5020" w:hanging="428"/>
      </w:pPr>
      <w:rPr>
        <w:lang w:val="es-ES" w:eastAsia="en-US" w:bidi="ar-SA"/>
      </w:rPr>
    </w:lvl>
    <w:lvl w:ilvl="6">
      <w:numFmt w:val="bullet"/>
      <w:lvlText w:val="•"/>
      <w:lvlJc w:val="left"/>
      <w:pPr>
        <w:ind w:left="6004" w:hanging="428"/>
      </w:pPr>
      <w:rPr>
        <w:lang w:val="es-ES" w:eastAsia="en-US" w:bidi="ar-SA"/>
      </w:rPr>
    </w:lvl>
    <w:lvl w:ilvl="7">
      <w:numFmt w:val="bullet"/>
      <w:lvlText w:val="•"/>
      <w:lvlJc w:val="left"/>
      <w:pPr>
        <w:ind w:left="6988" w:hanging="428"/>
      </w:pPr>
      <w:rPr>
        <w:lang w:val="es-ES" w:eastAsia="en-US" w:bidi="ar-SA"/>
      </w:rPr>
    </w:lvl>
    <w:lvl w:ilvl="8">
      <w:numFmt w:val="bullet"/>
      <w:lvlText w:val="•"/>
      <w:lvlJc w:val="left"/>
      <w:pPr>
        <w:ind w:left="7972" w:hanging="428"/>
      </w:pPr>
      <w:rPr>
        <w:lang w:val="es-ES" w:eastAsia="en-US" w:bidi="ar-SA"/>
      </w:rPr>
    </w:lvl>
  </w:abstractNum>
  <w:abstractNum w:abstractNumId="9" w15:restartNumberingAfterBreak="0">
    <w:nsid w:val="7F4A1111"/>
    <w:multiLevelType w:val="multilevel"/>
    <w:tmpl w:val="8362EB84"/>
    <w:lvl w:ilvl="0">
      <w:start w:val="9"/>
      <w:numFmt w:val="decimal"/>
      <w:lvlText w:val="%1"/>
      <w:lvlJc w:val="left"/>
      <w:pPr>
        <w:ind w:left="100" w:hanging="325"/>
      </w:pPr>
      <w:rPr>
        <w:lang w:val="es-ES" w:eastAsia="en-US" w:bidi="ar-SA"/>
      </w:rPr>
    </w:lvl>
    <w:lvl w:ilvl="1">
      <w:start w:val="1"/>
      <w:numFmt w:val="decimal"/>
      <w:lvlText w:val="%1.%2"/>
      <w:lvlJc w:val="left"/>
      <w:pPr>
        <w:ind w:left="100" w:hanging="325"/>
      </w:pPr>
      <w:rPr>
        <w:rFonts w:ascii="Arial" w:eastAsia="Arial" w:hAnsi="Arial" w:cs="Arial" w:hint="default"/>
        <w:color w:val="4A4949"/>
        <w:w w:val="100"/>
        <w:sz w:val="18"/>
        <w:szCs w:val="18"/>
        <w:lang w:val="es-ES" w:eastAsia="en-US" w:bidi="ar-SA"/>
      </w:rPr>
    </w:lvl>
    <w:lvl w:ilvl="2">
      <w:numFmt w:val="bullet"/>
      <w:lvlText w:val="•"/>
      <w:lvlJc w:val="left"/>
      <w:pPr>
        <w:ind w:left="2068" w:hanging="325"/>
      </w:pPr>
      <w:rPr>
        <w:lang w:val="es-ES" w:eastAsia="en-US" w:bidi="ar-SA"/>
      </w:rPr>
    </w:lvl>
    <w:lvl w:ilvl="3">
      <w:numFmt w:val="bullet"/>
      <w:lvlText w:val="•"/>
      <w:lvlJc w:val="left"/>
      <w:pPr>
        <w:ind w:left="3052" w:hanging="325"/>
      </w:pPr>
      <w:rPr>
        <w:lang w:val="es-ES" w:eastAsia="en-US" w:bidi="ar-SA"/>
      </w:rPr>
    </w:lvl>
    <w:lvl w:ilvl="4">
      <w:numFmt w:val="bullet"/>
      <w:lvlText w:val="•"/>
      <w:lvlJc w:val="left"/>
      <w:pPr>
        <w:ind w:left="4036" w:hanging="325"/>
      </w:pPr>
      <w:rPr>
        <w:lang w:val="es-ES" w:eastAsia="en-US" w:bidi="ar-SA"/>
      </w:rPr>
    </w:lvl>
    <w:lvl w:ilvl="5">
      <w:numFmt w:val="bullet"/>
      <w:lvlText w:val="•"/>
      <w:lvlJc w:val="left"/>
      <w:pPr>
        <w:ind w:left="5020" w:hanging="325"/>
      </w:pPr>
      <w:rPr>
        <w:lang w:val="es-ES" w:eastAsia="en-US" w:bidi="ar-SA"/>
      </w:rPr>
    </w:lvl>
    <w:lvl w:ilvl="6">
      <w:numFmt w:val="bullet"/>
      <w:lvlText w:val="•"/>
      <w:lvlJc w:val="left"/>
      <w:pPr>
        <w:ind w:left="6004" w:hanging="325"/>
      </w:pPr>
      <w:rPr>
        <w:lang w:val="es-ES" w:eastAsia="en-US" w:bidi="ar-SA"/>
      </w:rPr>
    </w:lvl>
    <w:lvl w:ilvl="7">
      <w:numFmt w:val="bullet"/>
      <w:lvlText w:val="•"/>
      <w:lvlJc w:val="left"/>
      <w:pPr>
        <w:ind w:left="6988" w:hanging="325"/>
      </w:pPr>
      <w:rPr>
        <w:lang w:val="es-ES" w:eastAsia="en-US" w:bidi="ar-SA"/>
      </w:rPr>
    </w:lvl>
    <w:lvl w:ilvl="8">
      <w:numFmt w:val="bullet"/>
      <w:lvlText w:val="•"/>
      <w:lvlJc w:val="left"/>
      <w:pPr>
        <w:ind w:left="7972" w:hanging="325"/>
      </w:pPr>
      <w:rPr>
        <w:lang w:val="es-ES" w:eastAsia="en-US" w:bidi="ar-SA"/>
      </w:rPr>
    </w:lvl>
  </w:abstractNum>
  <w:num w:numId="1">
    <w:abstractNumId w:val="1"/>
    <w:lvlOverride w:ilvl="0">
      <w:startOverride w:val="2"/>
    </w:lvlOverride>
    <w:lvlOverride w:ilvl="1">
      <w:startOverride w:val="1"/>
    </w:lvlOverride>
    <w:lvlOverride w:ilvl="2"/>
    <w:lvlOverride w:ilvl="3"/>
    <w:lvlOverride w:ilvl="4"/>
    <w:lvlOverride w:ilvl="5"/>
    <w:lvlOverride w:ilvl="6"/>
    <w:lvlOverride w:ilvl="7"/>
    <w:lvlOverride w:ilvl="8"/>
  </w:num>
  <w:num w:numId="2">
    <w:abstractNumId w:val="6"/>
    <w:lvlOverride w:ilvl="0">
      <w:startOverride w:val="3"/>
    </w:lvlOverride>
    <w:lvlOverride w:ilvl="1">
      <w:startOverride w:val="1"/>
    </w:lvlOverride>
    <w:lvlOverride w:ilvl="2"/>
    <w:lvlOverride w:ilvl="3"/>
    <w:lvlOverride w:ilvl="4"/>
    <w:lvlOverride w:ilvl="5"/>
    <w:lvlOverride w:ilvl="6"/>
    <w:lvlOverride w:ilvl="7"/>
    <w:lvlOverride w:ilvl="8"/>
  </w:num>
  <w:num w:numId="3">
    <w:abstractNumId w:val="3"/>
    <w:lvlOverride w:ilvl="0">
      <w:startOverride w:val="3"/>
    </w:lvlOverride>
    <w:lvlOverride w:ilvl="1">
      <w:startOverride w:val="19"/>
    </w:lvlOverride>
    <w:lvlOverride w:ilvl="2"/>
    <w:lvlOverride w:ilvl="3"/>
    <w:lvlOverride w:ilvl="4"/>
    <w:lvlOverride w:ilvl="5"/>
    <w:lvlOverride w:ilvl="6"/>
    <w:lvlOverride w:ilvl="7"/>
    <w:lvlOverride w:ilvl="8"/>
  </w:num>
  <w:num w:numId="4">
    <w:abstractNumId w:val="4"/>
    <w:lvlOverride w:ilvl="0">
      <w:startOverride w:val="42"/>
    </w:lvlOverride>
    <w:lvlOverride w:ilvl="1">
      <w:startOverride w:val="22"/>
    </w:lvlOverride>
    <w:lvlOverride w:ilvl="2"/>
    <w:lvlOverride w:ilvl="3"/>
    <w:lvlOverride w:ilvl="4"/>
    <w:lvlOverride w:ilvl="5"/>
    <w:lvlOverride w:ilvl="6"/>
    <w:lvlOverride w:ilvl="7"/>
    <w:lvlOverride w:ilvl="8"/>
  </w:num>
  <w:num w:numId="5">
    <w:abstractNumId w:val="9"/>
    <w:lvlOverride w:ilvl="0">
      <w:startOverride w:val="9"/>
    </w:lvlOverride>
    <w:lvlOverride w:ilvl="1">
      <w:startOverride w:val="1"/>
    </w:lvlOverride>
    <w:lvlOverride w:ilvl="2"/>
    <w:lvlOverride w:ilvl="3"/>
    <w:lvlOverride w:ilvl="4"/>
    <w:lvlOverride w:ilvl="5"/>
    <w:lvlOverride w:ilvl="6"/>
    <w:lvlOverride w:ilvl="7"/>
    <w:lvlOverride w:ilvl="8"/>
  </w:num>
  <w:num w:numId="6">
    <w:abstractNumId w:val="2"/>
    <w:lvlOverride w:ilvl="0">
      <w:startOverride w:val="13"/>
    </w:lvlOverride>
    <w:lvlOverride w:ilvl="1">
      <w:startOverride w:val="1"/>
    </w:lvlOverride>
    <w:lvlOverride w:ilvl="2"/>
    <w:lvlOverride w:ilvl="3"/>
    <w:lvlOverride w:ilvl="4"/>
    <w:lvlOverride w:ilvl="5"/>
    <w:lvlOverride w:ilvl="6"/>
    <w:lvlOverride w:ilvl="7"/>
    <w:lvlOverride w:ilvl="8"/>
  </w:num>
  <w:num w:numId="7">
    <w:abstractNumId w:val="0"/>
    <w:lvlOverride w:ilvl="0">
      <w:startOverride w:val="16"/>
    </w:lvlOverride>
    <w:lvlOverride w:ilvl="1">
      <w:startOverride w:val="1"/>
    </w:lvlOverride>
    <w:lvlOverride w:ilvl="2"/>
    <w:lvlOverride w:ilvl="3"/>
    <w:lvlOverride w:ilvl="4"/>
    <w:lvlOverride w:ilvl="5"/>
    <w:lvlOverride w:ilvl="6"/>
    <w:lvlOverride w:ilvl="7"/>
    <w:lvlOverride w:ilvl="8"/>
  </w:num>
  <w:num w:numId="8">
    <w:abstractNumId w:val="7"/>
    <w:lvlOverride w:ilvl="0">
      <w:startOverride w:val="32"/>
    </w:lvlOverride>
    <w:lvlOverride w:ilvl="1">
      <w:startOverride w:val="1"/>
    </w:lvlOverride>
    <w:lvlOverride w:ilvl="2"/>
    <w:lvlOverride w:ilvl="3"/>
    <w:lvlOverride w:ilvl="4"/>
    <w:lvlOverride w:ilvl="5"/>
    <w:lvlOverride w:ilvl="6"/>
    <w:lvlOverride w:ilvl="7"/>
    <w:lvlOverride w:ilvl="8"/>
  </w:num>
  <w:num w:numId="9">
    <w:abstractNumId w:val="8"/>
    <w:lvlOverride w:ilvl="0">
      <w:startOverride w:val="33"/>
    </w:lvlOverride>
    <w:lvlOverride w:ilvl="1">
      <w:startOverride w:val="1"/>
    </w:lvlOverride>
    <w:lvlOverride w:ilvl="2"/>
    <w:lvlOverride w:ilvl="3"/>
    <w:lvlOverride w:ilvl="4"/>
    <w:lvlOverride w:ilvl="5"/>
    <w:lvlOverride w:ilvl="6"/>
    <w:lvlOverride w:ilvl="7"/>
    <w:lvlOverride w:ilvl="8"/>
  </w:num>
  <w:num w:numId="10">
    <w:abstractNumId w:val="5"/>
    <w:lvlOverride w:ilvl="0">
      <w:startOverride w:val="169"/>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08D"/>
    <w:rsid w:val="0030112E"/>
    <w:rsid w:val="003A52B9"/>
    <w:rsid w:val="007A4B77"/>
    <w:rsid w:val="008E0267"/>
    <w:rsid w:val="009B5367"/>
    <w:rsid w:val="009D637A"/>
    <w:rsid w:val="00BD2ADD"/>
    <w:rsid w:val="00C2708D"/>
    <w:rsid w:val="00CE4017"/>
    <w:rsid w:val="00E470A9"/>
    <w:rsid w:val="00F5519E"/>
    <w:rsid w:val="1BD995E2"/>
    <w:rsid w:val="1FAF4D54"/>
    <w:rsid w:val="39516E5A"/>
    <w:rsid w:val="57F286A7"/>
    <w:rsid w:val="61515DB0"/>
    <w:rsid w:val="67D23B9E"/>
    <w:rsid w:val="6D067417"/>
    <w:rsid w:val="79BBF92A"/>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60786"/>
  <w15:chartTrackingRefBased/>
  <w15:docId w15:val="{88C456D8-70F7-4271-B605-7F83C0CC8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08D"/>
    <w:pPr>
      <w:widowControl w:val="0"/>
      <w:autoSpaceDE w:val="0"/>
      <w:autoSpaceDN w:val="0"/>
      <w:spacing w:after="0" w:line="240" w:lineRule="auto"/>
    </w:pPr>
    <w:rPr>
      <w:rFonts w:ascii="Arial" w:eastAsia="Arial" w:hAnsi="Arial" w:cs="Arial"/>
      <w:lang w:val="es-ES"/>
    </w:rPr>
  </w:style>
  <w:style w:type="paragraph" w:styleId="Ttulo1">
    <w:name w:val="heading 1"/>
    <w:basedOn w:val="Normal"/>
    <w:link w:val="Ttulo1Car"/>
    <w:uiPriority w:val="9"/>
    <w:qFormat/>
    <w:rsid w:val="00C2708D"/>
    <w:pPr>
      <w:ind w:left="187" w:right="916"/>
      <w:jc w:val="center"/>
      <w:outlineLvl w:val="0"/>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2708D"/>
    <w:rPr>
      <w:rFonts w:ascii="Arial" w:eastAsia="Arial" w:hAnsi="Arial" w:cs="Arial"/>
      <w:b/>
      <w:bCs/>
      <w:sz w:val="18"/>
      <w:szCs w:val="18"/>
      <w:lang w:val="es-ES"/>
    </w:rPr>
  </w:style>
  <w:style w:type="paragraph" w:styleId="Textoindependiente">
    <w:name w:val="Body Text"/>
    <w:basedOn w:val="Normal"/>
    <w:link w:val="TextoindependienteCar"/>
    <w:uiPriority w:val="1"/>
    <w:semiHidden/>
    <w:unhideWhenUsed/>
    <w:qFormat/>
    <w:rsid w:val="00C2708D"/>
    <w:pPr>
      <w:ind w:left="100"/>
      <w:jc w:val="both"/>
    </w:pPr>
    <w:rPr>
      <w:sz w:val="18"/>
      <w:szCs w:val="18"/>
    </w:rPr>
  </w:style>
  <w:style w:type="character" w:customStyle="1" w:styleId="TextoindependienteCar">
    <w:name w:val="Texto independiente Car"/>
    <w:basedOn w:val="Fuentedeprrafopredeter"/>
    <w:link w:val="Textoindependiente"/>
    <w:uiPriority w:val="1"/>
    <w:semiHidden/>
    <w:rsid w:val="00C2708D"/>
    <w:rPr>
      <w:rFonts w:ascii="Arial" w:eastAsia="Arial" w:hAnsi="Arial" w:cs="Arial"/>
      <w:sz w:val="18"/>
      <w:szCs w:val="18"/>
      <w:lang w:val="es-ES"/>
    </w:rPr>
  </w:style>
  <w:style w:type="paragraph" w:styleId="Prrafodelista">
    <w:name w:val="List Paragraph"/>
    <w:basedOn w:val="Normal"/>
    <w:uiPriority w:val="1"/>
    <w:qFormat/>
    <w:rsid w:val="00C2708D"/>
    <w:pPr>
      <w:ind w:left="100"/>
      <w:jc w:val="both"/>
    </w:pPr>
  </w:style>
  <w:style w:type="character" w:styleId="Hipervnculo">
    <w:name w:val="Hyperlink"/>
    <w:basedOn w:val="Fuentedeprrafopredeter"/>
    <w:uiPriority w:val="99"/>
    <w:unhideWhenUsed/>
    <w:rsid w:val="00C2708D"/>
    <w:rPr>
      <w:color w:val="0000FF"/>
      <w:u w:val="single"/>
    </w:rPr>
  </w:style>
  <w:style w:type="character" w:customStyle="1" w:styleId="normaltextrun">
    <w:name w:val="normaltextrun"/>
    <w:basedOn w:val="Fuentedeprrafopredeter"/>
    <w:rsid w:val="003A52B9"/>
  </w:style>
  <w:style w:type="character" w:styleId="Mencinsinresolver">
    <w:name w:val="Unresolved Mention"/>
    <w:basedOn w:val="Fuentedeprrafopredeter"/>
    <w:uiPriority w:val="99"/>
    <w:semiHidden/>
    <w:unhideWhenUsed/>
    <w:rsid w:val="00CE4017"/>
    <w:rPr>
      <w:color w:val="605E5C"/>
      <w:shd w:val="clear" w:color="auto" w:fill="E1DFDD"/>
    </w:rPr>
  </w:style>
  <w:style w:type="character" w:customStyle="1" w:styleId="baj">
    <w:name w:val="b_aj"/>
    <w:basedOn w:val="Fuentedeprrafopredeter"/>
    <w:rsid w:val="008E0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676172">
      <w:bodyDiv w:val="1"/>
      <w:marLeft w:val="0"/>
      <w:marRight w:val="0"/>
      <w:marTop w:val="0"/>
      <w:marBottom w:val="0"/>
      <w:divBdr>
        <w:top w:val="none" w:sz="0" w:space="0" w:color="auto"/>
        <w:left w:val="none" w:sz="0" w:space="0" w:color="auto"/>
        <w:bottom w:val="none" w:sz="0" w:space="0" w:color="auto"/>
        <w:right w:val="none" w:sz="0" w:space="0" w:color="auto"/>
      </w:divBdr>
    </w:div>
    <w:div w:id="89132910">
      <w:bodyDiv w:val="1"/>
      <w:marLeft w:val="0"/>
      <w:marRight w:val="0"/>
      <w:marTop w:val="0"/>
      <w:marBottom w:val="0"/>
      <w:divBdr>
        <w:top w:val="none" w:sz="0" w:space="0" w:color="auto"/>
        <w:left w:val="none" w:sz="0" w:space="0" w:color="auto"/>
        <w:bottom w:val="none" w:sz="0" w:space="0" w:color="auto"/>
        <w:right w:val="none" w:sz="0" w:space="0" w:color="auto"/>
      </w:divBdr>
    </w:div>
    <w:div w:id="1550193175">
      <w:bodyDiv w:val="1"/>
      <w:marLeft w:val="0"/>
      <w:marRight w:val="0"/>
      <w:marTop w:val="0"/>
      <w:marBottom w:val="0"/>
      <w:divBdr>
        <w:top w:val="none" w:sz="0" w:space="0" w:color="auto"/>
        <w:left w:val="none" w:sz="0" w:space="0" w:color="auto"/>
        <w:bottom w:val="none" w:sz="0" w:space="0" w:color="auto"/>
        <w:right w:val="none" w:sz="0" w:space="0" w:color="auto"/>
      </w:divBdr>
      <w:divsChild>
        <w:div w:id="47148317">
          <w:marLeft w:val="0"/>
          <w:marRight w:val="0"/>
          <w:marTop w:val="0"/>
          <w:marBottom w:val="0"/>
          <w:divBdr>
            <w:top w:val="none" w:sz="0" w:space="0" w:color="auto"/>
            <w:left w:val="none" w:sz="0" w:space="0" w:color="auto"/>
            <w:bottom w:val="none" w:sz="0" w:space="0" w:color="auto"/>
            <w:right w:val="none" w:sz="0" w:space="0" w:color="auto"/>
          </w:divBdr>
        </w:div>
        <w:div w:id="1111626884">
          <w:marLeft w:val="0"/>
          <w:marRight w:val="0"/>
          <w:marTop w:val="0"/>
          <w:marBottom w:val="0"/>
          <w:divBdr>
            <w:top w:val="none" w:sz="0" w:space="0" w:color="auto"/>
            <w:left w:val="none" w:sz="0" w:space="0" w:color="auto"/>
            <w:bottom w:val="none" w:sz="0" w:space="0" w:color="auto"/>
            <w:right w:val="none" w:sz="0" w:space="0" w:color="auto"/>
          </w:divBdr>
        </w:div>
        <w:div w:id="734012432">
          <w:marLeft w:val="0"/>
          <w:marRight w:val="0"/>
          <w:marTop w:val="0"/>
          <w:marBottom w:val="150"/>
          <w:divBdr>
            <w:top w:val="none" w:sz="0" w:space="0" w:color="auto"/>
            <w:left w:val="none" w:sz="0" w:space="0" w:color="auto"/>
            <w:bottom w:val="none" w:sz="0" w:space="0" w:color="auto"/>
            <w:right w:val="none" w:sz="0" w:space="0" w:color="auto"/>
          </w:divBdr>
        </w:div>
        <w:div w:id="2109498538">
          <w:marLeft w:val="0"/>
          <w:marRight w:val="0"/>
          <w:marTop w:val="0"/>
          <w:marBottom w:val="150"/>
          <w:divBdr>
            <w:top w:val="none" w:sz="0" w:space="0" w:color="auto"/>
            <w:left w:val="none" w:sz="0" w:space="0" w:color="auto"/>
            <w:bottom w:val="none" w:sz="0" w:space="0" w:color="auto"/>
            <w:right w:val="none" w:sz="0" w:space="0" w:color="auto"/>
          </w:divBdr>
        </w:div>
        <w:div w:id="769665273">
          <w:marLeft w:val="0"/>
          <w:marRight w:val="0"/>
          <w:marTop w:val="0"/>
          <w:marBottom w:val="0"/>
          <w:divBdr>
            <w:top w:val="none" w:sz="0" w:space="0" w:color="auto"/>
            <w:left w:val="none" w:sz="0" w:space="0" w:color="auto"/>
            <w:bottom w:val="none" w:sz="0" w:space="0" w:color="auto"/>
            <w:right w:val="none" w:sz="0" w:space="0" w:color="auto"/>
          </w:divBdr>
          <w:divsChild>
            <w:div w:id="1630744874">
              <w:marLeft w:val="0"/>
              <w:marRight w:val="0"/>
              <w:marTop w:val="0"/>
              <w:marBottom w:val="150"/>
              <w:divBdr>
                <w:top w:val="none" w:sz="0" w:space="0" w:color="auto"/>
                <w:left w:val="none" w:sz="0" w:space="0" w:color="auto"/>
                <w:bottom w:val="none" w:sz="0" w:space="0" w:color="auto"/>
                <w:right w:val="none" w:sz="0" w:space="0" w:color="auto"/>
              </w:divBdr>
            </w:div>
            <w:div w:id="763693481">
              <w:marLeft w:val="0"/>
              <w:marRight w:val="0"/>
              <w:marTop w:val="300"/>
              <w:marBottom w:val="300"/>
              <w:divBdr>
                <w:top w:val="none" w:sz="0" w:space="0" w:color="auto"/>
                <w:left w:val="none" w:sz="0" w:space="0" w:color="auto"/>
                <w:bottom w:val="none" w:sz="0" w:space="0" w:color="auto"/>
                <w:right w:val="none" w:sz="0" w:space="0" w:color="auto"/>
              </w:divBdr>
            </w:div>
            <w:div w:id="177277793">
              <w:marLeft w:val="0"/>
              <w:marRight w:val="0"/>
              <w:marTop w:val="0"/>
              <w:marBottom w:val="0"/>
              <w:divBdr>
                <w:top w:val="none" w:sz="0" w:space="0" w:color="auto"/>
                <w:left w:val="none" w:sz="0" w:space="0" w:color="auto"/>
                <w:bottom w:val="none" w:sz="0" w:space="0" w:color="auto"/>
                <w:right w:val="none" w:sz="0" w:space="0" w:color="auto"/>
              </w:divBdr>
              <w:divsChild>
                <w:div w:id="795567909">
                  <w:marLeft w:val="0"/>
                  <w:marRight w:val="0"/>
                  <w:marTop w:val="0"/>
                  <w:marBottom w:val="0"/>
                  <w:divBdr>
                    <w:top w:val="none" w:sz="0" w:space="0" w:color="auto"/>
                    <w:left w:val="none" w:sz="0" w:space="0" w:color="auto"/>
                    <w:bottom w:val="none" w:sz="0" w:space="0" w:color="auto"/>
                    <w:right w:val="none" w:sz="0" w:space="0" w:color="auto"/>
                  </w:divBdr>
                </w:div>
              </w:divsChild>
            </w:div>
            <w:div w:id="794838093">
              <w:marLeft w:val="0"/>
              <w:marRight w:val="0"/>
              <w:marTop w:val="0"/>
              <w:marBottom w:val="0"/>
              <w:divBdr>
                <w:top w:val="none" w:sz="0" w:space="0" w:color="auto"/>
                <w:left w:val="none" w:sz="0" w:space="0" w:color="auto"/>
                <w:bottom w:val="none" w:sz="0" w:space="0" w:color="auto"/>
                <w:right w:val="none" w:sz="0" w:space="0" w:color="auto"/>
              </w:divBdr>
              <w:divsChild>
                <w:div w:id="298192288">
                  <w:marLeft w:val="0"/>
                  <w:marRight w:val="0"/>
                  <w:marTop w:val="0"/>
                  <w:marBottom w:val="0"/>
                  <w:divBdr>
                    <w:top w:val="none" w:sz="0" w:space="0" w:color="auto"/>
                    <w:left w:val="none" w:sz="0" w:space="0" w:color="auto"/>
                    <w:bottom w:val="none" w:sz="0" w:space="0" w:color="auto"/>
                    <w:right w:val="none" w:sz="0" w:space="0" w:color="auto"/>
                  </w:divBdr>
                </w:div>
              </w:divsChild>
            </w:div>
            <w:div w:id="608707579">
              <w:marLeft w:val="0"/>
              <w:marRight w:val="0"/>
              <w:marTop w:val="0"/>
              <w:marBottom w:val="0"/>
              <w:divBdr>
                <w:top w:val="none" w:sz="0" w:space="0" w:color="auto"/>
                <w:left w:val="none" w:sz="0" w:space="0" w:color="auto"/>
                <w:bottom w:val="none" w:sz="0" w:space="0" w:color="auto"/>
                <w:right w:val="none" w:sz="0" w:space="0" w:color="auto"/>
              </w:divBdr>
              <w:divsChild>
                <w:div w:id="1428884041">
                  <w:marLeft w:val="0"/>
                  <w:marRight w:val="0"/>
                  <w:marTop w:val="0"/>
                  <w:marBottom w:val="0"/>
                  <w:divBdr>
                    <w:top w:val="none" w:sz="0" w:space="0" w:color="auto"/>
                    <w:left w:val="none" w:sz="0" w:space="0" w:color="auto"/>
                    <w:bottom w:val="none" w:sz="0" w:space="0" w:color="auto"/>
                    <w:right w:val="none" w:sz="0" w:space="0" w:color="auto"/>
                  </w:divBdr>
                </w:div>
              </w:divsChild>
            </w:div>
            <w:div w:id="513542039">
              <w:marLeft w:val="0"/>
              <w:marRight w:val="0"/>
              <w:marTop w:val="0"/>
              <w:marBottom w:val="0"/>
              <w:divBdr>
                <w:top w:val="none" w:sz="0" w:space="0" w:color="auto"/>
                <w:left w:val="none" w:sz="0" w:space="0" w:color="auto"/>
                <w:bottom w:val="none" w:sz="0" w:space="0" w:color="auto"/>
                <w:right w:val="none" w:sz="0" w:space="0" w:color="auto"/>
              </w:divBdr>
              <w:divsChild>
                <w:div w:id="1692606660">
                  <w:marLeft w:val="0"/>
                  <w:marRight w:val="0"/>
                  <w:marTop w:val="0"/>
                  <w:marBottom w:val="0"/>
                  <w:divBdr>
                    <w:top w:val="none" w:sz="0" w:space="0" w:color="auto"/>
                    <w:left w:val="none" w:sz="0" w:space="0" w:color="auto"/>
                    <w:bottom w:val="none" w:sz="0" w:space="0" w:color="auto"/>
                    <w:right w:val="none" w:sz="0" w:space="0" w:color="auto"/>
                  </w:divBdr>
                </w:div>
              </w:divsChild>
            </w:div>
            <w:div w:id="1283458462">
              <w:marLeft w:val="0"/>
              <w:marRight w:val="0"/>
              <w:marTop w:val="0"/>
              <w:marBottom w:val="0"/>
              <w:divBdr>
                <w:top w:val="none" w:sz="0" w:space="0" w:color="auto"/>
                <w:left w:val="none" w:sz="0" w:space="0" w:color="auto"/>
                <w:bottom w:val="none" w:sz="0" w:space="0" w:color="auto"/>
                <w:right w:val="none" w:sz="0" w:space="0" w:color="auto"/>
              </w:divBdr>
              <w:divsChild>
                <w:div w:id="899633179">
                  <w:marLeft w:val="0"/>
                  <w:marRight w:val="0"/>
                  <w:marTop w:val="0"/>
                  <w:marBottom w:val="0"/>
                  <w:divBdr>
                    <w:top w:val="none" w:sz="0" w:space="0" w:color="auto"/>
                    <w:left w:val="none" w:sz="0" w:space="0" w:color="auto"/>
                    <w:bottom w:val="none" w:sz="0" w:space="0" w:color="auto"/>
                    <w:right w:val="none" w:sz="0" w:space="0" w:color="auto"/>
                  </w:divBdr>
                </w:div>
              </w:divsChild>
            </w:div>
            <w:div w:id="286089949">
              <w:marLeft w:val="0"/>
              <w:marRight w:val="0"/>
              <w:marTop w:val="300"/>
              <w:marBottom w:val="300"/>
              <w:divBdr>
                <w:top w:val="none" w:sz="0" w:space="0" w:color="auto"/>
                <w:left w:val="none" w:sz="0" w:space="0" w:color="auto"/>
                <w:bottom w:val="none" w:sz="0" w:space="0" w:color="auto"/>
                <w:right w:val="none" w:sz="0" w:space="0" w:color="auto"/>
              </w:divBdr>
            </w:div>
            <w:div w:id="1445806440">
              <w:marLeft w:val="0"/>
              <w:marRight w:val="0"/>
              <w:marTop w:val="300"/>
              <w:marBottom w:val="300"/>
              <w:divBdr>
                <w:top w:val="none" w:sz="0" w:space="0" w:color="auto"/>
                <w:left w:val="none" w:sz="0" w:space="0" w:color="auto"/>
                <w:bottom w:val="none" w:sz="0" w:space="0" w:color="auto"/>
                <w:right w:val="none" w:sz="0" w:space="0" w:color="auto"/>
              </w:divBdr>
            </w:div>
            <w:div w:id="1064377091">
              <w:marLeft w:val="0"/>
              <w:marRight w:val="0"/>
              <w:marTop w:val="0"/>
              <w:marBottom w:val="0"/>
              <w:divBdr>
                <w:top w:val="none" w:sz="0" w:space="0" w:color="auto"/>
                <w:left w:val="none" w:sz="0" w:space="0" w:color="auto"/>
                <w:bottom w:val="none" w:sz="0" w:space="0" w:color="auto"/>
                <w:right w:val="none" w:sz="0" w:space="0" w:color="auto"/>
              </w:divBdr>
              <w:divsChild>
                <w:div w:id="1337464712">
                  <w:marLeft w:val="0"/>
                  <w:marRight w:val="0"/>
                  <w:marTop w:val="0"/>
                  <w:marBottom w:val="0"/>
                  <w:divBdr>
                    <w:top w:val="none" w:sz="0" w:space="0" w:color="auto"/>
                    <w:left w:val="none" w:sz="0" w:space="0" w:color="auto"/>
                    <w:bottom w:val="none" w:sz="0" w:space="0" w:color="auto"/>
                    <w:right w:val="none" w:sz="0" w:space="0" w:color="auto"/>
                  </w:divBdr>
                </w:div>
              </w:divsChild>
            </w:div>
            <w:div w:id="533154040">
              <w:marLeft w:val="0"/>
              <w:marRight w:val="0"/>
              <w:marTop w:val="0"/>
              <w:marBottom w:val="0"/>
              <w:divBdr>
                <w:top w:val="none" w:sz="0" w:space="0" w:color="auto"/>
                <w:left w:val="none" w:sz="0" w:space="0" w:color="auto"/>
                <w:bottom w:val="none" w:sz="0" w:space="0" w:color="auto"/>
                <w:right w:val="none" w:sz="0" w:space="0" w:color="auto"/>
              </w:divBdr>
              <w:divsChild>
                <w:div w:id="1299728146">
                  <w:marLeft w:val="0"/>
                  <w:marRight w:val="0"/>
                  <w:marTop w:val="0"/>
                  <w:marBottom w:val="0"/>
                  <w:divBdr>
                    <w:top w:val="none" w:sz="0" w:space="0" w:color="auto"/>
                    <w:left w:val="none" w:sz="0" w:space="0" w:color="auto"/>
                    <w:bottom w:val="none" w:sz="0" w:space="0" w:color="auto"/>
                    <w:right w:val="none" w:sz="0" w:space="0" w:color="auto"/>
                  </w:divBdr>
                </w:div>
              </w:divsChild>
            </w:div>
            <w:div w:id="1158376637">
              <w:marLeft w:val="0"/>
              <w:marRight w:val="0"/>
              <w:marTop w:val="0"/>
              <w:marBottom w:val="0"/>
              <w:divBdr>
                <w:top w:val="none" w:sz="0" w:space="0" w:color="auto"/>
                <w:left w:val="none" w:sz="0" w:space="0" w:color="auto"/>
                <w:bottom w:val="none" w:sz="0" w:space="0" w:color="auto"/>
                <w:right w:val="none" w:sz="0" w:space="0" w:color="auto"/>
              </w:divBdr>
              <w:divsChild>
                <w:div w:id="1701472635">
                  <w:marLeft w:val="0"/>
                  <w:marRight w:val="0"/>
                  <w:marTop w:val="0"/>
                  <w:marBottom w:val="0"/>
                  <w:divBdr>
                    <w:top w:val="none" w:sz="0" w:space="0" w:color="auto"/>
                    <w:left w:val="none" w:sz="0" w:space="0" w:color="auto"/>
                    <w:bottom w:val="none" w:sz="0" w:space="0" w:color="auto"/>
                    <w:right w:val="none" w:sz="0" w:space="0" w:color="auto"/>
                  </w:divBdr>
                </w:div>
              </w:divsChild>
            </w:div>
            <w:div w:id="1685135264">
              <w:marLeft w:val="0"/>
              <w:marRight w:val="0"/>
              <w:marTop w:val="0"/>
              <w:marBottom w:val="0"/>
              <w:divBdr>
                <w:top w:val="none" w:sz="0" w:space="0" w:color="auto"/>
                <w:left w:val="none" w:sz="0" w:space="0" w:color="auto"/>
                <w:bottom w:val="none" w:sz="0" w:space="0" w:color="auto"/>
                <w:right w:val="none" w:sz="0" w:space="0" w:color="auto"/>
              </w:divBdr>
              <w:divsChild>
                <w:div w:id="621112420">
                  <w:marLeft w:val="0"/>
                  <w:marRight w:val="0"/>
                  <w:marTop w:val="0"/>
                  <w:marBottom w:val="0"/>
                  <w:divBdr>
                    <w:top w:val="none" w:sz="0" w:space="0" w:color="auto"/>
                    <w:left w:val="none" w:sz="0" w:space="0" w:color="auto"/>
                    <w:bottom w:val="none" w:sz="0" w:space="0" w:color="auto"/>
                    <w:right w:val="none" w:sz="0" w:space="0" w:color="auto"/>
                  </w:divBdr>
                </w:div>
              </w:divsChild>
            </w:div>
            <w:div w:id="1249540722">
              <w:marLeft w:val="0"/>
              <w:marRight w:val="0"/>
              <w:marTop w:val="300"/>
              <w:marBottom w:val="300"/>
              <w:divBdr>
                <w:top w:val="none" w:sz="0" w:space="0" w:color="auto"/>
                <w:left w:val="none" w:sz="0" w:space="0" w:color="auto"/>
                <w:bottom w:val="none" w:sz="0" w:space="0" w:color="auto"/>
                <w:right w:val="none" w:sz="0" w:space="0" w:color="auto"/>
              </w:divBdr>
            </w:div>
            <w:div w:id="971443221">
              <w:marLeft w:val="0"/>
              <w:marRight w:val="0"/>
              <w:marTop w:val="0"/>
              <w:marBottom w:val="0"/>
              <w:divBdr>
                <w:top w:val="none" w:sz="0" w:space="0" w:color="auto"/>
                <w:left w:val="none" w:sz="0" w:space="0" w:color="auto"/>
                <w:bottom w:val="none" w:sz="0" w:space="0" w:color="auto"/>
                <w:right w:val="none" w:sz="0" w:space="0" w:color="auto"/>
              </w:divBdr>
              <w:divsChild>
                <w:div w:id="630553200">
                  <w:marLeft w:val="0"/>
                  <w:marRight w:val="0"/>
                  <w:marTop w:val="0"/>
                  <w:marBottom w:val="0"/>
                  <w:divBdr>
                    <w:top w:val="none" w:sz="0" w:space="0" w:color="auto"/>
                    <w:left w:val="none" w:sz="0" w:space="0" w:color="auto"/>
                    <w:bottom w:val="none" w:sz="0" w:space="0" w:color="auto"/>
                    <w:right w:val="none" w:sz="0" w:space="0" w:color="auto"/>
                  </w:divBdr>
                </w:div>
              </w:divsChild>
            </w:div>
            <w:div w:id="635766301">
              <w:marLeft w:val="0"/>
              <w:marRight w:val="0"/>
              <w:marTop w:val="0"/>
              <w:marBottom w:val="0"/>
              <w:divBdr>
                <w:top w:val="none" w:sz="0" w:space="0" w:color="auto"/>
                <w:left w:val="none" w:sz="0" w:space="0" w:color="auto"/>
                <w:bottom w:val="none" w:sz="0" w:space="0" w:color="auto"/>
                <w:right w:val="none" w:sz="0" w:space="0" w:color="auto"/>
              </w:divBdr>
              <w:divsChild>
                <w:div w:id="141778555">
                  <w:marLeft w:val="0"/>
                  <w:marRight w:val="0"/>
                  <w:marTop w:val="0"/>
                  <w:marBottom w:val="0"/>
                  <w:divBdr>
                    <w:top w:val="none" w:sz="0" w:space="0" w:color="auto"/>
                    <w:left w:val="none" w:sz="0" w:space="0" w:color="auto"/>
                    <w:bottom w:val="none" w:sz="0" w:space="0" w:color="auto"/>
                    <w:right w:val="none" w:sz="0" w:space="0" w:color="auto"/>
                  </w:divBdr>
                </w:div>
              </w:divsChild>
            </w:div>
            <w:div w:id="1266039160">
              <w:marLeft w:val="0"/>
              <w:marRight w:val="0"/>
              <w:marTop w:val="0"/>
              <w:marBottom w:val="0"/>
              <w:divBdr>
                <w:top w:val="none" w:sz="0" w:space="0" w:color="auto"/>
                <w:left w:val="none" w:sz="0" w:space="0" w:color="auto"/>
                <w:bottom w:val="none" w:sz="0" w:space="0" w:color="auto"/>
                <w:right w:val="none" w:sz="0" w:space="0" w:color="auto"/>
              </w:divBdr>
              <w:divsChild>
                <w:div w:id="519205067">
                  <w:marLeft w:val="0"/>
                  <w:marRight w:val="0"/>
                  <w:marTop w:val="0"/>
                  <w:marBottom w:val="0"/>
                  <w:divBdr>
                    <w:top w:val="none" w:sz="0" w:space="0" w:color="auto"/>
                    <w:left w:val="none" w:sz="0" w:space="0" w:color="auto"/>
                    <w:bottom w:val="none" w:sz="0" w:space="0" w:color="auto"/>
                    <w:right w:val="none" w:sz="0" w:space="0" w:color="auto"/>
                  </w:divBdr>
                </w:div>
              </w:divsChild>
            </w:div>
            <w:div w:id="1824006041">
              <w:marLeft w:val="0"/>
              <w:marRight w:val="0"/>
              <w:marTop w:val="0"/>
              <w:marBottom w:val="0"/>
              <w:divBdr>
                <w:top w:val="none" w:sz="0" w:space="0" w:color="auto"/>
                <w:left w:val="none" w:sz="0" w:space="0" w:color="auto"/>
                <w:bottom w:val="none" w:sz="0" w:space="0" w:color="auto"/>
                <w:right w:val="none" w:sz="0" w:space="0" w:color="auto"/>
              </w:divBdr>
              <w:divsChild>
                <w:div w:id="1132862739">
                  <w:marLeft w:val="0"/>
                  <w:marRight w:val="0"/>
                  <w:marTop w:val="0"/>
                  <w:marBottom w:val="0"/>
                  <w:divBdr>
                    <w:top w:val="none" w:sz="0" w:space="0" w:color="auto"/>
                    <w:left w:val="none" w:sz="0" w:space="0" w:color="auto"/>
                    <w:bottom w:val="none" w:sz="0" w:space="0" w:color="auto"/>
                    <w:right w:val="none" w:sz="0" w:space="0" w:color="auto"/>
                  </w:divBdr>
                </w:div>
              </w:divsChild>
            </w:div>
            <w:div w:id="87044425">
              <w:marLeft w:val="0"/>
              <w:marRight w:val="0"/>
              <w:marTop w:val="0"/>
              <w:marBottom w:val="0"/>
              <w:divBdr>
                <w:top w:val="none" w:sz="0" w:space="0" w:color="auto"/>
                <w:left w:val="none" w:sz="0" w:space="0" w:color="auto"/>
                <w:bottom w:val="none" w:sz="0" w:space="0" w:color="auto"/>
                <w:right w:val="none" w:sz="0" w:space="0" w:color="auto"/>
              </w:divBdr>
              <w:divsChild>
                <w:div w:id="1145439362">
                  <w:marLeft w:val="0"/>
                  <w:marRight w:val="0"/>
                  <w:marTop w:val="0"/>
                  <w:marBottom w:val="0"/>
                  <w:divBdr>
                    <w:top w:val="none" w:sz="0" w:space="0" w:color="auto"/>
                    <w:left w:val="none" w:sz="0" w:space="0" w:color="auto"/>
                    <w:bottom w:val="none" w:sz="0" w:space="0" w:color="auto"/>
                    <w:right w:val="none" w:sz="0" w:space="0" w:color="auto"/>
                  </w:divBdr>
                </w:div>
              </w:divsChild>
            </w:div>
            <w:div w:id="67001009">
              <w:marLeft w:val="0"/>
              <w:marRight w:val="0"/>
              <w:marTop w:val="0"/>
              <w:marBottom w:val="0"/>
              <w:divBdr>
                <w:top w:val="none" w:sz="0" w:space="0" w:color="auto"/>
                <w:left w:val="none" w:sz="0" w:space="0" w:color="auto"/>
                <w:bottom w:val="none" w:sz="0" w:space="0" w:color="auto"/>
                <w:right w:val="none" w:sz="0" w:space="0" w:color="auto"/>
              </w:divBdr>
              <w:divsChild>
                <w:div w:id="1128233489">
                  <w:marLeft w:val="0"/>
                  <w:marRight w:val="0"/>
                  <w:marTop w:val="0"/>
                  <w:marBottom w:val="0"/>
                  <w:divBdr>
                    <w:top w:val="none" w:sz="0" w:space="0" w:color="auto"/>
                    <w:left w:val="none" w:sz="0" w:space="0" w:color="auto"/>
                    <w:bottom w:val="none" w:sz="0" w:space="0" w:color="auto"/>
                    <w:right w:val="none" w:sz="0" w:space="0" w:color="auto"/>
                  </w:divBdr>
                </w:div>
              </w:divsChild>
            </w:div>
            <w:div w:id="510800006">
              <w:marLeft w:val="0"/>
              <w:marRight w:val="0"/>
              <w:marTop w:val="0"/>
              <w:marBottom w:val="0"/>
              <w:divBdr>
                <w:top w:val="none" w:sz="0" w:space="0" w:color="auto"/>
                <w:left w:val="none" w:sz="0" w:space="0" w:color="auto"/>
                <w:bottom w:val="none" w:sz="0" w:space="0" w:color="auto"/>
                <w:right w:val="none" w:sz="0" w:space="0" w:color="auto"/>
              </w:divBdr>
              <w:divsChild>
                <w:div w:id="1349328095">
                  <w:marLeft w:val="0"/>
                  <w:marRight w:val="0"/>
                  <w:marTop w:val="0"/>
                  <w:marBottom w:val="0"/>
                  <w:divBdr>
                    <w:top w:val="none" w:sz="0" w:space="0" w:color="auto"/>
                    <w:left w:val="none" w:sz="0" w:space="0" w:color="auto"/>
                    <w:bottom w:val="none" w:sz="0" w:space="0" w:color="auto"/>
                    <w:right w:val="none" w:sz="0" w:space="0" w:color="auto"/>
                  </w:divBdr>
                </w:div>
              </w:divsChild>
            </w:div>
            <w:div w:id="219559567">
              <w:marLeft w:val="0"/>
              <w:marRight w:val="0"/>
              <w:marTop w:val="300"/>
              <w:marBottom w:val="300"/>
              <w:divBdr>
                <w:top w:val="none" w:sz="0" w:space="0" w:color="auto"/>
                <w:left w:val="none" w:sz="0" w:space="0" w:color="auto"/>
                <w:bottom w:val="none" w:sz="0" w:space="0" w:color="auto"/>
                <w:right w:val="none" w:sz="0" w:space="0" w:color="auto"/>
              </w:divBdr>
            </w:div>
            <w:div w:id="1025979241">
              <w:marLeft w:val="0"/>
              <w:marRight w:val="0"/>
              <w:marTop w:val="0"/>
              <w:marBottom w:val="0"/>
              <w:divBdr>
                <w:top w:val="none" w:sz="0" w:space="0" w:color="auto"/>
                <w:left w:val="none" w:sz="0" w:space="0" w:color="auto"/>
                <w:bottom w:val="none" w:sz="0" w:space="0" w:color="auto"/>
                <w:right w:val="none" w:sz="0" w:space="0" w:color="auto"/>
              </w:divBdr>
              <w:divsChild>
                <w:div w:id="429395323">
                  <w:marLeft w:val="0"/>
                  <w:marRight w:val="0"/>
                  <w:marTop w:val="0"/>
                  <w:marBottom w:val="0"/>
                  <w:divBdr>
                    <w:top w:val="none" w:sz="0" w:space="0" w:color="auto"/>
                    <w:left w:val="none" w:sz="0" w:space="0" w:color="auto"/>
                    <w:bottom w:val="none" w:sz="0" w:space="0" w:color="auto"/>
                    <w:right w:val="none" w:sz="0" w:space="0" w:color="auto"/>
                  </w:divBdr>
                </w:div>
              </w:divsChild>
            </w:div>
            <w:div w:id="1454055528">
              <w:marLeft w:val="0"/>
              <w:marRight w:val="0"/>
              <w:marTop w:val="0"/>
              <w:marBottom w:val="0"/>
              <w:divBdr>
                <w:top w:val="none" w:sz="0" w:space="0" w:color="auto"/>
                <w:left w:val="none" w:sz="0" w:space="0" w:color="auto"/>
                <w:bottom w:val="none" w:sz="0" w:space="0" w:color="auto"/>
                <w:right w:val="none" w:sz="0" w:space="0" w:color="auto"/>
              </w:divBdr>
              <w:divsChild>
                <w:div w:id="1832404615">
                  <w:marLeft w:val="0"/>
                  <w:marRight w:val="0"/>
                  <w:marTop w:val="0"/>
                  <w:marBottom w:val="0"/>
                  <w:divBdr>
                    <w:top w:val="none" w:sz="0" w:space="0" w:color="auto"/>
                    <w:left w:val="none" w:sz="0" w:space="0" w:color="auto"/>
                    <w:bottom w:val="none" w:sz="0" w:space="0" w:color="auto"/>
                    <w:right w:val="none" w:sz="0" w:space="0" w:color="auto"/>
                  </w:divBdr>
                </w:div>
              </w:divsChild>
            </w:div>
            <w:div w:id="1472284919">
              <w:marLeft w:val="0"/>
              <w:marRight w:val="0"/>
              <w:marTop w:val="0"/>
              <w:marBottom w:val="0"/>
              <w:divBdr>
                <w:top w:val="none" w:sz="0" w:space="0" w:color="auto"/>
                <w:left w:val="none" w:sz="0" w:space="0" w:color="auto"/>
                <w:bottom w:val="none" w:sz="0" w:space="0" w:color="auto"/>
                <w:right w:val="none" w:sz="0" w:space="0" w:color="auto"/>
              </w:divBdr>
              <w:divsChild>
                <w:div w:id="1027873282">
                  <w:marLeft w:val="0"/>
                  <w:marRight w:val="0"/>
                  <w:marTop w:val="0"/>
                  <w:marBottom w:val="0"/>
                  <w:divBdr>
                    <w:top w:val="none" w:sz="0" w:space="0" w:color="auto"/>
                    <w:left w:val="none" w:sz="0" w:space="0" w:color="auto"/>
                    <w:bottom w:val="none" w:sz="0" w:space="0" w:color="auto"/>
                    <w:right w:val="none" w:sz="0" w:space="0" w:color="auto"/>
                  </w:divBdr>
                </w:div>
              </w:divsChild>
            </w:div>
            <w:div w:id="913274961">
              <w:marLeft w:val="0"/>
              <w:marRight w:val="0"/>
              <w:marTop w:val="0"/>
              <w:marBottom w:val="0"/>
              <w:divBdr>
                <w:top w:val="none" w:sz="0" w:space="0" w:color="auto"/>
                <w:left w:val="none" w:sz="0" w:space="0" w:color="auto"/>
                <w:bottom w:val="none" w:sz="0" w:space="0" w:color="auto"/>
                <w:right w:val="none" w:sz="0" w:space="0" w:color="auto"/>
              </w:divBdr>
              <w:divsChild>
                <w:div w:id="1305115254">
                  <w:marLeft w:val="0"/>
                  <w:marRight w:val="0"/>
                  <w:marTop w:val="0"/>
                  <w:marBottom w:val="0"/>
                  <w:divBdr>
                    <w:top w:val="none" w:sz="0" w:space="0" w:color="auto"/>
                    <w:left w:val="none" w:sz="0" w:space="0" w:color="auto"/>
                    <w:bottom w:val="none" w:sz="0" w:space="0" w:color="auto"/>
                    <w:right w:val="none" w:sz="0" w:space="0" w:color="auto"/>
                  </w:divBdr>
                </w:div>
              </w:divsChild>
            </w:div>
            <w:div w:id="1871723874">
              <w:marLeft w:val="0"/>
              <w:marRight w:val="0"/>
              <w:marTop w:val="0"/>
              <w:marBottom w:val="0"/>
              <w:divBdr>
                <w:top w:val="none" w:sz="0" w:space="0" w:color="auto"/>
                <w:left w:val="none" w:sz="0" w:space="0" w:color="auto"/>
                <w:bottom w:val="none" w:sz="0" w:space="0" w:color="auto"/>
                <w:right w:val="none" w:sz="0" w:space="0" w:color="auto"/>
              </w:divBdr>
              <w:divsChild>
                <w:div w:id="1453936919">
                  <w:marLeft w:val="0"/>
                  <w:marRight w:val="0"/>
                  <w:marTop w:val="0"/>
                  <w:marBottom w:val="0"/>
                  <w:divBdr>
                    <w:top w:val="none" w:sz="0" w:space="0" w:color="auto"/>
                    <w:left w:val="none" w:sz="0" w:space="0" w:color="auto"/>
                    <w:bottom w:val="none" w:sz="0" w:space="0" w:color="auto"/>
                    <w:right w:val="none" w:sz="0" w:space="0" w:color="auto"/>
                  </w:divBdr>
                </w:div>
              </w:divsChild>
            </w:div>
            <w:div w:id="1905216378">
              <w:marLeft w:val="0"/>
              <w:marRight w:val="0"/>
              <w:marTop w:val="300"/>
              <w:marBottom w:val="300"/>
              <w:divBdr>
                <w:top w:val="none" w:sz="0" w:space="0" w:color="auto"/>
                <w:left w:val="none" w:sz="0" w:space="0" w:color="auto"/>
                <w:bottom w:val="none" w:sz="0" w:space="0" w:color="auto"/>
                <w:right w:val="none" w:sz="0" w:space="0" w:color="auto"/>
              </w:divBdr>
            </w:div>
            <w:div w:id="2088763518">
              <w:marLeft w:val="0"/>
              <w:marRight w:val="0"/>
              <w:marTop w:val="0"/>
              <w:marBottom w:val="0"/>
              <w:divBdr>
                <w:top w:val="none" w:sz="0" w:space="0" w:color="auto"/>
                <w:left w:val="none" w:sz="0" w:space="0" w:color="auto"/>
                <w:bottom w:val="none" w:sz="0" w:space="0" w:color="auto"/>
                <w:right w:val="none" w:sz="0" w:space="0" w:color="auto"/>
              </w:divBdr>
              <w:divsChild>
                <w:div w:id="313066669">
                  <w:marLeft w:val="0"/>
                  <w:marRight w:val="0"/>
                  <w:marTop w:val="0"/>
                  <w:marBottom w:val="0"/>
                  <w:divBdr>
                    <w:top w:val="none" w:sz="0" w:space="0" w:color="auto"/>
                    <w:left w:val="none" w:sz="0" w:space="0" w:color="auto"/>
                    <w:bottom w:val="none" w:sz="0" w:space="0" w:color="auto"/>
                    <w:right w:val="none" w:sz="0" w:space="0" w:color="auto"/>
                  </w:divBdr>
                </w:div>
              </w:divsChild>
            </w:div>
            <w:div w:id="1603607215">
              <w:marLeft w:val="0"/>
              <w:marRight w:val="0"/>
              <w:marTop w:val="0"/>
              <w:marBottom w:val="0"/>
              <w:divBdr>
                <w:top w:val="none" w:sz="0" w:space="0" w:color="auto"/>
                <w:left w:val="none" w:sz="0" w:space="0" w:color="auto"/>
                <w:bottom w:val="none" w:sz="0" w:space="0" w:color="auto"/>
                <w:right w:val="none" w:sz="0" w:space="0" w:color="auto"/>
              </w:divBdr>
              <w:divsChild>
                <w:div w:id="1854495870">
                  <w:marLeft w:val="0"/>
                  <w:marRight w:val="0"/>
                  <w:marTop w:val="0"/>
                  <w:marBottom w:val="0"/>
                  <w:divBdr>
                    <w:top w:val="none" w:sz="0" w:space="0" w:color="auto"/>
                    <w:left w:val="none" w:sz="0" w:space="0" w:color="auto"/>
                    <w:bottom w:val="none" w:sz="0" w:space="0" w:color="auto"/>
                    <w:right w:val="none" w:sz="0" w:space="0" w:color="auto"/>
                  </w:divBdr>
                </w:div>
              </w:divsChild>
            </w:div>
            <w:div w:id="1943957368">
              <w:marLeft w:val="0"/>
              <w:marRight w:val="0"/>
              <w:marTop w:val="0"/>
              <w:marBottom w:val="0"/>
              <w:divBdr>
                <w:top w:val="none" w:sz="0" w:space="0" w:color="auto"/>
                <w:left w:val="none" w:sz="0" w:space="0" w:color="auto"/>
                <w:bottom w:val="none" w:sz="0" w:space="0" w:color="auto"/>
                <w:right w:val="none" w:sz="0" w:space="0" w:color="auto"/>
              </w:divBdr>
              <w:divsChild>
                <w:div w:id="860170643">
                  <w:marLeft w:val="0"/>
                  <w:marRight w:val="0"/>
                  <w:marTop w:val="0"/>
                  <w:marBottom w:val="0"/>
                  <w:divBdr>
                    <w:top w:val="none" w:sz="0" w:space="0" w:color="auto"/>
                    <w:left w:val="none" w:sz="0" w:space="0" w:color="auto"/>
                    <w:bottom w:val="none" w:sz="0" w:space="0" w:color="auto"/>
                    <w:right w:val="none" w:sz="0" w:space="0" w:color="auto"/>
                  </w:divBdr>
                </w:div>
              </w:divsChild>
            </w:div>
            <w:div w:id="1365904403">
              <w:marLeft w:val="0"/>
              <w:marRight w:val="0"/>
              <w:marTop w:val="0"/>
              <w:marBottom w:val="0"/>
              <w:divBdr>
                <w:top w:val="none" w:sz="0" w:space="0" w:color="auto"/>
                <w:left w:val="none" w:sz="0" w:space="0" w:color="auto"/>
                <w:bottom w:val="none" w:sz="0" w:space="0" w:color="auto"/>
                <w:right w:val="none" w:sz="0" w:space="0" w:color="auto"/>
              </w:divBdr>
              <w:divsChild>
                <w:div w:id="1759132815">
                  <w:marLeft w:val="0"/>
                  <w:marRight w:val="0"/>
                  <w:marTop w:val="0"/>
                  <w:marBottom w:val="0"/>
                  <w:divBdr>
                    <w:top w:val="none" w:sz="0" w:space="0" w:color="auto"/>
                    <w:left w:val="none" w:sz="0" w:space="0" w:color="auto"/>
                    <w:bottom w:val="none" w:sz="0" w:space="0" w:color="auto"/>
                    <w:right w:val="none" w:sz="0" w:space="0" w:color="auto"/>
                  </w:divBdr>
                </w:div>
              </w:divsChild>
            </w:div>
            <w:div w:id="1541748761">
              <w:marLeft w:val="0"/>
              <w:marRight w:val="0"/>
              <w:marTop w:val="0"/>
              <w:marBottom w:val="0"/>
              <w:divBdr>
                <w:top w:val="none" w:sz="0" w:space="0" w:color="auto"/>
                <w:left w:val="none" w:sz="0" w:space="0" w:color="auto"/>
                <w:bottom w:val="none" w:sz="0" w:space="0" w:color="auto"/>
                <w:right w:val="none" w:sz="0" w:space="0" w:color="auto"/>
              </w:divBdr>
              <w:divsChild>
                <w:div w:id="1144203119">
                  <w:marLeft w:val="0"/>
                  <w:marRight w:val="0"/>
                  <w:marTop w:val="0"/>
                  <w:marBottom w:val="0"/>
                  <w:divBdr>
                    <w:top w:val="none" w:sz="0" w:space="0" w:color="auto"/>
                    <w:left w:val="none" w:sz="0" w:space="0" w:color="auto"/>
                    <w:bottom w:val="none" w:sz="0" w:space="0" w:color="auto"/>
                    <w:right w:val="none" w:sz="0" w:space="0" w:color="auto"/>
                  </w:divBdr>
                </w:div>
              </w:divsChild>
            </w:div>
            <w:div w:id="2011785829">
              <w:marLeft w:val="0"/>
              <w:marRight w:val="0"/>
              <w:marTop w:val="0"/>
              <w:marBottom w:val="0"/>
              <w:divBdr>
                <w:top w:val="none" w:sz="0" w:space="0" w:color="auto"/>
                <w:left w:val="none" w:sz="0" w:space="0" w:color="auto"/>
                <w:bottom w:val="none" w:sz="0" w:space="0" w:color="auto"/>
                <w:right w:val="none" w:sz="0" w:space="0" w:color="auto"/>
              </w:divBdr>
              <w:divsChild>
                <w:div w:id="876431635">
                  <w:marLeft w:val="0"/>
                  <w:marRight w:val="0"/>
                  <w:marTop w:val="0"/>
                  <w:marBottom w:val="0"/>
                  <w:divBdr>
                    <w:top w:val="none" w:sz="0" w:space="0" w:color="auto"/>
                    <w:left w:val="none" w:sz="0" w:space="0" w:color="auto"/>
                    <w:bottom w:val="none" w:sz="0" w:space="0" w:color="auto"/>
                    <w:right w:val="none" w:sz="0" w:space="0" w:color="auto"/>
                  </w:divBdr>
                </w:div>
              </w:divsChild>
            </w:div>
            <w:div w:id="1226716592">
              <w:marLeft w:val="0"/>
              <w:marRight w:val="0"/>
              <w:marTop w:val="0"/>
              <w:marBottom w:val="0"/>
              <w:divBdr>
                <w:top w:val="none" w:sz="0" w:space="0" w:color="auto"/>
                <w:left w:val="none" w:sz="0" w:space="0" w:color="auto"/>
                <w:bottom w:val="none" w:sz="0" w:space="0" w:color="auto"/>
                <w:right w:val="none" w:sz="0" w:space="0" w:color="auto"/>
              </w:divBdr>
              <w:divsChild>
                <w:div w:id="1521436148">
                  <w:marLeft w:val="0"/>
                  <w:marRight w:val="0"/>
                  <w:marTop w:val="0"/>
                  <w:marBottom w:val="0"/>
                  <w:divBdr>
                    <w:top w:val="none" w:sz="0" w:space="0" w:color="auto"/>
                    <w:left w:val="none" w:sz="0" w:space="0" w:color="auto"/>
                    <w:bottom w:val="none" w:sz="0" w:space="0" w:color="auto"/>
                    <w:right w:val="none" w:sz="0" w:space="0" w:color="auto"/>
                  </w:divBdr>
                </w:div>
              </w:divsChild>
            </w:div>
            <w:div w:id="812529291">
              <w:marLeft w:val="0"/>
              <w:marRight w:val="0"/>
              <w:marTop w:val="300"/>
              <w:marBottom w:val="300"/>
              <w:divBdr>
                <w:top w:val="none" w:sz="0" w:space="0" w:color="auto"/>
                <w:left w:val="none" w:sz="0" w:space="0" w:color="auto"/>
                <w:bottom w:val="none" w:sz="0" w:space="0" w:color="auto"/>
                <w:right w:val="none" w:sz="0" w:space="0" w:color="auto"/>
              </w:divBdr>
            </w:div>
            <w:div w:id="618071833">
              <w:marLeft w:val="0"/>
              <w:marRight w:val="0"/>
              <w:marTop w:val="0"/>
              <w:marBottom w:val="0"/>
              <w:divBdr>
                <w:top w:val="none" w:sz="0" w:space="0" w:color="auto"/>
                <w:left w:val="none" w:sz="0" w:space="0" w:color="auto"/>
                <w:bottom w:val="none" w:sz="0" w:space="0" w:color="auto"/>
                <w:right w:val="none" w:sz="0" w:space="0" w:color="auto"/>
              </w:divBdr>
              <w:divsChild>
                <w:div w:id="191577273">
                  <w:marLeft w:val="0"/>
                  <w:marRight w:val="0"/>
                  <w:marTop w:val="0"/>
                  <w:marBottom w:val="0"/>
                  <w:divBdr>
                    <w:top w:val="none" w:sz="0" w:space="0" w:color="auto"/>
                    <w:left w:val="none" w:sz="0" w:space="0" w:color="auto"/>
                    <w:bottom w:val="none" w:sz="0" w:space="0" w:color="auto"/>
                    <w:right w:val="none" w:sz="0" w:space="0" w:color="auto"/>
                  </w:divBdr>
                </w:div>
              </w:divsChild>
            </w:div>
            <w:div w:id="934022018">
              <w:marLeft w:val="0"/>
              <w:marRight w:val="0"/>
              <w:marTop w:val="0"/>
              <w:marBottom w:val="0"/>
              <w:divBdr>
                <w:top w:val="none" w:sz="0" w:space="0" w:color="auto"/>
                <w:left w:val="none" w:sz="0" w:space="0" w:color="auto"/>
                <w:bottom w:val="none" w:sz="0" w:space="0" w:color="auto"/>
                <w:right w:val="none" w:sz="0" w:space="0" w:color="auto"/>
              </w:divBdr>
              <w:divsChild>
                <w:div w:id="1267687906">
                  <w:marLeft w:val="0"/>
                  <w:marRight w:val="0"/>
                  <w:marTop w:val="0"/>
                  <w:marBottom w:val="0"/>
                  <w:divBdr>
                    <w:top w:val="none" w:sz="0" w:space="0" w:color="auto"/>
                    <w:left w:val="none" w:sz="0" w:space="0" w:color="auto"/>
                    <w:bottom w:val="none" w:sz="0" w:space="0" w:color="auto"/>
                    <w:right w:val="none" w:sz="0" w:space="0" w:color="auto"/>
                  </w:divBdr>
                </w:div>
              </w:divsChild>
            </w:div>
            <w:div w:id="1658849310">
              <w:marLeft w:val="0"/>
              <w:marRight w:val="0"/>
              <w:marTop w:val="0"/>
              <w:marBottom w:val="0"/>
              <w:divBdr>
                <w:top w:val="none" w:sz="0" w:space="0" w:color="auto"/>
                <w:left w:val="none" w:sz="0" w:space="0" w:color="auto"/>
                <w:bottom w:val="none" w:sz="0" w:space="0" w:color="auto"/>
                <w:right w:val="none" w:sz="0" w:space="0" w:color="auto"/>
              </w:divBdr>
              <w:divsChild>
                <w:div w:id="2077972122">
                  <w:marLeft w:val="0"/>
                  <w:marRight w:val="0"/>
                  <w:marTop w:val="0"/>
                  <w:marBottom w:val="0"/>
                  <w:divBdr>
                    <w:top w:val="none" w:sz="0" w:space="0" w:color="auto"/>
                    <w:left w:val="none" w:sz="0" w:space="0" w:color="auto"/>
                    <w:bottom w:val="none" w:sz="0" w:space="0" w:color="auto"/>
                    <w:right w:val="none" w:sz="0" w:space="0" w:color="auto"/>
                  </w:divBdr>
                </w:div>
              </w:divsChild>
            </w:div>
            <w:div w:id="1672560663">
              <w:marLeft w:val="0"/>
              <w:marRight w:val="0"/>
              <w:marTop w:val="300"/>
              <w:marBottom w:val="300"/>
              <w:divBdr>
                <w:top w:val="none" w:sz="0" w:space="0" w:color="auto"/>
                <w:left w:val="none" w:sz="0" w:space="0" w:color="auto"/>
                <w:bottom w:val="none" w:sz="0" w:space="0" w:color="auto"/>
                <w:right w:val="none" w:sz="0" w:space="0" w:color="auto"/>
              </w:divBdr>
            </w:div>
            <w:div w:id="1804738059">
              <w:marLeft w:val="0"/>
              <w:marRight w:val="0"/>
              <w:marTop w:val="0"/>
              <w:marBottom w:val="0"/>
              <w:divBdr>
                <w:top w:val="none" w:sz="0" w:space="0" w:color="auto"/>
                <w:left w:val="none" w:sz="0" w:space="0" w:color="auto"/>
                <w:bottom w:val="none" w:sz="0" w:space="0" w:color="auto"/>
                <w:right w:val="none" w:sz="0" w:space="0" w:color="auto"/>
              </w:divBdr>
              <w:divsChild>
                <w:div w:id="1063597703">
                  <w:marLeft w:val="0"/>
                  <w:marRight w:val="0"/>
                  <w:marTop w:val="0"/>
                  <w:marBottom w:val="0"/>
                  <w:divBdr>
                    <w:top w:val="none" w:sz="0" w:space="0" w:color="auto"/>
                    <w:left w:val="none" w:sz="0" w:space="0" w:color="auto"/>
                    <w:bottom w:val="none" w:sz="0" w:space="0" w:color="auto"/>
                    <w:right w:val="none" w:sz="0" w:space="0" w:color="auto"/>
                  </w:divBdr>
                </w:div>
              </w:divsChild>
            </w:div>
            <w:div w:id="1562327194">
              <w:marLeft w:val="0"/>
              <w:marRight w:val="0"/>
              <w:marTop w:val="0"/>
              <w:marBottom w:val="0"/>
              <w:divBdr>
                <w:top w:val="none" w:sz="0" w:space="0" w:color="auto"/>
                <w:left w:val="none" w:sz="0" w:space="0" w:color="auto"/>
                <w:bottom w:val="none" w:sz="0" w:space="0" w:color="auto"/>
                <w:right w:val="none" w:sz="0" w:space="0" w:color="auto"/>
              </w:divBdr>
              <w:divsChild>
                <w:div w:id="315569982">
                  <w:marLeft w:val="0"/>
                  <w:marRight w:val="0"/>
                  <w:marTop w:val="0"/>
                  <w:marBottom w:val="0"/>
                  <w:divBdr>
                    <w:top w:val="none" w:sz="0" w:space="0" w:color="auto"/>
                    <w:left w:val="none" w:sz="0" w:space="0" w:color="auto"/>
                    <w:bottom w:val="none" w:sz="0" w:space="0" w:color="auto"/>
                    <w:right w:val="none" w:sz="0" w:space="0" w:color="auto"/>
                  </w:divBdr>
                </w:div>
              </w:divsChild>
            </w:div>
            <w:div w:id="1762674696">
              <w:marLeft w:val="0"/>
              <w:marRight w:val="0"/>
              <w:marTop w:val="0"/>
              <w:marBottom w:val="0"/>
              <w:divBdr>
                <w:top w:val="none" w:sz="0" w:space="0" w:color="auto"/>
                <w:left w:val="none" w:sz="0" w:space="0" w:color="auto"/>
                <w:bottom w:val="none" w:sz="0" w:space="0" w:color="auto"/>
                <w:right w:val="none" w:sz="0" w:space="0" w:color="auto"/>
              </w:divBdr>
              <w:divsChild>
                <w:div w:id="1952782444">
                  <w:marLeft w:val="0"/>
                  <w:marRight w:val="0"/>
                  <w:marTop w:val="0"/>
                  <w:marBottom w:val="0"/>
                  <w:divBdr>
                    <w:top w:val="none" w:sz="0" w:space="0" w:color="auto"/>
                    <w:left w:val="none" w:sz="0" w:space="0" w:color="auto"/>
                    <w:bottom w:val="none" w:sz="0" w:space="0" w:color="auto"/>
                    <w:right w:val="none" w:sz="0" w:space="0" w:color="auto"/>
                  </w:divBdr>
                </w:div>
              </w:divsChild>
            </w:div>
            <w:div w:id="597831058">
              <w:marLeft w:val="0"/>
              <w:marRight w:val="0"/>
              <w:marTop w:val="0"/>
              <w:marBottom w:val="0"/>
              <w:divBdr>
                <w:top w:val="none" w:sz="0" w:space="0" w:color="auto"/>
                <w:left w:val="none" w:sz="0" w:space="0" w:color="auto"/>
                <w:bottom w:val="none" w:sz="0" w:space="0" w:color="auto"/>
                <w:right w:val="none" w:sz="0" w:space="0" w:color="auto"/>
              </w:divBdr>
              <w:divsChild>
                <w:div w:id="42146011">
                  <w:marLeft w:val="0"/>
                  <w:marRight w:val="0"/>
                  <w:marTop w:val="0"/>
                  <w:marBottom w:val="0"/>
                  <w:divBdr>
                    <w:top w:val="none" w:sz="0" w:space="0" w:color="auto"/>
                    <w:left w:val="none" w:sz="0" w:space="0" w:color="auto"/>
                    <w:bottom w:val="none" w:sz="0" w:space="0" w:color="auto"/>
                    <w:right w:val="none" w:sz="0" w:space="0" w:color="auto"/>
                  </w:divBdr>
                </w:div>
              </w:divsChild>
            </w:div>
            <w:div w:id="1692101878">
              <w:marLeft w:val="0"/>
              <w:marRight w:val="0"/>
              <w:marTop w:val="0"/>
              <w:marBottom w:val="0"/>
              <w:divBdr>
                <w:top w:val="none" w:sz="0" w:space="0" w:color="auto"/>
                <w:left w:val="none" w:sz="0" w:space="0" w:color="auto"/>
                <w:bottom w:val="none" w:sz="0" w:space="0" w:color="auto"/>
                <w:right w:val="none" w:sz="0" w:space="0" w:color="auto"/>
              </w:divBdr>
              <w:divsChild>
                <w:div w:id="1602372992">
                  <w:marLeft w:val="0"/>
                  <w:marRight w:val="0"/>
                  <w:marTop w:val="0"/>
                  <w:marBottom w:val="0"/>
                  <w:divBdr>
                    <w:top w:val="none" w:sz="0" w:space="0" w:color="auto"/>
                    <w:left w:val="none" w:sz="0" w:space="0" w:color="auto"/>
                    <w:bottom w:val="none" w:sz="0" w:space="0" w:color="auto"/>
                    <w:right w:val="none" w:sz="0" w:space="0" w:color="auto"/>
                  </w:divBdr>
                </w:div>
              </w:divsChild>
            </w:div>
            <w:div w:id="922378654">
              <w:marLeft w:val="0"/>
              <w:marRight w:val="0"/>
              <w:marTop w:val="300"/>
              <w:marBottom w:val="300"/>
              <w:divBdr>
                <w:top w:val="none" w:sz="0" w:space="0" w:color="auto"/>
                <w:left w:val="none" w:sz="0" w:space="0" w:color="auto"/>
                <w:bottom w:val="none" w:sz="0" w:space="0" w:color="auto"/>
                <w:right w:val="none" w:sz="0" w:space="0" w:color="auto"/>
              </w:divBdr>
            </w:div>
            <w:div w:id="238178792">
              <w:marLeft w:val="0"/>
              <w:marRight w:val="0"/>
              <w:marTop w:val="0"/>
              <w:marBottom w:val="0"/>
              <w:divBdr>
                <w:top w:val="none" w:sz="0" w:space="0" w:color="auto"/>
                <w:left w:val="none" w:sz="0" w:space="0" w:color="auto"/>
                <w:bottom w:val="none" w:sz="0" w:space="0" w:color="auto"/>
                <w:right w:val="none" w:sz="0" w:space="0" w:color="auto"/>
              </w:divBdr>
              <w:divsChild>
                <w:div w:id="234819972">
                  <w:marLeft w:val="0"/>
                  <w:marRight w:val="0"/>
                  <w:marTop w:val="0"/>
                  <w:marBottom w:val="0"/>
                  <w:divBdr>
                    <w:top w:val="none" w:sz="0" w:space="0" w:color="auto"/>
                    <w:left w:val="none" w:sz="0" w:space="0" w:color="auto"/>
                    <w:bottom w:val="none" w:sz="0" w:space="0" w:color="auto"/>
                    <w:right w:val="none" w:sz="0" w:space="0" w:color="auto"/>
                  </w:divBdr>
                </w:div>
              </w:divsChild>
            </w:div>
            <w:div w:id="1023213886">
              <w:marLeft w:val="0"/>
              <w:marRight w:val="0"/>
              <w:marTop w:val="0"/>
              <w:marBottom w:val="0"/>
              <w:divBdr>
                <w:top w:val="none" w:sz="0" w:space="0" w:color="auto"/>
                <w:left w:val="none" w:sz="0" w:space="0" w:color="auto"/>
                <w:bottom w:val="none" w:sz="0" w:space="0" w:color="auto"/>
                <w:right w:val="none" w:sz="0" w:space="0" w:color="auto"/>
              </w:divBdr>
              <w:divsChild>
                <w:div w:id="1321078306">
                  <w:marLeft w:val="0"/>
                  <w:marRight w:val="0"/>
                  <w:marTop w:val="0"/>
                  <w:marBottom w:val="0"/>
                  <w:divBdr>
                    <w:top w:val="none" w:sz="0" w:space="0" w:color="auto"/>
                    <w:left w:val="none" w:sz="0" w:space="0" w:color="auto"/>
                    <w:bottom w:val="none" w:sz="0" w:space="0" w:color="auto"/>
                    <w:right w:val="none" w:sz="0" w:space="0" w:color="auto"/>
                  </w:divBdr>
                </w:div>
              </w:divsChild>
            </w:div>
            <w:div w:id="1477531021">
              <w:marLeft w:val="0"/>
              <w:marRight w:val="0"/>
              <w:marTop w:val="0"/>
              <w:marBottom w:val="0"/>
              <w:divBdr>
                <w:top w:val="none" w:sz="0" w:space="0" w:color="auto"/>
                <w:left w:val="none" w:sz="0" w:space="0" w:color="auto"/>
                <w:bottom w:val="none" w:sz="0" w:space="0" w:color="auto"/>
                <w:right w:val="none" w:sz="0" w:space="0" w:color="auto"/>
              </w:divBdr>
              <w:divsChild>
                <w:div w:id="491913348">
                  <w:marLeft w:val="0"/>
                  <w:marRight w:val="0"/>
                  <w:marTop w:val="0"/>
                  <w:marBottom w:val="0"/>
                  <w:divBdr>
                    <w:top w:val="none" w:sz="0" w:space="0" w:color="auto"/>
                    <w:left w:val="none" w:sz="0" w:space="0" w:color="auto"/>
                    <w:bottom w:val="none" w:sz="0" w:space="0" w:color="auto"/>
                    <w:right w:val="none" w:sz="0" w:space="0" w:color="auto"/>
                  </w:divBdr>
                </w:div>
              </w:divsChild>
            </w:div>
            <w:div w:id="1331441489">
              <w:marLeft w:val="0"/>
              <w:marRight w:val="0"/>
              <w:marTop w:val="0"/>
              <w:marBottom w:val="0"/>
              <w:divBdr>
                <w:top w:val="none" w:sz="0" w:space="0" w:color="auto"/>
                <w:left w:val="none" w:sz="0" w:space="0" w:color="auto"/>
                <w:bottom w:val="none" w:sz="0" w:space="0" w:color="auto"/>
                <w:right w:val="none" w:sz="0" w:space="0" w:color="auto"/>
              </w:divBdr>
              <w:divsChild>
                <w:div w:id="583226986">
                  <w:marLeft w:val="0"/>
                  <w:marRight w:val="0"/>
                  <w:marTop w:val="0"/>
                  <w:marBottom w:val="0"/>
                  <w:divBdr>
                    <w:top w:val="none" w:sz="0" w:space="0" w:color="auto"/>
                    <w:left w:val="none" w:sz="0" w:space="0" w:color="auto"/>
                    <w:bottom w:val="none" w:sz="0" w:space="0" w:color="auto"/>
                    <w:right w:val="none" w:sz="0" w:space="0" w:color="auto"/>
                  </w:divBdr>
                </w:div>
              </w:divsChild>
            </w:div>
            <w:div w:id="1093939879">
              <w:marLeft w:val="0"/>
              <w:marRight w:val="0"/>
              <w:marTop w:val="0"/>
              <w:marBottom w:val="0"/>
              <w:divBdr>
                <w:top w:val="none" w:sz="0" w:space="0" w:color="auto"/>
                <w:left w:val="none" w:sz="0" w:space="0" w:color="auto"/>
                <w:bottom w:val="none" w:sz="0" w:space="0" w:color="auto"/>
                <w:right w:val="none" w:sz="0" w:space="0" w:color="auto"/>
              </w:divBdr>
              <w:divsChild>
                <w:div w:id="1347485928">
                  <w:marLeft w:val="0"/>
                  <w:marRight w:val="0"/>
                  <w:marTop w:val="0"/>
                  <w:marBottom w:val="0"/>
                  <w:divBdr>
                    <w:top w:val="none" w:sz="0" w:space="0" w:color="auto"/>
                    <w:left w:val="none" w:sz="0" w:space="0" w:color="auto"/>
                    <w:bottom w:val="none" w:sz="0" w:space="0" w:color="auto"/>
                    <w:right w:val="none" w:sz="0" w:space="0" w:color="auto"/>
                  </w:divBdr>
                </w:div>
              </w:divsChild>
            </w:div>
            <w:div w:id="1314213594">
              <w:marLeft w:val="0"/>
              <w:marRight w:val="0"/>
              <w:marTop w:val="300"/>
              <w:marBottom w:val="300"/>
              <w:divBdr>
                <w:top w:val="none" w:sz="0" w:space="0" w:color="auto"/>
                <w:left w:val="none" w:sz="0" w:space="0" w:color="auto"/>
                <w:bottom w:val="none" w:sz="0" w:space="0" w:color="auto"/>
                <w:right w:val="none" w:sz="0" w:space="0" w:color="auto"/>
              </w:divBdr>
            </w:div>
            <w:div w:id="974335155">
              <w:marLeft w:val="0"/>
              <w:marRight w:val="0"/>
              <w:marTop w:val="0"/>
              <w:marBottom w:val="0"/>
              <w:divBdr>
                <w:top w:val="none" w:sz="0" w:space="0" w:color="auto"/>
                <w:left w:val="none" w:sz="0" w:space="0" w:color="auto"/>
                <w:bottom w:val="none" w:sz="0" w:space="0" w:color="auto"/>
                <w:right w:val="none" w:sz="0" w:space="0" w:color="auto"/>
              </w:divBdr>
              <w:divsChild>
                <w:div w:id="516234273">
                  <w:marLeft w:val="0"/>
                  <w:marRight w:val="0"/>
                  <w:marTop w:val="0"/>
                  <w:marBottom w:val="0"/>
                  <w:divBdr>
                    <w:top w:val="none" w:sz="0" w:space="0" w:color="auto"/>
                    <w:left w:val="none" w:sz="0" w:space="0" w:color="auto"/>
                    <w:bottom w:val="none" w:sz="0" w:space="0" w:color="auto"/>
                    <w:right w:val="none" w:sz="0" w:space="0" w:color="auto"/>
                  </w:divBdr>
                </w:div>
              </w:divsChild>
            </w:div>
            <w:div w:id="1512716721">
              <w:marLeft w:val="0"/>
              <w:marRight w:val="0"/>
              <w:marTop w:val="0"/>
              <w:marBottom w:val="0"/>
              <w:divBdr>
                <w:top w:val="none" w:sz="0" w:space="0" w:color="auto"/>
                <w:left w:val="none" w:sz="0" w:space="0" w:color="auto"/>
                <w:bottom w:val="none" w:sz="0" w:space="0" w:color="auto"/>
                <w:right w:val="none" w:sz="0" w:space="0" w:color="auto"/>
              </w:divBdr>
              <w:divsChild>
                <w:div w:id="1526020502">
                  <w:marLeft w:val="0"/>
                  <w:marRight w:val="0"/>
                  <w:marTop w:val="0"/>
                  <w:marBottom w:val="0"/>
                  <w:divBdr>
                    <w:top w:val="none" w:sz="0" w:space="0" w:color="auto"/>
                    <w:left w:val="none" w:sz="0" w:space="0" w:color="auto"/>
                    <w:bottom w:val="none" w:sz="0" w:space="0" w:color="auto"/>
                    <w:right w:val="none" w:sz="0" w:space="0" w:color="auto"/>
                  </w:divBdr>
                </w:div>
              </w:divsChild>
            </w:div>
            <w:div w:id="1330137141">
              <w:marLeft w:val="0"/>
              <w:marRight w:val="0"/>
              <w:marTop w:val="0"/>
              <w:marBottom w:val="0"/>
              <w:divBdr>
                <w:top w:val="none" w:sz="0" w:space="0" w:color="auto"/>
                <w:left w:val="none" w:sz="0" w:space="0" w:color="auto"/>
                <w:bottom w:val="none" w:sz="0" w:space="0" w:color="auto"/>
                <w:right w:val="none" w:sz="0" w:space="0" w:color="auto"/>
              </w:divBdr>
              <w:divsChild>
                <w:div w:id="1114518440">
                  <w:marLeft w:val="0"/>
                  <w:marRight w:val="0"/>
                  <w:marTop w:val="0"/>
                  <w:marBottom w:val="0"/>
                  <w:divBdr>
                    <w:top w:val="none" w:sz="0" w:space="0" w:color="auto"/>
                    <w:left w:val="none" w:sz="0" w:space="0" w:color="auto"/>
                    <w:bottom w:val="none" w:sz="0" w:space="0" w:color="auto"/>
                    <w:right w:val="none" w:sz="0" w:space="0" w:color="auto"/>
                  </w:divBdr>
                </w:div>
              </w:divsChild>
            </w:div>
            <w:div w:id="1326931510">
              <w:marLeft w:val="0"/>
              <w:marRight w:val="0"/>
              <w:marTop w:val="0"/>
              <w:marBottom w:val="0"/>
              <w:divBdr>
                <w:top w:val="none" w:sz="0" w:space="0" w:color="auto"/>
                <w:left w:val="none" w:sz="0" w:space="0" w:color="auto"/>
                <w:bottom w:val="none" w:sz="0" w:space="0" w:color="auto"/>
                <w:right w:val="none" w:sz="0" w:space="0" w:color="auto"/>
              </w:divBdr>
              <w:divsChild>
                <w:div w:id="1233078759">
                  <w:marLeft w:val="0"/>
                  <w:marRight w:val="0"/>
                  <w:marTop w:val="0"/>
                  <w:marBottom w:val="0"/>
                  <w:divBdr>
                    <w:top w:val="none" w:sz="0" w:space="0" w:color="auto"/>
                    <w:left w:val="none" w:sz="0" w:space="0" w:color="auto"/>
                    <w:bottom w:val="none" w:sz="0" w:space="0" w:color="auto"/>
                    <w:right w:val="none" w:sz="0" w:space="0" w:color="auto"/>
                  </w:divBdr>
                </w:div>
              </w:divsChild>
            </w:div>
            <w:div w:id="1975132196">
              <w:marLeft w:val="0"/>
              <w:marRight w:val="0"/>
              <w:marTop w:val="0"/>
              <w:marBottom w:val="0"/>
              <w:divBdr>
                <w:top w:val="none" w:sz="0" w:space="0" w:color="auto"/>
                <w:left w:val="none" w:sz="0" w:space="0" w:color="auto"/>
                <w:bottom w:val="none" w:sz="0" w:space="0" w:color="auto"/>
                <w:right w:val="none" w:sz="0" w:space="0" w:color="auto"/>
              </w:divBdr>
              <w:divsChild>
                <w:div w:id="1397125084">
                  <w:marLeft w:val="0"/>
                  <w:marRight w:val="0"/>
                  <w:marTop w:val="0"/>
                  <w:marBottom w:val="0"/>
                  <w:divBdr>
                    <w:top w:val="none" w:sz="0" w:space="0" w:color="auto"/>
                    <w:left w:val="none" w:sz="0" w:space="0" w:color="auto"/>
                    <w:bottom w:val="none" w:sz="0" w:space="0" w:color="auto"/>
                    <w:right w:val="none" w:sz="0" w:space="0" w:color="auto"/>
                  </w:divBdr>
                </w:div>
              </w:divsChild>
            </w:div>
            <w:div w:id="1528829987">
              <w:marLeft w:val="0"/>
              <w:marRight w:val="0"/>
              <w:marTop w:val="0"/>
              <w:marBottom w:val="0"/>
              <w:divBdr>
                <w:top w:val="none" w:sz="0" w:space="0" w:color="auto"/>
                <w:left w:val="none" w:sz="0" w:space="0" w:color="auto"/>
                <w:bottom w:val="none" w:sz="0" w:space="0" w:color="auto"/>
                <w:right w:val="none" w:sz="0" w:space="0" w:color="auto"/>
              </w:divBdr>
              <w:divsChild>
                <w:div w:id="639579439">
                  <w:marLeft w:val="0"/>
                  <w:marRight w:val="0"/>
                  <w:marTop w:val="0"/>
                  <w:marBottom w:val="0"/>
                  <w:divBdr>
                    <w:top w:val="none" w:sz="0" w:space="0" w:color="auto"/>
                    <w:left w:val="none" w:sz="0" w:space="0" w:color="auto"/>
                    <w:bottom w:val="none" w:sz="0" w:space="0" w:color="auto"/>
                    <w:right w:val="none" w:sz="0" w:space="0" w:color="auto"/>
                  </w:divBdr>
                </w:div>
              </w:divsChild>
            </w:div>
            <w:div w:id="534195257">
              <w:marLeft w:val="0"/>
              <w:marRight w:val="0"/>
              <w:marTop w:val="0"/>
              <w:marBottom w:val="0"/>
              <w:divBdr>
                <w:top w:val="none" w:sz="0" w:space="0" w:color="auto"/>
                <w:left w:val="none" w:sz="0" w:space="0" w:color="auto"/>
                <w:bottom w:val="none" w:sz="0" w:space="0" w:color="auto"/>
                <w:right w:val="none" w:sz="0" w:space="0" w:color="auto"/>
              </w:divBdr>
              <w:divsChild>
                <w:div w:id="21366945">
                  <w:marLeft w:val="0"/>
                  <w:marRight w:val="0"/>
                  <w:marTop w:val="0"/>
                  <w:marBottom w:val="0"/>
                  <w:divBdr>
                    <w:top w:val="none" w:sz="0" w:space="0" w:color="auto"/>
                    <w:left w:val="none" w:sz="0" w:space="0" w:color="auto"/>
                    <w:bottom w:val="none" w:sz="0" w:space="0" w:color="auto"/>
                    <w:right w:val="none" w:sz="0" w:space="0" w:color="auto"/>
                  </w:divBdr>
                </w:div>
              </w:divsChild>
            </w:div>
            <w:div w:id="1891378461">
              <w:marLeft w:val="0"/>
              <w:marRight w:val="0"/>
              <w:marTop w:val="0"/>
              <w:marBottom w:val="0"/>
              <w:divBdr>
                <w:top w:val="none" w:sz="0" w:space="0" w:color="auto"/>
                <w:left w:val="none" w:sz="0" w:space="0" w:color="auto"/>
                <w:bottom w:val="none" w:sz="0" w:space="0" w:color="auto"/>
                <w:right w:val="none" w:sz="0" w:space="0" w:color="auto"/>
              </w:divBdr>
              <w:divsChild>
                <w:div w:id="522977373">
                  <w:marLeft w:val="0"/>
                  <w:marRight w:val="0"/>
                  <w:marTop w:val="0"/>
                  <w:marBottom w:val="0"/>
                  <w:divBdr>
                    <w:top w:val="none" w:sz="0" w:space="0" w:color="auto"/>
                    <w:left w:val="none" w:sz="0" w:space="0" w:color="auto"/>
                    <w:bottom w:val="none" w:sz="0" w:space="0" w:color="auto"/>
                    <w:right w:val="none" w:sz="0" w:space="0" w:color="auto"/>
                  </w:divBdr>
                </w:div>
              </w:divsChild>
            </w:div>
            <w:div w:id="499196357">
              <w:marLeft w:val="0"/>
              <w:marRight w:val="0"/>
              <w:marTop w:val="0"/>
              <w:marBottom w:val="0"/>
              <w:divBdr>
                <w:top w:val="none" w:sz="0" w:space="0" w:color="auto"/>
                <w:left w:val="none" w:sz="0" w:space="0" w:color="auto"/>
                <w:bottom w:val="none" w:sz="0" w:space="0" w:color="auto"/>
                <w:right w:val="none" w:sz="0" w:space="0" w:color="auto"/>
              </w:divBdr>
              <w:divsChild>
                <w:div w:id="1344550676">
                  <w:marLeft w:val="0"/>
                  <w:marRight w:val="0"/>
                  <w:marTop w:val="0"/>
                  <w:marBottom w:val="0"/>
                  <w:divBdr>
                    <w:top w:val="none" w:sz="0" w:space="0" w:color="auto"/>
                    <w:left w:val="none" w:sz="0" w:space="0" w:color="auto"/>
                    <w:bottom w:val="none" w:sz="0" w:space="0" w:color="auto"/>
                    <w:right w:val="none" w:sz="0" w:space="0" w:color="auto"/>
                  </w:divBdr>
                </w:div>
              </w:divsChild>
            </w:div>
            <w:div w:id="19085298">
              <w:marLeft w:val="0"/>
              <w:marRight w:val="0"/>
              <w:marTop w:val="0"/>
              <w:marBottom w:val="0"/>
              <w:divBdr>
                <w:top w:val="none" w:sz="0" w:space="0" w:color="auto"/>
                <w:left w:val="none" w:sz="0" w:space="0" w:color="auto"/>
                <w:bottom w:val="none" w:sz="0" w:space="0" w:color="auto"/>
                <w:right w:val="none" w:sz="0" w:space="0" w:color="auto"/>
              </w:divBdr>
              <w:divsChild>
                <w:div w:id="446002891">
                  <w:marLeft w:val="0"/>
                  <w:marRight w:val="0"/>
                  <w:marTop w:val="0"/>
                  <w:marBottom w:val="0"/>
                  <w:divBdr>
                    <w:top w:val="none" w:sz="0" w:space="0" w:color="auto"/>
                    <w:left w:val="none" w:sz="0" w:space="0" w:color="auto"/>
                    <w:bottom w:val="none" w:sz="0" w:space="0" w:color="auto"/>
                    <w:right w:val="none" w:sz="0" w:space="0" w:color="auto"/>
                  </w:divBdr>
                </w:div>
              </w:divsChild>
            </w:div>
            <w:div w:id="1647082679">
              <w:marLeft w:val="0"/>
              <w:marRight w:val="0"/>
              <w:marTop w:val="300"/>
              <w:marBottom w:val="300"/>
              <w:divBdr>
                <w:top w:val="none" w:sz="0" w:space="0" w:color="auto"/>
                <w:left w:val="none" w:sz="0" w:space="0" w:color="auto"/>
                <w:bottom w:val="none" w:sz="0" w:space="0" w:color="auto"/>
                <w:right w:val="none" w:sz="0" w:space="0" w:color="auto"/>
              </w:divBdr>
            </w:div>
            <w:div w:id="373582585">
              <w:marLeft w:val="0"/>
              <w:marRight w:val="0"/>
              <w:marTop w:val="300"/>
              <w:marBottom w:val="300"/>
              <w:divBdr>
                <w:top w:val="none" w:sz="0" w:space="0" w:color="auto"/>
                <w:left w:val="none" w:sz="0" w:space="0" w:color="auto"/>
                <w:bottom w:val="none" w:sz="0" w:space="0" w:color="auto"/>
                <w:right w:val="none" w:sz="0" w:space="0" w:color="auto"/>
              </w:divBdr>
            </w:div>
            <w:div w:id="226230903">
              <w:marLeft w:val="0"/>
              <w:marRight w:val="0"/>
              <w:marTop w:val="0"/>
              <w:marBottom w:val="0"/>
              <w:divBdr>
                <w:top w:val="none" w:sz="0" w:space="0" w:color="auto"/>
                <w:left w:val="none" w:sz="0" w:space="0" w:color="auto"/>
                <w:bottom w:val="none" w:sz="0" w:space="0" w:color="auto"/>
                <w:right w:val="none" w:sz="0" w:space="0" w:color="auto"/>
              </w:divBdr>
              <w:divsChild>
                <w:div w:id="1786924378">
                  <w:marLeft w:val="0"/>
                  <w:marRight w:val="0"/>
                  <w:marTop w:val="0"/>
                  <w:marBottom w:val="0"/>
                  <w:divBdr>
                    <w:top w:val="none" w:sz="0" w:space="0" w:color="auto"/>
                    <w:left w:val="none" w:sz="0" w:space="0" w:color="auto"/>
                    <w:bottom w:val="none" w:sz="0" w:space="0" w:color="auto"/>
                    <w:right w:val="none" w:sz="0" w:space="0" w:color="auto"/>
                  </w:divBdr>
                </w:div>
              </w:divsChild>
            </w:div>
            <w:div w:id="64768763">
              <w:marLeft w:val="0"/>
              <w:marRight w:val="0"/>
              <w:marTop w:val="0"/>
              <w:marBottom w:val="0"/>
              <w:divBdr>
                <w:top w:val="none" w:sz="0" w:space="0" w:color="auto"/>
                <w:left w:val="none" w:sz="0" w:space="0" w:color="auto"/>
                <w:bottom w:val="none" w:sz="0" w:space="0" w:color="auto"/>
                <w:right w:val="none" w:sz="0" w:space="0" w:color="auto"/>
              </w:divBdr>
              <w:divsChild>
                <w:div w:id="260576257">
                  <w:marLeft w:val="0"/>
                  <w:marRight w:val="0"/>
                  <w:marTop w:val="0"/>
                  <w:marBottom w:val="0"/>
                  <w:divBdr>
                    <w:top w:val="none" w:sz="0" w:space="0" w:color="auto"/>
                    <w:left w:val="none" w:sz="0" w:space="0" w:color="auto"/>
                    <w:bottom w:val="none" w:sz="0" w:space="0" w:color="auto"/>
                    <w:right w:val="none" w:sz="0" w:space="0" w:color="auto"/>
                  </w:divBdr>
                </w:div>
              </w:divsChild>
            </w:div>
            <w:div w:id="2007442138">
              <w:marLeft w:val="0"/>
              <w:marRight w:val="0"/>
              <w:marTop w:val="0"/>
              <w:marBottom w:val="0"/>
              <w:divBdr>
                <w:top w:val="none" w:sz="0" w:space="0" w:color="auto"/>
                <w:left w:val="none" w:sz="0" w:space="0" w:color="auto"/>
                <w:bottom w:val="none" w:sz="0" w:space="0" w:color="auto"/>
                <w:right w:val="none" w:sz="0" w:space="0" w:color="auto"/>
              </w:divBdr>
              <w:divsChild>
                <w:div w:id="326830324">
                  <w:marLeft w:val="0"/>
                  <w:marRight w:val="0"/>
                  <w:marTop w:val="0"/>
                  <w:marBottom w:val="0"/>
                  <w:divBdr>
                    <w:top w:val="none" w:sz="0" w:space="0" w:color="auto"/>
                    <w:left w:val="none" w:sz="0" w:space="0" w:color="auto"/>
                    <w:bottom w:val="none" w:sz="0" w:space="0" w:color="auto"/>
                    <w:right w:val="none" w:sz="0" w:space="0" w:color="auto"/>
                  </w:divBdr>
                </w:div>
              </w:divsChild>
            </w:div>
            <w:div w:id="889531610">
              <w:marLeft w:val="0"/>
              <w:marRight w:val="0"/>
              <w:marTop w:val="0"/>
              <w:marBottom w:val="0"/>
              <w:divBdr>
                <w:top w:val="none" w:sz="0" w:space="0" w:color="auto"/>
                <w:left w:val="none" w:sz="0" w:space="0" w:color="auto"/>
                <w:bottom w:val="none" w:sz="0" w:space="0" w:color="auto"/>
                <w:right w:val="none" w:sz="0" w:space="0" w:color="auto"/>
              </w:divBdr>
              <w:divsChild>
                <w:div w:id="477847900">
                  <w:marLeft w:val="0"/>
                  <w:marRight w:val="0"/>
                  <w:marTop w:val="0"/>
                  <w:marBottom w:val="0"/>
                  <w:divBdr>
                    <w:top w:val="none" w:sz="0" w:space="0" w:color="auto"/>
                    <w:left w:val="none" w:sz="0" w:space="0" w:color="auto"/>
                    <w:bottom w:val="none" w:sz="0" w:space="0" w:color="auto"/>
                    <w:right w:val="none" w:sz="0" w:space="0" w:color="auto"/>
                  </w:divBdr>
                </w:div>
              </w:divsChild>
            </w:div>
            <w:div w:id="1177311460">
              <w:marLeft w:val="0"/>
              <w:marRight w:val="0"/>
              <w:marTop w:val="0"/>
              <w:marBottom w:val="0"/>
              <w:divBdr>
                <w:top w:val="none" w:sz="0" w:space="0" w:color="auto"/>
                <w:left w:val="none" w:sz="0" w:space="0" w:color="auto"/>
                <w:bottom w:val="none" w:sz="0" w:space="0" w:color="auto"/>
                <w:right w:val="none" w:sz="0" w:space="0" w:color="auto"/>
              </w:divBdr>
              <w:divsChild>
                <w:div w:id="930044122">
                  <w:marLeft w:val="0"/>
                  <w:marRight w:val="0"/>
                  <w:marTop w:val="0"/>
                  <w:marBottom w:val="0"/>
                  <w:divBdr>
                    <w:top w:val="none" w:sz="0" w:space="0" w:color="auto"/>
                    <w:left w:val="none" w:sz="0" w:space="0" w:color="auto"/>
                    <w:bottom w:val="none" w:sz="0" w:space="0" w:color="auto"/>
                    <w:right w:val="none" w:sz="0" w:space="0" w:color="auto"/>
                  </w:divBdr>
                </w:div>
              </w:divsChild>
            </w:div>
            <w:div w:id="1690833316">
              <w:marLeft w:val="0"/>
              <w:marRight w:val="0"/>
              <w:marTop w:val="0"/>
              <w:marBottom w:val="0"/>
              <w:divBdr>
                <w:top w:val="none" w:sz="0" w:space="0" w:color="auto"/>
                <w:left w:val="none" w:sz="0" w:space="0" w:color="auto"/>
                <w:bottom w:val="none" w:sz="0" w:space="0" w:color="auto"/>
                <w:right w:val="none" w:sz="0" w:space="0" w:color="auto"/>
              </w:divBdr>
              <w:divsChild>
                <w:div w:id="1234658687">
                  <w:marLeft w:val="0"/>
                  <w:marRight w:val="0"/>
                  <w:marTop w:val="0"/>
                  <w:marBottom w:val="0"/>
                  <w:divBdr>
                    <w:top w:val="none" w:sz="0" w:space="0" w:color="auto"/>
                    <w:left w:val="none" w:sz="0" w:space="0" w:color="auto"/>
                    <w:bottom w:val="none" w:sz="0" w:space="0" w:color="auto"/>
                    <w:right w:val="none" w:sz="0" w:space="0" w:color="auto"/>
                  </w:divBdr>
                </w:div>
              </w:divsChild>
            </w:div>
            <w:div w:id="1117455054">
              <w:marLeft w:val="0"/>
              <w:marRight w:val="0"/>
              <w:marTop w:val="0"/>
              <w:marBottom w:val="0"/>
              <w:divBdr>
                <w:top w:val="none" w:sz="0" w:space="0" w:color="auto"/>
                <w:left w:val="none" w:sz="0" w:space="0" w:color="auto"/>
                <w:bottom w:val="none" w:sz="0" w:space="0" w:color="auto"/>
                <w:right w:val="none" w:sz="0" w:space="0" w:color="auto"/>
              </w:divBdr>
              <w:divsChild>
                <w:div w:id="1182090884">
                  <w:marLeft w:val="0"/>
                  <w:marRight w:val="0"/>
                  <w:marTop w:val="0"/>
                  <w:marBottom w:val="0"/>
                  <w:divBdr>
                    <w:top w:val="none" w:sz="0" w:space="0" w:color="auto"/>
                    <w:left w:val="none" w:sz="0" w:space="0" w:color="auto"/>
                    <w:bottom w:val="none" w:sz="0" w:space="0" w:color="auto"/>
                    <w:right w:val="none" w:sz="0" w:space="0" w:color="auto"/>
                  </w:divBdr>
                </w:div>
              </w:divsChild>
            </w:div>
            <w:div w:id="1066807371">
              <w:marLeft w:val="0"/>
              <w:marRight w:val="0"/>
              <w:marTop w:val="0"/>
              <w:marBottom w:val="0"/>
              <w:divBdr>
                <w:top w:val="none" w:sz="0" w:space="0" w:color="auto"/>
                <w:left w:val="none" w:sz="0" w:space="0" w:color="auto"/>
                <w:bottom w:val="none" w:sz="0" w:space="0" w:color="auto"/>
                <w:right w:val="none" w:sz="0" w:space="0" w:color="auto"/>
              </w:divBdr>
              <w:divsChild>
                <w:div w:id="591861626">
                  <w:marLeft w:val="0"/>
                  <w:marRight w:val="0"/>
                  <w:marTop w:val="0"/>
                  <w:marBottom w:val="0"/>
                  <w:divBdr>
                    <w:top w:val="none" w:sz="0" w:space="0" w:color="auto"/>
                    <w:left w:val="none" w:sz="0" w:space="0" w:color="auto"/>
                    <w:bottom w:val="none" w:sz="0" w:space="0" w:color="auto"/>
                    <w:right w:val="none" w:sz="0" w:space="0" w:color="auto"/>
                  </w:divBdr>
                </w:div>
              </w:divsChild>
            </w:div>
            <w:div w:id="1522818724">
              <w:marLeft w:val="0"/>
              <w:marRight w:val="0"/>
              <w:marTop w:val="0"/>
              <w:marBottom w:val="0"/>
              <w:divBdr>
                <w:top w:val="none" w:sz="0" w:space="0" w:color="auto"/>
                <w:left w:val="none" w:sz="0" w:space="0" w:color="auto"/>
                <w:bottom w:val="none" w:sz="0" w:space="0" w:color="auto"/>
                <w:right w:val="none" w:sz="0" w:space="0" w:color="auto"/>
              </w:divBdr>
              <w:divsChild>
                <w:div w:id="1016660984">
                  <w:marLeft w:val="0"/>
                  <w:marRight w:val="0"/>
                  <w:marTop w:val="0"/>
                  <w:marBottom w:val="0"/>
                  <w:divBdr>
                    <w:top w:val="none" w:sz="0" w:space="0" w:color="auto"/>
                    <w:left w:val="none" w:sz="0" w:space="0" w:color="auto"/>
                    <w:bottom w:val="none" w:sz="0" w:space="0" w:color="auto"/>
                    <w:right w:val="none" w:sz="0" w:space="0" w:color="auto"/>
                  </w:divBdr>
                </w:div>
              </w:divsChild>
            </w:div>
            <w:div w:id="1739785435">
              <w:marLeft w:val="0"/>
              <w:marRight w:val="0"/>
              <w:marTop w:val="300"/>
              <w:marBottom w:val="300"/>
              <w:divBdr>
                <w:top w:val="none" w:sz="0" w:space="0" w:color="auto"/>
                <w:left w:val="none" w:sz="0" w:space="0" w:color="auto"/>
                <w:bottom w:val="none" w:sz="0" w:space="0" w:color="auto"/>
                <w:right w:val="none" w:sz="0" w:space="0" w:color="auto"/>
              </w:divBdr>
            </w:div>
            <w:div w:id="360672711">
              <w:marLeft w:val="0"/>
              <w:marRight w:val="0"/>
              <w:marTop w:val="0"/>
              <w:marBottom w:val="0"/>
              <w:divBdr>
                <w:top w:val="none" w:sz="0" w:space="0" w:color="auto"/>
                <w:left w:val="none" w:sz="0" w:space="0" w:color="auto"/>
                <w:bottom w:val="none" w:sz="0" w:space="0" w:color="auto"/>
                <w:right w:val="none" w:sz="0" w:space="0" w:color="auto"/>
              </w:divBdr>
              <w:divsChild>
                <w:div w:id="1594510302">
                  <w:marLeft w:val="0"/>
                  <w:marRight w:val="0"/>
                  <w:marTop w:val="0"/>
                  <w:marBottom w:val="0"/>
                  <w:divBdr>
                    <w:top w:val="none" w:sz="0" w:space="0" w:color="auto"/>
                    <w:left w:val="none" w:sz="0" w:space="0" w:color="auto"/>
                    <w:bottom w:val="none" w:sz="0" w:space="0" w:color="auto"/>
                    <w:right w:val="none" w:sz="0" w:space="0" w:color="auto"/>
                  </w:divBdr>
                </w:div>
              </w:divsChild>
            </w:div>
            <w:div w:id="817380989">
              <w:marLeft w:val="0"/>
              <w:marRight w:val="0"/>
              <w:marTop w:val="0"/>
              <w:marBottom w:val="0"/>
              <w:divBdr>
                <w:top w:val="none" w:sz="0" w:space="0" w:color="auto"/>
                <w:left w:val="none" w:sz="0" w:space="0" w:color="auto"/>
                <w:bottom w:val="none" w:sz="0" w:space="0" w:color="auto"/>
                <w:right w:val="none" w:sz="0" w:space="0" w:color="auto"/>
              </w:divBdr>
              <w:divsChild>
                <w:div w:id="306979253">
                  <w:marLeft w:val="0"/>
                  <w:marRight w:val="0"/>
                  <w:marTop w:val="0"/>
                  <w:marBottom w:val="0"/>
                  <w:divBdr>
                    <w:top w:val="none" w:sz="0" w:space="0" w:color="auto"/>
                    <w:left w:val="none" w:sz="0" w:space="0" w:color="auto"/>
                    <w:bottom w:val="none" w:sz="0" w:space="0" w:color="auto"/>
                    <w:right w:val="none" w:sz="0" w:space="0" w:color="auto"/>
                  </w:divBdr>
                </w:div>
              </w:divsChild>
            </w:div>
            <w:div w:id="270742632">
              <w:marLeft w:val="0"/>
              <w:marRight w:val="0"/>
              <w:marTop w:val="0"/>
              <w:marBottom w:val="0"/>
              <w:divBdr>
                <w:top w:val="none" w:sz="0" w:space="0" w:color="auto"/>
                <w:left w:val="none" w:sz="0" w:space="0" w:color="auto"/>
                <w:bottom w:val="none" w:sz="0" w:space="0" w:color="auto"/>
                <w:right w:val="none" w:sz="0" w:space="0" w:color="auto"/>
              </w:divBdr>
              <w:divsChild>
                <w:div w:id="1375500010">
                  <w:marLeft w:val="0"/>
                  <w:marRight w:val="0"/>
                  <w:marTop w:val="0"/>
                  <w:marBottom w:val="0"/>
                  <w:divBdr>
                    <w:top w:val="none" w:sz="0" w:space="0" w:color="auto"/>
                    <w:left w:val="none" w:sz="0" w:space="0" w:color="auto"/>
                    <w:bottom w:val="none" w:sz="0" w:space="0" w:color="auto"/>
                    <w:right w:val="none" w:sz="0" w:space="0" w:color="auto"/>
                  </w:divBdr>
                </w:div>
              </w:divsChild>
            </w:div>
            <w:div w:id="1422681158">
              <w:marLeft w:val="0"/>
              <w:marRight w:val="0"/>
              <w:marTop w:val="0"/>
              <w:marBottom w:val="0"/>
              <w:divBdr>
                <w:top w:val="none" w:sz="0" w:space="0" w:color="auto"/>
                <w:left w:val="none" w:sz="0" w:space="0" w:color="auto"/>
                <w:bottom w:val="none" w:sz="0" w:space="0" w:color="auto"/>
                <w:right w:val="none" w:sz="0" w:space="0" w:color="auto"/>
              </w:divBdr>
              <w:divsChild>
                <w:div w:id="99184770">
                  <w:marLeft w:val="0"/>
                  <w:marRight w:val="0"/>
                  <w:marTop w:val="0"/>
                  <w:marBottom w:val="0"/>
                  <w:divBdr>
                    <w:top w:val="none" w:sz="0" w:space="0" w:color="auto"/>
                    <w:left w:val="none" w:sz="0" w:space="0" w:color="auto"/>
                    <w:bottom w:val="none" w:sz="0" w:space="0" w:color="auto"/>
                    <w:right w:val="none" w:sz="0" w:space="0" w:color="auto"/>
                  </w:divBdr>
                </w:div>
              </w:divsChild>
            </w:div>
            <w:div w:id="636683629">
              <w:marLeft w:val="0"/>
              <w:marRight w:val="0"/>
              <w:marTop w:val="0"/>
              <w:marBottom w:val="0"/>
              <w:divBdr>
                <w:top w:val="none" w:sz="0" w:space="0" w:color="auto"/>
                <w:left w:val="none" w:sz="0" w:space="0" w:color="auto"/>
                <w:bottom w:val="none" w:sz="0" w:space="0" w:color="auto"/>
                <w:right w:val="none" w:sz="0" w:space="0" w:color="auto"/>
              </w:divBdr>
              <w:divsChild>
                <w:div w:id="1925258880">
                  <w:marLeft w:val="0"/>
                  <w:marRight w:val="0"/>
                  <w:marTop w:val="0"/>
                  <w:marBottom w:val="0"/>
                  <w:divBdr>
                    <w:top w:val="none" w:sz="0" w:space="0" w:color="auto"/>
                    <w:left w:val="none" w:sz="0" w:space="0" w:color="auto"/>
                    <w:bottom w:val="none" w:sz="0" w:space="0" w:color="auto"/>
                    <w:right w:val="none" w:sz="0" w:space="0" w:color="auto"/>
                  </w:divBdr>
                </w:div>
              </w:divsChild>
            </w:div>
            <w:div w:id="1989284129">
              <w:marLeft w:val="0"/>
              <w:marRight w:val="0"/>
              <w:marTop w:val="0"/>
              <w:marBottom w:val="0"/>
              <w:divBdr>
                <w:top w:val="none" w:sz="0" w:space="0" w:color="auto"/>
                <w:left w:val="none" w:sz="0" w:space="0" w:color="auto"/>
                <w:bottom w:val="none" w:sz="0" w:space="0" w:color="auto"/>
                <w:right w:val="none" w:sz="0" w:space="0" w:color="auto"/>
              </w:divBdr>
              <w:divsChild>
                <w:div w:id="573778460">
                  <w:marLeft w:val="0"/>
                  <w:marRight w:val="0"/>
                  <w:marTop w:val="0"/>
                  <w:marBottom w:val="0"/>
                  <w:divBdr>
                    <w:top w:val="none" w:sz="0" w:space="0" w:color="auto"/>
                    <w:left w:val="none" w:sz="0" w:space="0" w:color="auto"/>
                    <w:bottom w:val="none" w:sz="0" w:space="0" w:color="auto"/>
                    <w:right w:val="none" w:sz="0" w:space="0" w:color="auto"/>
                  </w:divBdr>
                </w:div>
              </w:divsChild>
            </w:div>
            <w:div w:id="1261599077">
              <w:marLeft w:val="0"/>
              <w:marRight w:val="0"/>
              <w:marTop w:val="0"/>
              <w:marBottom w:val="0"/>
              <w:divBdr>
                <w:top w:val="none" w:sz="0" w:space="0" w:color="auto"/>
                <w:left w:val="none" w:sz="0" w:space="0" w:color="auto"/>
                <w:bottom w:val="none" w:sz="0" w:space="0" w:color="auto"/>
                <w:right w:val="none" w:sz="0" w:space="0" w:color="auto"/>
              </w:divBdr>
              <w:divsChild>
                <w:div w:id="422263871">
                  <w:marLeft w:val="0"/>
                  <w:marRight w:val="0"/>
                  <w:marTop w:val="0"/>
                  <w:marBottom w:val="0"/>
                  <w:divBdr>
                    <w:top w:val="none" w:sz="0" w:space="0" w:color="auto"/>
                    <w:left w:val="none" w:sz="0" w:space="0" w:color="auto"/>
                    <w:bottom w:val="none" w:sz="0" w:space="0" w:color="auto"/>
                    <w:right w:val="none" w:sz="0" w:space="0" w:color="auto"/>
                  </w:divBdr>
                </w:div>
              </w:divsChild>
            </w:div>
            <w:div w:id="998117247">
              <w:marLeft w:val="0"/>
              <w:marRight w:val="0"/>
              <w:marTop w:val="0"/>
              <w:marBottom w:val="0"/>
              <w:divBdr>
                <w:top w:val="none" w:sz="0" w:space="0" w:color="auto"/>
                <w:left w:val="none" w:sz="0" w:space="0" w:color="auto"/>
                <w:bottom w:val="none" w:sz="0" w:space="0" w:color="auto"/>
                <w:right w:val="none" w:sz="0" w:space="0" w:color="auto"/>
              </w:divBdr>
              <w:divsChild>
                <w:div w:id="894244527">
                  <w:marLeft w:val="0"/>
                  <w:marRight w:val="0"/>
                  <w:marTop w:val="0"/>
                  <w:marBottom w:val="0"/>
                  <w:divBdr>
                    <w:top w:val="none" w:sz="0" w:space="0" w:color="auto"/>
                    <w:left w:val="none" w:sz="0" w:space="0" w:color="auto"/>
                    <w:bottom w:val="none" w:sz="0" w:space="0" w:color="auto"/>
                    <w:right w:val="none" w:sz="0" w:space="0" w:color="auto"/>
                  </w:divBdr>
                </w:div>
              </w:divsChild>
            </w:div>
            <w:div w:id="979505685">
              <w:marLeft w:val="0"/>
              <w:marRight w:val="0"/>
              <w:marTop w:val="0"/>
              <w:marBottom w:val="0"/>
              <w:divBdr>
                <w:top w:val="none" w:sz="0" w:space="0" w:color="auto"/>
                <w:left w:val="none" w:sz="0" w:space="0" w:color="auto"/>
                <w:bottom w:val="none" w:sz="0" w:space="0" w:color="auto"/>
                <w:right w:val="none" w:sz="0" w:space="0" w:color="auto"/>
              </w:divBdr>
              <w:divsChild>
                <w:div w:id="357585056">
                  <w:marLeft w:val="0"/>
                  <w:marRight w:val="0"/>
                  <w:marTop w:val="0"/>
                  <w:marBottom w:val="0"/>
                  <w:divBdr>
                    <w:top w:val="none" w:sz="0" w:space="0" w:color="auto"/>
                    <w:left w:val="none" w:sz="0" w:space="0" w:color="auto"/>
                    <w:bottom w:val="none" w:sz="0" w:space="0" w:color="auto"/>
                    <w:right w:val="none" w:sz="0" w:space="0" w:color="auto"/>
                  </w:divBdr>
                </w:div>
              </w:divsChild>
            </w:div>
            <w:div w:id="1192065496">
              <w:marLeft w:val="0"/>
              <w:marRight w:val="0"/>
              <w:marTop w:val="300"/>
              <w:marBottom w:val="300"/>
              <w:divBdr>
                <w:top w:val="none" w:sz="0" w:space="0" w:color="auto"/>
                <w:left w:val="none" w:sz="0" w:space="0" w:color="auto"/>
                <w:bottom w:val="none" w:sz="0" w:space="0" w:color="auto"/>
                <w:right w:val="none" w:sz="0" w:space="0" w:color="auto"/>
              </w:divBdr>
            </w:div>
            <w:div w:id="1469475410">
              <w:marLeft w:val="0"/>
              <w:marRight w:val="0"/>
              <w:marTop w:val="0"/>
              <w:marBottom w:val="0"/>
              <w:divBdr>
                <w:top w:val="none" w:sz="0" w:space="0" w:color="auto"/>
                <w:left w:val="none" w:sz="0" w:space="0" w:color="auto"/>
                <w:bottom w:val="none" w:sz="0" w:space="0" w:color="auto"/>
                <w:right w:val="none" w:sz="0" w:space="0" w:color="auto"/>
              </w:divBdr>
              <w:divsChild>
                <w:div w:id="2143498946">
                  <w:marLeft w:val="0"/>
                  <w:marRight w:val="0"/>
                  <w:marTop w:val="0"/>
                  <w:marBottom w:val="0"/>
                  <w:divBdr>
                    <w:top w:val="none" w:sz="0" w:space="0" w:color="auto"/>
                    <w:left w:val="none" w:sz="0" w:space="0" w:color="auto"/>
                    <w:bottom w:val="none" w:sz="0" w:space="0" w:color="auto"/>
                    <w:right w:val="none" w:sz="0" w:space="0" w:color="auto"/>
                  </w:divBdr>
                </w:div>
              </w:divsChild>
            </w:div>
            <w:div w:id="2104565528">
              <w:marLeft w:val="0"/>
              <w:marRight w:val="0"/>
              <w:marTop w:val="0"/>
              <w:marBottom w:val="0"/>
              <w:divBdr>
                <w:top w:val="none" w:sz="0" w:space="0" w:color="auto"/>
                <w:left w:val="none" w:sz="0" w:space="0" w:color="auto"/>
                <w:bottom w:val="none" w:sz="0" w:space="0" w:color="auto"/>
                <w:right w:val="none" w:sz="0" w:space="0" w:color="auto"/>
              </w:divBdr>
              <w:divsChild>
                <w:div w:id="1804738872">
                  <w:marLeft w:val="0"/>
                  <w:marRight w:val="0"/>
                  <w:marTop w:val="0"/>
                  <w:marBottom w:val="0"/>
                  <w:divBdr>
                    <w:top w:val="none" w:sz="0" w:space="0" w:color="auto"/>
                    <w:left w:val="none" w:sz="0" w:space="0" w:color="auto"/>
                    <w:bottom w:val="none" w:sz="0" w:space="0" w:color="auto"/>
                    <w:right w:val="none" w:sz="0" w:space="0" w:color="auto"/>
                  </w:divBdr>
                </w:div>
              </w:divsChild>
            </w:div>
            <w:div w:id="1280987271">
              <w:marLeft w:val="0"/>
              <w:marRight w:val="0"/>
              <w:marTop w:val="0"/>
              <w:marBottom w:val="0"/>
              <w:divBdr>
                <w:top w:val="none" w:sz="0" w:space="0" w:color="auto"/>
                <w:left w:val="none" w:sz="0" w:space="0" w:color="auto"/>
                <w:bottom w:val="none" w:sz="0" w:space="0" w:color="auto"/>
                <w:right w:val="none" w:sz="0" w:space="0" w:color="auto"/>
              </w:divBdr>
              <w:divsChild>
                <w:div w:id="1713845277">
                  <w:marLeft w:val="0"/>
                  <w:marRight w:val="0"/>
                  <w:marTop w:val="0"/>
                  <w:marBottom w:val="0"/>
                  <w:divBdr>
                    <w:top w:val="none" w:sz="0" w:space="0" w:color="auto"/>
                    <w:left w:val="none" w:sz="0" w:space="0" w:color="auto"/>
                    <w:bottom w:val="none" w:sz="0" w:space="0" w:color="auto"/>
                    <w:right w:val="none" w:sz="0" w:space="0" w:color="auto"/>
                  </w:divBdr>
                </w:div>
              </w:divsChild>
            </w:div>
            <w:div w:id="1387098691">
              <w:marLeft w:val="0"/>
              <w:marRight w:val="0"/>
              <w:marTop w:val="0"/>
              <w:marBottom w:val="0"/>
              <w:divBdr>
                <w:top w:val="none" w:sz="0" w:space="0" w:color="auto"/>
                <w:left w:val="none" w:sz="0" w:space="0" w:color="auto"/>
                <w:bottom w:val="none" w:sz="0" w:space="0" w:color="auto"/>
                <w:right w:val="none" w:sz="0" w:space="0" w:color="auto"/>
              </w:divBdr>
              <w:divsChild>
                <w:div w:id="1732390694">
                  <w:marLeft w:val="0"/>
                  <w:marRight w:val="0"/>
                  <w:marTop w:val="0"/>
                  <w:marBottom w:val="0"/>
                  <w:divBdr>
                    <w:top w:val="none" w:sz="0" w:space="0" w:color="auto"/>
                    <w:left w:val="none" w:sz="0" w:space="0" w:color="auto"/>
                    <w:bottom w:val="none" w:sz="0" w:space="0" w:color="auto"/>
                    <w:right w:val="none" w:sz="0" w:space="0" w:color="auto"/>
                  </w:divBdr>
                </w:div>
              </w:divsChild>
            </w:div>
            <w:div w:id="639001225">
              <w:marLeft w:val="0"/>
              <w:marRight w:val="0"/>
              <w:marTop w:val="0"/>
              <w:marBottom w:val="0"/>
              <w:divBdr>
                <w:top w:val="none" w:sz="0" w:space="0" w:color="auto"/>
                <w:left w:val="none" w:sz="0" w:space="0" w:color="auto"/>
                <w:bottom w:val="none" w:sz="0" w:space="0" w:color="auto"/>
                <w:right w:val="none" w:sz="0" w:space="0" w:color="auto"/>
              </w:divBdr>
              <w:divsChild>
                <w:div w:id="203490899">
                  <w:marLeft w:val="0"/>
                  <w:marRight w:val="0"/>
                  <w:marTop w:val="0"/>
                  <w:marBottom w:val="0"/>
                  <w:divBdr>
                    <w:top w:val="none" w:sz="0" w:space="0" w:color="auto"/>
                    <w:left w:val="none" w:sz="0" w:space="0" w:color="auto"/>
                    <w:bottom w:val="none" w:sz="0" w:space="0" w:color="auto"/>
                    <w:right w:val="none" w:sz="0" w:space="0" w:color="auto"/>
                  </w:divBdr>
                </w:div>
              </w:divsChild>
            </w:div>
            <w:div w:id="1456943724">
              <w:marLeft w:val="0"/>
              <w:marRight w:val="0"/>
              <w:marTop w:val="0"/>
              <w:marBottom w:val="0"/>
              <w:divBdr>
                <w:top w:val="none" w:sz="0" w:space="0" w:color="auto"/>
                <w:left w:val="none" w:sz="0" w:space="0" w:color="auto"/>
                <w:bottom w:val="none" w:sz="0" w:space="0" w:color="auto"/>
                <w:right w:val="none" w:sz="0" w:space="0" w:color="auto"/>
              </w:divBdr>
              <w:divsChild>
                <w:div w:id="1478716499">
                  <w:marLeft w:val="0"/>
                  <w:marRight w:val="0"/>
                  <w:marTop w:val="0"/>
                  <w:marBottom w:val="0"/>
                  <w:divBdr>
                    <w:top w:val="none" w:sz="0" w:space="0" w:color="auto"/>
                    <w:left w:val="none" w:sz="0" w:space="0" w:color="auto"/>
                    <w:bottom w:val="none" w:sz="0" w:space="0" w:color="auto"/>
                    <w:right w:val="none" w:sz="0" w:space="0" w:color="auto"/>
                  </w:divBdr>
                </w:div>
              </w:divsChild>
            </w:div>
            <w:div w:id="784034029">
              <w:marLeft w:val="0"/>
              <w:marRight w:val="0"/>
              <w:marTop w:val="0"/>
              <w:marBottom w:val="0"/>
              <w:divBdr>
                <w:top w:val="none" w:sz="0" w:space="0" w:color="auto"/>
                <w:left w:val="none" w:sz="0" w:space="0" w:color="auto"/>
                <w:bottom w:val="none" w:sz="0" w:space="0" w:color="auto"/>
                <w:right w:val="none" w:sz="0" w:space="0" w:color="auto"/>
              </w:divBdr>
              <w:divsChild>
                <w:div w:id="1682273880">
                  <w:marLeft w:val="0"/>
                  <w:marRight w:val="0"/>
                  <w:marTop w:val="0"/>
                  <w:marBottom w:val="0"/>
                  <w:divBdr>
                    <w:top w:val="none" w:sz="0" w:space="0" w:color="auto"/>
                    <w:left w:val="none" w:sz="0" w:space="0" w:color="auto"/>
                    <w:bottom w:val="none" w:sz="0" w:space="0" w:color="auto"/>
                    <w:right w:val="none" w:sz="0" w:space="0" w:color="auto"/>
                  </w:divBdr>
                </w:div>
              </w:divsChild>
            </w:div>
            <w:div w:id="2130778715">
              <w:marLeft w:val="0"/>
              <w:marRight w:val="0"/>
              <w:marTop w:val="0"/>
              <w:marBottom w:val="0"/>
              <w:divBdr>
                <w:top w:val="none" w:sz="0" w:space="0" w:color="auto"/>
                <w:left w:val="none" w:sz="0" w:space="0" w:color="auto"/>
                <w:bottom w:val="none" w:sz="0" w:space="0" w:color="auto"/>
                <w:right w:val="none" w:sz="0" w:space="0" w:color="auto"/>
              </w:divBdr>
              <w:divsChild>
                <w:div w:id="1907764510">
                  <w:marLeft w:val="0"/>
                  <w:marRight w:val="0"/>
                  <w:marTop w:val="0"/>
                  <w:marBottom w:val="0"/>
                  <w:divBdr>
                    <w:top w:val="none" w:sz="0" w:space="0" w:color="auto"/>
                    <w:left w:val="none" w:sz="0" w:space="0" w:color="auto"/>
                    <w:bottom w:val="none" w:sz="0" w:space="0" w:color="auto"/>
                    <w:right w:val="none" w:sz="0" w:space="0" w:color="auto"/>
                  </w:divBdr>
                </w:div>
              </w:divsChild>
            </w:div>
            <w:div w:id="2080906984">
              <w:marLeft w:val="0"/>
              <w:marRight w:val="0"/>
              <w:marTop w:val="0"/>
              <w:marBottom w:val="0"/>
              <w:divBdr>
                <w:top w:val="none" w:sz="0" w:space="0" w:color="auto"/>
                <w:left w:val="none" w:sz="0" w:space="0" w:color="auto"/>
                <w:bottom w:val="none" w:sz="0" w:space="0" w:color="auto"/>
                <w:right w:val="none" w:sz="0" w:space="0" w:color="auto"/>
              </w:divBdr>
              <w:divsChild>
                <w:div w:id="816385085">
                  <w:marLeft w:val="0"/>
                  <w:marRight w:val="0"/>
                  <w:marTop w:val="0"/>
                  <w:marBottom w:val="0"/>
                  <w:divBdr>
                    <w:top w:val="none" w:sz="0" w:space="0" w:color="auto"/>
                    <w:left w:val="none" w:sz="0" w:space="0" w:color="auto"/>
                    <w:bottom w:val="none" w:sz="0" w:space="0" w:color="auto"/>
                    <w:right w:val="none" w:sz="0" w:space="0" w:color="auto"/>
                  </w:divBdr>
                </w:div>
              </w:divsChild>
            </w:div>
            <w:div w:id="1686862323">
              <w:marLeft w:val="0"/>
              <w:marRight w:val="0"/>
              <w:marTop w:val="0"/>
              <w:marBottom w:val="0"/>
              <w:divBdr>
                <w:top w:val="none" w:sz="0" w:space="0" w:color="auto"/>
                <w:left w:val="none" w:sz="0" w:space="0" w:color="auto"/>
                <w:bottom w:val="none" w:sz="0" w:space="0" w:color="auto"/>
                <w:right w:val="none" w:sz="0" w:space="0" w:color="auto"/>
              </w:divBdr>
              <w:divsChild>
                <w:div w:id="1263148560">
                  <w:marLeft w:val="0"/>
                  <w:marRight w:val="0"/>
                  <w:marTop w:val="0"/>
                  <w:marBottom w:val="0"/>
                  <w:divBdr>
                    <w:top w:val="none" w:sz="0" w:space="0" w:color="auto"/>
                    <w:left w:val="none" w:sz="0" w:space="0" w:color="auto"/>
                    <w:bottom w:val="none" w:sz="0" w:space="0" w:color="auto"/>
                    <w:right w:val="none" w:sz="0" w:space="0" w:color="auto"/>
                  </w:divBdr>
                </w:div>
              </w:divsChild>
            </w:div>
            <w:div w:id="581380873">
              <w:marLeft w:val="0"/>
              <w:marRight w:val="0"/>
              <w:marTop w:val="0"/>
              <w:marBottom w:val="0"/>
              <w:divBdr>
                <w:top w:val="none" w:sz="0" w:space="0" w:color="auto"/>
                <w:left w:val="none" w:sz="0" w:space="0" w:color="auto"/>
                <w:bottom w:val="none" w:sz="0" w:space="0" w:color="auto"/>
                <w:right w:val="none" w:sz="0" w:space="0" w:color="auto"/>
              </w:divBdr>
              <w:divsChild>
                <w:div w:id="327290195">
                  <w:marLeft w:val="0"/>
                  <w:marRight w:val="0"/>
                  <w:marTop w:val="0"/>
                  <w:marBottom w:val="0"/>
                  <w:divBdr>
                    <w:top w:val="none" w:sz="0" w:space="0" w:color="auto"/>
                    <w:left w:val="none" w:sz="0" w:space="0" w:color="auto"/>
                    <w:bottom w:val="none" w:sz="0" w:space="0" w:color="auto"/>
                    <w:right w:val="none" w:sz="0" w:space="0" w:color="auto"/>
                  </w:divBdr>
                </w:div>
              </w:divsChild>
            </w:div>
            <w:div w:id="1701007394">
              <w:marLeft w:val="0"/>
              <w:marRight w:val="0"/>
              <w:marTop w:val="0"/>
              <w:marBottom w:val="0"/>
              <w:divBdr>
                <w:top w:val="none" w:sz="0" w:space="0" w:color="auto"/>
                <w:left w:val="none" w:sz="0" w:space="0" w:color="auto"/>
                <w:bottom w:val="none" w:sz="0" w:space="0" w:color="auto"/>
                <w:right w:val="none" w:sz="0" w:space="0" w:color="auto"/>
              </w:divBdr>
              <w:divsChild>
                <w:div w:id="441802661">
                  <w:marLeft w:val="0"/>
                  <w:marRight w:val="0"/>
                  <w:marTop w:val="0"/>
                  <w:marBottom w:val="0"/>
                  <w:divBdr>
                    <w:top w:val="none" w:sz="0" w:space="0" w:color="auto"/>
                    <w:left w:val="none" w:sz="0" w:space="0" w:color="auto"/>
                    <w:bottom w:val="none" w:sz="0" w:space="0" w:color="auto"/>
                    <w:right w:val="none" w:sz="0" w:space="0" w:color="auto"/>
                  </w:divBdr>
                </w:div>
              </w:divsChild>
            </w:div>
            <w:div w:id="1006791317">
              <w:marLeft w:val="0"/>
              <w:marRight w:val="0"/>
              <w:marTop w:val="0"/>
              <w:marBottom w:val="0"/>
              <w:divBdr>
                <w:top w:val="none" w:sz="0" w:space="0" w:color="auto"/>
                <w:left w:val="none" w:sz="0" w:space="0" w:color="auto"/>
                <w:bottom w:val="none" w:sz="0" w:space="0" w:color="auto"/>
                <w:right w:val="none" w:sz="0" w:space="0" w:color="auto"/>
              </w:divBdr>
              <w:divsChild>
                <w:div w:id="953901278">
                  <w:marLeft w:val="0"/>
                  <w:marRight w:val="0"/>
                  <w:marTop w:val="0"/>
                  <w:marBottom w:val="0"/>
                  <w:divBdr>
                    <w:top w:val="none" w:sz="0" w:space="0" w:color="auto"/>
                    <w:left w:val="none" w:sz="0" w:space="0" w:color="auto"/>
                    <w:bottom w:val="none" w:sz="0" w:space="0" w:color="auto"/>
                    <w:right w:val="none" w:sz="0" w:space="0" w:color="auto"/>
                  </w:divBdr>
                </w:div>
              </w:divsChild>
            </w:div>
            <w:div w:id="505247733">
              <w:marLeft w:val="0"/>
              <w:marRight w:val="0"/>
              <w:marTop w:val="0"/>
              <w:marBottom w:val="0"/>
              <w:divBdr>
                <w:top w:val="none" w:sz="0" w:space="0" w:color="auto"/>
                <w:left w:val="none" w:sz="0" w:space="0" w:color="auto"/>
                <w:bottom w:val="none" w:sz="0" w:space="0" w:color="auto"/>
                <w:right w:val="none" w:sz="0" w:space="0" w:color="auto"/>
              </w:divBdr>
              <w:divsChild>
                <w:div w:id="2116095771">
                  <w:marLeft w:val="0"/>
                  <w:marRight w:val="0"/>
                  <w:marTop w:val="0"/>
                  <w:marBottom w:val="0"/>
                  <w:divBdr>
                    <w:top w:val="none" w:sz="0" w:space="0" w:color="auto"/>
                    <w:left w:val="none" w:sz="0" w:space="0" w:color="auto"/>
                    <w:bottom w:val="none" w:sz="0" w:space="0" w:color="auto"/>
                    <w:right w:val="none" w:sz="0" w:space="0" w:color="auto"/>
                  </w:divBdr>
                </w:div>
              </w:divsChild>
            </w:div>
            <w:div w:id="235940674">
              <w:marLeft w:val="0"/>
              <w:marRight w:val="0"/>
              <w:marTop w:val="0"/>
              <w:marBottom w:val="0"/>
              <w:divBdr>
                <w:top w:val="none" w:sz="0" w:space="0" w:color="auto"/>
                <w:left w:val="none" w:sz="0" w:space="0" w:color="auto"/>
                <w:bottom w:val="none" w:sz="0" w:space="0" w:color="auto"/>
                <w:right w:val="none" w:sz="0" w:space="0" w:color="auto"/>
              </w:divBdr>
              <w:divsChild>
                <w:div w:id="307518871">
                  <w:marLeft w:val="0"/>
                  <w:marRight w:val="0"/>
                  <w:marTop w:val="0"/>
                  <w:marBottom w:val="0"/>
                  <w:divBdr>
                    <w:top w:val="none" w:sz="0" w:space="0" w:color="auto"/>
                    <w:left w:val="none" w:sz="0" w:space="0" w:color="auto"/>
                    <w:bottom w:val="none" w:sz="0" w:space="0" w:color="auto"/>
                    <w:right w:val="none" w:sz="0" w:space="0" w:color="auto"/>
                  </w:divBdr>
                </w:div>
              </w:divsChild>
            </w:div>
            <w:div w:id="1099446101">
              <w:marLeft w:val="0"/>
              <w:marRight w:val="0"/>
              <w:marTop w:val="0"/>
              <w:marBottom w:val="0"/>
              <w:divBdr>
                <w:top w:val="none" w:sz="0" w:space="0" w:color="auto"/>
                <w:left w:val="none" w:sz="0" w:space="0" w:color="auto"/>
                <w:bottom w:val="none" w:sz="0" w:space="0" w:color="auto"/>
                <w:right w:val="none" w:sz="0" w:space="0" w:color="auto"/>
              </w:divBdr>
              <w:divsChild>
                <w:div w:id="720790777">
                  <w:marLeft w:val="0"/>
                  <w:marRight w:val="0"/>
                  <w:marTop w:val="0"/>
                  <w:marBottom w:val="0"/>
                  <w:divBdr>
                    <w:top w:val="none" w:sz="0" w:space="0" w:color="auto"/>
                    <w:left w:val="none" w:sz="0" w:space="0" w:color="auto"/>
                    <w:bottom w:val="none" w:sz="0" w:space="0" w:color="auto"/>
                    <w:right w:val="none" w:sz="0" w:space="0" w:color="auto"/>
                  </w:divBdr>
                </w:div>
              </w:divsChild>
            </w:div>
            <w:div w:id="1215313680">
              <w:marLeft w:val="0"/>
              <w:marRight w:val="0"/>
              <w:marTop w:val="0"/>
              <w:marBottom w:val="0"/>
              <w:divBdr>
                <w:top w:val="none" w:sz="0" w:space="0" w:color="auto"/>
                <w:left w:val="none" w:sz="0" w:space="0" w:color="auto"/>
                <w:bottom w:val="none" w:sz="0" w:space="0" w:color="auto"/>
                <w:right w:val="none" w:sz="0" w:space="0" w:color="auto"/>
              </w:divBdr>
              <w:divsChild>
                <w:div w:id="1441605897">
                  <w:marLeft w:val="0"/>
                  <w:marRight w:val="0"/>
                  <w:marTop w:val="0"/>
                  <w:marBottom w:val="0"/>
                  <w:divBdr>
                    <w:top w:val="none" w:sz="0" w:space="0" w:color="auto"/>
                    <w:left w:val="none" w:sz="0" w:space="0" w:color="auto"/>
                    <w:bottom w:val="none" w:sz="0" w:space="0" w:color="auto"/>
                    <w:right w:val="none" w:sz="0" w:space="0" w:color="auto"/>
                  </w:divBdr>
                </w:div>
              </w:divsChild>
            </w:div>
            <w:div w:id="1943147102">
              <w:marLeft w:val="0"/>
              <w:marRight w:val="0"/>
              <w:marTop w:val="300"/>
              <w:marBottom w:val="300"/>
              <w:divBdr>
                <w:top w:val="none" w:sz="0" w:space="0" w:color="auto"/>
                <w:left w:val="none" w:sz="0" w:space="0" w:color="auto"/>
                <w:bottom w:val="none" w:sz="0" w:space="0" w:color="auto"/>
                <w:right w:val="none" w:sz="0" w:space="0" w:color="auto"/>
              </w:divBdr>
            </w:div>
            <w:div w:id="19937742">
              <w:marLeft w:val="0"/>
              <w:marRight w:val="0"/>
              <w:marTop w:val="0"/>
              <w:marBottom w:val="0"/>
              <w:divBdr>
                <w:top w:val="none" w:sz="0" w:space="0" w:color="auto"/>
                <w:left w:val="none" w:sz="0" w:space="0" w:color="auto"/>
                <w:bottom w:val="none" w:sz="0" w:space="0" w:color="auto"/>
                <w:right w:val="none" w:sz="0" w:space="0" w:color="auto"/>
              </w:divBdr>
              <w:divsChild>
                <w:div w:id="1019890863">
                  <w:marLeft w:val="0"/>
                  <w:marRight w:val="0"/>
                  <w:marTop w:val="0"/>
                  <w:marBottom w:val="0"/>
                  <w:divBdr>
                    <w:top w:val="none" w:sz="0" w:space="0" w:color="auto"/>
                    <w:left w:val="none" w:sz="0" w:space="0" w:color="auto"/>
                    <w:bottom w:val="none" w:sz="0" w:space="0" w:color="auto"/>
                    <w:right w:val="none" w:sz="0" w:space="0" w:color="auto"/>
                  </w:divBdr>
                </w:div>
              </w:divsChild>
            </w:div>
            <w:div w:id="1236359427">
              <w:marLeft w:val="0"/>
              <w:marRight w:val="0"/>
              <w:marTop w:val="0"/>
              <w:marBottom w:val="0"/>
              <w:divBdr>
                <w:top w:val="none" w:sz="0" w:space="0" w:color="auto"/>
                <w:left w:val="none" w:sz="0" w:space="0" w:color="auto"/>
                <w:bottom w:val="none" w:sz="0" w:space="0" w:color="auto"/>
                <w:right w:val="none" w:sz="0" w:space="0" w:color="auto"/>
              </w:divBdr>
              <w:divsChild>
                <w:div w:id="888688334">
                  <w:marLeft w:val="0"/>
                  <w:marRight w:val="0"/>
                  <w:marTop w:val="0"/>
                  <w:marBottom w:val="0"/>
                  <w:divBdr>
                    <w:top w:val="none" w:sz="0" w:space="0" w:color="auto"/>
                    <w:left w:val="none" w:sz="0" w:space="0" w:color="auto"/>
                    <w:bottom w:val="none" w:sz="0" w:space="0" w:color="auto"/>
                    <w:right w:val="none" w:sz="0" w:space="0" w:color="auto"/>
                  </w:divBdr>
                </w:div>
              </w:divsChild>
            </w:div>
            <w:div w:id="482738864">
              <w:marLeft w:val="0"/>
              <w:marRight w:val="0"/>
              <w:marTop w:val="0"/>
              <w:marBottom w:val="0"/>
              <w:divBdr>
                <w:top w:val="none" w:sz="0" w:space="0" w:color="auto"/>
                <w:left w:val="none" w:sz="0" w:space="0" w:color="auto"/>
                <w:bottom w:val="none" w:sz="0" w:space="0" w:color="auto"/>
                <w:right w:val="none" w:sz="0" w:space="0" w:color="auto"/>
              </w:divBdr>
              <w:divsChild>
                <w:div w:id="1751540597">
                  <w:marLeft w:val="0"/>
                  <w:marRight w:val="0"/>
                  <w:marTop w:val="0"/>
                  <w:marBottom w:val="0"/>
                  <w:divBdr>
                    <w:top w:val="none" w:sz="0" w:space="0" w:color="auto"/>
                    <w:left w:val="none" w:sz="0" w:space="0" w:color="auto"/>
                    <w:bottom w:val="none" w:sz="0" w:space="0" w:color="auto"/>
                    <w:right w:val="none" w:sz="0" w:space="0" w:color="auto"/>
                  </w:divBdr>
                </w:div>
              </w:divsChild>
            </w:div>
            <w:div w:id="1518038011">
              <w:marLeft w:val="0"/>
              <w:marRight w:val="0"/>
              <w:marTop w:val="0"/>
              <w:marBottom w:val="0"/>
              <w:divBdr>
                <w:top w:val="none" w:sz="0" w:space="0" w:color="auto"/>
                <w:left w:val="none" w:sz="0" w:space="0" w:color="auto"/>
                <w:bottom w:val="none" w:sz="0" w:space="0" w:color="auto"/>
                <w:right w:val="none" w:sz="0" w:space="0" w:color="auto"/>
              </w:divBdr>
              <w:divsChild>
                <w:div w:id="513107017">
                  <w:marLeft w:val="0"/>
                  <w:marRight w:val="0"/>
                  <w:marTop w:val="0"/>
                  <w:marBottom w:val="0"/>
                  <w:divBdr>
                    <w:top w:val="none" w:sz="0" w:space="0" w:color="auto"/>
                    <w:left w:val="none" w:sz="0" w:space="0" w:color="auto"/>
                    <w:bottom w:val="none" w:sz="0" w:space="0" w:color="auto"/>
                    <w:right w:val="none" w:sz="0" w:space="0" w:color="auto"/>
                  </w:divBdr>
                </w:div>
              </w:divsChild>
            </w:div>
            <w:div w:id="1867478944">
              <w:marLeft w:val="0"/>
              <w:marRight w:val="0"/>
              <w:marTop w:val="0"/>
              <w:marBottom w:val="0"/>
              <w:divBdr>
                <w:top w:val="none" w:sz="0" w:space="0" w:color="auto"/>
                <w:left w:val="none" w:sz="0" w:space="0" w:color="auto"/>
                <w:bottom w:val="none" w:sz="0" w:space="0" w:color="auto"/>
                <w:right w:val="none" w:sz="0" w:space="0" w:color="auto"/>
              </w:divBdr>
              <w:divsChild>
                <w:div w:id="656302570">
                  <w:marLeft w:val="0"/>
                  <w:marRight w:val="0"/>
                  <w:marTop w:val="0"/>
                  <w:marBottom w:val="0"/>
                  <w:divBdr>
                    <w:top w:val="none" w:sz="0" w:space="0" w:color="auto"/>
                    <w:left w:val="none" w:sz="0" w:space="0" w:color="auto"/>
                    <w:bottom w:val="none" w:sz="0" w:space="0" w:color="auto"/>
                    <w:right w:val="none" w:sz="0" w:space="0" w:color="auto"/>
                  </w:divBdr>
                </w:div>
              </w:divsChild>
            </w:div>
            <w:div w:id="1703556565">
              <w:marLeft w:val="0"/>
              <w:marRight w:val="0"/>
              <w:marTop w:val="0"/>
              <w:marBottom w:val="0"/>
              <w:divBdr>
                <w:top w:val="none" w:sz="0" w:space="0" w:color="auto"/>
                <w:left w:val="none" w:sz="0" w:space="0" w:color="auto"/>
                <w:bottom w:val="none" w:sz="0" w:space="0" w:color="auto"/>
                <w:right w:val="none" w:sz="0" w:space="0" w:color="auto"/>
              </w:divBdr>
              <w:divsChild>
                <w:div w:id="1735349900">
                  <w:marLeft w:val="0"/>
                  <w:marRight w:val="0"/>
                  <w:marTop w:val="0"/>
                  <w:marBottom w:val="0"/>
                  <w:divBdr>
                    <w:top w:val="none" w:sz="0" w:space="0" w:color="auto"/>
                    <w:left w:val="none" w:sz="0" w:space="0" w:color="auto"/>
                    <w:bottom w:val="none" w:sz="0" w:space="0" w:color="auto"/>
                    <w:right w:val="none" w:sz="0" w:space="0" w:color="auto"/>
                  </w:divBdr>
                </w:div>
              </w:divsChild>
            </w:div>
            <w:div w:id="1286738146">
              <w:marLeft w:val="0"/>
              <w:marRight w:val="0"/>
              <w:marTop w:val="300"/>
              <w:marBottom w:val="300"/>
              <w:divBdr>
                <w:top w:val="none" w:sz="0" w:space="0" w:color="auto"/>
                <w:left w:val="none" w:sz="0" w:space="0" w:color="auto"/>
                <w:bottom w:val="none" w:sz="0" w:space="0" w:color="auto"/>
                <w:right w:val="none" w:sz="0" w:space="0" w:color="auto"/>
              </w:divBdr>
            </w:div>
            <w:div w:id="876086268">
              <w:marLeft w:val="0"/>
              <w:marRight w:val="0"/>
              <w:marTop w:val="0"/>
              <w:marBottom w:val="0"/>
              <w:divBdr>
                <w:top w:val="none" w:sz="0" w:space="0" w:color="auto"/>
                <w:left w:val="none" w:sz="0" w:space="0" w:color="auto"/>
                <w:bottom w:val="none" w:sz="0" w:space="0" w:color="auto"/>
                <w:right w:val="none" w:sz="0" w:space="0" w:color="auto"/>
              </w:divBdr>
              <w:divsChild>
                <w:div w:id="785850538">
                  <w:marLeft w:val="0"/>
                  <w:marRight w:val="0"/>
                  <w:marTop w:val="0"/>
                  <w:marBottom w:val="0"/>
                  <w:divBdr>
                    <w:top w:val="none" w:sz="0" w:space="0" w:color="auto"/>
                    <w:left w:val="none" w:sz="0" w:space="0" w:color="auto"/>
                    <w:bottom w:val="none" w:sz="0" w:space="0" w:color="auto"/>
                    <w:right w:val="none" w:sz="0" w:space="0" w:color="auto"/>
                  </w:divBdr>
                </w:div>
              </w:divsChild>
            </w:div>
            <w:div w:id="1638295431">
              <w:marLeft w:val="0"/>
              <w:marRight w:val="0"/>
              <w:marTop w:val="0"/>
              <w:marBottom w:val="0"/>
              <w:divBdr>
                <w:top w:val="none" w:sz="0" w:space="0" w:color="auto"/>
                <w:left w:val="none" w:sz="0" w:space="0" w:color="auto"/>
                <w:bottom w:val="none" w:sz="0" w:space="0" w:color="auto"/>
                <w:right w:val="none" w:sz="0" w:space="0" w:color="auto"/>
              </w:divBdr>
              <w:divsChild>
                <w:div w:id="1745683832">
                  <w:marLeft w:val="0"/>
                  <w:marRight w:val="0"/>
                  <w:marTop w:val="0"/>
                  <w:marBottom w:val="0"/>
                  <w:divBdr>
                    <w:top w:val="none" w:sz="0" w:space="0" w:color="auto"/>
                    <w:left w:val="none" w:sz="0" w:space="0" w:color="auto"/>
                    <w:bottom w:val="none" w:sz="0" w:space="0" w:color="auto"/>
                    <w:right w:val="none" w:sz="0" w:space="0" w:color="auto"/>
                  </w:divBdr>
                </w:div>
              </w:divsChild>
            </w:div>
            <w:div w:id="297951612">
              <w:marLeft w:val="0"/>
              <w:marRight w:val="0"/>
              <w:marTop w:val="0"/>
              <w:marBottom w:val="0"/>
              <w:divBdr>
                <w:top w:val="none" w:sz="0" w:space="0" w:color="auto"/>
                <w:left w:val="none" w:sz="0" w:space="0" w:color="auto"/>
                <w:bottom w:val="none" w:sz="0" w:space="0" w:color="auto"/>
                <w:right w:val="none" w:sz="0" w:space="0" w:color="auto"/>
              </w:divBdr>
              <w:divsChild>
                <w:div w:id="1264731228">
                  <w:marLeft w:val="0"/>
                  <w:marRight w:val="0"/>
                  <w:marTop w:val="0"/>
                  <w:marBottom w:val="0"/>
                  <w:divBdr>
                    <w:top w:val="none" w:sz="0" w:space="0" w:color="auto"/>
                    <w:left w:val="none" w:sz="0" w:space="0" w:color="auto"/>
                    <w:bottom w:val="none" w:sz="0" w:space="0" w:color="auto"/>
                    <w:right w:val="none" w:sz="0" w:space="0" w:color="auto"/>
                  </w:divBdr>
                </w:div>
              </w:divsChild>
            </w:div>
            <w:div w:id="161701318">
              <w:marLeft w:val="0"/>
              <w:marRight w:val="0"/>
              <w:marTop w:val="0"/>
              <w:marBottom w:val="0"/>
              <w:divBdr>
                <w:top w:val="none" w:sz="0" w:space="0" w:color="auto"/>
                <w:left w:val="none" w:sz="0" w:space="0" w:color="auto"/>
                <w:bottom w:val="none" w:sz="0" w:space="0" w:color="auto"/>
                <w:right w:val="none" w:sz="0" w:space="0" w:color="auto"/>
              </w:divBdr>
              <w:divsChild>
                <w:div w:id="1933778870">
                  <w:marLeft w:val="0"/>
                  <w:marRight w:val="0"/>
                  <w:marTop w:val="0"/>
                  <w:marBottom w:val="0"/>
                  <w:divBdr>
                    <w:top w:val="none" w:sz="0" w:space="0" w:color="auto"/>
                    <w:left w:val="none" w:sz="0" w:space="0" w:color="auto"/>
                    <w:bottom w:val="none" w:sz="0" w:space="0" w:color="auto"/>
                    <w:right w:val="none" w:sz="0" w:space="0" w:color="auto"/>
                  </w:divBdr>
                </w:div>
              </w:divsChild>
            </w:div>
            <w:div w:id="1390570222">
              <w:marLeft w:val="0"/>
              <w:marRight w:val="0"/>
              <w:marTop w:val="0"/>
              <w:marBottom w:val="0"/>
              <w:divBdr>
                <w:top w:val="none" w:sz="0" w:space="0" w:color="auto"/>
                <w:left w:val="none" w:sz="0" w:space="0" w:color="auto"/>
                <w:bottom w:val="none" w:sz="0" w:space="0" w:color="auto"/>
                <w:right w:val="none" w:sz="0" w:space="0" w:color="auto"/>
              </w:divBdr>
              <w:divsChild>
                <w:div w:id="319845146">
                  <w:marLeft w:val="0"/>
                  <w:marRight w:val="0"/>
                  <w:marTop w:val="0"/>
                  <w:marBottom w:val="0"/>
                  <w:divBdr>
                    <w:top w:val="none" w:sz="0" w:space="0" w:color="auto"/>
                    <w:left w:val="none" w:sz="0" w:space="0" w:color="auto"/>
                    <w:bottom w:val="none" w:sz="0" w:space="0" w:color="auto"/>
                    <w:right w:val="none" w:sz="0" w:space="0" w:color="auto"/>
                  </w:divBdr>
                </w:div>
              </w:divsChild>
            </w:div>
            <w:div w:id="1390961766">
              <w:marLeft w:val="0"/>
              <w:marRight w:val="0"/>
              <w:marTop w:val="300"/>
              <w:marBottom w:val="300"/>
              <w:divBdr>
                <w:top w:val="none" w:sz="0" w:space="0" w:color="auto"/>
                <w:left w:val="none" w:sz="0" w:space="0" w:color="auto"/>
                <w:bottom w:val="none" w:sz="0" w:space="0" w:color="auto"/>
                <w:right w:val="none" w:sz="0" w:space="0" w:color="auto"/>
              </w:divBdr>
            </w:div>
            <w:div w:id="1047952662">
              <w:marLeft w:val="0"/>
              <w:marRight w:val="0"/>
              <w:marTop w:val="0"/>
              <w:marBottom w:val="0"/>
              <w:divBdr>
                <w:top w:val="none" w:sz="0" w:space="0" w:color="auto"/>
                <w:left w:val="none" w:sz="0" w:space="0" w:color="auto"/>
                <w:bottom w:val="none" w:sz="0" w:space="0" w:color="auto"/>
                <w:right w:val="none" w:sz="0" w:space="0" w:color="auto"/>
              </w:divBdr>
              <w:divsChild>
                <w:div w:id="1006977087">
                  <w:marLeft w:val="0"/>
                  <w:marRight w:val="0"/>
                  <w:marTop w:val="0"/>
                  <w:marBottom w:val="0"/>
                  <w:divBdr>
                    <w:top w:val="none" w:sz="0" w:space="0" w:color="auto"/>
                    <w:left w:val="none" w:sz="0" w:space="0" w:color="auto"/>
                    <w:bottom w:val="none" w:sz="0" w:space="0" w:color="auto"/>
                    <w:right w:val="none" w:sz="0" w:space="0" w:color="auto"/>
                  </w:divBdr>
                </w:div>
              </w:divsChild>
            </w:div>
            <w:div w:id="1191993310">
              <w:marLeft w:val="0"/>
              <w:marRight w:val="0"/>
              <w:marTop w:val="0"/>
              <w:marBottom w:val="0"/>
              <w:divBdr>
                <w:top w:val="none" w:sz="0" w:space="0" w:color="auto"/>
                <w:left w:val="none" w:sz="0" w:space="0" w:color="auto"/>
                <w:bottom w:val="none" w:sz="0" w:space="0" w:color="auto"/>
                <w:right w:val="none" w:sz="0" w:space="0" w:color="auto"/>
              </w:divBdr>
              <w:divsChild>
                <w:div w:id="1754429166">
                  <w:marLeft w:val="0"/>
                  <w:marRight w:val="0"/>
                  <w:marTop w:val="0"/>
                  <w:marBottom w:val="0"/>
                  <w:divBdr>
                    <w:top w:val="none" w:sz="0" w:space="0" w:color="auto"/>
                    <w:left w:val="none" w:sz="0" w:space="0" w:color="auto"/>
                    <w:bottom w:val="none" w:sz="0" w:space="0" w:color="auto"/>
                    <w:right w:val="none" w:sz="0" w:space="0" w:color="auto"/>
                  </w:divBdr>
                </w:div>
              </w:divsChild>
            </w:div>
            <w:div w:id="177357511">
              <w:marLeft w:val="0"/>
              <w:marRight w:val="0"/>
              <w:marTop w:val="0"/>
              <w:marBottom w:val="0"/>
              <w:divBdr>
                <w:top w:val="none" w:sz="0" w:space="0" w:color="auto"/>
                <w:left w:val="none" w:sz="0" w:space="0" w:color="auto"/>
                <w:bottom w:val="none" w:sz="0" w:space="0" w:color="auto"/>
                <w:right w:val="none" w:sz="0" w:space="0" w:color="auto"/>
              </w:divBdr>
              <w:divsChild>
                <w:div w:id="1536114529">
                  <w:marLeft w:val="0"/>
                  <w:marRight w:val="0"/>
                  <w:marTop w:val="0"/>
                  <w:marBottom w:val="0"/>
                  <w:divBdr>
                    <w:top w:val="none" w:sz="0" w:space="0" w:color="auto"/>
                    <w:left w:val="none" w:sz="0" w:space="0" w:color="auto"/>
                    <w:bottom w:val="none" w:sz="0" w:space="0" w:color="auto"/>
                    <w:right w:val="none" w:sz="0" w:space="0" w:color="auto"/>
                  </w:divBdr>
                </w:div>
              </w:divsChild>
            </w:div>
            <w:div w:id="1041638365">
              <w:marLeft w:val="0"/>
              <w:marRight w:val="0"/>
              <w:marTop w:val="0"/>
              <w:marBottom w:val="0"/>
              <w:divBdr>
                <w:top w:val="none" w:sz="0" w:space="0" w:color="auto"/>
                <w:left w:val="none" w:sz="0" w:space="0" w:color="auto"/>
                <w:bottom w:val="none" w:sz="0" w:space="0" w:color="auto"/>
                <w:right w:val="none" w:sz="0" w:space="0" w:color="auto"/>
              </w:divBdr>
              <w:divsChild>
                <w:div w:id="1734542538">
                  <w:marLeft w:val="0"/>
                  <w:marRight w:val="0"/>
                  <w:marTop w:val="0"/>
                  <w:marBottom w:val="0"/>
                  <w:divBdr>
                    <w:top w:val="none" w:sz="0" w:space="0" w:color="auto"/>
                    <w:left w:val="none" w:sz="0" w:space="0" w:color="auto"/>
                    <w:bottom w:val="none" w:sz="0" w:space="0" w:color="auto"/>
                    <w:right w:val="none" w:sz="0" w:space="0" w:color="auto"/>
                  </w:divBdr>
                </w:div>
              </w:divsChild>
            </w:div>
            <w:div w:id="1946767021">
              <w:marLeft w:val="0"/>
              <w:marRight w:val="0"/>
              <w:marTop w:val="0"/>
              <w:marBottom w:val="0"/>
              <w:divBdr>
                <w:top w:val="none" w:sz="0" w:space="0" w:color="auto"/>
                <w:left w:val="none" w:sz="0" w:space="0" w:color="auto"/>
                <w:bottom w:val="none" w:sz="0" w:space="0" w:color="auto"/>
                <w:right w:val="none" w:sz="0" w:space="0" w:color="auto"/>
              </w:divBdr>
              <w:divsChild>
                <w:div w:id="1846437735">
                  <w:marLeft w:val="0"/>
                  <w:marRight w:val="0"/>
                  <w:marTop w:val="0"/>
                  <w:marBottom w:val="0"/>
                  <w:divBdr>
                    <w:top w:val="none" w:sz="0" w:space="0" w:color="auto"/>
                    <w:left w:val="none" w:sz="0" w:space="0" w:color="auto"/>
                    <w:bottom w:val="none" w:sz="0" w:space="0" w:color="auto"/>
                    <w:right w:val="none" w:sz="0" w:space="0" w:color="auto"/>
                  </w:divBdr>
                </w:div>
              </w:divsChild>
            </w:div>
            <w:div w:id="543564760">
              <w:marLeft w:val="0"/>
              <w:marRight w:val="0"/>
              <w:marTop w:val="0"/>
              <w:marBottom w:val="0"/>
              <w:divBdr>
                <w:top w:val="none" w:sz="0" w:space="0" w:color="auto"/>
                <w:left w:val="none" w:sz="0" w:space="0" w:color="auto"/>
                <w:bottom w:val="none" w:sz="0" w:space="0" w:color="auto"/>
                <w:right w:val="none" w:sz="0" w:space="0" w:color="auto"/>
              </w:divBdr>
              <w:divsChild>
                <w:div w:id="1805462795">
                  <w:marLeft w:val="0"/>
                  <w:marRight w:val="0"/>
                  <w:marTop w:val="0"/>
                  <w:marBottom w:val="0"/>
                  <w:divBdr>
                    <w:top w:val="none" w:sz="0" w:space="0" w:color="auto"/>
                    <w:left w:val="none" w:sz="0" w:space="0" w:color="auto"/>
                    <w:bottom w:val="none" w:sz="0" w:space="0" w:color="auto"/>
                    <w:right w:val="none" w:sz="0" w:space="0" w:color="auto"/>
                  </w:divBdr>
                </w:div>
              </w:divsChild>
            </w:div>
            <w:div w:id="528569880">
              <w:marLeft w:val="0"/>
              <w:marRight w:val="0"/>
              <w:marTop w:val="0"/>
              <w:marBottom w:val="0"/>
              <w:divBdr>
                <w:top w:val="none" w:sz="0" w:space="0" w:color="auto"/>
                <w:left w:val="none" w:sz="0" w:space="0" w:color="auto"/>
                <w:bottom w:val="none" w:sz="0" w:space="0" w:color="auto"/>
                <w:right w:val="none" w:sz="0" w:space="0" w:color="auto"/>
              </w:divBdr>
              <w:divsChild>
                <w:div w:id="631598318">
                  <w:marLeft w:val="0"/>
                  <w:marRight w:val="0"/>
                  <w:marTop w:val="0"/>
                  <w:marBottom w:val="0"/>
                  <w:divBdr>
                    <w:top w:val="none" w:sz="0" w:space="0" w:color="auto"/>
                    <w:left w:val="none" w:sz="0" w:space="0" w:color="auto"/>
                    <w:bottom w:val="none" w:sz="0" w:space="0" w:color="auto"/>
                    <w:right w:val="none" w:sz="0" w:space="0" w:color="auto"/>
                  </w:divBdr>
                </w:div>
              </w:divsChild>
            </w:div>
            <w:div w:id="1586110455">
              <w:marLeft w:val="0"/>
              <w:marRight w:val="0"/>
              <w:marTop w:val="0"/>
              <w:marBottom w:val="0"/>
              <w:divBdr>
                <w:top w:val="none" w:sz="0" w:space="0" w:color="auto"/>
                <w:left w:val="none" w:sz="0" w:space="0" w:color="auto"/>
                <w:bottom w:val="none" w:sz="0" w:space="0" w:color="auto"/>
                <w:right w:val="none" w:sz="0" w:space="0" w:color="auto"/>
              </w:divBdr>
              <w:divsChild>
                <w:div w:id="2126388192">
                  <w:marLeft w:val="0"/>
                  <w:marRight w:val="0"/>
                  <w:marTop w:val="0"/>
                  <w:marBottom w:val="0"/>
                  <w:divBdr>
                    <w:top w:val="none" w:sz="0" w:space="0" w:color="auto"/>
                    <w:left w:val="none" w:sz="0" w:space="0" w:color="auto"/>
                    <w:bottom w:val="none" w:sz="0" w:space="0" w:color="auto"/>
                    <w:right w:val="none" w:sz="0" w:space="0" w:color="auto"/>
                  </w:divBdr>
                </w:div>
              </w:divsChild>
            </w:div>
            <w:div w:id="432942813">
              <w:marLeft w:val="0"/>
              <w:marRight w:val="0"/>
              <w:marTop w:val="0"/>
              <w:marBottom w:val="0"/>
              <w:divBdr>
                <w:top w:val="none" w:sz="0" w:space="0" w:color="auto"/>
                <w:left w:val="none" w:sz="0" w:space="0" w:color="auto"/>
                <w:bottom w:val="none" w:sz="0" w:space="0" w:color="auto"/>
                <w:right w:val="none" w:sz="0" w:space="0" w:color="auto"/>
              </w:divBdr>
              <w:divsChild>
                <w:div w:id="1256596993">
                  <w:marLeft w:val="0"/>
                  <w:marRight w:val="0"/>
                  <w:marTop w:val="0"/>
                  <w:marBottom w:val="0"/>
                  <w:divBdr>
                    <w:top w:val="none" w:sz="0" w:space="0" w:color="auto"/>
                    <w:left w:val="none" w:sz="0" w:space="0" w:color="auto"/>
                    <w:bottom w:val="none" w:sz="0" w:space="0" w:color="auto"/>
                    <w:right w:val="none" w:sz="0" w:space="0" w:color="auto"/>
                  </w:divBdr>
                </w:div>
              </w:divsChild>
            </w:div>
            <w:div w:id="1076827956">
              <w:marLeft w:val="0"/>
              <w:marRight w:val="0"/>
              <w:marTop w:val="0"/>
              <w:marBottom w:val="0"/>
              <w:divBdr>
                <w:top w:val="none" w:sz="0" w:space="0" w:color="auto"/>
                <w:left w:val="none" w:sz="0" w:space="0" w:color="auto"/>
                <w:bottom w:val="none" w:sz="0" w:space="0" w:color="auto"/>
                <w:right w:val="none" w:sz="0" w:space="0" w:color="auto"/>
              </w:divBdr>
              <w:divsChild>
                <w:div w:id="1724136711">
                  <w:marLeft w:val="0"/>
                  <w:marRight w:val="0"/>
                  <w:marTop w:val="0"/>
                  <w:marBottom w:val="0"/>
                  <w:divBdr>
                    <w:top w:val="none" w:sz="0" w:space="0" w:color="auto"/>
                    <w:left w:val="none" w:sz="0" w:space="0" w:color="auto"/>
                    <w:bottom w:val="none" w:sz="0" w:space="0" w:color="auto"/>
                    <w:right w:val="none" w:sz="0" w:space="0" w:color="auto"/>
                  </w:divBdr>
                </w:div>
              </w:divsChild>
            </w:div>
            <w:div w:id="807089942">
              <w:marLeft w:val="0"/>
              <w:marRight w:val="0"/>
              <w:marTop w:val="300"/>
              <w:marBottom w:val="300"/>
              <w:divBdr>
                <w:top w:val="none" w:sz="0" w:space="0" w:color="auto"/>
                <w:left w:val="none" w:sz="0" w:space="0" w:color="auto"/>
                <w:bottom w:val="none" w:sz="0" w:space="0" w:color="auto"/>
                <w:right w:val="none" w:sz="0" w:space="0" w:color="auto"/>
              </w:divBdr>
            </w:div>
            <w:div w:id="1123354011">
              <w:marLeft w:val="0"/>
              <w:marRight w:val="0"/>
              <w:marTop w:val="0"/>
              <w:marBottom w:val="0"/>
              <w:divBdr>
                <w:top w:val="none" w:sz="0" w:space="0" w:color="auto"/>
                <w:left w:val="none" w:sz="0" w:space="0" w:color="auto"/>
                <w:bottom w:val="none" w:sz="0" w:space="0" w:color="auto"/>
                <w:right w:val="none" w:sz="0" w:space="0" w:color="auto"/>
              </w:divBdr>
              <w:divsChild>
                <w:div w:id="1775323316">
                  <w:marLeft w:val="0"/>
                  <w:marRight w:val="0"/>
                  <w:marTop w:val="0"/>
                  <w:marBottom w:val="0"/>
                  <w:divBdr>
                    <w:top w:val="none" w:sz="0" w:space="0" w:color="auto"/>
                    <w:left w:val="none" w:sz="0" w:space="0" w:color="auto"/>
                    <w:bottom w:val="none" w:sz="0" w:space="0" w:color="auto"/>
                    <w:right w:val="none" w:sz="0" w:space="0" w:color="auto"/>
                  </w:divBdr>
                </w:div>
              </w:divsChild>
            </w:div>
            <w:div w:id="1083603209">
              <w:marLeft w:val="0"/>
              <w:marRight w:val="0"/>
              <w:marTop w:val="0"/>
              <w:marBottom w:val="0"/>
              <w:divBdr>
                <w:top w:val="none" w:sz="0" w:space="0" w:color="auto"/>
                <w:left w:val="none" w:sz="0" w:space="0" w:color="auto"/>
                <w:bottom w:val="none" w:sz="0" w:space="0" w:color="auto"/>
                <w:right w:val="none" w:sz="0" w:space="0" w:color="auto"/>
              </w:divBdr>
              <w:divsChild>
                <w:div w:id="362631812">
                  <w:marLeft w:val="0"/>
                  <w:marRight w:val="0"/>
                  <w:marTop w:val="0"/>
                  <w:marBottom w:val="0"/>
                  <w:divBdr>
                    <w:top w:val="none" w:sz="0" w:space="0" w:color="auto"/>
                    <w:left w:val="none" w:sz="0" w:space="0" w:color="auto"/>
                    <w:bottom w:val="none" w:sz="0" w:space="0" w:color="auto"/>
                    <w:right w:val="none" w:sz="0" w:space="0" w:color="auto"/>
                  </w:divBdr>
                </w:div>
              </w:divsChild>
            </w:div>
            <w:div w:id="1064260026">
              <w:marLeft w:val="0"/>
              <w:marRight w:val="0"/>
              <w:marTop w:val="0"/>
              <w:marBottom w:val="0"/>
              <w:divBdr>
                <w:top w:val="none" w:sz="0" w:space="0" w:color="auto"/>
                <w:left w:val="none" w:sz="0" w:space="0" w:color="auto"/>
                <w:bottom w:val="none" w:sz="0" w:space="0" w:color="auto"/>
                <w:right w:val="none" w:sz="0" w:space="0" w:color="auto"/>
              </w:divBdr>
              <w:divsChild>
                <w:div w:id="6567504">
                  <w:marLeft w:val="0"/>
                  <w:marRight w:val="0"/>
                  <w:marTop w:val="0"/>
                  <w:marBottom w:val="0"/>
                  <w:divBdr>
                    <w:top w:val="none" w:sz="0" w:space="0" w:color="auto"/>
                    <w:left w:val="none" w:sz="0" w:space="0" w:color="auto"/>
                    <w:bottom w:val="none" w:sz="0" w:space="0" w:color="auto"/>
                    <w:right w:val="none" w:sz="0" w:space="0" w:color="auto"/>
                  </w:divBdr>
                </w:div>
              </w:divsChild>
            </w:div>
            <w:div w:id="1670674771">
              <w:marLeft w:val="0"/>
              <w:marRight w:val="0"/>
              <w:marTop w:val="0"/>
              <w:marBottom w:val="0"/>
              <w:divBdr>
                <w:top w:val="none" w:sz="0" w:space="0" w:color="auto"/>
                <w:left w:val="none" w:sz="0" w:space="0" w:color="auto"/>
                <w:bottom w:val="none" w:sz="0" w:space="0" w:color="auto"/>
                <w:right w:val="none" w:sz="0" w:space="0" w:color="auto"/>
              </w:divBdr>
              <w:divsChild>
                <w:div w:id="1802069222">
                  <w:marLeft w:val="0"/>
                  <w:marRight w:val="0"/>
                  <w:marTop w:val="0"/>
                  <w:marBottom w:val="0"/>
                  <w:divBdr>
                    <w:top w:val="none" w:sz="0" w:space="0" w:color="auto"/>
                    <w:left w:val="none" w:sz="0" w:space="0" w:color="auto"/>
                    <w:bottom w:val="none" w:sz="0" w:space="0" w:color="auto"/>
                    <w:right w:val="none" w:sz="0" w:space="0" w:color="auto"/>
                  </w:divBdr>
                </w:div>
              </w:divsChild>
            </w:div>
            <w:div w:id="1970237825">
              <w:marLeft w:val="0"/>
              <w:marRight w:val="0"/>
              <w:marTop w:val="0"/>
              <w:marBottom w:val="0"/>
              <w:divBdr>
                <w:top w:val="none" w:sz="0" w:space="0" w:color="auto"/>
                <w:left w:val="none" w:sz="0" w:space="0" w:color="auto"/>
                <w:bottom w:val="none" w:sz="0" w:space="0" w:color="auto"/>
                <w:right w:val="none" w:sz="0" w:space="0" w:color="auto"/>
              </w:divBdr>
              <w:divsChild>
                <w:div w:id="596640978">
                  <w:marLeft w:val="0"/>
                  <w:marRight w:val="0"/>
                  <w:marTop w:val="0"/>
                  <w:marBottom w:val="0"/>
                  <w:divBdr>
                    <w:top w:val="none" w:sz="0" w:space="0" w:color="auto"/>
                    <w:left w:val="none" w:sz="0" w:space="0" w:color="auto"/>
                    <w:bottom w:val="none" w:sz="0" w:space="0" w:color="auto"/>
                    <w:right w:val="none" w:sz="0" w:space="0" w:color="auto"/>
                  </w:divBdr>
                </w:div>
              </w:divsChild>
            </w:div>
            <w:div w:id="1190994868">
              <w:marLeft w:val="0"/>
              <w:marRight w:val="0"/>
              <w:marTop w:val="0"/>
              <w:marBottom w:val="0"/>
              <w:divBdr>
                <w:top w:val="none" w:sz="0" w:space="0" w:color="auto"/>
                <w:left w:val="none" w:sz="0" w:space="0" w:color="auto"/>
                <w:bottom w:val="none" w:sz="0" w:space="0" w:color="auto"/>
                <w:right w:val="none" w:sz="0" w:space="0" w:color="auto"/>
              </w:divBdr>
              <w:divsChild>
                <w:div w:id="205681360">
                  <w:marLeft w:val="0"/>
                  <w:marRight w:val="0"/>
                  <w:marTop w:val="0"/>
                  <w:marBottom w:val="0"/>
                  <w:divBdr>
                    <w:top w:val="none" w:sz="0" w:space="0" w:color="auto"/>
                    <w:left w:val="none" w:sz="0" w:space="0" w:color="auto"/>
                    <w:bottom w:val="none" w:sz="0" w:space="0" w:color="auto"/>
                    <w:right w:val="none" w:sz="0" w:space="0" w:color="auto"/>
                  </w:divBdr>
                </w:div>
              </w:divsChild>
            </w:div>
            <w:div w:id="641153742">
              <w:marLeft w:val="0"/>
              <w:marRight w:val="0"/>
              <w:marTop w:val="0"/>
              <w:marBottom w:val="0"/>
              <w:divBdr>
                <w:top w:val="none" w:sz="0" w:space="0" w:color="auto"/>
                <w:left w:val="none" w:sz="0" w:space="0" w:color="auto"/>
                <w:bottom w:val="none" w:sz="0" w:space="0" w:color="auto"/>
                <w:right w:val="none" w:sz="0" w:space="0" w:color="auto"/>
              </w:divBdr>
              <w:divsChild>
                <w:div w:id="1132942189">
                  <w:marLeft w:val="0"/>
                  <w:marRight w:val="0"/>
                  <w:marTop w:val="0"/>
                  <w:marBottom w:val="0"/>
                  <w:divBdr>
                    <w:top w:val="none" w:sz="0" w:space="0" w:color="auto"/>
                    <w:left w:val="none" w:sz="0" w:space="0" w:color="auto"/>
                    <w:bottom w:val="none" w:sz="0" w:space="0" w:color="auto"/>
                    <w:right w:val="none" w:sz="0" w:space="0" w:color="auto"/>
                  </w:divBdr>
                </w:div>
              </w:divsChild>
            </w:div>
            <w:div w:id="319962334">
              <w:marLeft w:val="0"/>
              <w:marRight w:val="0"/>
              <w:marTop w:val="0"/>
              <w:marBottom w:val="0"/>
              <w:divBdr>
                <w:top w:val="none" w:sz="0" w:space="0" w:color="auto"/>
                <w:left w:val="none" w:sz="0" w:space="0" w:color="auto"/>
                <w:bottom w:val="none" w:sz="0" w:space="0" w:color="auto"/>
                <w:right w:val="none" w:sz="0" w:space="0" w:color="auto"/>
              </w:divBdr>
              <w:divsChild>
                <w:div w:id="110439197">
                  <w:marLeft w:val="0"/>
                  <w:marRight w:val="0"/>
                  <w:marTop w:val="0"/>
                  <w:marBottom w:val="0"/>
                  <w:divBdr>
                    <w:top w:val="none" w:sz="0" w:space="0" w:color="auto"/>
                    <w:left w:val="none" w:sz="0" w:space="0" w:color="auto"/>
                    <w:bottom w:val="none" w:sz="0" w:space="0" w:color="auto"/>
                    <w:right w:val="none" w:sz="0" w:space="0" w:color="auto"/>
                  </w:divBdr>
                </w:div>
              </w:divsChild>
            </w:div>
            <w:div w:id="1839878419">
              <w:marLeft w:val="0"/>
              <w:marRight w:val="0"/>
              <w:marTop w:val="0"/>
              <w:marBottom w:val="0"/>
              <w:divBdr>
                <w:top w:val="none" w:sz="0" w:space="0" w:color="auto"/>
                <w:left w:val="none" w:sz="0" w:space="0" w:color="auto"/>
                <w:bottom w:val="none" w:sz="0" w:space="0" w:color="auto"/>
                <w:right w:val="none" w:sz="0" w:space="0" w:color="auto"/>
              </w:divBdr>
              <w:divsChild>
                <w:div w:id="792332331">
                  <w:marLeft w:val="0"/>
                  <w:marRight w:val="0"/>
                  <w:marTop w:val="0"/>
                  <w:marBottom w:val="0"/>
                  <w:divBdr>
                    <w:top w:val="none" w:sz="0" w:space="0" w:color="auto"/>
                    <w:left w:val="none" w:sz="0" w:space="0" w:color="auto"/>
                    <w:bottom w:val="none" w:sz="0" w:space="0" w:color="auto"/>
                    <w:right w:val="none" w:sz="0" w:space="0" w:color="auto"/>
                  </w:divBdr>
                </w:div>
              </w:divsChild>
            </w:div>
            <w:div w:id="1732077591">
              <w:marLeft w:val="0"/>
              <w:marRight w:val="0"/>
              <w:marTop w:val="0"/>
              <w:marBottom w:val="0"/>
              <w:divBdr>
                <w:top w:val="none" w:sz="0" w:space="0" w:color="auto"/>
                <w:left w:val="none" w:sz="0" w:space="0" w:color="auto"/>
                <w:bottom w:val="none" w:sz="0" w:space="0" w:color="auto"/>
                <w:right w:val="none" w:sz="0" w:space="0" w:color="auto"/>
              </w:divBdr>
              <w:divsChild>
                <w:div w:id="1521581541">
                  <w:marLeft w:val="0"/>
                  <w:marRight w:val="0"/>
                  <w:marTop w:val="0"/>
                  <w:marBottom w:val="0"/>
                  <w:divBdr>
                    <w:top w:val="none" w:sz="0" w:space="0" w:color="auto"/>
                    <w:left w:val="none" w:sz="0" w:space="0" w:color="auto"/>
                    <w:bottom w:val="none" w:sz="0" w:space="0" w:color="auto"/>
                    <w:right w:val="none" w:sz="0" w:space="0" w:color="auto"/>
                  </w:divBdr>
                </w:div>
              </w:divsChild>
            </w:div>
            <w:div w:id="117143690">
              <w:marLeft w:val="0"/>
              <w:marRight w:val="0"/>
              <w:marTop w:val="0"/>
              <w:marBottom w:val="0"/>
              <w:divBdr>
                <w:top w:val="none" w:sz="0" w:space="0" w:color="auto"/>
                <w:left w:val="none" w:sz="0" w:space="0" w:color="auto"/>
                <w:bottom w:val="none" w:sz="0" w:space="0" w:color="auto"/>
                <w:right w:val="none" w:sz="0" w:space="0" w:color="auto"/>
              </w:divBdr>
              <w:divsChild>
                <w:div w:id="1380519820">
                  <w:marLeft w:val="0"/>
                  <w:marRight w:val="0"/>
                  <w:marTop w:val="0"/>
                  <w:marBottom w:val="0"/>
                  <w:divBdr>
                    <w:top w:val="none" w:sz="0" w:space="0" w:color="auto"/>
                    <w:left w:val="none" w:sz="0" w:space="0" w:color="auto"/>
                    <w:bottom w:val="none" w:sz="0" w:space="0" w:color="auto"/>
                    <w:right w:val="none" w:sz="0" w:space="0" w:color="auto"/>
                  </w:divBdr>
                </w:div>
              </w:divsChild>
            </w:div>
            <w:div w:id="1666472090">
              <w:marLeft w:val="0"/>
              <w:marRight w:val="0"/>
              <w:marTop w:val="300"/>
              <w:marBottom w:val="300"/>
              <w:divBdr>
                <w:top w:val="none" w:sz="0" w:space="0" w:color="auto"/>
                <w:left w:val="none" w:sz="0" w:space="0" w:color="auto"/>
                <w:bottom w:val="none" w:sz="0" w:space="0" w:color="auto"/>
                <w:right w:val="none" w:sz="0" w:space="0" w:color="auto"/>
              </w:divBdr>
            </w:div>
            <w:div w:id="311368393">
              <w:marLeft w:val="0"/>
              <w:marRight w:val="0"/>
              <w:marTop w:val="0"/>
              <w:marBottom w:val="0"/>
              <w:divBdr>
                <w:top w:val="none" w:sz="0" w:space="0" w:color="auto"/>
                <w:left w:val="none" w:sz="0" w:space="0" w:color="auto"/>
                <w:bottom w:val="none" w:sz="0" w:space="0" w:color="auto"/>
                <w:right w:val="none" w:sz="0" w:space="0" w:color="auto"/>
              </w:divBdr>
              <w:divsChild>
                <w:div w:id="818500754">
                  <w:marLeft w:val="0"/>
                  <w:marRight w:val="0"/>
                  <w:marTop w:val="0"/>
                  <w:marBottom w:val="0"/>
                  <w:divBdr>
                    <w:top w:val="none" w:sz="0" w:space="0" w:color="auto"/>
                    <w:left w:val="none" w:sz="0" w:space="0" w:color="auto"/>
                    <w:bottom w:val="none" w:sz="0" w:space="0" w:color="auto"/>
                    <w:right w:val="none" w:sz="0" w:space="0" w:color="auto"/>
                  </w:divBdr>
                </w:div>
              </w:divsChild>
            </w:div>
            <w:div w:id="1878278123">
              <w:marLeft w:val="0"/>
              <w:marRight w:val="0"/>
              <w:marTop w:val="0"/>
              <w:marBottom w:val="0"/>
              <w:divBdr>
                <w:top w:val="none" w:sz="0" w:space="0" w:color="auto"/>
                <w:left w:val="none" w:sz="0" w:space="0" w:color="auto"/>
                <w:bottom w:val="none" w:sz="0" w:space="0" w:color="auto"/>
                <w:right w:val="none" w:sz="0" w:space="0" w:color="auto"/>
              </w:divBdr>
              <w:divsChild>
                <w:div w:id="502428926">
                  <w:marLeft w:val="0"/>
                  <w:marRight w:val="0"/>
                  <w:marTop w:val="0"/>
                  <w:marBottom w:val="0"/>
                  <w:divBdr>
                    <w:top w:val="none" w:sz="0" w:space="0" w:color="auto"/>
                    <w:left w:val="none" w:sz="0" w:space="0" w:color="auto"/>
                    <w:bottom w:val="none" w:sz="0" w:space="0" w:color="auto"/>
                    <w:right w:val="none" w:sz="0" w:space="0" w:color="auto"/>
                  </w:divBdr>
                </w:div>
              </w:divsChild>
            </w:div>
            <w:div w:id="1955556382">
              <w:marLeft w:val="0"/>
              <w:marRight w:val="0"/>
              <w:marTop w:val="0"/>
              <w:marBottom w:val="0"/>
              <w:divBdr>
                <w:top w:val="none" w:sz="0" w:space="0" w:color="auto"/>
                <w:left w:val="none" w:sz="0" w:space="0" w:color="auto"/>
                <w:bottom w:val="none" w:sz="0" w:space="0" w:color="auto"/>
                <w:right w:val="none" w:sz="0" w:space="0" w:color="auto"/>
              </w:divBdr>
              <w:divsChild>
                <w:div w:id="776829009">
                  <w:marLeft w:val="0"/>
                  <w:marRight w:val="0"/>
                  <w:marTop w:val="0"/>
                  <w:marBottom w:val="0"/>
                  <w:divBdr>
                    <w:top w:val="none" w:sz="0" w:space="0" w:color="auto"/>
                    <w:left w:val="none" w:sz="0" w:space="0" w:color="auto"/>
                    <w:bottom w:val="none" w:sz="0" w:space="0" w:color="auto"/>
                    <w:right w:val="none" w:sz="0" w:space="0" w:color="auto"/>
                  </w:divBdr>
                </w:div>
              </w:divsChild>
            </w:div>
            <w:div w:id="379981388">
              <w:marLeft w:val="0"/>
              <w:marRight w:val="0"/>
              <w:marTop w:val="0"/>
              <w:marBottom w:val="0"/>
              <w:divBdr>
                <w:top w:val="none" w:sz="0" w:space="0" w:color="auto"/>
                <w:left w:val="none" w:sz="0" w:space="0" w:color="auto"/>
                <w:bottom w:val="none" w:sz="0" w:space="0" w:color="auto"/>
                <w:right w:val="none" w:sz="0" w:space="0" w:color="auto"/>
              </w:divBdr>
              <w:divsChild>
                <w:div w:id="1849634196">
                  <w:marLeft w:val="0"/>
                  <w:marRight w:val="0"/>
                  <w:marTop w:val="0"/>
                  <w:marBottom w:val="0"/>
                  <w:divBdr>
                    <w:top w:val="none" w:sz="0" w:space="0" w:color="auto"/>
                    <w:left w:val="none" w:sz="0" w:space="0" w:color="auto"/>
                    <w:bottom w:val="none" w:sz="0" w:space="0" w:color="auto"/>
                    <w:right w:val="none" w:sz="0" w:space="0" w:color="auto"/>
                  </w:divBdr>
                </w:div>
              </w:divsChild>
            </w:div>
            <w:div w:id="1869367655">
              <w:marLeft w:val="0"/>
              <w:marRight w:val="0"/>
              <w:marTop w:val="0"/>
              <w:marBottom w:val="0"/>
              <w:divBdr>
                <w:top w:val="none" w:sz="0" w:space="0" w:color="auto"/>
                <w:left w:val="none" w:sz="0" w:space="0" w:color="auto"/>
                <w:bottom w:val="none" w:sz="0" w:space="0" w:color="auto"/>
                <w:right w:val="none" w:sz="0" w:space="0" w:color="auto"/>
              </w:divBdr>
              <w:divsChild>
                <w:div w:id="373163111">
                  <w:marLeft w:val="0"/>
                  <w:marRight w:val="0"/>
                  <w:marTop w:val="0"/>
                  <w:marBottom w:val="0"/>
                  <w:divBdr>
                    <w:top w:val="none" w:sz="0" w:space="0" w:color="auto"/>
                    <w:left w:val="none" w:sz="0" w:space="0" w:color="auto"/>
                    <w:bottom w:val="none" w:sz="0" w:space="0" w:color="auto"/>
                    <w:right w:val="none" w:sz="0" w:space="0" w:color="auto"/>
                  </w:divBdr>
                </w:div>
              </w:divsChild>
            </w:div>
            <w:div w:id="885336149">
              <w:marLeft w:val="0"/>
              <w:marRight w:val="0"/>
              <w:marTop w:val="0"/>
              <w:marBottom w:val="0"/>
              <w:divBdr>
                <w:top w:val="none" w:sz="0" w:space="0" w:color="auto"/>
                <w:left w:val="none" w:sz="0" w:space="0" w:color="auto"/>
                <w:bottom w:val="none" w:sz="0" w:space="0" w:color="auto"/>
                <w:right w:val="none" w:sz="0" w:space="0" w:color="auto"/>
              </w:divBdr>
              <w:divsChild>
                <w:div w:id="524633067">
                  <w:marLeft w:val="0"/>
                  <w:marRight w:val="0"/>
                  <w:marTop w:val="0"/>
                  <w:marBottom w:val="0"/>
                  <w:divBdr>
                    <w:top w:val="none" w:sz="0" w:space="0" w:color="auto"/>
                    <w:left w:val="none" w:sz="0" w:space="0" w:color="auto"/>
                    <w:bottom w:val="none" w:sz="0" w:space="0" w:color="auto"/>
                    <w:right w:val="none" w:sz="0" w:space="0" w:color="auto"/>
                  </w:divBdr>
                </w:div>
              </w:divsChild>
            </w:div>
            <w:div w:id="146673031">
              <w:marLeft w:val="0"/>
              <w:marRight w:val="0"/>
              <w:marTop w:val="0"/>
              <w:marBottom w:val="0"/>
              <w:divBdr>
                <w:top w:val="none" w:sz="0" w:space="0" w:color="auto"/>
                <w:left w:val="none" w:sz="0" w:space="0" w:color="auto"/>
                <w:bottom w:val="none" w:sz="0" w:space="0" w:color="auto"/>
                <w:right w:val="none" w:sz="0" w:space="0" w:color="auto"/>
              </w:divBdr>
              <w:divsChild>
                <w:div w:id="1441805055">
                  <w:marLeft w:val="0"/>
                  <w:marRight w:val="0"/>
                  <w:marTop w:val="0"/>
                  <w:marBottom w:val="0"/>
                  <w:divBdr>
                    <w:top w:val="none" w:sz="0" w:space="0" w:color="auto"/>
                    <w:left w:val="none" w:sz="0" w:space="0" w:color="auto"/>
                    <w:bottom w:val="none" w:sz="0" w:space="0" w:color="auto"/>
                    <w:right w:val="none" w:sz="0" w:space="0" w:color="auto"/>
                  </w:divBdr>
                </w:div>
              </w:divsChild>
            </w:div>
            <w:div w:id="972978672">
              <w:marLeft w:val="0"/>
              <w:marRight w:val="0"/>
              <w:marTop w:val="0"/>
              <w:marBottom w:val="0"/>
              <w:divBdr>
                <w:top w:val="none" w:sz="0" w:space="0" w:color="auto"/>
                <w:left w:val="none" w:sz="0" w:space="0" w:color="auto"/>
                <w:bottom w:val="none" w:sz="0" w:space="0" w:color="auto"/>
                <w:right w:val="none" w:sz="0" w:space="0" w:color="auto"/>
              </w:divBdr>
              <w:divsChild>
                <w:div w:id="125389624">
                  <w:marLeft w:val="0"/>
                  <w:marRight w:val="0"/>
                  <w:marTop w:val="0"/>
                  <w:marBottom w:val="0"/>
                  <w:divBdr>
                    <w:top w:val="none" w:sz="0" w:space="0" w:color="auto"/>
                    <w:left w:val="none" w:sz="0" w:space="0" w:color="auto"/>
                    <w:bottom w:val="none" w:sz="0" w:space="0" w:color="auto"/>
                    <w:right w:val="none" w:sz="0" w:space="0" w:color="auto"/>
                  </w:divBdr>
                </w:div>
              </w:divsChild>
            </w:div>
            <w:div w:id="1380788938">
              <w:marLeft w:val="0"/>
              <w:marRight w:val="0"/>
              <w:marTop w:val="0"/>
              <w:marBottom w:val="0"/>
              <w:divBdr>
                <w:top w:val="none" w:sz="0" w:space="0" w:color="auto"/>
                <w:left w:val="none" w:sz="0" w:space="0" w:color="auto"/>
                <w:bottom w:val="none" w:sz="0" w:space="0" w:color="auto"/>
                <w:right w:val="none" w:sz="0" w:space="0" w:color="auto"/>
              </w:divBdr>
              <w:divsChild>
                <w:div w:id="383454831">
                  <w:marLeft w:val="0"/>
                  <w:marRight w:val="0"/>
                  <w:marTop w:val="0"/>
                  <w:marBottom w:val="0"/>
                  <w:divBdr>
                    <w:top w:val="none" w:sz="0" w:space="0" w:color="auto"/>
                    <w:left w:val="none" w:sz="0" w:space="0" w:color="auto"/>
                    <w:bottom w:val="none" w:sz="0" w:space="0" w:color="auto"/>
                    <w:right w:val="none" w:sz="0" w:space="0" w:color="auto"/>
                  </w:divBdr>
                </w:div>
              </w:divsChild>
            </w:div>
            <w:div w:id="385496244">
              <w:marLeft w:val="0"/>
              <w:marRight w:val="0"/>
              <w:marTop w:val="0"/>
              <w:marBottom w:val="0"/>
              <w:divBdr>
                <w:top w:val="none" w:sz="0" w:space="0" w:color="auto"/>
                <w:left w:val="none" w:sz="0" w:space="0" w:color="auto"/>
                <w:bottom w:val="none" w:sz="0" w:space="0" w:color="auto"/>
                <w:right w:val="none" w:sz="0" w:space="0" w:color="auto"/>
              </w:divBdr>
              <w:divsChild>
                <w:div w:id="704840131">
                  <w:marLeft w:val="0"/>
                  <w:marRight w:val="0"/>
                  <w:marTop w:val="0"/>
                  <w:marBottom w:val="0"/>
                  <w:divBdr>
                    <w:top w:val="none" w:sz="0" w:space="0" w:color="auto"/>
                    <w:left w:val="none" w:sz="0" w:space="0" w:color="auto"/>
                    <w:bottom w:val="none" w:sz="0" w:space="0" w:color="auto"/>
                    <w:right w:val="none" w:sz="0" w:space="0" w:color="auto"/>
                  </w:divBdr>
                </w:div>
              </w:divsChild>
            </w:div>
            <w:div w:id="904950419">
              <w:marLeft w:val="0"/>
              <w:marRight w:val="0"/>
              <w:marTop w:val="0"/>
              <w:marBottom w:val="0"/>
              <w:divBdr>
                <w:top w:val="none" w:sz="0" w:space="0" w:color="auto"/>
                <w:left w:val="none" w:sz="0" w:space="0" w:color="auto"/>
                <w:bottom w:val="none" w:sz="0" w:space="0" w:color="auto"/>
                <w:right w:val="none" w:sz="0" w:space="0" w:color="auto"/>
              </w:divBdr>
              <w:divsChild>
                <w:div w:id="87897423">
                  <w:marLeft w:val="0"/>
                  <w:marRight w:val="0"/>
                  <w:marTop w:val="0"/>
                  <w:marBottom w:val="0"/>
                  <w:divBdr>
                    <w:top w:val="none" w:sz="0" w:space="0" w:color="auto"/>
                    <w:left w:val="none" w:sz="0" w:space="0" w:color="auto"/>
                    <w:bottom w:val="none" w:sz="0" w:space="0" w:color="auto"/>
                    <w:right w:val="none" w:sz="0" w:space="0" w:color="auto"/>
                  </w:divBdr>
                </w:div>
              </w:divsChild>
            </w:div>
            <w:div w:id="1199975692">
              <w:marLeft w:val="0"/>
              <w:marRight w:val="0"/>
              <w:marTop w:val="0"/>
              <w:marBottom w:val="0"/>
              <w:divBdr>
                <w:top w:val="none" w:sz="0" w:space="0" w:color="auto"/>
                <w:left w:val="none" w:sz="0" w:space="0" w:color="auto"/>
                <w:bottom w:val="none" w:sz="0" w:space="0" w:color="auto"/>
                <w:right w:val="none" w:sz="0" w:space="0" w:color="auto"/>
              </w:divBdr>
              <w:divsChild>
                <w:div w:id="235209573">
                  <w:marLeft w:val="0"/>
                  <w:marRight w:val="0"/>
                  <w:marTop w:val="0"/>
                  <w:marBottom w:val="0"/>
                  <w:divBdr>
                    <w:top w:val="none" w:sz="0" w:space="0" w:color="auto"/>
                    <w:left w:val="none" w:sz="0" w:space="0" w:color="auto"/>
                    <w:bottom w:val="none" w:sz="0" w:space="0" w:color="auto"/>
                    <w:right w:val="none" w:sz="0" w:space="0" w:color="auto"/>
                  </w:divBdr>
                </w:div>
              </w:divsChild>
            </w:div>
            <w:div w:id="822089025">
              <w:marLeft w:val="0"/>
              <w:marRight w:val="0"/>
              <w:marTop w:val="0"/>
              <w:marBottom w:val="0"/>
              <w:divBdr>
                <w:top w:val="none" w:sz="0" w:space="0" w:color="auto"/>
                <w:left w:val="none" w:sz="0" w:space="0" w:color="auto"/>
                <w:bottom w:val="none" w:sz="0" w:space="0" w:color="auto"/>
                <w:right w:val="none" w:sz="0" w:space="0" w:color="auto"/>
              </w:divBdr>
              <w:divsChild>
                <w:div w:id="1236473235">
                  <w:marLeft w:val="0"/>
                  <w:marRight w:val="0"/>
                  <w:marTop w:val="0"/>
                  <w:marBottom w:val="0"/>
                  <w:divBdr>
                    <w:top w:val="none" w:sz="0" w:space="0" w:color="auto"/>
                    <w:left w:val="none" w:sz="0" w:space="0" w:color="auto"/>
                    <w:bottom w:val="none" w:sz="0" w:space="0" w:color="auto"/>
                    <w:right w:val="none" w:sz="0" w:space="0" w:color="auto"/>
                  </w:divBdr>
                </w:div>
              </w:divsChild>
            </w:div>
            <w:div w:id="1195266951">
              <w:marLeft w:val="0"/>
              <w:marRight w:val="0"/>
              <w:marTop w:val="0"/>
              <w:marBottom w:val="0"/>
              <w:divBdr>
                <w:top w:val="none" w:sz="0" w:space="0" w:color="auto"/>
                <w:left w:val="none" w:sz="0" w:space="0" w:color="auto"/>
                <w:bottom w:val="none" w:sz="0" w:space="0" w:color="auto"/>
                <w:right w:val="none" w:sz="0" w:space="0" w:color="auto"/>
              </w:divBdr>
              <w:divsChild>
                <w:div w:id="1916281386">
                  <w:marLeft w:val="0"/>
                  <w:marRight w:val="0"/>
                  <w:marTop w:val="0"/>
                  <w:marBottom w:val="0"/>
                  <w:divBdr>
                    <w:top w:val="none" w:sz="0" w:space="0" w:color="auto"/>
                    <w:left w:val="none" w:sz="0" w:space="0" w:color="auto"/>
                    <w:bottom w:val="none" w:sz="0" w:space="0" w:color="auto"/>
                    <w:right w:val="none" w:sz="0" w:space="0" w:color="auto"/>
                  </w:divBdr>
                </w:div>
              </w:divsChild>
            </w:div>
            <w:div w:id="152650306">
              <w:marLeft w:val="0"/>
              <w:marRight w:val="0"/>
              <w:marTop w:val="0"/>
              <w:marBottom w:val="0"/>
              <w:divBdr>
                <w:top w:val="none" w:sz="0" w:space="0" w:color="auto"/>
                <w:left w:val="none" w:sz="0" w:space="0" w:color="auto"/>
                <w:bottom w:val="none" w:sz="0" w:space="0" w:color="auto"/>
                <w:right w:val="none" w:sz="0" w:space="0" w:color="auto"/>
              </w:divBdr>
              <w:divsChild>
                <w:div w:id="207762392">
                  <w:marLeft w:val="0"/>
                  <w:marRight w:val="0"/>
                  <w:marTop w:val="0"/>
                  <w:marBottom w:val="0"/>
                  <w:divBdr>
                    <w:top w:val="none" w:sz="0" w:space="0" w:color="auto"/>
                    <w:left w:val="none" w:sz="0" w:space="0" w:color="auto"/>
                    <w:bottom w:val="none" w:sz="0" w:space="0" w:color="auto"/>
                    <w:right w:val="none" w:sz="0" w:space="0" w:color="auto"/>
                  </w:divBdr>
                </w:div>
              </w:divsChild>
            </w:div>
            <w:div w:id="2024436436">
              <w:marLeft w:val="0"/>
              <w:marRight w:val="0"/>
              <w:marTop w:val="0"/>
              <w:marBottom w:val="0"/>
              <w:divBdr>
                <w:top w:val="none" w:sz="0" w:space="0" w:color="auto"/>
                <w:left w:val="none" w:sz="0" w:space="0" w:color="auto"/>
                <w:bottom w:val="none" w:sz="0" w:space="0" w:color="auto"/>
                <w:right w:val="none" w:sz="0" w:space="0" w:color="auto"/>
              </w:divBdr>
              <w:divsChild>
                <w:div w:id="41902950">
                  <w:marLeft w:val="0"/>
                  <w:marRight w:val="0"/>
                  <w:marTop w:val="0"/>
                  <w:marBottom w:val="0"/>
                  <w:divBdr>
                    <w:top w:val="none" w:sz="0" w:space="0" w:color="auto"/>
                    <w:left w:val="none" w:sz="0" w:space="0" w:color="auto"/>
                    <w:bottom w:val="none" w:sz="0" w:space="0" w:color="auto"/>
                    <w:right w:val="none" w:sz="0" w:space="0" w:color="auto"/>
                  </w:divBdr>
                </w:div>
              </w:divsChild>
            </w:div>
            <w:div w:id="529220406">
              <w:marLeft w:val="0"/>
              <w:marRight w:val="0"/>
              <w:marTop w:val="0"/>
              <w:marBottom w:val="0"/>
              <w:divBdr>
                <w:top w:val="none" w:sz="0" w:space="0" w:color="auto"/>
                <w:left w:val="none" w:sz="0" w:space="0" w:color="auto"/>
                <w:bottom w:val="none" w:sz="0" w:space="0" w:color="auto"/>
                <w:right w:val="none" w:sz="0" w:space="0" w:color="auto"/>
              </w:divBdr>
              <w:divsChild>
                <w:div w:id="1207765283">
                  <w:marLeft w:val="0"/>
                  <w:marRight w:val="0"/>
                  <w:marTop w:val="0"/>
                  <w:marBottom w:val="0"/>
                  <w:divBdr>
                    <w:top w:val="none" w:sz="0" w:space="0" w:color="auto"/>
                    <w:left w:val="none" w:sz="0" w:space="0" w:color="auto"/>
                    <w:bottom w:val="none" w:sz="0" w:space="0" w:color="auto"/>
                    <w:right w:val="none" w:sz="0" w:space="0" w:color="auto"/>
                  </w:divBdr>
                </w:div>
              </w:divsChild>
            </w:div>
            <w:div w:id="1505976646">
              <w:marLeft w:val="0"/>
              <w:marRight w:val="0"/>
              <w:marTop w:val="0"/>
              <w:marBottom w:val="0"/>
              <w:divBdr>
                <w:top w:val="none" w:sz="0" w:space="0" w:color="auto"/>
                <w:left w:val="none" w:sz="0" w:space="0" w:color="auto"/>
                <w:bottom w:val="none" w:sz="0" w:space="0" w:color="auto"/>
                <w:right w:val="none" w:sz="0" w:space="0" w:color="auto"/>
              </w:divBdr>
              <w:divsChild>
                <w:div w:id="332731923">
                  <w:marLeft w:val="0"/>
                  <w:marRight w:val="0"/>
                  <w:marTop w:val="0"/>
                  <w:marBottom w:val="0"/>
                  <w:divBdr>
                    <w:top w:val="none" w:sz="0" w:space="0" w:color="auto"/>
                    <w:left w:val="none" w:sz="0" w:space="0" w:color="auto"/>
                    <w:bottom w:val="none" w:sz="0" w:space="0" w:color="auto"/>
                    <w:right w:val="none" w:sz="0" w:space="0" w:color="auto"/>
                  </w:divBdr>
                </w:div>
              </w:divsChild>
            </w:div>
            <w:div w:id="998650292">
              <w:marLeft w:val="0"/>
              <w:marRight w:val="0"/>
              <w:marTop w:val="0"/>
              <w:marBottom w:val="0"/>
              <w:divBdr>
                <w:top w:val="none" w:sz="0" w:space="0" w:color="auto"/>
                <w:left w:val="none" w:sz="0" w:space="0" w:color="auto"/>
                <w:bottom w:val="none" w:sz="0" w:space="0" w:color="auto"/>
                <w:right w:val="none" w:sz="0" w:space="0" w:color="auto"/>
              </w:divBdr>
              <w:divsChild>
                <w:div w:id="1781680098">
                  <w:marLeft w:val="0"/>
                  <w:marRight w:val="0"/>
                  <w:marTop w:val="0"/>
                  <w:marBottom w:val="0"/>
                  <w:divBdr>
                    <w:top w:val="none" w:sz="0" w:space="0" w:color="auto"/>
                    <w:left w:val="none" w:sz="0" w:space="0" w:color="auto"/>
                    <w:bottom w:val="none" w:sz="0" w:space="0" w:color="auto"/>
                    <w:right w:val="none" w:sz="0" w:space="0" w:color="auto"/>
                  </w:divBdr>
                </w:div>
              </w:divsChild>
            </w:div>
            <w:div w:id="697120351">
              <w:marLeft w:val="0"/>
              <w:marRight w:val="0"/>
              <w:marTop w:val="0"/>
              <w:marBottom w:val="0"/>
              <w:divBdr>
                <w:top w:val="none" w:sz="0" w:space="0" w:color="auto"/>
                <w:left w:val="none" w:sz="0" w:space="0" w:color="auto"/>
                <w:bottom w:val="none" w:sz="0" w:space="0" w:color="auto"/>
                <w:right w:val="none" w:sz="0" w:space="0" w:color="auto"/>
              </w:divBdr>
              <w:divsChild>
                <w:div w:id="1865056189">
                  <w:marLeft w:val="0"/>
                  <w:marRight w:val="0"/>
                  <w:marTop w:val="0"/>
                  <w:marBottom w:val="0"/>
                  <w:divBdr>
                    <w:top w:val="none" w:sz="0" w:space="0" w:color="auto"/>
                    <w:left w:val="none" w:sz="0" w:space="0" w:color="auto"/>
                    <w:bottom w:val="none" w:sz="0" w:space="0" w:color="auto"/>
                    <w:right w:val="none" w:sz="0" w:space="0" w:color="auto"/>
                  </w:divBdr>
                </w:div>
              </w:divsChild>
            </w:div>
            <w:div w:id="1253974916">
              <w:marLeft w:val="0"/>
              <w:marRight w:val="0"/>
              <w:marTop w:val="0"/>
              <w:marBottom w:val="0"/>
              <w:divBdr>
                <w:top w:val="none" w:sz="0" w:space="0" w:color="auto"/>
                <w:left w:val="none" w:sz="0" w:space="0" w:color="auto"/>
                <w:bottom w:val="none" w:sz="0" w:space="0" w:color="auto"/>
                <w:right w:val="none" w:sz="0" w:space="0" w:color="auto"/>
              </w:divBdr>
              <w:divsChild>
                <w:div w:id="24183556">
                  <w:marLeft w:val="0"/>
                  <w:marRight w:val="0"/>
                  <w:marTop w:val="0"/>
                  <w:marBottom w:val="0"/>
                  <w:divBdr>
                    <w:top w:val="none" w:sz="0" w:space="0" w:color="auto"/>
                    <w:left w:val="none" w:sz="0" w:space="0" w:color="auto"/>
                    <w:bottom w:val="none" w:sz="0" w:space="0" w:color="auto"/>
                    <w:right w:val="none" w:sz="0" w:space="0" w:color="auto"/>
                  </w:divBdr>
                </w:div>
              </w:divsChild>
            </w:div>
            <w:div w:id="2137990287">
              <w:marLeft w:val="0"/>
              <w:marRight w:val="0"/>
              <w:marTop w:val="300"/>
              <w:marBottom w:val="300"/>
              <w:divBdr>
                <w:top w:val="none" w:sz="0" w:space="0" w:color="auto"/>
                <w:left w:val="none" w:sz="0" w:space="0" w:color="auto"/>
                <w:bottom w:val="none" w:sz="0" w:space="0" w:color="auto"/>
                <w:right w:val="none" w:sz="0" w:space="0" w:color="auto"/>
              </w:divBdr>
            </w:div>
            <w:div w:id="703604854">
              <w:marLeft w:val="0"/>
              <w:marRight w:val="0"/>
              <w:marTop w:val="0"/>
              <w:marBottom w:val="0"/>
              <w:divBdr>
                <w:top w:val="none" w:sz="0" w:space="0" w:color="auto"/>
                <w:left w:val="none" w:sz="0" w:space="0" w:color="auto"/>
                <w:bottom w:val="none" w:sz="0" w:space="0" w:color="auto"/>
                <w:right w:val="none" w:sz="0" w:space="0" w:color="auto"/>
              </w:divBdr>
              <w:divsChild>
                <w:div w:id="174657355">
                  <w:marLeft w:val="0"/>
                  <w:marRight w:val="0"/>
                  <w:marTop w:val="0"/>
                  <w:marBottom w:val="0"/>
                  <w:divBdr>
                    <w:top w:val="none" w:sz="0" w:space="0" w:color="auto"/>
                    <w:left w:val="none" w:sz="0" w:space="0" w:color="auto"/>
                    <w:bottom w:val="none" w:sz="0" w:space="0" w:color="auto"/>
                    <w:right w:val="none" w:sz="0" w:space="0" w:color="auto"/>
                  </w:divBdr>
                </w:div>
              </w:divsChild>
            </w:div>
            <w:div w:id="1544828874">
              <w:marLeft w:val="0"/>
              <w:marRight w:val="0"/>
              <w:marTop w:val="0"/>
              <w:marBottom w:val="0"/>
              <w:divBdr>
                <w:top w:val="none" w:sz="0" w:space="0" w:color="auto"/>
                <w:left w:val="none" w:sz="0" w:space="0" w:color="auto"/>
                <w:bottom w:val="none" w:sz="0" w:space="0" w:color="auto"/>
                <w:right w:val="none" w:sz="0" w:space="0" w:color="auto"/>
              </w:divBdr>
              <w:divsChild>
                <w:div w:id="1148011624">
                  <w:marLeft w:val="0"/>
                  <w:marRight w:val="0"/>
                  <w:marTop w:val="0"/>
                  <w:marBottom w:val="0"/>
                  <w:divBdr>
                    <w:top w:val="none" w:sz="0" w:space="0" w:color="auto"/>
                    <w:left w:val="none" w:sz="0" w:space="0" w:color="auto"/>
                    <w:bottom w:val="none" w:sz="0" w:space="0" w:color="auto"/>
                    <w:right w:val="none" w:sz="0" w:space="0" w:color="auto"/>
                  </w:divBdr>
                </w:div>
              </w:divsChild>
            </w:div>
            <w:div w:id="1725786928">
              <w:marLeft w:val="0"/>
              <w:marRight w:val="0"/>
              <w:marTop w:val="0"/>
              <w:marBottom w:val="0"/>
              <w:divBdr>
                <w:top w:val="none" w:sz="0" w:space="0" w:color="auto"/>
                <w:left w:val="none" w:sz="0" w:space="0" w:color="auto"/>
                <w:bottom w:val="none" w:sz="0" w:space="0" w:color="auto"/>
                <w:right w:val="none" w:sz="0" w:space="0" w:color="auto"/>
              </w:divBdr>
              <w:divsChild>
                <w:div w:id="1593509974">
                  <w:marLeft w:val="0"/>
                  <w:marRight w:val="0"/>
                  <w:marTop w:val="0"/>
                  <w:marBottom w:val="0"/>
                  <w:divBdr>
                    <w:top w:val="none" w:sz="0" w:space="0" w:color="auto"/>
                    <w:left w:val="none" w:sz="0" w:space="0" w:color="auto"/>
                    <w:bottom w:val="none" w:sz="0" w:space="0" w:color="auto"/>
                    <w:right w:val="none" w:sz="0" w:space="0" w:color="auto"/>
                  </w:divBdr>
                </w:div>
              </w:divsChild>
            </w:div>
            <w:div w:id="1437020231">
              <w:marLeft w:val="0"/>
              <w:marRight w:val="0"/>
              <w:marTop w:val="0"/>
              <w:marBottom w:val="0"/>
              <w:divBdr>
                <w:top w:val="none" w:sz="0" w:space="0" w:color="auto"/>
                <w:left w:val="none" w:sz="0" w:space="0" w:color="auto"/>
                <w:bottom w:val="none" w:sz="0" w:space="0" w:color="auto"/>
                <w:right w:val="none" w:sz="0" w:space="0" w:color="auto"/>
              </w:divBdr>
              <w:divsChild>
                <w:div w:id="893391982">
                  <w:marLeft w:val="0"/>
                  <w:marRight w:val="0"/>
                  <w:marTop w:val="0"/>
                  <w:marBottom w:val="0"/>
                  <w:divBdr>
                    <w:top w:val="none" w:sz="0" w:space="0" w:color="auto"/>
                    <w:left w:val="none" w:sz="0" w:space="0" w:color="auto"/>
                    <w:bottom w:val="none" w:sz="0" w:space="0" w:color="auto"/>
                    <w:right w:val="none" w:sz="0" w:space="0" w:color="auto"/>
                  </w:divBdr>
                </w:div>
              </w:divsChild>
            </w:div>
            <w:div w:id="627397959">
              <w:marLeft w:val="0"/>
              <w:marRight w:val="0"/>
              <w:marTop w:val="300"/>
              <w:marBottom w:val="300"/>
              <w:divBdr>
                <w:top w:val="none" w:sz="0" w:space="0" w:color="auto"/>
                <w:left w:val="none" w:sz="0" w:space="0" w:color="auto"/>
                <w:bottom w:val="none" w:sz="0" w:space="0" w:color="auto"/>
                <w:right w:val="none" w:sz="0" w:space="0" w:color="auto"/>
              </w:divBdr>
            </w:div>
            <w:div w:id="518857284">
              <w:marLeft w:val="0"/>
              <w:marRight w:val="0"/>
              <w:marTop w:val="0"/>
              <w:marBottom w:val="0"/>
              <w:divBdr>
                <w:top w:val="none" w:sz="0" w:space="0" w:color="auto"/>
                <w:left w:val="none" w:sz="0" w:space="0" w:color="auto"/>
                <w:bottom w:val="none" w:sz="0" w:space="0" w:color="auto"/>
                <w:right w:val="none" w:sz="0" w:space="0" w:color="auto"/>
              </w:divBdr>
              <w:divsChild>
                <w:div w:id="493570758">
                  <w:marLeft w:val="0"/>
                  <w:marRight w:val="0"/>
                  <w:marTop w:val="0"/>
                  <w:marBottom w:val="0"/>
                  <w:divBdr>
                    <w:top w:val="none" w:sz="0" w:space="0" w:color="auto"/>
                    <w:left w:val="none" w:sz="0" w:space="0" w:color="auto"/>
                    <w:bottom w:val="none" w:sz="0" w:space="0" w:color="auto"/>
                    <w:right w:val="none" w:sz="0" w:space="0" w:color="auto"/>
                  </w:divBdr>
                </w:div>
              </w:divsChild>
            </w:div>
            <w:div w:id="535585569">
              <w:marLeft w:val="0"/>
              <w:marRight w:val="0"/>
              <w:marTop w:val="0"/>
              <w:marBottom w:val="0"/>
              <w:divBdr>
                <w:top w:val="none" w:sz="0" w:space="0" w:color="auto"/>
                <w:left w:val="none" w:sz="0" w:space="0" w:color="auto"/>
                <w:bottom w:val="none" w:sz="0" w:space="0" w:color="auto"/>
                <w:right w:val="none" w:sz="0" w:space="0" w:color="auto"/>
              </w:divBdr>
              <w:divsChild>
                <w:div w:id="240721479">
                  <w:marLeft w:val="0"/>
                  <w:marRight w:val="0"/>
                  <w:marTop w:val="0"/>
                  <w:marBottom w:val="0"/>
                  <w:divBdr>
                    <w:top w:val="none" w:sz="0" w:space="0" w:color="auto"/>
                    <w:left w:val="none" w:sz="0" w:space="0" w:color="auto"/>
                    <w:bottom w:val="none" w:sz="0" w:space="0" w:color="auto"/>
                    <w:right w:val="none" w:sz="0" w:space="0" w:color="auto"/>
                  </w:divBdr>
                </w:div>
              </w:divsChild>
            </w:div>
            <w:div w:id="2067995756">
              <w:marLeft w:val="0"/>
              <w:marRight w:val="0"/>
              <w:marTop w:val="0"/>
              <w:marBottom w:val="0"/>
              <w:divBdr>
                <w:top w:val="none" w:sz="0" w:space="0" w:color="auto"/>
                <w:left w:val="none" w:sz="0" w:space="0" w:color="auto"/>
                <w:bottom w:val="none" w:sz="0" w:space="0" w:color="auto"/>
                <w:right w:val="none" w:sz="0" w:space="0" w:color="auto"/>
              </w:divBdr>
              <w:divsChild>
                <w:div w:id="371420614">
                  <w:marLeft w:val="0"/>
                  <w:marRight w:val="0"/>
                  <w:marTop w:val="0"/>
                  <w:marBottom w:val="0"/>
                  <w:divBdr>
                    <w:top w:val="none" w:sz="0" w:space="0" w:color="auto"/>
                    <w:left w:val="none" w:sz="0" w:space="0" w:color="auto"/>
                    <w:bottom w:val="none" w:sz="0" w:space="0" w:color="auto"/>
                    <w:right w:val="none" w:sz="0" w:space="0" w:color="auto"/>
                  </w:divBdr>
                </w:div>
              </w:divsChild>
            </w:div>
            <w:div w:id="918633603">
              <w:marLeft w:val="0"/>
              <w:marRight w:val="0"/>
              <w:marTop w:val="0"/>
              <w:marBottom w:val="0"/>
              <w:divBdr>
                <w:top w:val="none" w:sz="0" w:space="0" w:color="auto"/>
                <w:left w:val="none" w:sz="0" w:space="0" w:color="auto"/>
                <w:bottom w:val="none" w:sz="0" w:space="0" w:color="auto"/>
                <w:right w:val="none" w:sz="0" w:space="0" w:color="auto"/>
              </w:divBdr>
              <w:divsChild>
                <w:div w:id="1595698942">
                  <w:marLeft w:val="0"/>
                  <w:marRight w:val="0"/>
                  <w:marTop w:val="0"/>
                  <w:marBottom w:val="0"/>
                  <w:divBdr>
                    <w:top w:val="none" w:sz="0" w:space="0" w:color="auto"/>
                    <w:left w:val="none" w:sz="0" w:space="0" w:color="auto"/>
                    <w:bottom w:val="none" w:sz="0" w:space="0" w:color="auto"/>
                    <w:right w:val="none" w:sz="0" w:space="0" w:color="auto"/>
                  </w:divBdr>
                </w:div>
              </w:divsChild>
            </w:div>
            <w:div w:id="455416667">
              <w:marLeft w:val="0"/>
              <w:marRight w:val="0"/>
              <w:marTop w:val="0"/>
              <w:marBottom w:val="0"/>
              <w:divBdr>
                <w:top w:val="none" w:sz="0" w:space="0" w:color="auto"/>
                <w:left w:val="none" w:sz="0" w:space="0" w:color="auto"/>
                <w:bottom w:val="none" w:sz="0" w:space="0" w:color="auto"/>
                <w:right w:val="none" w:sz="0" w:space="0" w:color="auto"/>
              </w:divBdr>
              <w:divsChild>
                <w:div w:id="1972204750">
                  <w:marLeft w:val="0"/>
                  <w:marRight w:val="0"/>
                  <w:marTop w:val="0"/>
                  <w:marBottom w:val="0"/>
                  <w:divBdr>
                    <w:top w:val="none" w:sz="0" w:space="0" w:color="auto"/>
                    <w:left w:val="none" w:sz="0" w:space="0" w:color="auto"/>
                    <w:bottom w:val="none" w:sz="0" w:space="0" w:color="auto"/>
                    <w:right w:val="none" w:sz="0" w:space="0" w:color="auto"/>
                  </w:divBdr>
                </w:div>
              </w:divsChild>
            </w:div>
            <w:div w:id="2032368175">
              <w:marLeft w:val="0"/>
              <w:marRight w:val="0"/>
              <w:marTop w:val="0"/>
              <w:marBottom w:val="0"/>
              <w:divBdr>
                <w:top w:val="none" w:sz="0" w:space="0" w:color="auto"/>
                <w:left w:val="none" w:sz="0" w:space="0" w:color="auto"/>
                <w:bottom w:val="none" w:sz="0" w:space="0" w:color="auto"/>
                <w:right w:val="none" w:sz="0" w:space="0" w:color="auto"/>
              </w:divBdr>
              <w:divsChild>
                <w:div w:id="257520958">
                  <w:marLeft w:val="0"/>
                  <w:marRight w:val="0"/>
                  <w:marTop w:val="0"/>
                  <w:marBottom w:val="0"/>
                  <w:divBdr>
                    <w:top w:val="none" w:sz="0" w:space="0" w:color="auto"/>
                    <w:left w:val="none" w:sz="0" w:space="0" w:color="auto"/>
                    <w:bottom w:val="none" w:sz="0" w:space="0" w:color="auto"/>
                    <w:right w:val="none" w:sz="0" w:space="0" w:color="auto"/>
                  </w:divBdr>
                </w:div>
              </w:divsChild>
            </w:div>
            <w:div w:id="208267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6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462%20de%202020"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CC1282-01DD-4AB1-94F3-8910F94135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937D26-1216-4E89-B704-F55454401BCE}">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A0C76EE7-E601-4390-8DC8-A182070331A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59</Pages>
  <Words>27101</Words>
  <Characters>149056</Characters>
  <Application>Microsoft Office Word</Application>
  <DocSecurity>0</DocSecurity>
  <Lines>1242</Lines>
  <Paragraphs>351</Paragraphs>
  <ScaleCrop>false</ScaleCrop>
  <Company/>
  <LinksUpToDate>false</LinksUpToDate>
  <CharactersWithSpaces>175806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SEBASTIAN GÓMEZ HURTADO</dc:creator>
  <cp:keywords/>
  <dc:description/>
  <cp:lastModifiedBy>Sandra Rodríguez</cp:lastModifiedBy>
  <cp:revision>2</cp:revision>
  <dcterms:created xsi:type="dcterms:W3CDTF">2021-04-15T12:56:00Z</dcterms:created>
  <dcterms:modified xsi:type="dcterms:W3CDTF">2021-04-15T12:56:00Z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